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560"/>
        <w:rPr>
          <w:rFonts w:ascii="宋体" w:hAnsi="宋体"/>
          <w:b/>
          <w:bCs/>
          <w:color w:val="auto"/>
          <w:sz w:val="28"/>
          <w:szCs w:val="28"/>
          <w:highlight w:val="none"/>
        </w:rPr>
      </w:pPr>
    </w:p>
    <w:p>
      <w:pPr>
        <w:spacing w:before="240" w:beforeLines="100" w:line="360" w:lineRule="auto"/>
        <w:jc w:val="center"/>
        <w:rPr>
          <w:rFonts w:ascii="宋体" w:hAnsi="宋体"/>
          <w:b/>
          <w:bCs/>
          <w:color w:val="auto"/>
          <w:spacing w:val="100"/>
          <w:sz w:val="96"/>
          <w:szCs w:val="96"/>
          <w:highlight w:val="none"/>
        </w:rPr>
      </w:pPr>
      <w:r>
        <w:rPr>
          <w:rFonts w:hint="eastAsia" w:ascii="宋体" w:hAnsi="宋体"/>
          <w:b/>
          <w:bCs/>
          <w:color w:val="auto"/>
          <w:spacing w:val="100"/>
          <w:sz w:val="96"/>
          <w:szCs w:val="96"/>
          <w:highlight w:val="none"/>
        </w:rPr>
        <w:t>政府采购</w:t>
      </w:r>
    </w:p>
    <w:p>
      <w:pPr>
        <w:spacing w:line="360" w:lineRule="auto"/>
        <w:rPr>
          <w:rFonts w:ascii="宋体" w:hAnsi="宋体"/>
          <w:b/>
          <w:bCs/>
          <w:color w:val="auto"/>
          <w:spacing w:val="100"/>
          <w:sz w:val="28"/>
          <w:szCs w:val="28"/>
          <w:highlight w:val="none"/>
        </w:rPr>
      </w:pP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项目名称：</w:t>
      </w:r>
      <w:r>
        <w:rPr>
          <w:rFonts w:hint="eastAsia" w:ascii="宋体" w:hAnsi="宋体"/>
          <w:b/>
          <w:color w:val="auto"/>
          <w:sz w:val="28"/>
          <w:szCs w:val="28"/>
          <w:highlight w:val="none"/>
          <w:lang w:eastAsia="zh-CN"/>
        </w:rPr>
        <w:t>广东省农业科学动物卫生研究所禽病/生物技术研究室实验室改造项目</w:t>
      </w:r>
      <w:r>
        <w:rPr>
          <w:rFonts w:hint="eastAsia" w:ascii="宋体" w:hAnsi="宋体"/>
          <w:b/>
          <w:color w:val="auto"/>
          <w:sz w:val="28"/>
          <w:szCs w:val="28"/>
          <w:highlight w:val="none"/>
        </w:rPr>
        <w:t xml:space="preserve"> </w:t>
      </w: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项目编号：</w:t>
      </w:r>
      <w:r>
        <w:rPr>
          <w:rFonts w:hint="eastAsia" w:ascii="宋体" w:hAnsi="宋体"/>
          <w:b/>
          <w:color w:val="auto"/>
          <w:sz w:val="28"/>
          <w:szCs w:val="28"/>
          <w:highlight w:val="none"/>
          <w:lang w:eastAsia="zh-CN"/>
        </w:rPr>
        <w:t>201912-184098-0032</w:t>
      </w:r>
      <w:r>
        <w:rPr>
          <w:rFonts w:hint="eastAsia" w:ascii="宋体" w:hAnsi="宋体"/>
          <w:b/>
          <w:color w:val="auto"/>
          <w:sz w:val="28"/>
          <w:szCs w:val="28"/>
          <w:highlight w:val="none"/>
        </w:rPr>
        <w:t xml:space="preserve"> </w:t>
      </w:r>
    </w:p>
    <w:p>
      <w:pPr>
        <w:spacing w:line="360" w:lineRule="auto"/>
        <w:rPr>
          <w:rFonts w:ascii="宋体" w:hAnsi="宋体"/>
          <w:color w:val="auto"/>
          <w:sz w:val="84"/>
          <w:highlight w:val="none"/>
        </w:rPr>
      </w:pPr>
    </w:p>
    <w:p>
      <w:pPr>
        <w:spacing w:line="360" w:lineRule="auto"/>
        <w:ind w:firstLine="1687" w:firstLineChars="200"/>
        <w:rPr>
          <w:rFonts w:ascii="宋体" w:hAnsi="宋体"/>
          <w:b/>
          <w:color w:val="auto"/>
          <w:sz w:val="84"/>
          <w:highlight w:val="none"/>
        </w:rPr>
      </w:pPr>
      <w:r>
        <w:rPr>
          <w:rFonts w:hint="eastAsia" w:ascii="宋体" w:hAnsi="宋体"/>
          <w:b/>
          <w:color w:val="auto"/>
          <w:sz w:val="84"/>
          <w:highlight w:val="none"/>
        </w:rPr>
        <w:t>竞争性磋商文件</w:t>
      </w: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采   购   人：</w:t>
      </w:r>
      <w:r>
        <w:rPr>
          <w:rFonts w:hint="eastAsia" w:ascii="宋体" w:hAnsi="宋体" w:cs="宋体"/>
          <w:b/>
          <w:bCs/>
          <w:color w:val="auto"/>
          <w:sz w:val="30"/>
          <w:szCs w:val="30"/>
          <w:highlight w:val="none"/>
          <w:lang w:eastAsia="zh-CN"/>
        </w:rPr>
        <w:t>广东省农业科学院动物卫生研究所</w:t>
      </w:r>
      <w:r>
        <w:rPr>
          <w:rFonts w:hint="eastAsia" w:ascii="宋体" w:hAnsi="宋体"/>
          <w:b/>
          <w:color w:val="auto"/>
          <w:sz w:val="30"/>
          <w:szCs w:val="30"/>
          <w:highlight w:val="none"/>
        </w:rPr>
        <w:t xml:space="preserve">  </w:t>
      </w: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采购代理机构：广州市信怡招标代理有限公司</w:t>
      </w:r>
    </w:p>
    <w:p>
      <w:pPr>
        <w:snapToGrid w:val="0"/>
        <w:spacing w:line="360" w:lineRule="auto"/>
        <w:ind w:firstLine="1205" w:firstLineChars="400"/>
        <w:rPr>
          <w:rStyle w:val="94"/>
          <w:rFonts w:ascii="宋体" w:hAnsi="宋体"/>
          <w:b/>
          <w:color w:val="auto"/>
          <w:sz w:val="30"/>
          <w:szCs w:val="30"/>
          <w:highlight w:val="none"/>
        </w:rPr>
        <w:sectPr>
          <w:headerReference r:id="rId4" w:type="first"/>
          <w:footerReference r:id="rId7" w:type="first"/>
          <w:footerReference r:id="rId5" w:type="default"/>
          <w:headerReference r:id="rId3" w:type="even"/>
          <w:footerReference r:id="rId6" w:type="even"/>
          <w:pgSz w:w="11906" w:h="16838"/>
          <w:pgMar w:top="567" w:right="1304" w:bottom="567" w:left="1361" w:header="567" w:footer="737" w:gutter="0"/>
          <w:cols w:space="720" w:num="1"/>
          <w:titlePg/>
          <w:docGrid w:linePitch="312" w:charSpace="0"/>
        </w:sectPr>
      </w:pPr>
      <w:r>
        <w:rPr>
          <w:rFonts w:hint="eastAsia" w:ascii="宋体" w:hAnsi="宋体"/>
          <w:b/>
          <w:color w:val="auto"/>
          <w:sz w:val="30"/>
          <w:szCs w:val="30"/>
          <w:highlight w:val="none"/>
        </w:rPr>
        <w:t>日        期：</w:t>
      </w:r>
      <w:bookmarkStart w:id="0" w:name="_Toc14450806"/>
      <w:bookmarkStart w:id="1" w:name="_Toc28489433"/>
      <w:r>
        <w:rPr>
          <w:rStyle w:val="94"/>
          <w:rFonts w:hint="eastAsia" w:ascii="宋体" w:hAnsi="宋体"/>
          <w:b/>
          <w:color w:val="auto"/>
          <w:sz w:val="30"/>
          <w:szCs w:val="30"/>
          <w:highlight w:val="none"/>
          <w:u w:val="none"/>
        </w:rPr>
        <w:t xml:space="preserve"> 二○二○年</w:t>
      </w:r>
      <w:r>
        <w:rPr>
          <w:rStyle w:val="94"/>
          <w:rFonts w:hint="eastAsia" w:ascii="宋体" w:hAnsi="宋体"/>
          <w:b/>
          <w:color w:val="auto"/>
          <w:sz w:val="30"/>
          <w:szCs w:val="30"/>
          <w:highlight w:val="none"/>
          <w:u w:val="none"/>
          <w:lang w:eastAsia="zh-CN"/>
        </w:rPr>
        <w:t>一</w:t>
      </w:r>
      <w:r>
        <w:rPr>
          <w:rStyle w:val="94"/>
          <w:rFonts w:hint="eastAsia" w:ascii="宋体" w:hAnsi="宋体"/>
          <w:b/>
          <w:color w:val="auto"/>
          <w:sz w:val="30"/>
          <w:szCs w:val="30"/>
          <w:highlight w:val="none"/>
          <w:u w:val="none"/>
        </w:rPr>
        <w:t>月</w:t>
      </w:r>
    </w:p>
    <w:p>
      <w:pPr>
        <w:spacing w:before="120" w:beforeLines="50" w:after="120" w:afterLines="50" w:line="360" w:lineRule="auto"/>
        <w:rPr>
          <w:rFonts w:ascii="宋体" w:hAnsi="宋体"/>
          <w:b/>
          <w:color w:val="auto"/>
          <w:sz w:val="36"/>
          <w:highlight w:val="none"/>
        </w:rPr>
      </w:pPr>
    </w:p>
    <w:p>
      <w:pPr>
        <w:spacing w:before="120" w:beforeLines="50" w:after="120" w:afterLines="50" w:line="360" w:lineRule="auto"/>
        <w:jc w:val="center"/>
        <w:rPr>
          <w:rFonts w:ascii="宋体" w:hAnsi="宋体"/>
          <w:b/>
          <w:color w:val="auto"/>
          <w:sz w:val="36"/>
          <w:highlight w:val="none"/>
        </w:rPr>
      </w:pP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温馨提示</w:t>
      </w:r>
    </w:p>
    <w:p>
      <w:pPr>
        <w:spacing w:line="360" w:lineRule="auto"/>
        <w:rPr>
          <w:rFonts w:ascii="宋体" w:hAnsi="宋体"/>
          <w:color w:val="auto"/>
          <w:szCs w:val="21"/>
          <w:highlight w:val="none"/>
        </w:rPr>
      </w:pP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如无另行说明，投标/报价文件递交时间为投标/报价文件</w:t>
      </w:r>
      <w:r>
        <w:rPr>
          <w:rFonts w:hint="eastAsia" w:ascii="宋体" w:hAnsi="宋体"/>
          <w:b/>
          <w:color w:val="auto"/>
          <w:szCs w:val="21"/>
          <w:highlight w:val="none"/>
          <w:u w:val="single"/>
        </w:rPr>
        <w:t>递交截止时间之前30分钟</w:t>
      </w:r>
      <w:r>
        <w:rPr>
          <w:rFonts w:hint="eastAsia" w:ascii="宋体" w:hAnsi="宋体"/>
          <w:color w:val="auto"/>
          <w:szCs w:val="21"/>
          <w:highlight w:val="none"/>
        </w:rPr>
        <w:t>内。</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为避免因迟到而失去投标/报价资格，请</w:t>
      </w:r>
      <w:r>
        <w:rPr>
          <w:rFonts w:hint="eastAsia" w:ascii="宋体" w:hAnsi="宋体"/>
          <w:b/>
          <w:color w:val="auto"/>
          <w:szCs w:val="21"/>
          <w:highlight w:val="none"/>
          <w:u w:val="single"/>
        </w:rPr>
        <w:t>适当提前到达</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投标/报价文件应按顺序</w:t>
      </w:r>
      <w:r>
        <w:rPr>
          <w:rFonts w:hint="eastAsia" w:ascii="宋体" w:hAnsi="宋体"/>
          <w:b/>
          <w:color w:val="auto"/>
          <w:szCs w:val="21"/>
          <w:highlight w:val="none"/>
          <w:u w:val="single"/>
        </w:rPr>
        <w:t>编制页码</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请仔细检查投标/报价文件是否已按采购文件要求</w:t>
      </w:r>
      <w:r>
        <w:rPr>
          <w:rFonts w:hint="eastAsia" w:ascii="宋体" w:hAnsi="宋体"/>
          <w:b/>
          <w:color w:val="auto"/>
          <w:szCs w:val="21"/>
          <w:highlight w:val="none"/>
          <w:u w:val="single"/>
        </w:rPr>
        <w:t>盖章、签名、签署日期</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请正确填写《报价一览表》。多子包项目请仔细检查子包号，子包号与子包名称必须对应。</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如投标/报价产品属于许可证管理范围内的，须提交相应的许可证复印件。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Arial" w:hAnsi="宋体" w:cs="Arial"/>
          <w:color w:val="auto"/>
          <w:szCs w:val="21"/>
          <w:highlight w:val="none"/>
        </w:rPr>
        <w:t>如投标</w:t>
      </w:r>
      <w:r>
        <w:rPr>
          <w:rFonts w:hint="eastAsia" w:ascii="宋体" w:hAnsi="宋体" w:cs="Arial"/>
          <w:color w:val="auto"/>
          <w:szCs w:val="21"/>
          <w:highlight w:val="none"/>
        </w:rPr>
        <w:t>/</w:t>
      </w:r>
      <w:r>
        <w:rPr>
          <w:rFonts w:hint="eastAsia" w:ascii="Arial" w:hAnsi="宋体" w:cs="Arial"/>
          <w:color w:val="auto"/>
          <w:szCs w:val="21"/>
          <w:highlight w:val="none"/>
        </w:rPr>
        <w:t>报价供应商以非独立法人注册的分公司名义代表总公司盖章和签署文件的</w:t>
      </w:r>
      <w:r>
        <w:rPr>
          <w:rFonts w:hint="eastAsia" w:ascii="宋体" w:hAnsi="宋体"/>
          <w:color w:val="auto"/>
          <w:szCs w:val="21"/>
          <w:highlight w:val="none"/>
        </w:rPr>
        <w:t>，须提供总公司的营业执照副本复印件及总公司针对本项目投标/报价的授权书原件。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b/>
          <w:bCs/>
          <w:color w:val="auto"/>
          <w:szCs w:val="21"/>
          <w:highlight w:val="none"/>
        </w:rPr>
        <w:t>加★号的条款均被视为重要的指标要求，必须一一响应。若有一项带“★”的指标要求未响应或不满足，将按投标无效处理。</w:t>
      </w:r>
      <w:r>
        <w:rPr>
          <w:rFonts w:hint="eastAsia" w:ascii="宋体" w:hAnsi="宋体"/>
          <w:color w:val="auto"/>
          <w:szCs w:val="21"/>
          <w:highlight w:val="none"/>
        </w:rPr>
        <w:t xml:space="preserve"> </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以联合体形式投标/报价的，请提交《联合体共同投标协议书》。</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投标/报价供应商为中型、小型、微型企业的，请提交《中小企业声明函》。</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color w:val="auto"/>
          <w:szCs w:val="21"/>
          <w:highlight w:val="none"/>
        </w:rPr>
        <w:t>为了提高政府采购效率，节约社会交易成本与时间，希望购买了采购文件而决定不参加本次投标/报价的供应商，在投标/报价文件递交截止时间的3日前，按《投标/报价邀请函》中的联系方式，以书面形式告知采购代理机构。对您的支持与配合，谨此致谢。</w:t>
      </w:r>
    </w:p>
    <w:p>
      <w:pPr>
        <w:spacing w:before="120" w:beforeLines="50" w:after="120" w:afterLines="50" w:line="600" w:lineRule="auto"/>
        <w:jc w:val="center"/>
        <w:rPr>
          <w:rFonts w:ascii="宋体" w:hAnsi="宋体"/>
          <w:b/>
          <w:color w:val="auto"/>
          <w:sz w:val="36"/>
          <w:highlight w:val="none"/>
        </w:rPr>
      </w:pPr>
      <w:r>
        <w:rPr>
          <w:rFonts w:hint="eastAsia" w:ascii="宋体" w:hAnsi="宋体"/>
          <w:color w:val="auto"/>
          <w:szCs w:val="21"/>
          <w:highlight w:val="none"/>
        </w:rPr>
        <w:tab/>
      </w:r>
      <w:r>
        <w:rPr>
          <w:rFonts w:hint="eastAsia" w:ascii="宋体" w:hAnsi="宋体"/>
          <w:color w:val="auto"/>
          <w:szCs w:val="21"/>
          <w:highlight w:val="none"/>
        </w:rPr>
        <w:t>（本提示内容非采购文件的组成部分，仅为善意提醒。如有不一致，以采购文件为准）</w:t>
      </w:r>
      <w:r>
        <w:rPr>
          <w:rFonts w:hint="eastAsia" w:ascii="宋体" w:hAnsi="宋体"/>
          <w:b/>
          <w:color w:val="auto"/>
          <w:sz w:val="36"/>
          <w:highlight w:val="none"/>
        </w:rPr>
        <w:br w:type="page"/>
      </w:r>
      <w:r>
        <w:rPr>
          <w:rFonts w:hint="eastAsia" w:ascii="宋体" w:hAnsi="宋体"/>
          <w:b/>
          <w:color w:val="auto"/>
          <w:sz w:val="36"/>
          <w:highlight w:val="none"/>
        </w:rPr>
        <w:t>目   录</w:t>
      </w:r>
    </w:p>
    <w:p>
      <w:pPr>
        <w:spacing w:before="240" w:beforeLines="100" w:after="240" w:afterLines="100" w:line="360" w:lineRule="auto"/>
        <w:rPr>
          <w:rStyle w:val="94"/>
          <w:rFonts w:ascii="宋体" w:hAnsi="宋体"/>
          <w:smallCaps/>
          <w:color w:val="auto"/>
          <w:sz w:val="28"/>
          <w:szCs w:val="28"/>
          <w:highlight w:val="none"/>
        </w:rPr>
      </w:pPr>
    </w:p>
    <w:p>
      <w:pPr>
        <w:pStyle w:val="60"/>
        <w:tabs>
          <w:tab w:val="right" w:leader="dot" w:pos="9231"/>
        </w:tabs>
        <w:spacing w:line="360" w:lineRule="auto"/>
        <w:rPr>
          <w:b w:val="0"/>
          <w:bCs w:val="0"/>
          <w:caps w:val="0"/>
          <w:color w:val="auto"/>
          <w:sz w:val="28"/>
          <w:szCs w:val="28"/>
          <w:highlight w:val="none"/>
        </w:rPr>
      </w:pPr>
      <w:r>
        <w:rPr>
          <w:rFonts w:ascii="宋体" w:hAnsi="宋体"/>
          <w:bCs w:val="0"/>
          <w:caps w:val="0"/>
          <w:smallCaps/>
          <w:color w:val="auto"/>
          <w:sz w:val="28"/>
          <w:szCs w:val="28"/>
          <w:highlight w:val="none"/>
        </w:rPr>
        <w:fldChar w:fldCharType="begin"/>
      </w:r>
      <w:r>
        <w:rPr>
          <w:rStyle w:val="94"/>
          <w:rFonts w:hint="eastAsia" w:ascii="宋体" w:hAnsi="宋体"/>
          <w:bCs w:val="0"/>
          <w:caps w:val="0"/>
          <w:smallCaps/>
          <w:color w:val="auto"/>
          <w:sz w:val="28"/>
          <w:szCs w:val="28"/>
          <w:highlight w:val="none"/>
        </w:rPr>
        <w:instrText xml:space="preserve">TOC \o "1-1" \h \z \u</w:instrText>
      </w:r>
      <w:r>
        <w:rPr>
          <w:rFonts w:ascii="宋体" w:hAnsi="宋体"/>
          <w:bCs w:val="0"/>
          <w:caps w:val="0"/>
          <w:smallCaps/>
          <w:color w:val="auto"/>
          <w:sz w:val="28"/>
          <w:szCs w:val="28"/>
          <w:highlight w:val="none"/>
        </w:rPr>
        <w:fldChar w:fldCharType="separate"/>
      </w:r>
      <w:r>
        <w:rPr>
          <w:color w:val="auto"/>
          <w:highlight w:val="none"/>
        </w:rPr>
        <w:fldChar w:fldCharType="begin"/>
      </w:r>
      <w:r>
        <w:rPr>
          <w:color w:val="auto"/>
          <w:highlight w:val="none"/>
        </w:rPr>
        <w:instrText xml:space="preserve"> HYPERLINK \l "_Toc475104466" </w:instrText>
      </w:r>
      <w:r>
        <w:rPr>
          <w:color w:val="auto"/>
          <w:highlight w:val="none"/>
        </w:rPr>
        <w:fldChar w:fldCharType="separate"/>
      </w:r>
      <w:r>
        <w:rPr>
          <w:rStyle w:val="94"/>
          <w:rFonts w:hint="eastAsia"/>
          <w:color w:val="auto"/>
          <w:sz w:val="28"/>
          <w:szCs w:val="28"/>
          <w:highlight w:val="none"/>
        </w:rPr>
        <w:t>第一章 竞争性磋商邀请</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_Toc475104466 \h </w:instrText>
      </w:r>
      <w:r>
        <w:rPr>
          <w:color w:val="auto"/>
          <w:sz w:val="28"/>
          <w:szCs w:val="28"/>
          <w:highlight w:val="none"/>
        </w:rPr>
        <w:fldChar w:fldCharType="separate"/>
      </w:r>
      <w:r>
        <w:rPr>
          <w:color w:val="auto"/>
          <w:sz w:val="28"/>
          <w:szCs w:val="28"/>
          <w:highlight w:val="none"/>
        </w:rPr>
        <w:t>1</w:t>
      </w:r>
      <w:r>
        <w:rPr>
          <w:color w:val="auto"/>
          <w:sz w:val="28"/>
          <w:szCs w:val="28"/>
          <w:highlight w:val="none"/>
        </w:rPr>
        <w:fldChar w:fldCharType="end"/>
      </w:r>
      <w:r>
        <w:rPr>
          <w:color w:val="auto"/>
          <w:sz w:val="28"/>
          <w:szCs w:val="28"/>
          <w:highlight w:val="none"/>
        </w:rPr>
        <w:fldChar w:fldCharType="end"/>
      </w:r>
    </w:p>
    <w:p>
      <w:pPr>
        <w:pStyle w:val="60"/>
        <w:tabs>
          <w:tab w:val="right" w:leader="dot" w:pos="9231"/>
        </w:tabs>
        <w:spacing w:line="360" w:lineRule="auto"/>
        <w:rPr>
          <w:b w:val="0"/>
          <w:bCs w:val="0"/>
          <w:caps w:val="0"/>
          <w:color w:val="auto"/>
          <w:sz w:val="28"/>
          <w:szCs w:val="28"/>
          <w:highlight w:val="none"/>
        </w:rPr>
      </w:pPr>
      <w:r>
        <w:rPr>
          <w:color w:val="auto"/>
          <w:highlight w:val="none"/>
        </w:rPr>
        <w:fldChar w:fldCharType="begin"/>
      </w:r>
      <w:r>
        <w:rPr>
          <w:color w:val="auto"/>
          <w:highlight w:val="none"/>
        </w:rPr>
        <w:instrText xml:space="preserve"> HYPERLINK \l "_Toc475104467" </w:instrText>
      </w:r>
      <w:r>
        <w:rPr>
          <w:color w:val="auto"/>
          <w:highlight w:val="none"/>
        </w:rPr>
        <w:fldChar w:fldCharType="separate"/>
      </w:r>
      <w:r>
        <w:rPr>
          <w:rStyle w:val="94"/>
          <w:rFonts w:hint="eastAsia"/>
          <w:color w:val="auto"/>
          <w:sz w:val="28"/>
          <w:szCs w:val="28"/>
          <w:highlight w:val="none"/>
        </w:rPr>
        <w:t>第二章 竞争性磋商须</w:t>
      </w:r>
      <w:bookmarkStart w:id="2" w:name="_Hlt509928387"/>
      <w:r>
        <w:rPr>
          <w:rStyle w:val="94"/>
          <w:rFonts w:hint="eastAsia"/>
          <w:color w:val="auto"/>
          <w:sz w:val="28"/>
          <w:szCs w:val="28"/>
          <w:highlight w:val="none"/>
        </w:rPr>
        <w:t>知</w:t>
      </w:r>
      <w:bookmarkEnd w:id="2"/>
      <w:r>
        <w:rPr>
          <w:color w:val="auto"/>
          <w:sz w:val="28"/>
          <w:szCs w:val="28"/>
          <w:highlight w:val="none"/>
        </w:rPr>
        <w:tab/>
      </w:r>
      <w:r>
        <w:rPr>
          <w:color w:val="auto"/>
          <w:sz w:val="28"/>
          <w:szCs w:val="28"/>
          <w:highlight w:val="none"/>
        </w:rPr>
        <w:fldChar w:fldCharType="end"/>
      </w:r>
      <w:r>
        <w:rPr>
          <w:rFonts w:hint="eastAsia"/>
          <w:color w:val="auto"/>
          <w:sz w:val="28"/>
          <w:szCs w:val="28"/>
          <w:highlight w:val="none"/>
        </w:rPr>
        <w:t>5</w:t>
      </w:r>
    </w:p>
    <w:p>
      <w:pPr>
        <w:pStyle w:val="60"/>
        <w:tabs>
          <w:tab w:val="right" w:leader="dot" w:pos="9231"/>
        </w:tabs>
        <w:spacing w:line="360" w:lineRule="auto"/>
        <w:rPr>
          <w:rFonts w:hint="eastAsia" w:eastAsia="宋体"/>
          <w:b w:val="0"/>
          <w:bCs w:val="0"/>
          <w:caps w:val="0"/>
          <w:color w:val="auto"/>
          <w:sz w:val="28"/>
          <w:szCs w:val="28"/>
          <w:highlight w:val="none"/>
          <w:lang w:eastAsia="zh-CN"/>
        </w:rPr>
      </w:pPr>
      <w:r>
        <w:rPr>
          <w:color w:val="auto"/>
          <w:highlight w:val="none"/>
        </w:rPr>
        <w:fldChar w:fldCharType="begin"/>
      </w:r>
      <w:r>
        <w:rPr>
          <w:color w:val="auto"/>
          <w:highlight w:val="none"/>
        </w:rPr>
        <w:instrText xml:space="preserve"> HYPERLINK \l "_Toc475104521" </w:instrText>
      </w:r>
      <w:r>
        <w:rPr>
          <w:color w:val="auto"/>
          <w:highlight w:val="none"/>
        </w:rPr>
        <w:fldChar w:fldCharType="separate"/>
      </w:r>
      <w:r>
        <w:rPr>
          <w:rStyle w:val="94"/>
          <w:rFonts w:hint="eastAsia"/>
          <w:color w:val="auto"/>
          <w:sz w:val="28"/>
          <w:szCs w:val="28"/>
          <w:highlight w:val="none"/>
        </w:rPr>
        <w:t>第三章 采购人</w:t>
      </w:r>
      <w:bookmarkStart w:id="3" w:name="_Hlt510014101"/>
      <w:r>
        <w:rPr>
          <w:rStyle w:val="94"/>
          <w:rFonts w:hint="eastAsia"/>
          <w:color w:val="auto"/>
          <w:sz w:val="28"/>
          <w:szCs w:val="28"/>
          <w:highlight w:val="none"/>
        </w:rPr>
        <w:t>需</w:t>
      </w:r>
      <w:bookmarkEnd w:id="3"/>
      <w:bookmarkStart w:id="4" w:name="_Hlt510971526"/>
      <w:r>
        <w:rPr>
          <w:rStyle w:val="94"/>
          <w:rFonts w:hint="eastAsia"/>
          <w:color w:val="auto"/>
          <w:sz w:val="28"/>
          <w:szCs w:val="28"/>
          <w:highlight w:val="none"/>
        </w:rPr>
        <w:t>求</w:t>
      </w:r>
      <w:bookmarkEnd w:id="4"/>
      <w:bookmarkStart w:id="5" w:name="_Hlt510014037"/>
      <w:bookmarkStart w:id="6" w:name="_Hlt510014036"/>
      <w:r>
        <w:rPr>
          <w:rStyle w:val="94"/>
          <w:rFonts w:hint="eastAsia"/>
          <w:color w:val="auto"/>
          <w:sz w:val="28"/>
          <w:szCs w:val="28"/>
          <w:highlight w:val="none"/>
        </w:rPr>
        <w:t>书</w:t>
      </w:r>
      <w:bookmarkEnd w:id="5"/>
      <w:bookmarkEnd w:id="6"/>
      <w:bookmarkStart w:id="7" w:name="_Hlt509994710"/>
      <w:bookmarkStart w:id="8" w:name="_Hlt509994711"/>
      <w:bookmarkStart w:id="9" w:name="_Hlt509991847"/>
      <w:r>
        <w:rPr>
          <w:color w:val="auto"/>
          <w:sz w:val="28"/>
          <w:szCs w:val="28"/>
          <w:highlight w:val="none"/>
        </w:rPr>
        <w:tab/>
      </w:r>
      <w:bookmarkEnd w:id="7"/>
      <w:bookmarkEnd w:id="8"/>
      <w:bookmarkEnd w:id="9"/>
      <w:r>
        <w:rPr>
          <w:color w:val="auto"/>
          <w:sz w:val="28"/>
          <w:szCs w:val="28"/>
          <w:highlight w:val="none"/>
        </w:rPr>
        <w:fldChar w:fldCharType="end"/>
      </w:r>
      <w:r>
        <w:rPr>
          <w:rFonts w:hint="eastAsia"/>
          <w:color w:val="auto"/>
          <w:sz w:val="28"/>
          <w:szCs w:val="28"/>
          <w:highlight w:val="none"/>
        </w:rPr>
        <w:t>2</w:t>
      </w:r>
      <w:r>
        <w:rPr>
          <w:rFonts w:hint="eastAsia"/>
          <w:color w:val="auto"/>
          <w:sz w:val="28"/>
          <w:szCs w:val="28"/>
          <w:highlight w:val="none"/>
          <w:lang w:val="en-US" w:eastAsia="zh-CN"/>
        </w:rPr>
        <w:t>6</w:t>
      </w:r>
    </w:p>
    <w:p>
      <w:pPr>
        <w:pStyle w:val="60"/>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"_Toc475104527" </w:instrText>
      </w:r>
      <w:r>
        <w:rPr>
          <w:color w:val="auto"/>
          <w:highlight w:val="none"/>
        </w:rPr>
        <w:fldChar w:fldCharType="separate"/>
      </w:r>
      <w:r>
        <w:rPr>
          <w:rStyle w:val="94"/>
          <w:rFonts w:hint="eastAsia"/>
          <w:color w:val="auto"/>
          <w:sz w:val="28"/>
          <w:szCs w:val="28"/>
          <w:highlight w:val="none"/>
        </w:rPr>
        <w:t xml:space="preserve">第四章 </w:t>
      </w:r>
      <w:bookmarkStart w:id="10" w:name="_Hlt511828826"/>
      <w:r>
        <w:rPr>
          <w:rStyle w:val="94"/>
          <w:rFonts w:hint="eastAsia"/>
          <w:color w:val="auto"/>
          <w:sz w:val="28"/>
          <w:szCs w:val="28"/>
          <w:highlight w:val="none"/>
        </w:rPr>
        <w:t>政府采购合同（</w:t>
      </w:r>
      <w:bookmarkEnd w:id="10"/>
      <w:r>
        <w:rPr>
          <w:rStyle w:val="94"/>
          <w:rFonts w:hint="eastAsia"/>
          <w:color w:val="auto"/>
          <w:sz w:val="28"/>
          <w:szCs w:val="28"/>
          <w:highlight w:val="none"/>
        </w:rPr>
        <w:t>样本）</w:t>
      </w:r>
      <w:r>
        <w:rPr>
          <w:rStyle w:val="94"/>
          <w:rFonts w:hint="eastAsia"/>
          <w:color w:val="auto"/>
          <w:sz w:val="28"/>
          <w:szCs w:val="28"/>
          <w:highlight w:val="none"/>
        </w:rPr>
        <w:fldChar w:fldCharType="end"/>
      </w:r>
      <w:r>
        <w:rPr>
          <w:rFonts w:hint="eastAsia"/>
          <w:color w:val="auto"/>
          <w:sz w:val="28"/>
          <w:szCs w:val="28"/>
          <w:highlight w:val="none"/>
        </w:rPr>
        <w:t>........................................................................</w:t>
      </w:r>
      <w:r>
        <w:rPr>
          <w:rFonts w:hint="eastAsia"/>
          <w:color w:val="auto"/>
          <w:sz w:val="28"/>
          <w:szCs w:val="28"/>
          <w:highlight w:val="none"/>
          <w:lang w:val="en-US" w:eastAsia="zh-CN"/>
        </w:rPr>
        <w:t>41</w:t>
      </w:r>
    </w:p>
    <w:p>
      <w:pPr>
        <w:pStyle w:val="60"/>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"_Toc475104528" </w:instrText>
      </w:r>
      <w:r>
        <w:rPr>
          <w:color w:val="auto"/>
          <w:highlight w:val="none"/>
        </w:rPr>
        <w:fldChar w:fldCharType="separate"/>
      </w:r>
      <w:r>
        <w:rPr>
          <w:rStyle w:val="94"/>
          <w:rFonts w:hint="eastAsia"/>
          <w:color w:val="auto"/>
          <w:sz w:val="28"/>
          <w:szCs w:val="28"/>
          <w:highlight w:val="none"/>
        </w:rPr>
        <w:t>第五章 评分</w:t>
      </w:r>
      <w:bookmarkStart w:id="11" w:name="_Hlt509997395"/>
      <w:r>
        <w:rPr>
          <w:rStyle w:val="94"/>
          <w:rFonts w:hint="eastAsia"/>
          <w:color w:val="auto"/>
          <w:sz w:val="28"/>
          <w:szCs w:val="28"/>
          <w:highlight w:val="none"/>
        </w:rPr>
        <w:t>体</w:t>
      </w:r>
      <w:bookmarkEnd w:id="11"/>
      <w:bookmarkStart w:id="12" w:name="_Hlt475104622"/>
      <w:r>
        <w:rPr>
          <w:rStyle w:val="94"/>
          <w:rFonts w:hint="eastAsia"/>
          <w:color w:val="auto"/>
          <w:sz w:val="28"/>
          <w:szCs w:val="28"/>
          <w:highlight w:val="none"/>
        </w:rPr>
        <w:t>系</w:t>
      </w:r>
      <w:bookmarkEnd w:id="12"/>
      <w:bookmarkStart w:id="13" w:name="_Hlt509932460"/>
      <w:bookmarkStart w:id="14" w:name="_Hlt510014093"/>
      <w:bookmarkStart w:id="15" w:name="_Hlt509932461"/>
      <w:r>
        <w:rPr>
          <w:rStyle w:val="94"/>
          <w:rFonts w:hint="eastAsia"/>
          <w:color w:val="auto"/>
          <w:sz w:val="28"/>
          <w:szCs w:val="28"/>
          <w:highlight w:val="none"/>
        </w:rPr>
        <w:t>与</w:t>
      </w:r>
      <w:bookmarkEnd w:id="13"/>
      <w:bookmarkEnd w:id="14"/>
      <w:bookmarkEnd w:id="15"/>
      <w:bookmarkStart w:id="16" w:name="_Hlt509994748"/>
      <w:r>
        <w:rPr>
          <w:rStyle w:val="94"/>
          <w:rFonts w:hint="eastAsia"/>
          <w:color w:val="auto"/>
          <w:sz w:val="28"/>
          <w:szCs w:val="28"/>
          <w:highlight w:val="none"/>
        </w:rPr>
        <w:t>标</w:t>
      </w:r>
      <w:bookmarkEnd w:id="16"/>
      <w:bookmarkStart w:id="17" w:name="_Hlt509992254"/>
      <w:bookmarkStart w:id="18" w:name="_Hlt510014176"/>
      <w:r>
        <w:rPr>
          <w:rStyle w:val="94"/>
          <w:rFonts w:hint="eastAsia"/>
          <w:color w:val="auto"/>
          <w:sz w:val="28"/>
          <w:szCs w:val="28"/>
          <w:highlight w:val="none"/>
        </w:rPr>
        <w:t>准</w:t>
      </w:r>
      <w:bookmarkEnd w:id="17"/>
      <w:bookmarkEnd w:id="18"/>
      <w:bookmarkStart w:id="19" w:name="_Hlt509991721"/>
      <w:bookmarkStart w:id="20" w:name="_Hlt509991939"/>
      <w:bookmarkStart w:id="21" w:name="_Hlt509991722"/>
      <w:r>
        <w:rPr>
          <w:color w:val="auto"/>
          <w:sz w:val="28"/>
          <w:szCs w:val="28"/>
          <w:highlight w:val="none"/>
        </w:rPr>
        <w:tab/>
      </w:r>
      <w:bookmarkEnd w:id="19"/>
      <w:bookmarkEnd w:id="20"/>
      <w:bookmarkEnd w:id="21"/>
      <w:r>
        <w:rPr>
          <w:color w:val="auto"/>
          <w:sz w:val="28"/>
          <w:szCs w:val="28"/>
          <w:highlight w:val="none"/>
        </w:rPr>
        <w:fldChar w:fldCharType="end"/>
      </w:r>
      <w:r>
        <w:rPr>
          <w:rFonts w:hint="eastAsia"/>
          <w:color w:val="auto"/>
          <w:sz w:val="28"/>
          <w:szCs w:val="28"/>
          <w:highlight w:val="none"/>
          <w:lang w:val="en-US" w:eastAsia="zh-CN"/>
        </w:rPr>
        <w:t>46</w:t>
      </w:r>
    </w:p>
    <w:p>
      <w:pPr>
        <w:pStyle w:val="60"/>
        <w:tabs>
          <w:tab w:val="right" w:leader="dot" w:pos="9231"/>
        </w:tabs>
        <w:spacing w:line="360" w:lineRule="auto"/>
        <w:rPr>
          <w:rFonts w:hint="eastAsia" w:eastAsia="宋体"/>
          <w:b w:val="0"/>
          <w:bCs w:val="0"/>
          <w:caps w:val="0"/>
          <w:color w:val="auto"/>
          <w:sz w:val="28"/>
          <w:szCs w:val="28"/>
          <w:highlight w:val="none"/>
          <w:lang w:eastAsia="zh-CN"/>
        </w:rPr>
      </w:pPr>
      <w:r>
        <w:rPr>
          <w:color w:val="auto"/>
          <w:highlight w:val="none"/>
        </w:rPr>
        <w:fldChar w:fldCharType="begin"/>
      </w:r>
      <w:r>
        <w:rPr>
          <w:color w:val="auto"/>
          <w:highlight w:val="none"/>
        </w:rPr>
        <w:instrText xml:space="preserve"> HYPERLINK \l "_Toc475104537" </w:instrText>
      </w:r>
      <w:r>
        <w:rPr>
          <w:color w:val="auto"/>
          <w:highlight w:val="none"/>
        </w:rPr>
        <w:fldChar w:fldCharType="separate"/>
      </w:r>
      <w:r>
        <w:rPr>
          <w:rStyle w:val="94"/>
          <w:rFonts w:hint="eastAsia"/>
          <w:color w:val="auto"/>
          <w:sz w:val="28"/>
          <w:szCs w:val="28"/>
          <w:highlight w:val="none"/>
        </w:rPr>
        <w:t>第六章 附件（格</w:t>
      </w:r>
      <w:bookmarkStart w:id="22" w:name="_Hlt510014049"/>
      <w:r>
        <w:rPr>
          <w:rStyle w:val="94"/>
          <w:rFonts w:hint="eastAsia"/>
          <w:color w:val="auto"/>
          <w:sz w:val="28"/>
          <w:szCs w:val="28"/>
          <w:highlight w:val="none"/>
        </w:rPr>
        <w:t>式</w:t>
      </w:r>
      <w:bookmarkEnd w:id="22"/>
      <w:r>
        <w:rPr>
          <w:rStyle w:val="94"/>
          <w:rFonts w:hint="eastAsia"/>
          <w:color w:val="auto"/>
          <w:sz w:val="28"/>
          <w:szCs w:val="28"/>
          <w:highlight w:val="none"/>
        </w:rPr>
        <w:t>）</w:t>
      </w:r>
      <w:r>
        <w:rPr>
          <w:color w:val="auto"/>
          <w:sz w:val="28"/>
          <w:szCs w:val="28"/>
          <w:highlight w:val="none"/>
        </w:rPr>
        <w:tab/>
      </w:r>
      <w:r>
        <w:rPr>
          <w:color w:val="auto"/>
          <w:sz w:val="28"/>
          <w:szCs w:val="28"/>
          <w:highlight w:val="none"/>
        </w:rPr>
        <w:fldChar w:fldCharType="end"/>
      </w:r>
      <w:r>
        <w:rPr>
          <w:rFonts w:hint="eastAsia"/>
          <w:color w:val="auto"/>
          <w:sz w:val="28"/>
          <w:szCs w:val="28"/>
          <w:highlight w:val="none"/>
        </w:rPr>
        <w:t>5</w:t>
      </w:r>
      <w:r>
        <w:rPr>
          <w:rFonts w:hint="eastAsia"/>
          <w:color w:val="auto"/>
          <w:sz w:val="28"/>
          <w:szCs w:val="28"/>
          <w:highlight w:val="none"/>
          <w:lang w:val="en-US" w:eastAsia="zh-CN"/>
        </w:rPr>
        <w:t>4</w:t>
      </w:r>
    </w:p>
    <w:p>
      <w:pPr>
        <w:pStyle w:val="60"/>
        <w:tabs>
          <w:tab w:val="right" w:leader="dot" w:pos="9231"/>
        </w:tabs>
        <w:spacing w:line="360" w:lineRule="auto"/>
        <w:rPr>
          <w:b w:val="0"/>
          <w:bCs w:val="0"/>
          <w:caps w:val="0"/>
          <w:color w:val="auto"/>
          <w:sz w:val="28"/>
          <w:szCs w:val="28"/>
          <w:highlight w:val="none"/>
        </w:rPr>
        <w:sectPr>
          <w:headerReference r:id="rId9" w:type="first"/>
          <w:footerReference r:id="rId11" w:type="first"/>
          <w:headerReference r:id="rId8" w:type="default"/>
          <w:footerReference r:id="rId10" w:type="default"/>
          <w:type w:val="continuous"/>
          <w:pgSz w:w="11906" w:h="16838"/>
          <w:pgMar w:top="567" w:right="1304" w:bottom="567" w:left="1361" w:header="567" w:footer="737" w:gutter="0"/>
          <w:cols w:space="720" w:num="1"/>
          <w:titlePg/>
          <w:docGrid w:linePitch="312" w:charSpace="0"/>
        </w:sectPr>
      </w:pPr>
    </w:p>
    <w:p>
      <w:pPr>
        <w:pStyle w:val="60"/>
        <w:tabs>
          <w:tab w:val="right" w:leader="dot" w:pos="9231"/>
        </w:tabs>
        <w:spacing w:line="360" w:lineRule="auto"/>
        <w:rPr>
          <w:b w:val="0"/>
          <w:bCs w:val="0"/>
          <w:caps w:val="0"/>
          <w:color w:val="auto"/>
          <w:sz w:val="28"/>
          <w:szCs w:val="28"/>
          <w:highlight w:val="none"/>
        </w:rPr>
      </w:pPr>
    </w:p>
    <w:p>
      <w:pPr>
        <w:pStyle w:val="60"/>
        <w:tabs>
          <w:tab w:val="right" w:leader="dot" w:pos="9231"/>
        </w:tabs>
        <w:spacing w:line="360" w:lineRule="auto"/>
        <w:rPr>
          <w:b w:val="0"/>
          <w:bCs w:val="0"/>
          <w:caps w:val="0"/>
          <w:color w:val="auto"/>
          <w:sz w:val="28"/>
          <w:szCs w:val="28"/>
          <w:highlight w:val="none"/>
        </w:rPr>
      </w:pPr>
    </w:p>
    <w:p>
      <w:pPr>
        <w:snapToGrid w:val="0"/>
        <w:spacing w:before="240" w:beforeLines="100" w:after="240" w:afterLines="100" w:line="360" w:lineRule="auto"/>
        <w:rPr>
          <w:rFonts w:ascii="宋体" w:hAnsi="宋体"/>
          <w:color w:val="auto"/>
          <w:sz w:val="28"/>
          <w:highlight w:val="none"/>
        </w:rPr>
      </w:pPr>
      <w:r>
        <w:rPr>
          <w:rFonts w:ascii="宋体" w:hAnsi="宋体"/>
          <w:bCs/>
          <w:caps/>
          <w:smallCaps/>
          <w:color w:val="auto"/>
          <w:sz w:val="28"/>
          <w:szCs w:val="28"/>
          <w:highlight w:val="none"/>
        </w:rPr>
        <w:fldChar w:fldCharType="end"/>
      </w: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5"/>
        <w:autoSpaceDE w:val="0"/>
        <w:rPr>
          <w:color w:val="auto"/>
          <w:sz w:val="44"/>
          <w:highlight w:val="none"/>
        </w:rPr>
      </w:pPr>
      <w:bookmarkStart w:id="23" w:name="_Toc475104466"/>
      <w:bookmarkStart w:id="24" w:name="_Toc320515014"/>
      <w:r>
        <w:rPr>
          <w:rFonts w:cs="ZWAdobeF"/>
          <w:b w:val="0"/>
          <w:color w:val="auto"/>
          <w:sz w:val="2"/>
          <w:szCs w:val="2"/>
          <w:highlight w:val="none"/>
        </w:rPr>
        <w:t>0B0B</w:t>
      </w:r>
      <w:r>
        <w:rPr>
          <w:rFonts w:hint="eastAsia"/>
          <w:color w:val="auto"/>
          <w:sz w:val="44"/>
          <w:highlight w:val="none"/>
        </w:rPr>
        <w:t>第一章</w:t>
      </w:r>
      <w:bookmarkStart w:id="25" w:name="_Toc10525513"/>
      <w:r>
        <w:rPr>
          <w:rFonts w:hint="eastAsia"/>
          <w:color w:val="auto"/>
          <w:sz w:val="44"/>
          <w:highlight w:val="none"/>
        </w:rPr>
        <w:t xml:space="preserve"> 竞争性磋商邀请</w:t>
      </w:r>
      <w:bookmarkEnd w:id="0"/>
      <w:bookmarkEnd w:id="1"/>
      <w:bookmarkEnd w:id="23"/>
      <w:bookmarkEnd w:id="24"/>
      <w:bookmarkEnd w:id="25"/>
    </w:p>
    <w:p>
      <w:pPr>
        <w:spacing w:line="480" w:lineRule="auto"/>
        <w:jc w:val="center"/>
        <w:rPr>
          <w:rFonts w:ascii="宋体" w:hAnsi="宋体"/>
          <w:b/>
          <w:color w:val="auto"/>
          <w:sz w:val="30"/>
          <w:szCs w:val="30"/>
          <w:highlight w:val="none"/>
        </w:rPr>
      </w:pPr>
      <w:r>
        <w:rPr>
          <w:rFonts w:ascii="宋体" w:hAnsi="宋体"/>
          <w:color w:val="auto"/>
          <w:highlight w:val="none"/>
        </w:rPr>
        <w:br w:type="page"/>
      </w:r>
      <w:r>
        <w:rPr>
          <w:rFonts w:hint="eastAsia" w:ascii="宋体" w:hAnsi="宋体"/>
          <w:b/>
          <w:color w:val="auto"/>
          <w:sz w:val="30"/>
          <w:szCs w:val="30"/>
          <w:highlight w:val="none"/>
        </w:rPr>
        <w:t>竞争性磋商邀请</w:t>
      </w:r>
    </w:p>
    <w:p>
      <w:pPr>
        <w:pStyle w:val="37"/>
        <w:snapToGrid w:val="0"/>
        <w:spacing w:line="528" w:lineRule="auto"/>
        <w:ind w:firstLine="630" w:firstLineChars="300"/>
        <w:rPr>
          <w:rFonts w:ascii="宋体" w:hAnsi="宋体"/>
          <w:color w:val="auto"/>
          <w:highlight w:val="none"/>
        </w:rPr>
      </w:pPr>
      <w:r>
        <w:rPr>
          <w:rFonts w:hint="eastAsia" w:ascii="宋体" w:hAnsi="宋体"/>
          <w:color w:val="auto"/>
          <w:highlight w:val="none"/>
        </w:rPr>
        <w:t>广州市信怡招标代理有限公司</w:t>
      </w:r>
      <w:r>
        <w:rPr>
          <w:rFonts w:ascii="宋体" w:hAnsi="宋体"/>
          <w:color w:val="auto"/>
          <w:highlight w:val="none"/>
        </w:rPr>
        <w:t>受</w:t>
      </w:r>
      <w:r>
        <w:rPr>
          <w:rFonts w:hint="eastAsia" w:ascii="宋体" w:hAnsi="宋体" w:cs="宋体"/>
          <w:color w:val="auto"/>
          <w:szCs w:val="21"/>
          <w:highlight w:val="none"/>
          <w:lang w:eastAsia="zh-CN"/>
        </w:rPr>
        <w:t>广东省农业科学院动物卫生研究所</w:t>
      </w:r>
      <w:r>
        <w:rPr>
          <w:rFonts w:ascii="宋体" w:hAnsi="宋体"/>
          <w:color w:val="auto"/>
          <w:szCs w:val="21"/>
          <w:highlight w:val="none"/>
        </w:rPr>
        <w:t>的委托，</w:t>
      </w:r>
      <w:r>
        <w:rPr>
          <w:rFonts w:hint="eastAsia" w:ascii="宋体" w:hAnsi="宋体"/>
          <w:color w:val="auto"/>
          <w:szCs w:val="21"/>
          <w:highlight w:val="none"/>
        </w:rPr>
        <w:t>对</w:t>
      </w:r>
      <w:r>
        <w:rPr>
          <w:rFonts w:hint="eastAsia" w:ascii="宋体" w:hAnsi="宋体" w:cs="宋体"/>
          <w:color w:val="auto"/>
          <w:szCs w:val="21"/>
          <w:highlight w:val="none"/>
          <w:lang w:eastAsia="zh-CN"/>
        </w:rPr>
        <w:t>广东省农业科学动物卫生研究所禽病/生物技术研究室实验室改造项目</w:t>
      </w:r>
      <w:r>
        <w:rPr>
          <w:rFonts w:hint="eastAsia" w:ascii="宋体" w:hAnsi="宋体"/>
          <w:color w:val="auto"/>
          <w:szCs w:val="21"/>
          <w:highlight w:val="none"/>
        </w:rPr>
        <w:t>进行竞争性磋商采购，欢迎符合资格条件的供应商参加。本项目</w:t>
      </w:r>
      <w:r>
        <w:rPr>
          <w:rFonts w:hint="eastAsia" w:ascii="宋体" w:hAnsi="宋体"/>
          <w:color w:val="auto"/>
          <w:highlight w:val="none"/>
        </w:rPr>
        <w:t>将优先确定符合相应资格条件的自主创新产品、节能产品、环保产品供应商参加磋商。</w:t>
      </w:r>
    </w:p>
    <w:p>
      <w:pPr>
        <w:pStyle w:val="37"/>
        <w:numPr>
          <w:ilvl w:val="0"/>
          <w:numId w:val="2"/>
        </w:numPr>
        <w:snapToGrid w:val="0"/>
        <w:spacing w:after="0" w:line="528" w:lineRule="auto"/>
        <w:ind w:leftChars="0"/>
        <w:rPr>
          <w:rFonts w:ascii="宋体" w:hAnsi="宋体"/>
          <w:color w:val="auto"/>
          <w:highlight w:val="none"/>
        </w:rPr>
      </w:pPr>
      <w:r>
        <w:rPr>
          <w:rFonts w:hint="eastAsia" w:ascii="宋体" w:hAnsi="宋体"/>
          <w:color w:val="auto"/>
          <w:highlight w:val="none"/>
        </w:rPr>
        <w:t>采购项目编号：</w:t>
      </w:r>
      <w:r>
        <w:rPr>
          <w:rFonts w:hint="eastAsia" w:ascii="宋体" w:hAnsi="宋体"/>
          <w:color w:val="auto"/>
          <w:highlight w:val="none"/>
          <w:lang w:eastAsia="zh-CN"/>
        </w:rPr>
        <w:t>201912-184098-0032</w:t>
      </w:r>
      <w:r>
        <w:rPr>
          <w:rFonts w:hint="eastAsia" w:ascii="宋体" w:hAnsi="宋体"/>
          <w:color w:val="auto"/>
          <w:highlight w:val="none"/>
        </w:rPr>
        <w:t xml:space="preserve"> 。</w:t>
      </w:r>
    </w:p>
    <w:p>
      <w:pPr>
        <w:pStyle w:val="37"/>
        <w:numPr>
          <w:ilvl w:val="0"/>
          <w:numId w:val="2"/>
        </w:numPr>
        <w:snapToGrid w:val="0"/>
        <w:spacing w:after="0" w:line="528" w:lineRule="auto"/>
        <w:ind w:leftChars="0"/>
        <w:rPr>
          <w:rFonts w:ascii="宋体" w:hAnsi="宋体"/>
          <w:color w:val="auto"/>
          <w:highlight w:val="none"/>
        </w:rPr>
      </w:pPr>
      <w:r>
        <w:rPr>
          <w:rFonts w:hint="eastAsia" w:ascii="宋体" w:hAnsi="宋体"/>
          <w:color w:val="auto"/>
          <w:highlight w:val="none"/>
        </w:rPr>
        <w:t>采购项目名称：</w:t>
      </w:r>
      <w:r>
        <w:rPr>
          <w:rFonts w:hint="eastAsia" w:ascii="宋体" w:hAnsi="宋体" w:cs="宋体"/>
          <w:color w:val="auto"/>
          <w:szCs w:val="21"/>
          <w:highlight w:val="none"/>
          <w:lang w:eastAsia="zh-CN"/>
        </w:rPr>
        <w:t>广东省农业科学动物卫生研究所禽病/生物技术研究室实验室改造项目</w:t>
      </w:r>
      <w:r>
        <w:rPr>
          <w:rFonts w:hint="eastAsia" w:ascii="宋体" w:hAnsi="宋体"/>
          <w:color w:val="auto"/>
          <w:highlight w:val="none"/>
        </w:rPr>
        <w:t>。</w:t>
      </w:r>
    </w:p>
    <w:p>
      <w:pPr>
        <w:pStyle w:val="37"/>
        <w:numPr>
          <w:ilvl w:val="0"/>
          <w:numId w:val="2"/>
        </w:numPr>
        <w:snapToGrid w:val="0"/>
        <w:spacing w:after="0" w:line="528" w:lineRule="auto"/>
        <w:ind w:leftChars="0"/>
        <w:rPr>
          <w:rFonts w:ascii="宋体" w:hAnsi="宋体"/>
          <w:color w:val="auto"/>
          <w:highlight w:val="none"/>
        </w:rPr>
      </w:pPr>
      <w:r>
        <w:rPr>
          <w:rFonts w:hint="eastAsia" w:ascii="宋体" w:hAnsi="宋体" w:cs="宋体"/>
          <w:color w:val="auto"/>
          <w:kern w:val="0"/>
          <w:szCs w:val="21"/>
          <w:highlight w:val="none"/>
        </w:rPr>
        <w:t>采购项目预算金额（元）</w:t>
      </w:r>
      <w:r>
        <w:rPr>
          <w:rFonts w:hint="eastAsia" w:ascii="宋体" w:hAnsi="宋体"/>
          <w:color w:val="auto"/>
          <w:highlight w:val="none"/>
        </w:rPr>
        <w:t>：￥</w:t>
      </w:r>
      <w:r>
        <w:rPr>
          <w:rFonts w:hint="eastAsia" w:ascii="宋体" w:hAnsi="宋体"/>
          <w:color w:val="auto"/>
          <w:highlight w:val="none"/>
          <w:lang w:eastAsia="zh-CN"/>
        </w:rPr>
        <w:t>453518.59</w:t>
      </w:r>
      <w:r>
        <w:rPr>
          <w:rFonts w:hint="eastAsia" w:ascii="宋体" w:hAnsi="宋体"/>
          <w:color w:val="auto"/>
          <w:highlight w:val="none"/>
        </w:rPr>
        <w:t>元 。</w:t>
      </w:r>
    </w:p>
    <w:p>
      <w:pPr>
        <w:pStyle w:val="37"/>
        <w:numPr>
          <w:ilvl w:val="0"/>
          <w:numId w:val="2"/>
        </w:numPr>
        <w:snapToGrid w:val="0"/>
        <w:spacing w:after="0" w:line="528" w:lineRule="auto"/>
        <w:ind w:leftChars="0"/>
        <w:rPr>
          <w:rFonts w:ascii="宋体" w:hAnsi="宋体"/>
          <w:color w:val="auto"/>
          <w:highlight w:val="none"/>
        </w:rPr>
      </w:pPr>
      <w:r>
        <w:rPr>
          <w:rFonts w:hint="eastAsia" w:ascii="宋体" w:hAnsi="宋体" w:cs="宋体"/>
          <w:color w:val="auto"/>
          <w:kern w:val="0"/>
          <w:szCs w:val="21"/>
          <w:highlight w:val="none"/>
        </w:rPr>
        <w:t>采购数量：详细请看第三章采购人需求书。</w:t>
      </w:r>
    </w:p>
    <w:p>
      <w:pPr>
        <w:pStyle w:val="37"/>
        <w:numPr>
          <w:ilvl w:val="0"/>
          <w:numId w:val="2"/>
        </w:numPr>
        <w:snapToGrid w:val="0"/>
        <w:spacing w:after="0" w:line="528" w:lineRule="auto"/>
        <w:ind w:leftChars="0"/>
        <w:rPr>
          <w:rFonts w:ascii="宋体" w:hAnsi="宋体"/>
          <w:color w:val="auto"/>
          <w:highlight w:val="none"/>
        </w:rPr>
      </w:pPr>
      <w:r>
        <w:rPr>
          <w:rFonts w:hint="eastAsia" w:ascii="宋体" w:hAnsi="宋体"/>
          <w:color w:val="auto"/>
          <w:highlight w:val="none"/>
        </w:rPr>
        <w:t>项目内容及需求</w:t>
      </w:r>
      <w:r>
        <w:rPr>
          <w:rFonts w:hint="eastAsia" w:ascii="宋体" w:hAnsi="宋体" w:cs="宋体"/>
          <w:color w:val="auto"/>
          <w:kern w:val="0"/>
          <w:szCs w:val="21"/>
          <w:highlight w:val="none"/>
        </w:rPr>
        <w:t>(采购项目技术规格、参数及要求，需要落实的政府采购政策)</w:t>
      </w:r>
      <w:r>
        <w:rPr>
          <w:rFonts w:hint="eastAsia" w:ascii="宋体" w:hAnsi="宋体"/>
          <w:color w:val="auto"/>
          <w:highlight w:val="none"/>
        </w:rPr>
        <w:t xml:space="preserve"> ：</w:t>
      </w:r>
    </w:p>
    <w:p>
      <w:pPr>
        <w:pStyle w:val="37"/>
        <w:snapToGrid w:val="0"/>
        <w:spacing w:line="528" w:lineRule="auto"/>
        <w:ind w:firstLine="420" w:firstLineChars="200"/>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详细请看第三章采购人需求书 。</w:t>
      </w:r>
    </w:p>
    <w:p>
      <w:pPr>
        <w:numPr>
          <w:ilvl w:val="1"/>
          <w:numId w:val="3"/>
        </w:numPr>
        <w:snapToGrid w:val="0"/>
        <w:spacing w:line="360" w:lineRule="auto"/>
        <w:rPr>
          <w:rFonts w:ascii="宋体" w:hAnsi="宋体" w:cs="宋体"/>
          <w:color w:val="auto"/>
          <w:szCs w:val="20"/>
          <w:highlight w:val="none"/>
        </w:rPr>
      </w:pPr>
      <w:r>
        <w:rPr>
          <w:rFonts w:hint="eastAsia" w:ascii="宋体" w:hAnsi="宋体" w:cs="宋体"/>
          <w:color w:val="auto"/>
          <w:szCs w:val="20"/>
          <w:highlight w:val="none"/>
        </w:rPr>
        <w:t>最高限价：人民币</w:t>
      </w:r>
      <w:r>
        <w:rPr>
          <w:rFonts w:hint="eastAsia" w:ascii="宋体" w:hAnsi="宋体" w:cs="宋体"/>
          <w:color w:val="auto"/>
          <w:szCs w:val="20"/>
          <w:highlight w:val="none"/>
          <w:lang w:eastAsia="zh-CN"/>
        </w:rPr>
        <w:t>453518.59</w:t>
      </w:r>
      <w:r>
        <w:rPr>
          <w:rFonts w:hint="eastAsia" w:ascii="宋体" w:hAnsi="宋体" w:cs="宋体"/>
          <w:color w:val="auto"/>
          <w:szCs w:val="20"/>
          <w:highlight w:val="none"/>
        </w:rPr>
        <w:t>元 。</w:t>
      </w:r>
    </w:p>
    <w:p>
      <w:pPr>
        <w:numPr>
          <w:ilvl w:val="1"/>
          <w:numId w:val="3"/>
        </w:numPr>
        <w:snapToGrid w:val="0"/>
        <w:spacing w:line="360" w:lineRule="auto"/>
        <w:rPr>
          <w:rFonts w:ascii="宋体" w:hAnsi="宋体" w:cs="宋体"/>
          <w:color w:val="auto"/>
          <w:szCs w:val="20"/>
          <w:highlight w:val="none"/>
        </w:rPr>
      </w:pPr>
      <w:r>
        <w:rPr>
          <w:rFonts w:hint="eastAsia" w:ascii="宋体" w:hAnsi="宋体" w:cs="宋体"/>
          <w:color w:val="auto"/>
          <w:szCs w:val="20"/>
          <w:highlight w:val="none"/>
        </w:rPr>
        <w:t>项目基本概况简述：本项目为</w:t>
      </w:r>
      <w:r>
        <w:rPr>
          <w:rFonts w:hint="eastAsia" w:ascii="宋体" w:hAnsi="宋体" w:cs="宋体"/>
          <w:color w:val="auto"/>
          <w:szCs w:val="21"/>
          <w:highlight w:val="none"/>
          <w:lang w:eastAsia="zh-CN"/>
        </w:rPr>
        <w:t>广东省农业科学动物卫生研究所禽病/生物技术研究室实验室改造项目</w:t>
      </w:r>
      <w:r>
        <w:rPr>
          <w:rFonts w:hint="eastAsia" w:ascii="宋体" w:hAnsi="宋体" w:cs="宋体"/>
          <w:color w:val="auto"/>
          <w:szCs w:val="20"/>
          <w:highlight w:val="none"/>
        </w:rPr>
        <w:t>。</w:t>
      </w:r>
    </w:p>
    <w:p>
      <w:pPr>
        <w:numPr>
          <w:ilvl w:val="1"/>
          <w:numId w:val="3"/>
        </w:numPr>
        <w:snapToGrid w:val="0"/>
        <w:spacing w:line="360" w:lineRule="auto"/>
        <w:rPr>
          <w:rFonts w:ascii="宋体" w:hAnsi="宋体" w:cs="宋体"/>
          <w:color w:val="auto"/>
          <w:szCs w:val="20"/>
          <w:highlight w:val="none"/>
        </w:rPr>
      </w:pPr>
      <w:r>
        <w:rPr>
          <w:rFonts w:hint="eastAsia" w:ascii="宋体" w:hAnsi="宋体" w:cs="宋体"/>
          <w:color w:val="auto"/>
          <w:szCs w:val="20"/>
          <w:highlight w:val="none"/>
        </w:rPr>
        <w:t>需要落实的政府采购政策：</w:t>
      </w:r>
    </w:p>
    <w:p>
      <w:pPr>
        <w:snapToGrid w:val="0"/>
        <w:spacing w:line="360" w:lineRule="auto"/>
        <w:ind w:left="525"/>
        <w:rPr>
          <w:rFonts w:ascii="宋体" w:hAnsi="宋体" w:cs="宋体"/>
          <w:color w:val="auto"/>
          <w:szCs w:val="20"/>
          <w:highlight w:val="none"/>
        </w:rPr>
      </w:pPr>
      <w:r>
        <w:rPr>
          <w:rFonts w:hint="eastAsia" w:ascii="宋体" w:hAnsi="宋体" w:cs="宋体"/>
          <w:color w:val="auto"/>
          <w:szCs w:val="20"/>
          <w:highlight w:val="none"/>
        </w:rPr>
        <w:t>1)《政府采购促进中小企业发展暂行办法》（财库〔2011〕181号）</w:t>
      </w:r>
    </w:p>
    <w:p>
      <w:pPr>
        <w:snapToGrid w:val="0"/>
        <w:spacing w:line="360" w:lineRule="auto"/>
        <w:ind w:left="525"/>
        <w:rPr>
          <w:rFonts w:ascii="宋体" w:hAnsi="宋体" w:cs="宋体"/>
          <w:color w:val="auto"/>
          <w:szCs w:val="20"/>
          <w:highlight w:val="none"/>
        </w:rPr>
      </w:pPr>
      <w:r>
        <w:rPr>
          <w:rFonts w:hint="eastAsia" w:ascii="宋体" w:hAnsi="宋体" w:cs="宋体"/>
          <w:color w:val="auto"/>
          <w:szCs w:val="20"/>
          <w:highlight w:val="none"/>
        </w:rPr>
        <w:t>2)《关于政府采购支持监狱企业发展有关问题的通知》(财库〔2014〕68号)</w:t>
      </w:r>
    </w:p>
    <w:p>
      <w:pPr>
        <w:snapToGrid w:val="0"/>
        <w:spacing w:line="360" w:lineRule="auto"/>
        <w:ind w:left="525"/>
        <w:rPr>
          <w:rFonts w:ascii="宋体" w:hAnsi="宋体" w:cs="宋体"/>
          <w:color w:val="auto"/>
          <w:szCs w:val="20"/>
          <w:highlight w:val="none"/>
        </w:rPr>
      </w:pPr>
      <w:r>
        <w:rPr>
          <w:rFonts w:hint="eastAsia" w:ascii="宋体" w:hAnsi="宋体" w:cs="宋体"/>
          <w:color w:val="auto"/>
          <w:szCs w:val="20"/>
          <w:highlight w:val="none"/>
        </w:rPr>
        <w:t>3)《关于促进残疾人就业政府采购政策的通知》（财库〔2017〕141号)</w:t>
      </w:r>
    </w:p>
    <w:p>
      <w:pPr>
        <w:snapToGrid w:val="0"/>
        <w:spacing w:line="360" w:lineRule="auto"/>
        <w:ind w:left="525"/>
        <w:rPr>
          <w:rFonts w:ascii="宋体" w:hAnsi="宋体" w:cs="宋体"/>
          <w:color w:val="auto"/>
          <w:szCs w:val="20"/>
          <w:highlight w:val="none"/>
        </w:rPr>
      </w:pPr>
      <w:r>
        <w:rPr>
          <w:rFonts w:hint="eastAsia" w:ascii="宋体" w:hAnsi="宋体" w:cs="宋体"/>
          <w:color w:val="auto"/>
          <w:szCs w:val="20"/>
          <w:highlight w:val="none"/>
        </w:rPr>
        <w:t>4)《关于环境标志产品政府采购实施的意见》(财库〔2006〕90号）</w:t>
      </w:r>
    </w:p>
    <w:p>
      <w:pPr>
        <w:snapToGrid w:val="0"/>
        <w:spacing w:line="360" w:lineRule="auto"/>
        <w:ind w:left="525"/>
        <w:rPr>
          <w:rFonts w:ascii="宋体" w:hAnsi="宋体" w:cs="宋体"/>
          <w:color w:val="auto"/>
          <w:kern w:val="0"/>
          <w:szCs w:val="21"/>
          <w:highlight w:val="none"/>
          <w:u w:val="single"/>
        </w:rPr>
      </w:pPr>
      <w:r>
        <w:rPr>
          <w:rFonts w:hint="eastAsia" w:ascii="宋体" w:hAnsi="宋体" w:cs="宋体"/>
          <w:color w:val="auto"/>
          <w:szCs w:val="20"/>
          <w:highlight w:val="none"/>
        </w:rPr>
        <w:t>5)《节能产品政府采购实施意见》的通知（财库〔2004〕185号）</w:t>
      </w:r>
    </w:p>
    <w:p>
      <w:pPr>
        <w:pStyle w:val="37"/>
        <w:numPr>
          <w:ilvl w:val="0"/>
          <w:numId w:val="2"/>
        </w:numPr>
        <w:snapToGrid w:val="0"/>
        <w:spacing w:after="0" w:line="528" w:lineRule="auto"/>
        <w:ind w:leftChars="0"/>
        <w:rPr>
          <w:rFonts w:hint="eastAsia" w:ascii="宋体" w:hAnsi="宋体"/>
          <w:color w:val="auto"/>
          <w:highlight w:val="none"/>
        </w:rPr>
      </w:pPr>
      <w:r>
        <w:rPr>
          <w:rFonts w:hint="eastAsia" w:ascii="宋体" w:hAnsi="宋体"/>
          <w:color w:val="auto"/>
          <w:highlight w:val="none"/>
        </w:rPr>
        <w:t>供应商资格：</w:t>
      </w:r>
    </w:p>
    <w:p>
      <w:pPr>
        <w:keepNext w:val="0"/>
        <w:keepLines w:val="0"/>
        <w:pageBreakBefore w:val="0"/>
        <w:widowControl/>
        <w:kinsoku/>
        <w:wordWrap/>
        <w:overflowPunct/>
        <w:topLinePunct w:val="0"/>
        <w:autoSpaceDE/>
        <w:autoSpaceDN/>
        <w:bidi w:val="0"/>
        <w:adjustRightInd/>
        <w:spacing w:line="360" w:lineRule="auto"/>
        <w:jc w:val="left"/>
        <w:textAlignment w:val="auto"/>
        <w:rPr>
          <w:rFonts w:hint="eastAsia" w:ascii="宋体" w:hAnsi="宋体" w:cs="宋体"/>
          <w:color w:val="auto"/>
          <w:szCs w:val="20"/>
          <w:highlight w:val="none"/>
        </w:rPr>
      </w:pPr>
      <w:r>
        <w:rPr>
          <w:rFonts w:hint="eastAsia" w:ascii="宋体" w:hAnsi="宋体" w:cs="宋体"/>
          <w:color w:val="auto"/>
          <w:szCs w:val="20"/>
          <w:highlight w:val="none"/>
          <w:lang w:val="en-US" w:eastAsia="zh-CN"/>
        </w:rPr>
        <w:t>1、</w:t>
      </w:r>
      <w:r>
        <w:rPr>
          <w:rFonts w:hint="eastAsia" w:ascii="宋体" w:hAnsi="宋体" w:cs="宋体"/>
          <w:color w:val="auto"/>
          <w:szCs w:val="20"/>
          <w:highlight w:val="none"/>
        </w:rPr>
        <w:t>参加本项目磋商的供应商应具备《政府采购法》第二十二条供应商资格条件；</w:t>
      </w:r>
    </w:p>
    <w:p>
      <w:pPr>
        <w:keepNext w:val="0"/>
        <w:keepLines w:val="0"/>
        <w:pageBreakBefore w:val="0"/>
        <w:widowControl/>
        <w:kinsoku/>
        <w:wordWrap/>
        <w:overflowPunct/>
        <w:topLinePunct w:val="0"/>
        <w:autoSpaceDE/>
        <w:autoSpaceDN/>
        <w:bidi w:val="0"/>
        <w:adjustRightInd/>
        <w:spacing w:line="360" w:lineRule="auto"/>
        <w:jc w:val="left"/>
        <w:textAlignment w:val="auto"/>
        <w:rPr>
          <w:rFonts w:hint="eastAsia" w:ascii="宋体" w:hAnsi="宋体" w:cs="宋体"/>
          <w:color w:val="auto"/>
          <w:szCs w:val="20"/>
          <w:highlight w:val="none"/>
        </w:rPr>
      </w:pPr>
      <w:r>
        <w:rPr>
          <w:rFonts w:hint="eastAsia" w:ascii="宋体" w:hAnsi="宋体" w:cs="宋体"/>
          <w:color w:val="auto"/>
          <w:szCs w:val="20"/>
          <w:highlight w:val="none"/>
        </w:rPr>
        <w:t>1）具有独立承担民事责任的能力；</w:t>
      </w:r>
    </w:p>
    <w:p>
      <w:pPr>
        <w:keepNext w:val="0"/>
        <w:keepLines w:val="0"/>
        <w:pageBreakBefore w:val="0"/>
        <w:widowControl/>
        <w:kinsoku/>
        <w:wordWrap/>
        <w:overflowPunct/>
        <w:topLinePunct w:val="0"/>
        <w:autoSpaceDE/>
        <w:autoSpaceDN/>
        <w:bidi w:val="0"/>
        <w:adjustRightInd/>
        <w:spacing w:line="360" w:lineRule="auto"/>
        <w:jc w:val="left"/>
        <w:textAlignment w:val="auto"/>
        <w:rPr>
          <w:rFonts w:hint="eastAsia" w:ascii="宋体" w:hAnsi="宋体" w:cs="宋体"/>
          <w:color w:val="auto"/>
          <w:szCs w:val="20"/>
          <w:highlight w:val="none"/>
        </w:rPr>
      </w:pPr>
      <w:r>
        <w:rPr>
          <w:rFonts w:hint="eastAsia" w:ascii="宋体" w:hAnsi="宋体" w:cs="宋体"/>
          <w:color w:val="auto"/>
          <w:szCs w:val="20"/>
          <w:highlight w:val="none"/>
        </w:rPr>
        <w:t>2）具有良好的商业信誉和健全的财务会计制度；</w:t>
      </w:r>
    </w:p>
    <w:p>
      <w:pPr>
        <w:keepNext w:val="0"/>
        <w:keepLines w:val="0"/>
        <w:pageBreakBefore w:val="0"/>
        <w:widowControl/>
        <w:kinsoku/>
        <w:wordWrap/>
        <w:overflowPunct/>
        <w:topLinePunct w:val="0"/>
        <w:autoSpaceDE/>
        <w:autoSpaceDN/>
        <w:bidi w:val="0"/>
        <w:adjustRightInd/>
        <w:spacing w:line="360" w:lineRule="auto"/>
        <w:jc w:val="left"/>
        <w:textAlignment w:val="auto"/>
        <w:rPr>
          <w:rFonts w:hint="eastAsia" w:ascii="宋体" w:hAnsi="宋体" w:cs="宋体"/>
          <w:color w:val="auto"/>
          <w:szCs w:val="20"/>
          <w:highlight w:val="none"/>
        </w:rPr>
      </w:pPr>
      <w:r>
        <w:rPr>
          <w:rFonts w:hint="eastAsia" w:ascii="宋体" w:hAnsi="宋体" w:cs="宋体"/>
          <w:color w:val="auto"/>
          <w:szCs w:val="20"/>
          <w:highlight w:val="none"/>
        </w:rPr>
        <w:t>3）具有履行合同所必需的设备和专业技术能力；</w:t>
      </w:r>
    </w:p>
    <w:p>
      <w:pPr>
        <w:keepNext w:val="0"/>
        <w:keepLines w:val="0"/>
        <w:pageBreakBefore w:val="0"/>
        <w:widowControl/>
        <w:kinsoku/>
        <w:wordWrap/>
        <w:overflowPunct/>
        <w:topLinePunct w:val="0"/>
        <w:autoSpaceDE/>
        <w:autoSpaceDN/>
        <w:bidi w:val="0"/>
        <w:adjustRightInd/>
        <w:spacing w:line="360" w:lineRule="auto"/>
        <w:jc w:val="left"/>
        <w:textAlignment w:val="auto"/>
        <w:rPr>
          <w:rFonts w:hint="eastAsia" w:ascii="宋体" w:hAnsi="宋体" w:cs="宋体"/>
          <w:color w:val="auto"/>
          <w:szCs w:val="20"/>
          <w:highlight w:val="none"/>
        </w:rPr>
      </w:pPr>
      <w:r>
        <w:rPr>
          <w:rFonts w:hint="eastAsia" w:ascii="宋体" w:hAnsi="宋体" w:cs="宋体"/>
          <w:color w:val="auto"/>
          <w:szCs w:val="20"/>
          <w:highlight w:val="none"/>
        </w:rPr>
        <w:t>4）有依法缴纳税收和社会保障资金的良好记录；</w:t>
      </w:r>
    </w:p>
    <w:p>
      <w:pPr>
        <w:keepNext w:val="0"/>
        <w:keepLines w:val="0"/>
        <w:pageBreakBefore w:val="0"/>
        <w:widowControl/>
        <w:kinsoku/>
        <w:wordWrap/>
        <w:overflowPunct/>
        <w:topLinePunct w:val="0"/>
        <w:autoSpaceDE/>
        <w:autoSpaceDN/>
        <w:bidi w:val="0"/>
        <w:adjustRightInd/>
        <w:spacing w:line="360" w:lineRule="auto"/>
        <w:jc w:val="left"/>
        <w:textAlignment w:val="auto"/>
        <w:rPr>
          <w:rFonts w:hint="eastAsia" w:ascii="宋体" w:hAnsi="宋体" w:cs="宋体"/>
          <w:color w:val="auto"/>
          <w:szCs w:val="20"/>
          <w:highlight w:val="none"/>
        </w:rPr>
      </w:pPr>
      <w:r>
        <w:rPr>
          <w:rFonts w:hint="eastAsia" w:ascii="宋体" w:hAnsi="宋体" w:cs="宋体"/>
          <w:color w:val="auto"/>
          <w:szCs w:val="20"/>
          <w:highlight w:val="none"/>
        </w:rPr>
        <w:t>5）参加政府采购活动前三年内，在经营活动中没有重大违法记录；</w:t>
      </w:r>
    </w:p>
    <w:p>
      <w:pPr>
        <w:keepNext w:val="0"/>
        <w:keepLines w:val="0"/>
        <w:pageBreakBefore w:val="0"/>
        <w:widowControl/>
        <w:kinsoku/>
        <w:wordWrap/>
        <w:overflowPunct/>
        <w:topLinePunct w:val="0"/>
        <w:autoSpaceDE/>
        <w:autoSpaceDN/>
        <w:bidi w:val="0"/>
        <w:adjustRightInd/>
        <w:spacing w:line="360" w:lineRule="auto"/>
        <w:jc w:val="left"/>
        <w:textAlignment w:val="auto"/>
        <w:rPr>
          <w:rFonts w:hint="eastAsia" w:ascii="宋体" w:hAnsi="宋体" w:cs="宋体"/>
          <w:color w:val="auto"/>
          <w:szCs w:val="20"/>
          <w:highlight w:val="none"/>
        </w:rPr>
      </w:pPr>
      <w:r>
        <w:rPr>
          <w:rFonts w:hint="eastAsia" w:ascii="宋体" w:hAnsi="宋体" w:cs="宋体"/>
          <w:color w:val="auto"/>
          <w:szCs w:val="20"/>
          <w:highlight w:val="none"/>
        </w:rPr>
        <w:t>6）法律、行政法规规定的其他条件。</w:t>
      </w:r>
    </w:p>
    <w:p>
      <w:pPr>
        <w:keepNext w:val="0"/>
        <w:keepLines w:val="0"/>
        <w:pageBreakBefore w:val="0"/>
        <w:widowControl/>
        <w:kinsoku/>
        <w:wordWrap/>
        <w:overflowPunct/>
        <w:topLinePunct w:val="0"/>
        <w:autoSpaceDE/>
        <w:autoSpaceDN/>
        <w:bidi w:val="0"/>
        <w:adjustRightInd/>
        <w:spacing w:line="360" w:lineRule="auto"/>
        <w:jc w:val="left"/>
        <w:textAlignment w:val="auto"/>
        <w:rPr>
          <w:rFonts w:hint="eastAsia" w:ascii="宋体" w:hAnsi="宋体" w:cs="宋体"/>
          <w:color w:val="auto"/>
          <w:szCs w:val="20"/>
          <w:highlight w:val="none"/>
        </w:rPr>
      </w:pPr>
      <w:r>
        <w:rPr>
          <w:rFonts w:hint="eastAsia" w:ascii="宋体" w:hAnsi="宋体" w:cs="宋体"/>
          <w:color w:val="auto"/>
          <w:szCs w:val="20"/>
          <w:highlight w:val="none"/>
        </w:rPr>
        <w:t>2、供应商必须是具有独立承担民事责任能力的中华人民共和国境内注册的法人或其他组织；</w:t>
      </w:r>
    </w:p>
    <w:p>
      <w:pPr>
        <w:keepNext w:val="0"/>
        <w:keepLines w:val="0"/>
        <w:pageBreakBefore w:val="0"/>
        <w:widowControl/>
        <w:kinsoku/>
        <w:wordWrap/>
        <w:overflowPunct/>
        <w:topLinePunct w:val="0"/>
        <w:autoSpaceDE/>
        <w:autoSpaceDN/>
        <w:bidi w:val="0"/>
        <w:adjustRightInd/>
        <w:spacing w:line="360" w:lineRule="auto"/>
        <w:jc w:val="left"/>
        <w:textAlignment w:val="auto"/>
        <w:rPr>
          <w:rFonts w:hint="eastAsia" w:ascii="宋体" w:hAnsi="宋体" w:cs="宋体"/>
          <w:color w:val="auto"/>
          <w:szCs w:val="20"/>
          <w:highlight w:val="none"/>
        </w:rPr>
      </w:pPr>
      <w:r>
        <w:rPr>
          <w:rFonts w:hint="eastAsia" w:ascii="宋体" w:hAnsi="宋体" w:cs="宋体"/>
          <w:color w:val="auto"/>
          <w:szCs w:val="20"/>
          <w:highlight w:val="none"/>
          <w:lang w:val="en-US" w:eastAsia="zh-CN"/>
        </w:rPr>
        <w:t>3</w:t>
      </w:r>
      <w:r>
        <w:rPr>
          <w:rFonts w:hint="eastAsia" w:ascii="宋体" w:hAnsi="宋体" w:cs="宋体"/>
          <w:color w:val="auto"/>
          <w:szCs w:val="20"/>
          <w:highlight w:val="none"/>
        </w:rPr>
        <w:t>、报价人提供《公平竞争承诺书》；</w:t>
      </w:r>
    </w:p>
    <w:p>
      <w:pPr>
        <w:keepNext w:val="0"/>
        <w:keepLines w:val="0"/>
        <w:pageBreakBefore w:val="0"/>
        <w:widowControl/>
        <w:kinsoku/>
        <w:wordWrap/>
        <w:overflowPunct/>
        <w:topLinePunct w:val="0"/>
        <w:autoSpaceDE/>
        <w:autoSpaceDN/>
        <w:bidi w:val="0"/>
        <w:adjustRightInd/>
        <w:spacing w:line="360" w:lineRule="auto"/>
        <w:jc w:val="left"/>
        <w:textAlignment w:val="auto"/>
        <w:rPr>
          <w:color w:val="auto"/>
          <w:highlight w:val="none"/>
        </w:rPr>
      </w:pPr>
      <w:r>
        <w:rPr>
          <w:rFonts w:hint="eastAsia" w:ascii="宋体" w:hAnsi="宋体"/>
          <w:color w:val="auto"/>
          <w:szCs w:val="20"/>
          <w:highlight w:val="none"/>
          <w:lang w:val="en-US" w:eastAsia="zh-CN"/>
        </w:rPr>
        <w:t>4</w:t>
      </w:r>
      <w:r>
        <w:rPr>
          <w:rFonts w:hint="eastAsia" w:ascii="宋体" w:hAnsi="宋体"/>
          <w:color w:val="auto"/>
          <w:szCs w:val="20"/>
          <w:highlight w:val="none"/>
        </w:rPr>
        <w:t>、</w:t>
      </w:r>
      <w:bookmarkStart w:id="26" w:name="_Toc14450807"/>
      <w:bookmarkStart w:id="27" w:name="_Toc28489434"/>
      <w:r>
        <w:rPr>
          <w:rFonts w:hint="eastAsia" w:ascii="宋体" w:hAnsi="宋体" w:cs="宋体"/>
          <w:color w:val="auto"/>
          <w:szCs w:val="20"/>
          <w:highlight w:val="none"/>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供应商为非独立法人（即由合法法人依法建立的分公司），除了对供应商进行信息查询外，同时对总公司的信息查询记录和证据截图或下载存档）；</w:t>
      </w:r>
    </w:p>
    <w:p>
      <w:pPr>
        <w:keepNext w:val="0"/>
        <w:keepLines w:val="0"/>
        <w:pageBreakBefore w:val="0"/>
        <w:kinsoku/>
        <w:wordWrap/>
        <w:overflowPunct/>
        <w:topLinePunct w:val="0"/>
        <w:autoSpaceDE/>
        <w:autoSpaceDN/>
        <w:bidi w:val="0"/>
        <w:adjustRightInd/>
        <w:spacing w:line="360" w:lineRule="auto"/>
        <w:textAlignment w:val="auto"/>
        <w:rPr>
          <w:rFonts w:ascii="宋体" w:hAnsi="宋体"/>
          <w:color w:val="auto"/>
          <w:highlight w:val="none"/>
        </w:rPr>
      </w:pPr>
      <w:r>
        <w:rPr>
          <w:rFonts w:hint="eastAsia" w:ascii="宋体" w:hAnsi="宋体"/>
          <w:color w:val="auto"/>
          <w:highlight w:val="none"/>
          <w:lang w:val="en-US" w:eastAsia="zh-CN"/>
        </w:rPr>
        <w:t>5</w:t>
      </w:r>
      <w:r>
        <w:rPr>
          <w:rFonts w:hint="eastAsia" w:ascii="宋体" w:hAnsi="宋体"/>
          <w:color w:val="auto"/>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p>
    <w:p>
      <w:pPr>
        <w:keepNext w:val="0"/>
        <w:keepLines w:val="0"/>
        <w:pageBreakBefore w:val="0"/>
        <w:kinsoku/>
        <w:wordWrap/>
        <w:overflowPunct/>
        <w:topLinePunct w:val="0"/>
        <w:autoSpaceDE/>
        <w:autoSpaceDN/>
        <w:bidi w:val="0"/>
        <w:adjustRightInd/>
        <w:spacing w:line="360" w:lineRule="auto"/>
        <w:textAlignment w:val="auto"/>
        <w:rPr>
          <w:rFonts w:ascii="宋体" w:hAnsi="宋体"/>
          <w:color w:val="auto"/>
          <w:highlight w:val="none"/>
        </w:rPr>
      </w:pPr>
      <w:r>
        <w:rPr>
          <w:rFonts w:hint="eastAsia" w:ascii="宋体" w:hAnsi="宋体"/>
          <w:color w:val="auto"/>
          <w:highlight w:val="none"/>
          <w:lang w:val="en-US" w:eastAsia="zh-CN"/>
        </w:rPr>
        <w:t>6</w:t>
      </w:r>
      <w:r>
        <w:rPr>
          <w:rFonts w:hint="eastAsia" w:ascii="宋体" w:hAnsi="宋体"/>
          <w:color w:val="auto"/>
          <w:highlight w:val="none"/>
        </w:rPr>
        <w:t>、本项目不接受联合体投标。</w:t>
      </w:r>
    </w:p>
    <w:p>
      <w:pPr>
        <w:numPr>
          <w:ilvl w:val="0"/>
          <w:numId w:val="0"/>
        </w:numPr>
        <w:tabs>
          <w:tab w:val="left" w:pos="840"/>
          <w:tab w:val="left" w:pos="945"/>
        </w:tabs>
        <w:snapToGrid w:val="0"/>
        <w:spacing w:line="360" w:lineRule="auto"/>
        <w:ind w:left="525" w:leftChars="0"/>
        <w:rPr>
          <w:rFonts w:hint="eastAsia" w:ascii="宋体" w:hAnsi="宋体" w:eastAsia="宋体" w:cs="宋体"/>
          <w:b/>
          <w:bCs w:val="0"/>
          <w:color w:val="auto"/>
          <w:szCs w:val="20"/>
          <w:highlight w:val="none"/>
          <w:lang w:eastAsia="zh-CN"/>
        </w:rPr>
      </w:pPr>
      <w:r>
        <w:rPr>
          <w:rFonts w:hint="eastAsia" w:ascii="宋体" w:hAnsi="宋体" w:eastAsia="宋体" w:cs="宋体"/>
          <w:b/>
          <w:bCs w:val="0"/>
          <w:color w:val="auto"/>
          <w:szCs w:val="20"/>
          <w:highlight w:val="none"/>
          <w:lang w:eastAsia="zh-CN"/>
        </w:rPr>
        <w:t>登记须知：</w:t>
      </w:r>
    </w:p>
    <w:p>
      <w:pPr>
        <w:numPr>
          <w:ilvl w:val="0"/>
          <w:numId w:val="0"/>
        </w:numPr>
        <w:tabs>
          <w:tab w:val="left" w:pos="840"/>
          <w:tab w:val="left" w:pos="945"/>
        </w:tabs>
        <w:snapToGrid w:val="0"/>
        <w:spacing w:line="360" w:lineRule="auto"/>
        <w:ind w:left="525" w:leftChars="0"/>
        <w:rPr>
          <w:rFonts w:hint="eastAsia" w:ascii="宋体" w:hAnsi="宋体" w:eastAsia="宋体" w:cs="宋体"/>
          <w:bCs/>
          <w:color w:val="auto"/>
          <w:szCs w:val="20"/>
          <w:highlight w:val="none"/>
        </w:rPr>
      </w:pPr>
      <w:r>
        <w:rPr>
          <w:rFonts w:hint="eastAsia" w:ascii="宋体" w:hAnsi="宋体" w:eastAsia="宋体" w:cs="宋体"/>
          <w:bCs/>
          <w:color w:val="auto"/>
          <w:szCs w:val="20"/>
          <w:highlight w:val="none"/>
          <w:lang w:eastAsia="zh-CN"/>
        </w:rPr>
        <w:t>（一）</w:t>
      </w:r>
      <w:r>
        <w:rPr>
          <w:rFonts w:hint="eastAsia" w:ascii="宋体" w:hAnsi="宋体" w:eastAsia="宋体" w:cs="宋体"/>
          <w:bCs/>
          <w:color w:val="auto"/>
          <w:szCs w:val="20"/>
          <w:highlight w:val="none"/>
        </w:rPr>
        <w:t>只接受</w:t>
      </w:r>
      <w:r>
        <w:rPr>
          <w:rFonts w:hint="eastAsia" w:ascii="宋体" w:hAnsi="宋体" w:eastAsia="宋体" w:cs="宋体"/>
          <w:bCs/>
          <w:color w:val="auto"/>
          <w:szCs w:val="20"/>
          <w:highlight w:val="none"/>
          <w:lang w:eastAsia="zh-CN"/>
        </w:rPr>
        <w:t>登记的供应商</w:t>
      </w:r>
      <w:r>
        <w:rPr>
          <w:rFonts w:hint="eastAsia" w:ascii="宋体" w:hAnsi="宋体" w:eastAsia="宋体" w:cs="宋体"/>
          <w:bCs/>
          <w:color w:val="auto"/>
          <w:szCs w:val="20"/>
          <w:highlight w:val="none"/>
        </w:rPr>
        <w:t>投标。</w:t>
      </w:r>
    </w:p>
    <w:p>
      <w:pPr>
        <w:numPr>
          <w:ilvl w:val="0"/>
          <w:numId w:val="0"/>
        </w:numPr>
        <w:tabs>
          <w:tab w:val="left" w:pos="840"/>
          <w:tab w:val="left" w:pos="945"/>
        </w:tabs>
        <w:snapToGrid w:val="0"/>
        <w:spacing w:line="360" w:lineRule="auto"/>
        <w:ind w:left="525" w:leftChars="0"/>
        <w:rPr>
          <w:rFonts w:hint="eastAsia" w:ascii="宋体" w:hAnsi="宋体" w:eastAsia="宋体" w:cs="宋体"/>
          <w:bCs/>
          <w:color w:val="auto"/>
          <w:szCs w:val="20"/>
          <w:highlight w:val="none"/>
          <w:lang w:eastAsia="zh-CN"/>
        </w:rPr>
      </w:pPr>
      <w:r>
        <w:rPr>
          <w:rFonts w:hint="eastAsia" w:ascii="宋体" w:hAnsi="宋体" w:eastAsia="宋体" w:cs="宋体"/>
          <w:bCs/>
          <w:color w:val="auto"/>
          <w:szCs w:val="20"/>
          <w:highlight w:val="none"/>
          <w:lang w:eastAsia="zh-CN"/>
        </w:rPr>
        <w:t>（二）</w:t>
      </w:r>
      <w:r>
        <w:rPr>
          <w:rFonts w:hint="eastAsia" w:ascii="宋体" w:hAnsi="宋体" w:eastAsia="宋体" w:cs="宋体"/>
          <w:bCs/>
          <w:color w:val="auto"/>
          <w:szCs w:val="20"/>
          <w:highlight w:val="none"/>
        </w:rPr>
        <w:t>已成功</w:t>
      </w:r>
      <w:r>
        <w:rPr>
          <w:rFonts w:hint="eastAsia" w:ascii="宋体" w:hAnsi="宋体" w:eastAsia="宋体" w:cs="宋体"/>
          <w:bCs/>
          <w:color w:val="auto"/>
          <w:szCs w:val="20"/>
          <w:highlight w:val="none"/>
          <w:lang w:eastAsia="zh-CN"/>
        </w:rPr>
        <w:t>登记</w:t>
      </w:r>
      <w:r>
        <w:rPr>
          <w:rFonts w:hint="eastAsia" w:ascii="宋体" w:hAnsi="宋体" w:eastAsia="宋体" w:cs="宋体"/>
          <w:bCs/>
          <w:color w:val="auto"/>
          <w:szCs w:val="20"/>
          <w:highlight w:val="none"/>
        </w:rPr>
        <w:t>的供应商参加投标的，不代表通过资格性、符合性审查。</w:t>
      </w:r>
      <w:r>
        <w:rPr>
          <w:rFonts w:hint="eastAsia" w:ascii="宋体" w:hAnsi="宋体" w:eastAsia="宋体" w:cs="宋体"/>
          <w:bCs/>
          <w:color w:val="auto"/>
          <w:szCs w:val="20"/>
          <w:highlight w:val="none"/>
          <w:lang w:eastAsia="zh-CN"/>
        </w:rPr>
        <w:t>投标资格最终根据投标人投标文件中的资格审查资料作出的结论为准。</w:t>
      </w:r>
    </w:p>
    <w:p>
      <w:pPr>
        <w:numPr>
          <w:ilvl w:val="0"/>
          <w:numId w:val="0"/>
        </w:numPr>
        <w:tabs>
          <w:tab w:val="left" w:pos="840"/>
          <w:tab w:val="left" w:pos="945"/>
        </w:tabs>
        <w:snapToGrid w:val="0"/>
        <w:spacing w:line="360" w:lineRule="auto"/>
        <w:ind w:left="525" w:leftChars="0"/>
        <w:rPr>
          <w:rFonts w:hint="eastAsia" w:ascii="宋体" w:hAnsi="宋体" w:eastAsia="宋体" w:cs="宋体"/>
          <w:bCs/>
          <w:color w:val="auto"/>
          <w:szCs w:val="20"/>
          <w:highlight w:val="none"/>
        </w:rPr>
      </w:pPr>
      <w:r>
        <w:rPr>
          <w:rFonts w:hint="eastAsia" w:ascii="宋体" w:hAnsi="宋体" w:eastAsia="宋体" w:cs="宋体"/>
          <w:bCs/>
          <w:color w:val="auto"/>
          <w:szCs w:val="20"/>
          <w:highlight w:val="none"/>
          <w:lang w:eastAsia="zh-CN"/>
        </w:rPr>
        <w:t>（三）</w:t>
      </w:r>
      <w:r>
        <w:rPr>
          <w:rFonts w:hint="eastAsia" w:ascii="宋体" w:hAnsi="宋体" w:eastAsia="宋体" w:cs="宋体"/>
          <w:bCs/>
          <w:color w:val="auto"/>
          <w:szCs w:val="20"/>
          <w:highlight w:val="none"/>
        </w:rPr>
        <w:t>若已</w:t>
      </w:r>
      <w:r>
        <w:rPr>
          <w:rFonts w:hint="eastAsia" w:ascii="宋体" w:hAnsi="宋体" w:eastAsia="宋体" w:cs="宋体"/>
          <w:bCs/>
          <w:color w:val="auto"/>
          <w:szCs w:val="20"/>
          <w:highlight w:val="none"/>
          <w:lang w:eastAsia="zh-CN"/>
        </w:rPr>
        <w:t>登记</w:t>
      </w:r>
      <w:r>
        <w:rPr>
          <w:rFonts w:hint="eastAsia" w:ascii="宋体" w:hAnsi="宋体" w:eastAsia="宋体" w:cs="宋体"/>
          <w:bCs/>
          <w:color w:val="auto"/>
          <w:szCs w:val="20"/>
          <w:highlight w:val="none"/>
        </w:rPr>
        <w:t>而决定不参加本项目投标的供应商，应在</w:t>
      </w:r>
      <w:r>
        <w:rPr>
          <w:rFonts w:hint="eastAsia" w:ascii="宋体" w:hAnsi="宋体" w:cs="宋体"/>
          <w:bCs/>
          <w:color w:val="auto"/>
          <w:szCs w:val="20"/>
          <w:highlight w:val="none"/>
          <w:lang w:val="en-US" w:eastAsia="zh-CN"/>
        </w:rPr>
        <w:t>I</w:t>
      </w:r>
      <w:r>
        <w:rPr>
          <w:rFonts w:hint="eastAsia" w:ascii="宋体" w:hAnsi="宋体" w:eastAsia="宋体" w:cs="宋体"/>
          <w:bCs/>
          <w:color w:val="auto"/>
          <w:szCs w:val="20"/>
          <w:highlight w:val="none"/>
        </w:rPr>
        <w:t>开标前三日以书面形式（书面材料、信函或传真加盖供应商公章）通知采购代理机构。</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eastAsia="宋体" w:cs="宋体"/>
          <w:bCs/>
          <w:color w:val="auto"/>
          <w:szCs w:val="20"/>
          <w:highlight w:val="none"/>
          <w:lang w:eastAsia="zh-CN"/>
        </w:rPr>
        <w:t>（四）</w:t>
      </w:r>
      <w:r>
        <w:rPr>
          <w:rFonts w:hint="eastAsia" w:ascii="宋体" w:hAnsi="宋体" w:eastAsia="宋体" w:cs="宋体"/>
          <w:bCs/>
          <w:color w:val="auto"/>
          <w:szCs w:val="20"/>
          <w:highlight w:val="none"/>
        </w:rPr>
        <w:t>采购文件的公示，根据《广东省实施〈中华人民共和国政府采购法〉办法》第三十五条的规定，供应商认为政府采购文件的内容损害其权益的，可以在公示期间或者自期满之日起七个工作日内以书面形式向采购人或者代理机构提出质疑。质疑书应当署名。质疑供应商为自然人的，应当由本人签字；质疑供应商为法人或者其他组织的，应当由法定代表人或者主要负责人签字盖章并加盖公章。</w:t>
      </w:r>
    </w:p>
    <w:p>
      <w:pPr>
        <w:spacing w:line="480" w:lineRule="auto"/>
        <w:ind w:firstLine="315" w:firstLineChars="150"/>
        <w:rPr>
          <w:rFonts w:ascii="宋体" w:hAnsi="宋体" w:cs="宋体"/>
          <w:bCs/>
          <w:color w:val="auto"/>
          <w:szCs w:val="20"/>
          <w:highlight w:val="none"/>
        </w:rPr>
      </w:pPr>
    </w:p>
    <w:p>
      <w:pPr>
        <w:pStyle w:val="37"/>
        <w:numPr>
          <w:ilvl w:val="0"/>
          <w:numId w:val="2"/>
        </w:numPr>
        <w:snapToGrid w:val="0"/>
        <w:spacing w:after="0" w:line="480" w:lineRule="auto"/>
        <w:ind w:left="0" w:leftChars="0" w:firstLine="0"/>
        <w:rPr>
          <w:rFonts w:ascii="宋体" w:hAnsi="宋体"/>
          <w:color w:val="auto"/>
          <w:highlight w:val="none"/>
        </w:rPr>
      </w:pPr>
      <w:r>
        <w:rPr>
          <w:rFonts w:hint="eastAsia" w:ascii="宋体" w:hAnsi="宋体"/>
          <w:color w:val="auto"/>
          <w:highlight w:val="none"/>
        </w:rPr>
        <w:t>符合资格的供应商应当在</w:t>
      </w:r>
      <w:r>
        <w:rPr>
          <w:rFonts w:hint="eastAsia" w:ascii="宋体" w:hAnsi="宋体"/>
          <w:color w:val="auto"/>
          <w:highlight w:val="none"/>
          <w:lang w:eastAsia="zh-CN"/>
        </w:rPr>
        <w:t>2020</w:t>
      </w:r>
      <w:r>
        <w:rPr>
          <w:rFonts w:hint="eastAsia" w:ascii="宋体" w:hAnsi="宋体"/>
          <w:color w:val="auto"/>
          <w:highlight w:val="none"/>
        </w:rPr>
        <w:t>年</w:t>
      </w:r>
      <w:r>
        <w:rPr>
          <w:rFonts w:hint="eastAsia" w:ascii="宋体" w:hAnsi="宋体"/>
          <w:color w:val="auto"/>
          <w:highlight w:val="none"/>
          <w:lang w:val="en-US" w:eastAsia="zh-CN"/>
        </w:rPr>
        <w:t>01</w:t>
      </w:r>
      <w:r>
        <w:rPr>
          <w:rFonts w:hint="eastAsia" w:ascii="宋体" w:hAnsi="宋体"/>
          <w:color w:val="auto"/>
          <w:highlight w:val="none"/>
        </w:rPr>
        <w:t>月</w:t>
      </w:r>
      <w:r>
        <w:rPr>
          <w:rFonts w:hint="eastAsia" w:ascii="宋体" w:hAnsi="宋体"/>
          <w:color w:val="auto"/>
          <w:highlight w:val="none"/>
          <w:lang w:val="en-US" w:eastAsia="zh-CN"/>
        </w:rPr>
        <w:t>09</w:t>
      </w:r>
      <w:r>
        <w:rPr>
          <w:rFonts w:hint="eastAsia" w:ascii="宋体" w:hAnsi="宋体"/>
          <w:color w:val="auto"/>
          <w:highlight w:val="none"/>
        </w:rPr>
        <w:t>日至</w:t>
      </w:r>
      <w:r>
        <w:rPr>
          <w:rFonts w:hint="eastAsia" w:ascii="宋体" w:hAnsi="宋体"/>
          <w:color w:val="auto"/>
          <w:highlight w:val="none"/>
          <w:lang w:eastAsia="zh-CN"/>
        </w:rPr>
        <w:t>2020</w:t>
      </w:r>
      <w:r>
        <w:rPr>
          <w:rFonts w:hint="eastAsia" w:ascii="宋体" w:hAnsi="宋体"/>
          <w:color w:val="auto"/>
          <w:highlight w:val="none"/>
        </w:rPr>
        <w:t>年</w:t>
      </w:r>
      <w:r>
        <w:rPr>
          <w:rFonts w:hint="eastAsia" w:ascii="宋体" w:hAnsi="宋体"/>
          <w:color w:val="auto"/>
          <w:highlight w:val="none"/>
          <w:lang w:val="en-US" w:eastAsia="zh-CN"/>
        </w:rPr>
        <w:t>01</w:t>
      </w:r>
      <w:r>
        <w:rPr>
          <w:rFonts w:hint="eastAsia" w:ascii="宋体" w:hAnsi="宋体"/>
          <w:color w:val="auto"/>
          <w:highlight w:val="none"/>
        </w:rPr>
        <w:t>月</w:t>
      </w:r>
      <w:r>
        <w:rPr>
          <w:rFonts w:hint="eastAsia" w:ascii="宋体" w:hAnsi="宋体"/>
          <w:color w:val="auto"/>
          <w:highlight w:val="none"/>
          <w:lang w:val="en-US" w:eastAsia="zh-CN"/>
        </w:rPr>
        <w:t>15</w:t>
      </w:r>
      <w:r>
        <w:rPr>
          <w:rFonts w:hint="eastAsia" w:ascii="宋体" w:hAnsi="宋体"/>
          <w:color w:val="auto"/>
          <w:highlight w:val="none"/>
        </w:rPr>
        <w:t>日期间（办公时间内，法定节假日除外）到广州市信怡招标代理有限公司（详细地址：广州市海珠区红卫新村西路29号UP智谷D栋503房）购买竞争性磋商文件，竞争性磋商文件每套售价500元（人民币），售后不退。</w:t>
      </w:r>
    </w:p>
    <w:p>
      <w:pPr>
        <w:pStyle w:val="37"/>
        <w:numPr>
          <w:ilvl w:val="0"/>
          <w:numId w:val="2"/>
        </w:numPr>
        <w:snapToGrid w:val="0"/>
        <w:spacing w:after="0" w:line="480" w:lineRule="auto"/>
        <w:ind w:leftChars="0"/>
        <w:rPr>
          <w:rFonts w:ascii="宋体" w:hAnsi="宋体"/>
          <w:color w:val="auto"/>
          <w:highlight w:val="none"/>
        </w:rPr>
      </w:pPr>
      <w:r>
        <w:rPr>
          <w:rFonts w:hint="eastAsia" w:ascii="宋体" w:hAnsi="宋体"/>
          <w:color w:val="auto"/>
          <w:highlight w:val="none"/>
        </w:rPr>
        <w:t>磋商响应文件递交截止时间：</w:t>
      </w:r>
      <w:r>
        <w:rPr>
          <w:rFonts w:hint="eastAsia" w:ascii="宋体" w:hAnsi="宋体"/>
          <w:color w:val="auto"/>
          <w:highlight w:val="none"/>
          <w:lang w:eastAsia="zh-CN"/>
        </w:rPr>
        <w:t>2020</w:t>
      </w:r>
      <w:r>
        <w:rPr>
          <w:rFonts w:hint="eastAsia" w:ascii="宋体" w:hAnsi="宋体"/>
          <w:color w:val="auto"/>
          <w:highlight w:val="none"/>
        </w:rPr>
        <w:t>年</w:t>
      </w:r>
      <w:r>
        <w:rPr>
          <w:rFonts w:hint="eastAsia" w:ascii="宋体" w:hAnsi="宋体"/>
          <w:color w:val="auto"/>
          <w:highlight w:val="none"/>
          <w:lang w:val="en-US" w:eastAsia="zh-CN"/>
        </w:rPr>
        <w:t>01</w:t>
      </w:r>
      <w:r>
        <w:rPr>
          <w:rFonts w:hint="eastAsia" w:ascii="宋体" w:hAnsi="宋体"/>
          <w:color w:val="auto"/>
          <w:highlight w:val="none"/>
        </w:rPr>
        <w:t>月</w:t>
      </w:r>
      <w:r>
        <w:rPr>
          <w:rFonts w:hint="eastAsia" w:ascii="宋体" w:hAnsi="宋体"/>
          <w:color w:val="auto"/>
          <w:highlight w:val="none"/>
          <w:lang w:val="en-US" w:eastAsia="zh-CN"/>
        </w:rPr>
        <w:t>19</w:t>
      </w:r>
      <w:r>
        <w:rPr>
          <w:rFonts w:hint="eastAsia" w:ascii="宋体" w:hAnsi="宋体"/>
          <w:color w:val="auto"/>
          <w:highlight w:val="none"/>
        </w:rPr>
        <w:t>日</w:t>
      </w:r>
      <w:r>
        <w:rPr>
          <w:rFonts w:hint="eastAsia" w:ascii="宋体" w:hAnsi="宋体"/>
          <w:color w:val="auto"/>
          <w:highlight w:val="none"/>
          <w:lang w:val="en-US" w:eastAsia="zh-CN"/>
        </w:rPr>
        <w:t>14</w:t>
      </w:r>
      <w:r>
        <w:rPr>
          <w:rFonts w:hint="eastAsia" w:ascii="宋体" w:hAnsi="宋体"/>
          <w:color w:val="auto"/>
          <w:highlight w:val="none"/>
        </w:rPr>
        <w:t>时</w:t>
      </w:r>
      <w:r>
        <w:rPr>
          <w:rFonts w:hint="eastAsia" w:ascii="宋体" w:hAnsi="宋体"/>
          <w:color w:val="auto"/>
          <w:highlight w:val="none"/>
          <w:lang w:val="en-US" w:eastAsia="zh-CN"/>
        </w:rPr>
        <w:t>30</w:t>
      </w:r>
      <w:r>
        <w:rPr>
          <w:rFonts w:hint="eastAsia" w:ascii="宋体" w:hAnsi="宋体"/>
          <w:color w:val="auto"/>
          <w:highlight w:val="none"/>
        </w:rPr>
        <w:t>分 。</w:t>
      </w:r>
    </w:p>
    <w:p>
      <w:pPr>
        <w:pStyle w:val="37"/>
        <w:numPr>
          <w:ilvl w:val="0"/>
          <w:numId w:val="2"/>
        </w:numPr>
        <w:snapToGrid w:val="0"/>
        <w:spacing w:after="0" w:line="480" w:lineRule="auto"/>
        <w:ind w:leftChars="0"/>
        <w:rPr>
          <w:rFonts w:ascii="宋体" w:hAnsi="宋体"/>
          <w:color w:val="auto"/>
          <w:highlight w:val="none"/>
        </w:rPr>
      </w:pPr>
      <w:r>
        <w:rPr>
          <w:rFonts w:hint="eastAsia" w:ascii="宋体" w:hAnsi="宋体"/>
          <w:color w:val="auto"/>
          <w:highlight w:val="none"/>
        </w:rPr>
        <w:t>磋商响应文件递交地点：广州市海珠区红卫新村西路29号UP智谷D栋503房。</w:t>
      </w:r>
    </w:p>
    <w:p>
      <w:pPr>
        <w:pStyle w:val="37"/>
        <w:numPr>
          <w:ilvl w:val="0"/>
          <w:numId w:val="2"/>
        </w:numPr>
        <w:snapToGrid w:val="0"/>
        <w:spacing w:after="0" w:line="480" w:lineRule="auto"/>
        <w:ind w:leftChars="0"/>
        <w:rPr>
          <w:rFonts w:ascii="宋体" w:hAnsi="宋体"/>
          <w:color w:val="auto"/>
          <w:highlight w:val="none"/>
        </w:rPr>
      </w:pPr>
      <w:r>
        <w:rPr>
          <w:rFonts w:hint="eastAsia" w:ascii="宋体" w:hAnsi="宋体"/>
          <w:color w:val="auto"/>
          <w:highlight w:val="none"/>
        </w:rPr>
        <w:t>磋商时间：</w:t>
      </w:r>
      <w:r>
        <w:rPr>
          <w:rFonts w:hint="eastAsia" w:ascii="宋体" w:hAnsi="宋体"/>
          <w:color w:val="auto"/>
          <w:highlight w:val="none"/>
          <w:lang w:eastAsia="zh-CN"/>
        </w:rPr>
        <w:t>2020</w:t>
      </w:r>
      <w:r>
        <w:rPr>
          <w:rFonts w:hint="eastAsia" w:ascii="宋体" w:hAnsi="宋体"/>
          <w:color w:val="auto"/>
          <w:highlight w:val="none"/>
        </w:rPr>
        <w:t>年</w:t>
      </w:r>
      <w:r>
        <w:rPr>
          <w:rFonts w:hint="eastAsia" w:ascii="宋体" w:hAnsi="宋体"/>
          <w:color w:val="auto"/>
          <w:highlight w:val="none"/>
          <w:lang w:val="en-US" w:eastAsia="zh-CN"/>
        </w:rPr>
        <w:t>01</w:t>
      </w:r>
      <w:r>
        <w:rPr>
          <w:rFonts w:hint="eastAsia" w:ascii="宋体" w:hAnsi="宋体"/>
          <w:color w:val="auto"/>
          <w:highlight w:val="none"/>
        </w:rPr>
        <w:t>月</w:t>
      </w:r>
      <w:r>
        <w:rPr>
          <w:rFonts w:hint="eastAsia" w:ascii="宋体" w:hAnsi="宋体"/>
          <w:color w:val="auto"/>
          <w:highlight w:val="none"/>
          <w:lang w:val="en-US" w:eastAsia="zh-CN"/>
        </w:rPr>
        <w:t>19</w:t>
      </w:r>
      <w:r>
        <w:rPr>
          <w:rFonts w:hint="eastAsia" w:ascii="宋体" w:hAnsi="宋体"/>
          <w:color w:val="auto"/>
          <w:highlight w:val="none"/>
        </w:rPr>
        <w:t>日</w:t>
      </w:r>
      <w:r>
        <w:rPr>
          <w:rFonts w:hint="eastAsia" w:ascii="宋体" w:hAnsi="宋体"/>
          <w:color w:val="auto"/>
          <w:highlight w:val="none"/>
          <w:lang w:val="en-US" w:eastAsia="zh-CN"/>
        </w:rPr>
        <w:t>14</w:t>
      </w:r>
      <w:r>
        <w:rPr>
          <w:rFonts w:hint="eastAsia" w:ascii="宋体" w:hAnsi="宋体"/>
          <w:color w:val="auto"/>
          <w:highlight w:val="none"/>
        </w:rPr>
        <w:t>时</w:t>
      </w:r>
      <w:r>
        <w:rPr>
          <w:rFonts w:hint="eastAsia" w:ascii="宋体" w:hAnsi="宋体"/>
          <w:color w:val="auto"/>
          <w:highlight w:val="none"/>
          <w:lang w:val="en-US" w:eastAsia="zh-CN"/>
        </w:rPr>
        <w:t>30</w:t>
      </w:r>
      <w:r>
        <w:rPr>
          <w:rFonts w:hint="eastAsia" w:ascii="宋体" w:hAnsi="宋体"/>
          <w:color w:val="auto"/>
          <w:highlight w:val="none"/>
        </w:rPr>
        <w:t>分 。</w:t>
      </w:r>
    </w:p>
    <w:p>
      <w:pPr>
        <w:pStyle w:val="37"/>
        <w:numPr>
          <w:ilvl w:val="0"/>
          <w:numId w:val="2"/>
        </w:numPr>
        <w:snapToGrid w:val="0"/>
        <w:spacing w:after="0" w:line="480" w:lineRule="auto"/>
        <w:ind w:leftChars="0"/>
        <w:rPr>
          <w:rFonts w:ascii="宋体" w:hAnsi="宋体"/>
          <w:color w:val="auto"/>
          <w:highlight w:val="none"/>
        </w:rPr>
      </w:pPr>
      <w:r>
        <w:rPr>
          <w:rFonts w:hint="eastAsia" w:ascii="宋体" w:hAnsi="宋体"/>
          <w:color w:val="auto"/>
          <w:highlight w:val="none"/>
        </w:rPr>
        <w:t>磋商地点：广州市海珠区红卫新村西路29号UP智谷D栋503房。</w:t>
      </w:r>
    </w:p>
    <w:p>
      <w:pPr>
        <w:pStyle w:val="37"/>
        <w:numPr>
          <w:ilvl w:val="0"/>
          <w:numId w:val="2"/>
        </w:numPr>
        <w:snapToGrid w:val="0"/>
        <w:spacing w:after="0" w:line="480" w:lineRule="auto"/>
        <w:ind w:leftChars="0"/>
        <w:rPr>
          <w:rFonts w:ascii="宋体" w:hAnsi="宋体"/>
          <w:color w:val="auto"/>
          <w:highlight w:val="none"/>
        </w:rPr>
      </w:pPr>
      <w:r>
        <w:rPr>
          <w:rFonts w:hint="eastAsia" w:ascii="宋体" w:hAnsi="宋体"/>
          <w:color w:val="auto"/>
          <w:highlight w:val="none"/>
        </w:rPr>
        <w:t>本公告期限（3个工作日）自</w:t>
      </w:r>
      <w:r>
        <w:rPr>
          <w:rFonts w:hint="eastAsia" w:ascii="宋体" w:hAnsi="宋体"/>
          <w:color w:val="auto"/>
          <w:highlight w:val="none"/>
          <w:lang w:eastAsia="zh-CN"/>
        </w:rPr>
        <w:t>2020</w:t>
      </w:r>
      <w:r>
        <w:rPr>
          <w:rFonts w:hint="eastAsia" w:ascii="宋体" w:hAnsi="宋体"/>
          <w:color w:val="auto"/>
          <w:highlight w:val="none"/>
        </w:rPr>
        <w:t>年</w:t>
      </w:r>
      <w:r>
        <w:rPr>
          <w:rFonts w:hint="eastAsia" w:ascii="宋体" w:hAnsi="宋体"/>
          <w:color w:val="auto"/>
          <w:highlight w:val="none"/>
          <w:lang w:val="en-US" w:eastAsia="zh-CN"/>
        </w:rPr>
        <w:t>01</w:t>
      </w:r>
      <w:r>
        <w:rPr>
          <w:rFonts w:hint="eastAsia" w:ascii="宋体" w:hAnsi="宋体"/>
          <w:color w:val="auto"/>
          <w:highlight w:val="none"/>
        </w:rPr>
        <w:t>月</w:t>
      </w:r>
      <w:r>
        <w:rPr>
          <w:rFonts w:hint="eastAsia" w:ascii="宋体" w:hAnsi="宋体"/>
          <w:color w:val="auto"/>
          <w:highlight w:val="none"/>
          <w:lang w:val="en-US" w:eastAsia="zh-CN"/>
        </w:rPr>
        <w:t>09</w:t>
      </w:r>
      <w:r>
        <w:rPr>
          <w:rFonts w:hint="eastAsia" w:ascii="宋体" w:hAnsi="宋体"/>
          <w:color w:val="auto"/>
          <w:highlight w:val="none"/>
        </w:rPr>
        <w:t>日至</w:t>
      </w:r>
      <w:r>
        <w:rPr>
          <w:rFonts w:hint="eastAsia" w:ascii="宋体" w:hAnsi="宋体"/>
          <w:color w:val="auto"/>
          <w:highlight w:val="none"/>
          <w:lang w:eastAsia="zh-CN"/>
        </w:rPr>
        <w:t>2020</w:t>
      </w:r>
      <w:r>
        <w:rPr>
          <w:rFonts w:hint="eastAsia" w:ascii="宋体" w:hAnsi="宋体"/>
          <w:color w:val="auto"/>
          <w:highlight w:val="none"/>
        </w:rPr>
        <w:t>年</w:t>
      </w:r>
      <w:r>
        <w:rPr>
          <w:rFonts w:hint="eastAsia" w:ascii="宋体" w:hAnsi="宋体"/>
          <w:color w:val="auto"/>
          <w:highlight w:val="none"/>
          <w:lang w:val="en-US" w:eastAsia="zh-CN"/>
        </w:rPr>
        <w:t>01</w:t>
      </w:r>
      <w:r>
        <w:rPr>
          <w:rFonts w:hint="eastAsia" w:ascii="宋体" w:hAnsi="宋体"/>
          <w:color w:val="auto"/>
          <w:highlight w:val="none"/>
        </w:rPr>
        <w:t>月</w:t>
      </w:r>
      <w:r>
        <w:rPr>
          <w:rFonts w:hint="eastAsia" w:ascii="宋体" w:hAnsi="宋体"/>
          <w:color w:val="auto"/>
          <w:highlight w:val="none"/>
          <w:lang w:val="en-US" w:eastAsia="zh-CN"/>
        </w:rPr>
        <w:t>13</w:t>
      </w:r>
      <w:bookmarkStart w:id="371" w:name="_GoBack"/>
      <w:bookmarkEnd w:id="371"/>
      <w:r>
        <w:rPr>
          <w:rFonts w:hint="eastAsia" w:ascii="宋体" w:hAnsi="宋体"/>
          <w:color w:val="auto"/>
          <w:highlight w:val="none"/>
        </w:rPr>
        <w:t>日止。</w:t>
      </w:r>
    </w:p>
    <w:p>
      <w:pPr>
        <w:pStyle w:val="37"/>
        <w:numPr>
          <w:ilvl w:val="0"/>
          <w:numId w:val="2"/>
        </w:numPr>
        <w:snapToGrid w:val="0"/>
        <w:spacing w:after="0" w:line="480" w:lineRule="auto"/>
        <w:ind w:leftChars="0"/>
        <w:rPr>
          <w:rFonts w:ascii="宋体" w:hAnsi="宋体"/>
          <w:color w:val="auto"/>
          <w:highlight w:val="none"/>
        </w:rPr>
      </w:pPr>
      <w:r>
        <w:rPr>
          <w:rFonts w:hint="eastAsia" w:ascii="宋体" w:hAnsi="宋体"/>
          <w:color w:val="auto"/>
          <w:highlight w:val="none"/>
        </w:rPr>
        <w:t>竞争性磋商文件下载地址：广州市信怡招标代理有限公司网站（www.gzxyzb.com）。</w:t>
      </w:r>
    </w:p>
    <w:p>
      <w:pPr>
        <w:pStyle w:val="37"/>
        <w:numPr>
          <w:ilvl w:val="0"/>
          <w:numId w:val="2"/>
        </w:numPr>
        <w:snapToGrid w:val="0"/>
        <w:spacing w:after="0" w:line="480" w:lineRule="auto"/>
        <w:ind w:leftChars="0"/>
        <w:rPr>
          <w:rFonts w:ascii="宋体" w:hAnsi="宋体"/>
          <w:color w:val="auto"/>
          <w:highlight w:val="none"/>
        </w:rPr>
      </w:pPr>
      <w:r>
        <w:rPr>
          <w:rFonts w:hint="eastAsia" w:ascii="宋体" w:hAnsi="宋体"/>
          <w:color w:val="auto"/>
          <w:highlight w:val="none"/>
        </w:rPr>
        <w:t>联系事项</w:t>
      </w:r>
    </w:p>
    <w:p>
      <w:pPr>
        <w:widowControl/>
        <w:adjustRightInd w:val="0"/>
        <w:snapToGrid w:val="0"/>
        <w:spacing w:before="100" w:beforeAutospacing="1" w:after="100" w:afterAutospacing="1" w:line="480" w:lineRule="auto"/>
        <w:ind w:left="5880" w:hanging="5880" w:hangingChars="2800"/>
        <w:jc w:val="left"/>
        <w:rPr>
          <w:rFonts w:hint="eastAsia" w:ascii="宋体" w:hAnsi="宋体" w:eastAsia="宋体" w:cs="宋体"/>
          <w:color w:val="auto"/>
          <w:szCs w:val="21"/>
          <w:highlight w:val="none"/>
        </w:rPr>
      </w:pPr>
      <w:r>
        <w:rPr>
          <w:rFonts w:hint="eastAsia" w:ascii="宋体" w:hAnsi="宋体"/>
          <w:color w:val="auto"/>
          <w:szCs w:val="21"/>
          <w:highlight w:val="none"/>
        </w:rPr>
        <w:t>（一）采购人：</w:t>
      </w:r>
      <w:r>
        <w:rPr>
          <w:rFonts w:hint="eastAsia" w:ascii="宋体" w:hAnsi="宋体"/>
          <w:color w:val="auto"/>
          <w:szCs w:val="21"/>
          <w:highlight w:val="none"/>
          <w:lang w:eastAsia="zh-CN"/>
        </w:rPr>
        <w:t>广东省农业科学院动物卫生研究所</w:t>
      </w:r>
      <w:r>
        <w:rPr>
          <w:rFonts w:hint="eastAsia" w:ascii="宋体" w:hAnsi="宋体"/>
          <w:color w:val="auto"/>
          <w:szCs w:val="21"/>
          <w:highlight w:val="none"/>
        </w:rPr>
        <w:t xml:space="preserve">        地址：</w:t>
      </w:r>
      <w:r>
        <w:rPr>
          <w:rFonts w:hint="eastAsia" w:ascii="宋体" w:hAnsi="宋体" w:eastAsia="宋体" w:cs="宋体"/>
          <w:color w:val="auto"/>
          <w:szCs w:val="21"/>
          <w:highlight w:val="none"/>
        </w:rPr>
        <w:t>广州市天河区五山白石岗</w:t>
      </w:r>
    </w:p>
    <w:p>
      <w:pPr>
        <w:widowControl/>
        <w:adjustRightInd w:val="0"/>
        <w:snapToGrid w:val="0"/>
        <w:spacing w:before="100" w:beforeAutospacing="1" w:after="100" w:afterAutospacing="1" w:line="480" w:lineRule="auto"/>
        <w:ind w:left="420" w:leftChars="200" w:firstLine="315" w:firstLineChars="150"/>
        <w:jc w:val="left"/>
        <w:rPr>
          <w:rFonts w:hint="eastAsia" w:ascii="宋体" w:hAnsi="宋体"/>
          <w:color w:val="auto"/>
          <w:szCs w:val="21"/>
          <w:highlight w:val="none"/>
          <w:lang w:eastAsia="zh-CN"/>
        </w:rPr>
      </w:pPr>
      <w:r>
        <w:rPr>
          <w:rFonts w:hint="eastAsia" w:ascii="宋体" w:hAnsi="宋体"/>
          <w:color w:val="auto"/>
          <w:szCs w:val="21"/>
          <w:highlight w:val="none"/>
        </w:rPr>
        <w:t>联系人：</w:t>
      </w:r>
      <w:r>
        <w:rPr>
          <w:rFonts w:hint="eastAsia" w:ascii="宋体" w:hAnsi="宋体"/>
          <w:color w:val="auto"/>
          <w:szCs w:val="21"/>
          <w:highlight w:val="none"/>
          <w:lang w:eastAsia="zh-CN"/>
        </w:rPr>
        <w:t>罗主任</w:t>
      </w:r>
      <w:r>
        <w:rPr>
          <w:rFonts w:hint="eastAsia" w:ascii="宋体" w:hAnsi="宋体"/>
          <w:color w:val="auto"/>
          <w:szCs w:val="21"/>
          <w:highlight w:val="none"/>
          <w:lang w:val="en-US" w:eastAsia="zh-CN"/>
        </w:rPr>
        <w:t xml:space="preserve"> </w:t>
      </w:r>
      <w:r>
        <w:rPr>
          <w:rFonts w:hint="eastAsia" w:ascii="宋体" w:hAnsi="宋体"/>
          <w:color w:val="auto"/>
          <w:szCs w:val="21"/>
          <w:highlight w:val="none"/>
        </w:rPr>
        <w:t xml:space="preserve">                            联系电话：</w:t>
      </w:r>
      <w:r>
        <w:rPr>
          <w:rFonts w:hint="eastAsia" w:ascii="宋体" w:hAnsi="宋体"/>
          <w:color w:val="auto"/>
          <w:szCs w:val="21"/>
          <w:highlight w:val="none"/>
          <w:lang w:val="en-US" w:eastAsia="zh-CN"/>
        </w:rPr>
        <w:t>020-85291371</w:t>
      </w:r>
    </w:p>
    <w:p>
      <w:pPr>
        <w:widowControl/>
        <w:adjustRightInd w:val="0"/>
        <w:snapToGrid w:val="0"/>
        <w:spacing w:before="100" w:beforeAutospacing="1" w:after="100" w:afterAutospacing="1" w:line="480" w:lineRule="auto"/>
        <w:ind w:left="420" w:leftChars="200" w:firstLine="315" w:firstLineChars="150"/>
        <w:jc w:val="left"/>
        <w:rPr>
          <w:rFonts w:hint="eastAsia" w:ascii="宋体" w:hAnsi="宋体"/>
          <w:color w:val="auto"/>
          <w:szCs w:val="21"/>
          <w:highlight w:val="none"/>
        </w:rPr>
      </w:pPr>
      <w:r>
        <w:rPr>
          <w:rFonts w:hint="eastAsia" w:ascii="宋体" w:hAnsi="宋体"/>
          <w:color w:val="auto"/>
          <w:szCs w:val="21"/>
          <w:highlight w:val="none"/>
        </w:rPr>
        <w:t>传真：020-85291478</w:t>
      </w:r>
      <w:r>
        <w:rPr>
          <w:rFonts w:hint="eastAsia" w:ascii="宋体" w:hAnsi="宋体"/>
          <w:color w:val="auto"/>
          <w:szCs w:val="21"/>
          <w:highlight w:val="none"/>
          <w:lang w:val="en-US" w:eastAsia="zh-CN"/>
        </w:rPr>
        <w:t xml:space="preserve">  </w:t>
      </w:r>
      <w:r>
        <w:rPr>
          <w:rFonts w:hint="eastAsia" w:ascii="宋体" w:hAnsi="宋体"/>
          <w:color w:val="auto"/>
          <w:szCs w:val="21"/>
          <w:highlight w:val="none"/>
        </w:rPr>
        <w:t xml:space="preserve">                       邮编：510800 </w:t>
      </w:r>
    </w:p>
    <w:p>
      <w:pPr>
        <w:widowControl/>
        <w:adjustRightInd w:val="0"/>
        <w:snapToGrid w:val="0"/>
        <w:spacing w:before="100" w:beforeAutospacing="1" w:after="100" w:afterAutospacing="1" w:line="480" w:lineRule="auto"/>
        <w:ind w:left="5775" w:hanging="5775" w:hangingChars="2750"/>
        <w:rPr>
          <w:rFonts w:ascii="宋体" w:hAnsi="宋体"/>
          <w:color w:val="auto"/>
          <w:szCs w:val="21"/>
          <w:highlight w:val="none"/>
        </w:rPr>
      </w:pPr>
      <w:r>
        <w:rPr>
          <w:rFonts w:hint="eastAsia" w:ascii="宋体" w:hAnsi="宋体"/>
          <w:color w:val="auto"/>
          <w:szCs w:val="21"/>
          <w:highlight w:val="none"/>
        </w:rPr>
        <w:t>（二）采购代理机构：广州市信怡招标代理有限公司    地址：广州市海珠区红卫新村西路29号UP智谷D栋503房</w:t>
      </w:r>
    </w:p>
    <w:p>
      <w:pPr>
        <w:widowControl/>
        <w:adjustRightInd w:val="0"/>
        <w:snapToGrid w:val="0"/>
        <w:spacing w:before="100" w:beforeAutospacing="1" w:after="100" w:afterAutospacing="1" w:line="480" w:lineRule="auto"/>
        <w:ind w:left="420" w:leftChars="200" w:firstLine="315" w:firstLineChars="150"/>
        <w:jc w:val="left"/>
        <w:rPr>
          <w:rFonts w:ascii="宋体"/>
          <w:color w:val="auto"/>
          <w:highlight w:val="none"/>
        </w:rPr>
      </w:pPr>
      <w:r>
        <w:rPr>
          <w:rFonts w:hint="eastAsia" w:ascii="宋体"/>
          <w:color w:val="auto"/>
          <w:highlight w:val="none"/>
        </w:rPr>
        <w:t>联系人：</w:t>
      </w:r>
      <w:r>
        <w:rPr>
          <w:rFonts w:hint="eastAsia" w:ascii="宋体" w:hAnsi="宋体"/>
          <w:color w:val="auto"/>
          <w:szCs w:val="21"/>
          <w:highlight w:val="none"/>
        </w:rPr>
        <w:t>陈小姐</w:t>
      </w:r>
      <w:r>
        <w:rPr>
          <w:rFonts w:hint="eastAsia" w:ascii="宋体"/>
          <w:color w:val="auto"/>
          <w:highlight w:val="none"/>
        </w:rPr>
        <w:t xml:space="preserve">                              联系电话：020-89001297</w:t>
      </w:r>
    </w:p>
    <w:p>
      <w:pPr>
        <w:widowControl/>
        <w:adjustRightInd w:val="0"/>
        <w:snapToGrid w:val="0"/>
        <w:spacing w:before="100" w:beforeAutospacing="1" w:after="100" w:afterAutospacing="1" w:line="480" w:lineRule="auto"/>
        <w:ind w:left="420" w:leftChars="200" w:firstLine="315" w:firstLineChars="150"/>
        <w:jc w:val="left"/>
        <w:rPr>
          <w:rFonts w:ascii="宋体" w:hAnsi="宋体" w:cs="宋体"/>
          <w:color w:val="auto"/>
          <w:kern w:val="0"/>
          <w:szCs w:val="21"/>
          <w:highlight w:val="none"/>
        </w:rPr>
      </w:pPr>
      <w:r>
        <w:rPr>
          <w:rFonts w:hint="eastAsia" w:ascii="宋体" w:hAnsi="宋体"/>
          <w:color w:val="auto"/>
          <w:szCs w:val="21"/>
          <w:highlight w:val="none"/>
        </w:rPr>
        <w:t>传真：</w:t>
      </w:r>
      <w:r>
        <w:rPr>
          <w:rFonts w:hint="eastAsia" w:ascii="宋体"/>
          <w:color w:val="auto"/>
          <w:highlight w:val="none"/>
        </w:rPr>
        <w:t>020-89001292</w:t>
      </w:r>
      <w:r>
        <w:rPr>
          <w:rFonts w:hint="eastAsia" w:ascii="宋体" w:hAnsi="宋体"/>
          <w:color w:val="auto"/>
          <w:szCs w:val="21"/>
          <w:highlight w:val="none"/>
        </w:rPr>
        <w:t xml:space="preserve">                          邮编：</w:t>
      </w:r>
      <w:r>
        <w:rPr>
          <w:rFonts w:hint="eastAsia" w:ascii="宋体" w:hAnsi="宋体" w:cs="宋体"/>
          <w:color w:val="auto"/>
          <w:kern w:val="0"/>
          <w:szCs w:val="21"/>
          <w:highlight w:val="none"/>
        </w:rPr>
        <w:t>510315</w:t>
      </w:r>
    </w:p>
    <w:p>
      <w:pPr>
        <w:pStyle w:val="37"/>
        <w:numPr>
          <w:ilvl w:val="0"/>
          <w:numId w:val="4"/>
        </w:numPr>
        <w:adjustRightInd w:val="0"/>
        <w:snapToGrid w:val="0"/>
        <w:spacing w:after="0" w:line="480" w:lineRule="auto"/>
        <w:ind w:left="0" w:leftChars="0"/>
        <w:rPr>
          <w:rFonts w:ascii="宋体"/>
          <w:color w:val="auto"/>
          <w:highlight w:val="none"/>
        </w:rPr>
      </w:pPr>
      <w:r>
        <w:rPr>
          <w:rFonts w:hint="eastAsia" w:ascii="宋体" w:hAnsi="宋体" w:cs="宋体"/>
          <w:color w:val="auto"/>
          <w:kern w:val="0"/>
          <w:szCs w:val="21"/>
          <w:highlight w:val="none"/>
        </w:rPr>
        <w:t>采购项目联系人：</w:t>
      </w:r>
      <w:r>
        <w:rPr>
          <w:rFonts w:hint="eastAsia" w:ascii="宋体" w:hAnsi="宋体"/>
          <w:color w:val="auto"/>
          <w:szCs w:val="21"/>
          <w:highlight w:val="none"/>
        </w:rPr>
        <w:t>陈小姐</w:t>
      </w:r>
      <w:r>
        <w:rPr>
          <w:rFonts w:hint="eastAsia" w:ascii="宋体"/>
          <w:color w:val="auto"/>
          <w:highlight w:val="none"/>
        </w:rPr>
        <w:t xml:space="preserve">                       </w:t>
      </w:r>
      <w:r>
        <w:rPr>
          <w:rFonts w:hint="eastAsia" w:ascii="宋体" w:hAnsi="宋体"/>
          <w:color w:val="auto"/>
          <w:szCs w:val="21"/>
          <w:highlight w:val="none"/>
        </w:rPr>
        <w:t>联系电话：</w:t>
      </w:r>
      <w:r>
        <w:rPr>
          <w:rFonts w:ascii="宋体" w:hAnsi="宋体"/>
          <w:color w:val="auto"/>
          <w:szCs w:val="21"/>
          <w:highlight w:val="none"/>
        </w:rPr>
        <w:t>020-8900129</w:t>
      </w:r>
      <w:r>
        <w:rPr>
          <w:rFonts w:hint="eastAsia" w:ascii="宋体" w:hAnsi="宋体"/>
          <w:color w:val="auto"/>
          <w:szCs w:val="21"/>
          <w:highlight w:val="none"/>
        </w:rPr>
        <w:t>7</w:t>
      </w:r>
    </w:p>
    <w:p>
      <w:pPr>
        <w:pStyle w:val="37"/>
        <w:adjustRightInd w:val="0"/>
        <w:snapToGrid w:val="0"/>
        <w:spacing w:line="480" w:lineRule="auto"/>
        <w:jc w:val="right"/>
        <w:rPr>
          <w:rFonts w:ascii="宋体" w:hAnsi="宋体"/>
          <w:color w:val="auto"/>
          <w:highlight w:val="none"/>
        </w:rPr>
      </w:pPr>
    </w:p>
    <w:p>
      <w:pPr>
        <w:pStyle w:val="37"/>
        <w:adjustRightInd w:val="0"/>
        <w:snapToGrid w:val="0"/>
        <w:spacing w:line="480" w:lineRule="auto"/>
        <w:jc w:val="right"/>
        <w:rPr>
          <w:rFonts w:ascii="宋体" w:hAnsi="宋体"/>
          <w:color w:val="auto"/>
          <w:highlight w:val="none"/>
        </w:rPr>
      </w:pPr>
      <w:r>
        <w:rPr>
          <w:rFonts w:hint="eastAsia" w:ascii="宋体" w:hAnsi="宋体"/>
          <w:color w:val="auto"/>
          <w:highlight w:val="none"/>
        </w:rPr>
        <w:t>发布人：广州市信怡招标代理有限公司</w:t>
      </w:r>
    </w:p>
    <w:p>
      <w:pPr>
        <w:pStyle w:val="37"/>
        <w:wordWrap w:val="0"/>
        <w:adjustRightInd w:val="0"/>
        <w:snapToGrid w:val="0"/>
        <w:spacing w:line="480" w:lineRule="auto"/>
        <w:ind w:right="210"/>
        <w:jc w:val="right"/>
        <w:rPr>
          <w:color w:val="auto"/>
          <w:highlight w:val="none"/>
        </w:rPr>
        <w:sectPr>
          <w:footerReference r:id="rId13" w:type="first"/>
          <w:footerReference r:id="rId12" w:type="default"/>
          <w:pgSz w:w="11906" w:h="16838"/>
          <w:pgMar w:top="567" w:right="1304" w:bottom="567" w:left="1361" w:header="567" w:footer="737" w:gutter="0"/>
          <w:pgNumType w:start="1"/>
          <w:cols w:space="720" w:num="1"/>
          <w:titlePg/>
          <w:docGrid w:linePitch="312" w:charSpace="0"/>
        </w:sectPr>
      </w:pPr>
      <w:r>
        <w:rPr>
          <w:rFonts w:hint="eastAsia" w:cs="宋体"/>
          <w:color w:val="auto"/>
          <w:kern w:val="0"/>
          <w:szCs w:val="21"/>
          <w:highlight w:val="none"/>
        </w:rPr>
        <w:t>发布时间：</w:t>
      </w:r>
      <w:r>
        <w:rPr>
          <w:rFonts w:hint="eastAsia"/>
          <w:color w:val="auto"/>
          <w:highlight w:val="none"/>
          <w:lang w:eastAsia="zh-CN"/>
        </w:rPr>
        <w:t>2020</w:t>
      </w:r>
      <w:r>
        <w:rPr>
          <w:rFonts w:hint="eastAsia"/>
          <w:color w:val="auto"/>
          <w:highlight w:val="none"/>
        </w:rPr>
        <w:t>年</w:t>
      </w:r>
      <w:r>
        <w:rPr>
          <w:rFonts w:hint="eastAsia"/>
          <w:color w:val="auto"/>
          <w:highlight w:val="none"/>
          <w:lang w:val="en-US" w:eastAsia="zh-CN"/>
        </w:rPr>
        <w:t>01</w:t>
      </w:r>
      <w:r>
        <w:rPr>
          <w:rFonts w:hint="eastAsia"/>
          <w:color w:val="auto"/>
          <w:highlight w:val="none"/>
        </w:rPr>
        <w:t>月</w:t>
      </w:r>
      <w:r>
        <w:rPr>
          <w:rFonts w:hint="eastAsia"/>
          <w:color w:val="auto"/>
          <w:highlight w:val="none"/>
          <w:lang w:val="en-US" w:eastAsia="zh-CN"/>
        </w:rPr>
        <w:t>08</w:t>
      </w:r>
      <w:r>
        <w:rPr>
          <w:rFonts w:hint="eastAsia"/>
          <w:color w:val="auto"/>
          <w:highlight w:val="none"/>
        </w:rPr>
        <w:t>日</w:t>
      </w: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5"/>
        <w:autoSpaceDE w:val="0"/>
        <w:rPr>
          <w:color w:val="auto"/>
          <w:sz w:val="44"/>
          <w:highlight w:val="none"/>
        </w:rPr>
      </w:pPr>
      <w:bookmarkStart w:id="28" w:name="_Toc320515015"/>
      <w:bookmarkStart w:id="29" w:name="_Toc475104467"/>
      <w:r>
        <w:rPr>
          <w:rFonts w:cs="ZWAdobeF"/>
          <w:b w:val="0"/>
          <w:color w:val="auto"/>
          <w:sz w:val="2"/>
          <w:szCs w:val="2"/>
          <w:highlight w:val="none"/>
        </w:rPr>
        <w:t>1B1B</w:t>
      </w:r>
      <w:r>
        <w:rPr>
          <w:rFonts w:hint="eastAsia"/>
          <w:color w:val="auto"/>
          <w:sz w:val="44"/>
          <w:highlight w:val="none"/>
        </w:rPr>
        <w:t>第二章</w:t>
      </w:r>
      <w:bookmarkStart w:id="30" w:name="_Toc10525515"/>
      <w:r>
        <w:rPr>
          <w:rFonts w:hint="eastAsia"/>
          <w:color w:val="auto"/>
          <w:sz w:val="44"/>
          <w:highlight w:val="none"/>
        </w:rPr>
        <w:t xml:space="preserve"> 竞争性磋商须知</w:t>
      </w:r>
      <w:bookmarkEnd w:id="26"/>
      <w:bookmarkEnd w:id="27"/>
      <w:bookmarkEnd w:id="28"/>
      <w:bookmarkEnd w:id="29"/>
      <w:bookmarkEnd w:id="30"/>
    </w:p>
    <w:p>
      <w:pPr>
        <w:spacing w:line="360" w:lineRule="auto"/>
        <w:jc w:val="center"/>
        <w:rPr>
          <w:rFonts w:ascii="宋体" w:hAnsi="宋体"/>
          <w:b/>
          <w:bCs/>
          <w:color w:val="auto"/>
          <w:sz w:val="30"/>
          <w:highlight w:val="none"/>
        </w:rPr>
      </w:pPr>
      <w:r>
        <w:rPr>
          <w:rFonts w:ascii="宋体" w:hAnsi="宋体"/>
          <w:color w:val="auto"/>
          <w:sz w:val="44"/>
          <w:highlight w:val="none"/>
        </w:rPr>
        <w:br w:type="page"/>
      </w:r>
      <w:r>
        <w:rPr>
          <w:rFonts w:hint="eastAsia" w:ascii="宋体" w:hAnsi="宋体"/>
          <w:b/>
          <w:bCs/>
          <w:color w:val="auto"/>
          <w:sz w:val="30"/>
          <w:highlight w:val="none"/>
        </w:rPr>
        <w:t>竞争性磋商须知一览表</w:t>
      </w:r>
    </w:p>
    <w:tbl>
      <w:tblPr>
        <w:tblStyle w:val="8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39"/>
        <w:gridCol w:w="2868"/>
        <w:gridCol w:w="623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3"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286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项目</w:t>
            </w:r>
          </w:p>
        </w:tc>
        <w:tc>
          <w:tcPr>
            <w:tcW w:w="6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主要内容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5" w:hRule="atLeast"/>
          <w:jc w:val="center"/>
        </w:trPr>
        <w:tc>
          <w:tcPr>
            <w:tcW w:w="839" w:type="dxa"/>
            <w:tcBorders>
              <w:top w:val="single" w:color="auto" w:sz="4" w:space="0"/>
              <w:left w:val="single" w:color="auto" w:sz="4" w:space="0"/>
              <w:right w:val="single" w:color="auto" w:sz="4" w:space="0"/>
            </w:tcBorders>
            <w:vAlign w:val="center"/>
          </w:tcPr>
          <w:p>
            <w:pPr>
              <w:numPr>
                <w:ilvl w:val="0"/>
                <w:numId w:val="5"/>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保证金</w:t>
            </w:r>
          </w:p>
        </w:tc>
        <w:tc>
          <w:tcPr>
            <w:tcW w:w="6234" w:type="dxa"/>
            <w:tcBorders>
              <w:top w:val="single" w:color="auto" w:sz="4" w:space="0"/>
              <w:left w:val="single" w:color="auto" w:sz="4" w:space="0"/>
              <w:right w:val="single" w:color="auto" w:sz="4" w:space="0"/>
            </w:tcBorders>
            <w:vAlign w:val="center"/>
          </w:tcPr>
          <w:p>
            <w:pPr>
              <w:jc w:val="left"/>
              <w:rPr>
                <w:rFonts w:hint="eastAsia" w:ascii="宋体" w:hAnsi="宋体" w:eastAsia="宋体"/>
                <w:color w:val="auto"/>
                <w:szCs w:val="21"/>
                <w:highlight w:val="none"/>
                <w:lang w:eastAsia="zh-CN"/>
              </w:rPr>
            </w:pPr>
            <w:r>
              <w:rPr>
                <w:rFonts w:hint="eastAsia" w:ascii="宋体" w:hAnsi="宋体"/>
                <w:color w:val="auto"/>
                <w:szCs w:val="21"/>
                <w:highlight w:val="none"/>
                <w:lang w:eastAsia="zh-CN"/>
              </w:rPr>
              <w:t>此项目不收取保证金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5" w:hRule="atLeast"/>
          <w:jc w:val="center"/>
        </w:trPr>
        <w:tc>
          <w:tcPr>
            <w:tcW w:w="839" w:type="dxa"/>
            <w:tcBorders>
              <w:top w:val="single" w:color="auto" w:sz="4" w:space="0"/>
              <w:left w:val="single" w:color="auto" w:sz="4" w:space="0"/>
              <w:right w:val="single" w:color="auto" w:sz="4" w:space="0"/>
            </w:tcBorders>
            <w:vAlign w:val="center"/>
          </w:tcPr>
          <w:p>
            <w:pPr>
              <w:numPr>
                <w:ilvl w:val="0"/>
                <w:numId w:val="5"/>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bCs/>
                <w:color w:val="auto"/>
                <w:szCs w:val="21"/>
                <w:highlight w:val="none"/>
              </w:rPr>
            </w:pPr>
            <w:r>
              <w:rPr>
                <w:rFonts w:hint="eastAsia" w:ascii="宋体" w:hAnsi="宋体" w:cs="宋体"/>
                <w:color w:val="auto"/>
                <w:szCs w:val="21"/>
                <w:highlight w:val="none"/>
              </w:rPr>
              <w:t>收取</w:t>
            </w:r>
            <w:r>
              <w:rPr>
                <w:rFonts w:hint="eastAsia" w:ascii="宋体" w:hAnsi="宋体"/>
                <w:bCs/>
                <w:color w:val="auto"/>
                <w:szCs w:val="21"/>
                <w:highlight w:val="none"/>
              </w:rPr>
              <w:t>磋商</w:t>
            </w:r>
            <w:r>
              <w:rPr>
                <w:rFonts w:hint="eastAsia" w:ascii="宋体" w:hAnsi="宋体"/>
                <w:color w:val="auto"/>
                <w:szCs w:val="21"/>
                <w:highlight w:val="none"/>
              </w:rPr>
              <w:t>保证金</w:t>
            </w:r>
            <w:r>
              <w:rPr>
                <w:rFonts w:hint="eastAsia" w:ascii="宋体" w:hAnsi="宋体" w:cs="宋体"/>
                <w:color w:val="auto"/>
                <w:szCs w:val="21"/>
                <w:highlight w:val="none"/>
              </w:rPr>
              <w:t>方式</w:t>
            </w:r>
          </w:p>
        </w:tc>
        <w:tc>
          <w:tcPr>
            <w:tcW w:w="6234" w:type="dxa"/>
            <w:tcBorders>
              <w:top w:val="single" w:color="auto" w:sz="4" w:space="0"/>
              <w:left w:val="single" w:color="auto" w:sz="4" w:space="0"/>
              <w:right w:val="single" w:color="auto" w:sz="4" w:space="0"/>
            </w:tcBorders>
            <w:vAlign w:val="center"/>
          </w:tcPr>
          <w:p>
            <w:pP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保证金</w:t>
            </w:r>
            <w:r>
              <w:rPr>
                <w:rFonts w:hint="eastAsia" w:ascii="宋体" w:hAnsi="宋体" w:cs="宋体"/>
                <w:color w:val="auto"/>
                <w:szCs w:val="21"/>
                <w:highlight w:val="none"/>
              </w:rPr>
              <w:t>以支票或者金融机构、担保机构出具的保函等非现金形式提交。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5" w:hRule="atLeast"/>
          <w:jc w:val="center"/>
        </w:trPr>
        <w:tc>
          <w:tcPr>
            <w:tcW w:w="839" w:type="dxa"/>
            <w:tcBorders>
              <w:top w:val="single" w:color="auto" w:sz="4" w:space="0"/>
              <w:left w:val="single" w:color="auto" w:sz="4" w:space="0"/>
              <w:right w:val="single" w:color="auto" w:sz="4" w:space="0"/>
            </w:tcBorders>
            <w:vAlign w:val="center"/>
          </w:tcPr>
          <w:p>
            <w:pPr>
              <w:numPr>
                <w:ilvl w:val="0"/>
                <w:numId w:val="5"/>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bCs/>
                <w:color w:val="auto"/>
                <w:szCs w:val="21"/>
                <w:highlight w:val="none"/>
              </w:rPr>
            </w:pPr>
            <w:r>
              <w:rPr>
                <w:rFonts w:hint="eastAsia" w:ascii="宋体" w:hAnsi="宋体" w:cs="宋体"/>
                <w:color w:val="auto"/>
                <w:szCs w:val="21"/>
                <w:highlight w:val="none"/>
              </w:rPr>
              <w:t>投标保证金递交时间</w:t>
            </w:r>
          </w:p>
        </w:tc>
        <w:tc>
          <w:tcPr>
            <w:tcW w:w="6234" w:type="dxa"/>
            <w:tcBorders>
              <w:top w:val="single" w:color="auto" w:sz="4" w:space="0"/>
              <w:left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s="宋体"/>
                <w:color w:val="auto"/>
                <w:szCs w:val="21"/>
                <w:highlight w:val="none"/>
              </w:rPr>
              <w:t>与投标（响应）截止时间一致（用转账方式提交的以到账时间为准）。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5" w:hRule="atLeast"/>
          <w:jc w:val="center"/>
        </w:trPr>
        <w:tc>
          <w:tcPr>
            <w:tcW w:w="839" w:type="dxa"/>
            <w:tcBorders>
              <w:top w:val="single" w:color="auto" w:sz="4" w:space="0"/>
              <w:left w:val="single" w:color="auto" w:sz="4" w:space="0"/>
              <w:right w:val="single" w:color="auto" w:sz="4" w:space="0"/>
            </w:tcBorders>
            <w:vAlign w:val="center"/>
          </w:tcPr>
          <w:p>
            <w:pPr>
              <w:numPr>
                <w:ilvl w:val="0"/>
                <w:numId w:val="5"/>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bCs/>
                <w:color w:val="auto"/>
                <w:szCs w:val="21"/>
                <w:highlight w:val="none"/>
              </w:rPr>
            </w:pPr>
            <w:r>
              <w:rPr>
                <w:rFonts w:hint="eastAsia" w:ascii="宋体" w:hAnsi="宋体" w:cs="宋体"/>
                <w:color w:val="auto"/>
                <w:szCs w:val="21"/>
                <w:highlight w:val="none"/>
              </w:rPr>
              <w:t>保证金汇入户址</w:t>
            </w:r>
          </w:p>
        </w:tc>
        <w:tc>
          <w:tcPr>
            <w:tcW w:w="6234" w:type="dxa"/>
            <w:tcBorders>
              <w:top w:val="single" w:color="auto" w:sz="4" w:space="0"/>
              <w:left w:val="single" w:color="auto" w:sz="4" w:space="0"/>
              <w:right w:val="single" w:color="auto" w:sz="4" w:space="0"/>
            </w:tcBorders>
            <w:vAlign w:val="center"/>
          </w:tcPr>
          <w:p>
            <w:pPr>
              <w:jc w:val="left"/>
              <w:rPr>
                <w:rFonts w:ascii="宋体" w:hAnsi="宋体" w:cs="宋体"/>
                <w:color w:val="auto"/>
                <w:szCs w:val="21"/>
                <w:highlight w:val="none"/>
              </w:rPr>
            </w:pPr>
            <w:r>
              <w:rPr>
                <w:rFonts w:hint="eastAsia" w:ascii="宋体" w:hAnsi="宋体" w:cs="宋体"/>
                <w:color w:val="auto"/>
                <w:szCs w:val="21"/>
                <w:highlight w:val="none"/>
              </w:rPr>
              <w:t>收款单位名称：广州市信怡招标代理有限公司</w:t>
            </w:r>
          </w:p>
          <w:p>
            <w:pPr>
              <w:jc w:val="left"/>
              <w:rPr>
                <w:rFonts w:ascii="宋体" w:hAnsi="宋体" w:cs="宋体"/>
                <w:color w:val="auto"/>
                <w:szCs w:val="21"/>
                <w:highlight w:val="none"/>
              </w:rPr>
            </w:pPr>
            <w:r>
              <w:rPr>
                <w:rFonts w:hint="eastAsia" w:ascii="宋体" w:hAnsi="宋体" w:cs="宋体"/>
                <w:color w:val="auto"/>
                <w:szCs w:val="21"/>
                <w:highlight w:val="none"/>
              </w:rPr>
              <w:t>开 户 银 行：中国工商银行股份有限公司广州大塘支行</w:t>
            </w:r>
          </w:p>
          <w:p>
            <w:pPr>
              <w:jc w:val="left"/>
              <w:rPr>
                <w:rFonts w:ascii="宋体" w:hAnsi="宋体"/>
                <w:color w:val="auto"/>
                <w:szCs w:val="21"/>
                <w:highlight w:val="none"/>
              </w:rPr>
            </w:pPr>
            <w:r>
              <w:rPr>
                <w:rFonts w:hint="eastAsia" w:ascii="宋体" w:hAnsi="宋体" w:cs="宋体"/>
                <w:color w:val="auto"/>
                <w:szCs w:val="21"/>
                <w:highlight w:val="none"/>
              </w:rPr>
              <w:t>账 号：3602089919200060023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5" w:hRule="atLeast"/>
          <w:jc w:val="center"/>
        </w:trPr>
        <w:tc>
          <w:tcPr>
            <w:tcW w:w="839" w:type="dxa"/>
            <w:tcBorders>
              <w:top w:val="single" w:color="auto" w:sz="4" w:space="0"/>
              <w:left w:val="single" w:color="auto" w:sz="4" w:space="0"/>
              <w:right w:val="single" w:color="auto" w:sz="4" w:space="0"/>
            </w:tcBorders>
            <w:vAlign w:val="center"/>
          </w:tcPr>
          <w:p>
            <w:pPr>
              <w:numPr>
                <w:ilvl w:val="0"/>
                <w:numId w:val="5"/>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leftChars="0" w:right="0" w:rightChars="0"/>
              <w:jc w:val="center"/>
              <w:rPr>
                <w:rFonts w:ascii="宋体" w:hAnsi="宋体"/>
                <w:bCs/>
                <w:color w:val="auto"/>
                <w:szCs w:val="21"/>
                <w:highlight w:val="none"/>
              </w:rPr>
            </w:pPr>
            <w:r>
              <w:rPr>
                <w:rFonts w:hint="eastAsia" w:ascii="宋体" w:hAnsi="宋体" w:eastAsia="宋体" w:cs="宋体"/>
                <w:color w:val="auto"/>
                <w:szCs w:val="21"/>
                <w:highlight w:val="none"/>
              </w:rPr>
              <w:t>采用《政府采购投标担保函》提交的，应符合下列规定</w:t>
            </w:r>
          </w:p>
        </w:tc>
        <w:tc>
          <w:tcPr>
            <w:tcW w:w="6234" w:type="dxa"/>
            <w:tcBorders>
              <w:top w:val="single" w:color="auto" w:sz="4" w:space="0"/>
              <w:left w:val="single" w:color="auto" w:sz="4" w:space="0"/>
              <w:right w:val="single" w:color="auto" w:sz="4" w:space="0"/>
            </w:tcBorders>
            <w:vAlign w:val="center"/>
          </w:tcPr>
          <w:p>
            <w:pPr>
              <w:keepNext w:val="0"/>
              <w:keepLines w:val="0"/>
              <w:suppressLineNumbers w:val="0"/>
              <w:tabs>
                <w:tab w:val="left" w:pos="1164"/>
              </w:tabs>
              <w:spacing w:before="0" w:beforeAutospacing="0" w:after="0" w:afterAutospacing="0" w:line="360" w:lineRule="auto"/>
              <w:ind w:left="0" w:right="0"/>
              <w:rPr>
                <w:rFonts w:hint="eastAsia" w:ascii="宋体" w:hAnsi="宋体" w:eastAsia="宋体" w:cs="宋体"/>
                <w:color w:val="auto"/>
                <w:szCs w:val="21"/>
                <w:highlight w:val="none"/>
              </w:rPr>
            </w:pPr>
            <w:r>
              <w:rPr>
                <w:rFonts w:hint="eastAsia" w:ascii="宋体" w:hAnsi="宋体" w:eastAsia="宋体" w:cs="宋体"/>
                <w:bCs/>
                <w:color w:val="auto"/>
                <w:szCs w:val="21"/>
                <w:highlight w:val="none"/>
              </w:rPr>
              <w:t>（1）</w:t>
            </w:r>
            <w:r>
              <w:rPr>
                <w:rFonts w:hint="eastAsia" w:ascii="宋体" w:hAnsi="宋体" w:eastAsia="宋体" w:cs="宋体"/>
                <w:color w:val="auto"/>
                <w:szCs w:val="21"/>
                <w:highlight w:val="none"/>
              </w:rPr>
              <w:t>投标担保可采用银行保函、专业担保公司的保证。</w:t>
            </w:r>
          </w:p>
          <w:p>
            <w:pPr>
              <w:keepNext w:val="0"/>
              <w:keepLines w:val="0"/>
              <w:suppressLineNumbers w:val="0"/>
              <w:tabs>
                <w:tab w:val="left" w:pos="1164"/>
              </w:tabs>
              <w:spacing w:before="0" w:beforeAutospacing="0" w:after="0" w:afterAutospacing="0" w:line="360" w:lineRule="auto"/>
              <w:ind w:left="0" w:right="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（2）有效期超过投标有效期30天；</w:t>
            </w:r>
          </w:p>
          <w:p>
            <w:pPr>
              <w:keepNext w:val="0"/>
              <w:keepLines w:val="0"/>
              <w:suppressLineNumbers w:val="0"/>
              <w:spacing w:before="0" w:beforeAutospacing="0" w:after="0" w:afterAutospacing="0"/>
              <w:ind w:left="0" w:leftChars="0" w:right="0" w:rightChars="0"/>
              <w:rPr>
                <w:rFonts w:ascii="宋体" w:hAnsi="宋体"/>
                <w:color w:val="auto"/>
                <w:szCs w:val="21"/>
                <w:highlight w:val="none"/>
              </w:rPr>
            </w:pPr>
            <w:r>
              <w:rPr>
                <w:rFonts w:hint="eastAsia" w:ascii="宋体" w:hAnsi="宋体" w:eastAsia="宋体" w:cs="宋体"/>
                <w:b/>
                <w:bCs/>
                <w:color w:val="auto"/>
                <w:szCs w:val="21"/>
                <w:highlight w:val="none"/>
              </w:rPr>
              <w:t>（3）采用其他方式提交投标保证金的，不需要提交《政府采购投标担保函》。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jc w:val="center"/>
        </w:trPr>
        <w:tc>
          <w:tcPr>
            <w:tcW w:w="839" w:type="dxa"/>
            <w:tcBorders>
              <w:top w:val="single" w:color="auto" w:sz="4" w:space="0"/>
              <w:left w:val="single" w:color="auto" w:sz="4" w:space="0"/>
              <w:right w:val="single" w:color="auto" w:sz="4" w:space="0"/>
            </w:tcBorders>
            <w:vAlign w:val="center"/>
          </w:tcPr>
          <w:p>
            <w:pPr>
              <w:numPr>
                <w:ilvl w:val="0"/>
                <w:numId w:val="5"/>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eastAsia="宋体" w:cs="宋体"/>
                <w:color w:val="auto"/>
                <w:szCs w:val="21"/>
                <w:highlight w:val="none"/>
              </w:rPr>
              <w:t>招标代理服务费</w:t>
            </w:r>
          </w:p>
        </w:tc>
        <w:tc>
          <w:tcPr>
            <w:tcW w:w="6234"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leftChars="0" w:right="0" w:rightChars="0"/>
              <w:rPr>
                <w:rFonts w:ascii="宋体" w:hAnsi="宋体" w:cs="宋体"/>
                <w:color w:val="auto"/>
                <w:szCs w:val="21"/>
                <w:highlight w:val="none"/>
              </w:rPr>
            </w:pPr>
            <w:r>
              <w:rPr>
                <w:rFonts w:hint="eastAsia" w:ascii="宋体" w:hAnsi="宋体" w:eastAsia="宋体" w:cs="宋体"/>
                <w:color w:val="auto"/>
                <w:szCs w:val="21"/>
                <w:highlight w:val="none"/>
                <w:lang w:eastAsia="zh-CN"/>
              </w:rPr>
              <w:t>本项目招标代理服务费为陆仟元整。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0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5"/>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eastAsia="宋体" w:cs="宋体"/>
                <w:color w:val="auto"/>
                <w:szCs w:val="21"/>
                <w:highlight w:val="none"/>
              </w:rPr>
              <w:t>采购代理服务费及专家费支付方式</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成交供应商在领取《成交通知书》前直接一次性向采购代理机构足额支付</w:t>
            </w:r>
            <w:r>
              <w:rPr>
                <w:rFonts w:hint="eastAsia" w:ascii="宋体" w:hAnsi="宋体"/>
                <w:color w:val="auto"/>
                <w:szCs w:val="21"/>
                <w:highlight w:val="none"/>
                <w:lang w:eastAsia="zh-CN"/>
              </w:rPr>
              <w:t>采购</w:t>
            </w:r>
            <w:r>
              <w:rPr>
                <w:rFonts w:hint="eastAsia" w:ascii="宋体" w:hAnsi="宋体" w:eastAsia="宋体" w:cs="宋体"/>
                <w:color w:val="auto"/>
                <w:szCs w:val="21"/>
                <w:highlight w:val="none"/>
              </w:rPr>
              <w:t>代理服务费及专家费（专家费按实结算）。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5"/>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lang w:val="en-GB"/>
              </w:rPr>
              <w:t>统一结算</w:t>
            </w:r>
            <w:r>
              <w:rPr>
                <w:rFonts w:hint="eastAsia" w:ascii="宋体" w:hAnsi="宋体"/>
                <w:color w:val="auto"/>
                <w:szCs w:val="21"/>
                <w:highlight w:val="none"/>
              </w:rPr>
              <w:t>币种</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均不计息，以人民币元结算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3"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5"/>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响应有效期</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自从磋商响应文件递交截止日起90天，成交供应商的响应有效期自动延长至合同终止为止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5"/>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响应文件数量</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三份（一份正本、两份副本）、电子文档一份（要求光盘介质，WORD或EXCEL格式，不留密码，无病毒，不压缩，内容应与供应商打印产生的纸质磋商响应文件内容一致，如有不同，以纸质磋商响应文件为准）、唱标信封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5"/>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响应文件递交时间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highlight w:val="none"/>
              </w:rPr>
            </w:pPr>
            <w:r>
              <w:rPr>
                <w:rFonts w:hint="eastAsia" w:ascii="宋体" w:hAnsi="宋体"/>
                <w:color w:val="auto"/>
                <w:szCs w:val="21"/>
                <w:highlight w:val="none"/>
              </w:rPr>
              <w:t>详见温馨提示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5"/>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磋商响应文件递交</w:t>
            </w:r>
            <w:r>
              <w:rPr>
                <w:rFonts w:hint="eastAsia" w:ascii="宋体" w:hAnsi="宋体"/>
                <w:color w:val="auto"/>
                <w:highlight w:val="none"/>
              </w:rPr>
              <w:t>截止时间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5"/>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磋商时间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5"/>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合同履约保证金</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2"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5"/>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kern w:val="0"/>
                <w:szCs w:val="21"/>
                <w:highlight w:val="none"/>
              </w:rPr>
              <w:t>采购项目预算金额</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szCs w:val="21"/>
                <w:highlight w:val="none"/>
              </w:rPr>
              <w:t>详见</w:t>
            </w:r>
            <w:r>
              <w:rPr>
                <w:rFonts w:hint="eastAsia" w:ascii="宋体" w:hAnsi="宋体"/>
                <w:color w:val="auto"/>
                <w:szCs w:val="21"/>
                <w:highlight w:val="none"/>
              </w:rPr>
              <w:t>竞争性</w:t>
            </w:r>
            <w:r>
              <w:rPr>
                <w:rFonts w:hint="eastAsia" w:ascii="宋体" w:hAnsi="宋体"/>
                <w:bCs/>
                <w:color w:val="auto"/>
                <w:szCs w:val="21"/>
                <w:highlight w:val="none"/>
              </w:rPr>
              <w:t>磋商</w:t>
            </w:r>
            <w:r>
              <w:rPr>
                <w:rFonts w:hint="eastAsia" w:ascii="宋体" w:hAnsi="宋体" w:cs="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5"/>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olor w:val="auto"/>
                <w:szCs w:val="21"/>
                <w:highlight w:val="none"/>
              </w:rPr>
            </w:pPr>
            <w:r>
              <w:rPr>
                <w:rFonts w:hint="eastAsia" w:ascii="宋体" w:hAnsi="宋体" w:cs="宋体"/>
                <w:color w:val="auto"/>
                <w:szCs w:val="21"/>
                <w:highlight w:val="none"/>
              </w:rPr>
              <w:t>资金来源</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财政性</w:t>
            </w:r>
            <w:r>
              <w:rPr>
                <w:rFonts w:hint="eastAsia" w:ascii="宋体" w:hAnsi="宋体" w:cs="宋体"/>
                <w:color w:val="auto"/>
                <w:szCs w:val="21"/>
                <w:highlight w:val="none"/>
                <w:lang w:eastAsia="zh-TW"/>
              </w:rPr>
              <w:t>资金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3"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5"/>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szCs w:val="21"/>
                <w:highlight w:val="none"/>
              </w:rPr>
            </w:pPr>
            <w:r>
              <w:rPr>
                <w:rFonts w:hint="eastAsia" w:ascii="宋体" w:hAnsi="宋体" w:cs="宋体"/>
                <w:color w:val="auto"/>
                <w:szCs w:val="21"/>
                <w:highlight w:val="none"/>
              </w:rPr>
              <w:t>询问函、质疑函格式</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详见投标人须知</w:t>
            </w:r>
          </w:p>
        </w:tc>
      </w:tr>
    </w:tbl>
    <w:p>
      <w:pPr>
        <w:spacing w:line="360" w:lineRule="auto"/>
        <w:jc w:val="center"/>
        <w:rPr>
          <w:rFonts w:ascii="宋体" w:hAnsi="宋体"/>
          <w:b/>
          <w:bCs/>
          <w:color w:val="auto"/>
          <w:sz w:val="30"/>
          <w:highlight w:val="none"/>
        </w:rPr>
      </w:pPr>
    </w:p>
    <w:p>
      <w:pPr>
        <w:numPr>
          <w:ilvl w:val="0"/>
          <w:numId w:val="6"/>
        </w:numPr>
        <w:autoSpaceDE w:val="0"/>
        <w:autoSpaceDN w:val="0"/>
        <w:adjustRightInd w:val="0"/>
        <w:snapToGrid w:val="0"/>
        <w:spacing w:before="240" w:beforeLines="100" w:after="240" w:afterLines="100" w:line="360" w:lineRule="auto"/>
        <w:ind w:left="601" w:hanging="601"/>
        <w:jc w:val="center"/>
        <w:outlineLvl w:val="0"/>
        <w:rPr>
          <w:rFonts w:ascii="宋体" w:hAnsi="宋体" w:cs="楷体_GB2312"/>
          <w:color w:val="auto"/>
          <w:szCs w:val="21"/>
          <w:highlight w:val="none"/>
        </w:rPr>
      </w:pPr>
      <w:r>
        <w:rPr>
          <w:rFonts w:ascii="宋体" w:hAnsi="宋体"/>
          <w:color w:val="auto"/>
          <w:highlight w:val="none"/>
        </w:rPr>
        <w:br w:type="page"/>
      </w:r>
      <w:bookmarkStart w:id="31" w:name="_Toc322680342"/>
      <w:bookmarkStart w:id="32" w:name="_Toc315793450"/>
      <w:bookmarkStart w:id="33" w:name="_Toc320515016"/>
      <w:bookmarkStart w:id="34" w:name="_Toc323110975"/>
      <w:bookmarkStart w:id="35" w:name="_Toc320515065"/>
      <w:bookmarkStart w:id="36" w:name="_Toc363737682"/>
      <w:bookmarkStart w:id="37" w:name="_Toc475104468"/>
      <w:r>
        <w:rPr>
          <w:rFonts w:hint="eastAsia" w:ascii="宋体" w:hAnsi="宋体"/>
          <w:b/>
          <w:color w:val="auto"/>
          <w:sz w:val="28"/>
          <w:szCs w:val="28"/>
          <w:highlight w:val="none"/>
          <w:lang w:eastAsia="zh-TW"/>
        </w:rPr>
        <w:t>说 明</w:t>
      </w:r>
      <w:bookmarkEnd w:id="31"/>
      <w:bookmarkEnd w:id="32"/>
      <w:bookmarkEnd w:id="33"/>
      <w:bookmarkEnd w:id="34"/>
      <w:bookmarkEnd w:id="35"/>
      <w:bookmarkEnd w:id="36"/>
      <w:bookmarkEnd w:id="37"/>
    </w:p>
    <w:p>
      <w:pPr>
        <w:numPr>
          <w:ilvl w:val="0"/>
          <w:numId w:val="7"/>
        </w:numPr>
        <w:autoSpaceDE w:val="0"/>
        <w:autoSpaceDN w:val="0"/>
        <w:adjustRightInd w:val="0"/>
        <w:snapToGrid w:val="0"/>
        <w:spacing w:line="360" w:lineRule="auto"/>
        <w:outlineLvl w:val="0"/>
        <w:rPr>
          <w:rFonts w:ascii="宋体" w:hAnsi="宋体"/>
          <w:b/>
          <w:bCs/>
          <w:color w:val="auto"/>
          <w:sz w:val="24"/>
          <w:highlight w:val="none"/>
        </w:rPr>
      </w:pPr>
      <w:bookmarkStart w:id="38" w:name="_Toc315793451"/>
      <w:bookmarkStart w:id="39" w:name="_Toc475104469"/>
      <w:bookmarkStart w:id="40" w:name="_Toc323110976"/>
      <w:bookmarkStart w:id="41" w:name="_Toc363737683"/>
      <w:bookmarkStart w:id="42" w:name="_Toc320515066"/>
      <w:bookmarkStart w:id="43" w:name="_Toc322680343"/>
      <w:bookmarkStart w:id="44" w:name="_Toc320515017"/>
      <w:r>
        <w:rPr>
          <w:rFonts w:hint="eastAsia" w:ascii="宋体" w:hAnsi="宋体"/>
          <w:b/>
          <w:bCs/>
          <w:color w:val="auto"/>
          <w:sz w:val="24"/>
          <w:highlight w:val="none"/>
        </w:rPr>
        <w:t>招标适用范围</w:t>
      </w:r>
      <w:bookmarkEnd w:id="38"/>
      <w:bookmarkEnd w:id="39"/>
      <w:bookmarkEnd w:id="40"/>
      <w:bookmarkEnd w:id="41"/>
      <w:bookmarkEnd w:id="42"/>
      <w:bookmarkEnd w:id="43"/>
      <w:bookmarkEnd w:id="44"/>
    </w:p>
    <w:p>
      <w:pPr>
        <w:numPr>
          <w:ilvl w:val="1"/>
          <w:numId w:val="7"/>
        </w:numPr>
        <w:autoSpaceDE w:val="0"/>
        <w:autoSpaceDN w:val="0"/>
        <w:adjustRightInd w:val="0"/>
        <w:snapToGrid w:val="0"/>
        <w:spacing w:line="360" w:lineRule="auto"/>
        <w:jc w:val="left"/>
        <w:rPr>
          <w:rFonts w:ascii="宋体" w:hAnsi="宋体"/>
          <w:b/>
          <w:bCs/>
          <w:color w:val="auto"/>
          <w:szCs w:val="21"/>
          <w:highlight w:val="none"/>
        </w:rPr>
      </w:pPr>
      <w:r>
        <w:rPr>
          <w:rFonts w:hint="eastAsia" w:ascii="宋体" w:hAnsi="宋体"/>
          <w:color w:val="auto"/>
          <w:szCs w:val="21"/>
          <w:highlight w:val="none"/>
        </w:rPr>
        <w:t>本竞争性磋商文件适用于本竞争性磋商邀请中所述项目的政府采购。</w:t>
      </w:r>
    </w:p>
    <w:p>
      <w:pPr>
        <w:numPr>
          <w:ilvl w:val="0"/>
          <w:numId w:val="7"/>
        </w:numPr>
        <w:autoSpaceDE w:val="0"/>
        <w:autoSpaceDN w:val="0"/>
        <w:adjustRightInd w:val="0"/>
        <w:snapToGrid w:val="0"/>
        <w:spacing w:line="360" w:lineRule="auto"/>
        <w:outlineLvl w:val="0"/>
        <w:rPr>
          <w:rFonts w:ascii="宋体" w:hAnsi="宋体"/>
          <w:b/>
          <w:bCs/>
          <w:color w:val="auto"/>
          <w:sz w:val="24"/>
          <w:highlight w:val="none"/>
        </w:rPr>
      </w:pPr>
      <w:bookmarkStart w:id="45" w:name="_Toc363737684"/>
      <w:bookmarkStart w:id="46" w:name="_Toc475104470"/>
      <w:bookmarkStart w:id="47" w:name="_Toc322680344"/>
      <w:bookmarkStart w:id="48" w:name="_Toc320515018"/>
      <w:bookmarkStart w:id="49" w:name="_Toc320515067"/>
      <w:bookmarkStart w:id="50" w:name="_Toc323110977"/>
      <w:r>
        <w:rPr>
          <w:rFonts w:hint="eastAsia" w:ascii="宋体" w:hAnsi="宋体"/>
          <w:b/>
          <w:bCs/>
          <w:color w:val="auto"/>
          <w:sz w:val="24"/>
          <w:highlight w:val="none"/>
        </w:rPr>
        <w:t>定义</w:t>
      </w:r>
      <w:bookmarkEnd w:id="45"/>
      <w:bookmarkEnd w:id="46"/>
      <w:bookmarkEnd w:id="47"/>
      <w:bookmarkEnd w:id="48"/>
      <w:bookmarkEnd w:id="49"/>
      <w:bookmarkEnd w:id="50"/>
    </w:p>
    <w:p>
      <w:pPr>
        <w:numPr>
          <w:ilvl w:val="1"/>
          <w:numId w:val="7"/>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“采购人”系指</w:t>
      </w:r>
      <w:r>
        <w:rPr>
          <w:rFonts w:hint="eastAsia" w:ascii="宋体" w:hAnsi="宋体" w:cs="宋体"/>
          <w:color w:val="auto"/>
          <w:szCs w:val="21"/>
          <w:highlight w:val="none"/>
          <w:lang w:eastAsia="zh-CN"/>
        </w:rPr>
        <w:t>广东省农业科学院动物卫生研究所</w:t>
      </w:r>
      <w:r>
        <w:rPr>
          <w:rFonts w:hint="eastAsia" w:ascii="宋体" w:hAnsi="宋体"/>
          <w:color w:val="auto"/>
          <w:szCs w:val="21"/>
          <w:highlight w:val="none"/>
        </w:rPr>
        <w:t>。</w:t>
      </w:r>
    </w:p>
    <w:p>
      <w:pPr>
        <w:numPr>
          <w:ilvl w:val="1"/>
          <w:numId w:val="7"/>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“采购代理机构”系指广州市信怡招标代理有限公司。</w:t>
      </w:r>
    </w:p>
    <w:p>
      <w:pPr>
        <w:numPr>
          <w:ilvl w:val="1"/>
          <w:numId w:val="7"/>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olor w:val="auto"/>
          <w:highlight w:val="none"/>
        </w:rPr>
        <w:t>供应商</w:t>
      </w:r>
      <w:r>
        <w:rPr>
          <w:rFonts w:hint="eastAsia" w:ascii="宋体" w:hAnsi="宋体" w:cs="宋体"/>
          <w:color w:val="auto"/>
          <w:szCs w:val="21"/>
          <w:highlight w:val="none"/>
        </w:rPr>
        <w:t>”系指向采购代理机构提交</w:t>
      </w:r>
      <w:r>
        <w:rPr>
          <w:rFonts w:hint="eastAsia" w:ascii="宋体" w:hAnsi="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文件的自然人、法人或其他组织。</w:t>
      </w:r>
    </w:p>
    <w:p>
      <w:pPr>
        <w:numPr>
          <w:ilvl w:val="1"/>
          <w:numId w:val="7"/>
        </w:numPr>
        <w:autoSpaceDE w:val="0"/>
        <w:autoSpaceDN w:val="0"/>
        <w:adjustRightInd w:val="0"/>
        <w:snapToGrid w:val="0"/>
        <w:spacing w:line="360" w:lineRule="auto"/>
        <w:rPr>
          <w:rFonts w:ascii="宋体" w:hAnsi="宋体" w:cs="宋体"/>
          <w:color w:val="auto"/>
          <w:szCs w:val="21"/>
          <w:highlight w:val="none"/>
          <w:lang w:eastAsia="zh-TW"/>
        </w:rPr>
      </w:pPr>
      <w:r>
        <w:rPr>
          <w:rFonts w:hint="eastAsia" w:ascii="宋体" w:hAnsi="宋体" w:cs="宋体"/>
          <w:color w:val="auto"/>
          <w:szCs w:val="21"/>
          <w:highlight w:val="none"/>
          <w:lang w:eastAsia="zh-TW"/>
        </w:rPr>
        <w:t>“甲方”系指采购人。</w:t>
      </w:r>
    </w:p>
    <w:p>
      <w:pPr>
        <w:numPr>
          <w:ilvl w:val="1"/>
          <w:numId w:val="7"/>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“乙方”系指成交供应商。</w:t>
      </w:r>
    </w:p>
    <w:p>
      <w:pPr>
        <w:numPr>
          <w:ilvl w:val="1"/>
          <w:numId w:val="7"/>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“日期”指公历日,“时间”指北京时间。</w:t>
      </w:r>
    </w:p>
    <w:p>
      <w:pPr>
        <w:numPr>
          <w:ilvl w:val="1"/>
          <w:numId w:val="7"/>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“书面形式”系指纸质文件形式，不包含电子邮件、手机短信等非纸质形式。</w:t>
      </w:r>
    </w:p>
    <w:p>
      <w:pPr>
        <w:numPr>
          <w:ilvl w:val="1"/>
          <w:numId w:val="7"/>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“成交供应商”系指</w:t>
      </w:r>
      <w:r>
        <w:rPr>
          <w:rFonts w:hint="eastAsia" w:ascii="宋体" w:hAnsi="宋体"/>
          <w:color w:val="auto"/>
          <w:szCs w:val="21"/>
          <w:highlight w:val="none"/>
        </w:rPr>
        <w:t>法定程序确定并授予合同的</w:t>
      </w:r>
      <w:r>
        <w:rPr>
          <w:rFonts w:hint="eastAsia" w:ascii="宋体" w:hAnsi="宋体"/>
          <w:color w:val="auto"/>
          <w:highlight w:val="none"/>
        </w:rPr>
        <w:t>供应商</w:t>
      </w:r>
      <w:r>
        <w:rPr>
          <w:rFonts w:hint="eastAsia" w:ascii="宋体" w:hAnsi="宋体" w:cs="宋体"/>
          <w:color w:val="auto"/>
          <w:szCs w:val="21"/>
          <w:highlight w:val="none"/>
        </w:rPr>
        <w:t>。</w:t>
      </w:r>
    </w:p>
    <w:p>
      <w:pPr>
        <w:numPr>
          <w:ilvl w:val="1"/>
          <w:numId w:val="7"/>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“实质性响应”系指符合竞争性磋商文件的所有要求、条款、条件和规定，且没有不利于项目实施质量效果和服务保障的重大偏离或保留。</w:t>
      </w:r>
    </w:p>
    <w:p>
      <w:pPr>
        <w:numPr>
          <w:ilvl w:val="1"/>
          <w:numId w:val="7"/>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“重大偏离或保留”系指影响到竞争性磋商文件规定的范围、质量和性能或限制了采购人的权力和</w:t>
      </w:r>
      <w:r>
        <w:rPr>
          <w:rFonts w:hint="eastAsia" w:ascii="宋体" w:hAnsi="宋体"/>
          <w:color w:val="auto"/>
          <w:highlight w:val="none"/>
        </w:rPr>
        <w:t>供应商</w:t>
      </w:r>
      <w:r>
        <w:rPr>
          <w:rFonts w:hint="eastAsia" w:ascii="宋体" w:hAnsi="宋体" w:cs="宋体"/>
          <w:color w:val="auto"/>
          <w:szCs w:val="21"/>
          <w:highlight w:val="none"/>
        </w:rPr>
        <w:t>义务的规定，而纠正这些偏离将影响到其它</w:t>
      </w:r>
      <w:r>
        <w:rPr>
          <w:rFonts w:hint="eastAsia" w:ascii="宋体" w:hAnsi="宋体"/>
          <w:color w:val="auto"/>
          <w:highlight w:val="none"/>
        </w:rPr>
        <w:t>供应商</w:t>
      </w:r>
      <w:r>
        <w:rPr>
          <w:rFonts w:hint="eastAsia" w:ascii="宋体" w:hAnsi="宋体" w:cs="宋体"/>
          <w:color w:val="auto"/>
          <w:szCs w:val="21"/>
          <w:highlight w:val="none"/>
        </w:rPr>
        <w:t>的公平竞争地位。</w:t>
      </w:r>
    </w:p>
    <w:p>
      <w:pPr>
        <w:numPr>
          <w:ilvl w:val="1"/>
          <w:numId w:val="7"/>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竞争性磋商文件中的标题或题名仅起引导作用，而不应该作为对竞争性磋商文件内容的理解或解释。</w:t>
      </w:r>
    </w:p>
    <w:p>
      <w:pPr>
        <w:numPr>
          <w:ilvl w:val="0"/>
          <w:numId w:val="7"/>
        </w:numPr>
        <w:autoSpaceDE w:val="0"/>
        <w:autoSpaceDN w:val="0"/>
        <w:adjustRightInd w:val="0"/>
        <w:snapToGrid w:val="0"/>
        <w:spacing w:line="360" w:lineRule="auto"/>
        <w:outlineLvl w:val="0"/>
        <w:rPr>
          <w:rFonts w:ascii="宋体" w:hAnsi="宋体"/>
          <w:b/>
          <w:bCs/>
          <w:color w:val="auto"/>
          <w:sz w:val="24"/>
          <w:highlight w:val="none"/>
        </w:rPr>
      </w:pPr>
      <w:bookmarkStart w:id="51" w:name="_Toc363737685"/>
      <w:bookmarkStart w:id="52" w:name="_Toc320515019"/>
      <w:bookmarkStart w:id="53" w:name="_Toc315793453"/>
      <w:bookmarkStart w:id="54" w:name="_Toc322680345"/>
      <w:bookmarkStart w:id="55" w:name="_Toc320515068"/>
      <w:bookmarkStart w:id="56" w:name="_Toc475104471"/>
      <w:bookmarkStart w:id="57" w:name="_Toc323110978"/>
      <w:r>
        <w:rPr>
          <w:rFonts w:hint="eastAsia" w:ascii="宋体" w:hAnsi="宋体"/>
          <w:b/>
          <w:bCs/>
          <w:color w:val="auto"/>
          <w:sz w:val="24"/>
          <w:highlight w:val="none"/>
        </w:rPr>
        <w:t>合格的</w:t>
      </w:r>
      <w:bookmarkEnd w:id="51"/>
      <w:bookmarkEnd w:id="52"/>
      <w:bookmarkEnd w:id="53"/>
      <w:bookmarkEnd w:id="54"/>
      <w:bookmarkEnd w:id="55"/>
      <w:bookmarkEnd w:id="56"/>
      <w:bookmarkEnd w:id="57"/>
      <w:r>
        <w:rPr>
          <w:rFonts w:hint="eastAsia" w:ascii="宋体" w:hAnsi="宋体"/>
          <w:b/>
          <w:bCs/>
          <w:color w:val="auto"/>
          <w:sz w:val="24"/>
          <w:highlight w:val="none"/>
        </w:rPr>
        <w:t>供应商</w:t>
      </w:r>
    </w:p>
    <w:p>
      <w:pPr>
        <w:numPr>
          <w:ilvl w:val="1"/>
          <w:numId w:val="7"/>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是响应磋商并且符合竞争性磋商文件规定资格条件和参加</w:t>
      </w:r>
      <w:r>
        <w:rPr>
          <w:rFonts w:hint="eastAsia" w:ascii="宋体" w:hAnsi="宋体"/>
          <w:color w:val="auto"/>
          <w:highlight w:val="none"/>
        </w:rPr>
        <w:t>磋商</w:t>
      </w:r>
      <w:r>
        <w:rPr>
          <w:rFonts w:hint="eastAsia" w:ascii="宋体" w:hAnsi="宋体"/>
          <w:color w:val="auto"/>
          <w:szCs w:val="21"/>
          <w:highlight w:val="none"/>
        </w:rPr>
        <w:t>竞争的法人、其他组织或者自然人。</w:t>
      </w:r>
    </w:p>
    <w:p>
      <w:pPr>
        <w:numPr>
          <w:ilvl w:val="1"/>
          <w:numId w:val="7"/>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合格的</w:t>
      </w:r>
      <w:r>
        <w:rPr>
          <w:rFonts w:hint="eastAsia" w:ascii="宋体" w:hAnsi="宋体"/>
          <w:color w:val="auto"/>
          <w:highlight w:val="none"/>
        </w:rPr>
        <w:t>供应商</w:t>
      </w:r>
    </w:p>
    <w:p>
      <w:pPr>
        <w:numPr>
          <w:ilvl w:val="2"/>
          <w:numId w:val="7"/>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具备《政府采购法》第二十二条</w:t>
      </w:r>
      <w:r>
        <w:rPr>
          <w:rFonts w:hint="eastAsia" w:ascii="宋体" w:hAnsi="宋体"/>
          <w:bCs/>
          <w:color w:val="auto"/>
          <w:highlight w:val="none"/>
        </w:rPr>
        <w:t>供应商</w:t>
      </w:r>
      <w:r>
        <w:rPr>
          <w:rFonts w:hint="eastAsia" w:ascii="宋体" w:hAnsi="宋体"/>
          <w:color w:val="auto"/>
          <w:szCs w:val="21"/>
          <w:highlight w:val="none"/>
        </w:rPr>
        <w:t>资格条件</w:t>
      </w:r>
      <w:r>
        <w:rPr>
          <w:rFonts w:ascii="宋体" w:hAnsi="宋体"/>
          <w:color w:val="auto"/>
          <w:szCs w:val="21"/>
          <w:highlight w:val="none"/>
        </w:rPr>
        <w:t>。</w:t>
      </w:r>
    </w:p>
    <w:p>
      <w:pPr>
        <w:numPr>
          <w:ilvl w:val="2"/>
          <w:numId w:val="7"/>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ascii="宋体" w:hAnsi="宋体"/>
          <w:color w:val="auto"/>
          <w:szCs w:val="21"/>
          <w:highlight w:val="none"/>
        </w:rPr>
        <w:t>具有</w:t>
      </w:r>
      <w:r>
        <w:rPr>
          <w:rFonts w:hint="eastAsia" w:ascii="宋体" w:hAnsi="宋体"/>
          <w:color w:val="auto"/>
          <w:szCs w:val="21"/>
          <w:highlight w:val="none"/>
        </w:rPr>
        <w:t>独立承担民事责任的能力。</w:t>
      </w:r>
    </w:p>
    <w:p>
      <w:pPr>
        <w:numPr>
          <w:ilvl w:val="2"/>
          <w:numId w:val="7"/>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具有良好的商业信誉和健全的财务会计制度。</w:t>
      </w:r>
    </w:p>
    <w:p>
      <w:pPr>
        <w:numPr>
          <w:ilvl w:val="2"/>
          <w:numId w:val="7"/>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具有履行合同所必需的设备和专业技术能力。</w:t>
      </w:r>
    </w:p>
    <w:p>
      <w:pPr>
        <w:numPr>
          <w:ilvl w:val="2"/>
          <w:numId w:val="7"/>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有依法缴纳税收和社会保障资金的良好记录。</w:t>
      </w:r>
    </w:p>
    <w:p>
      <w:pPr>
        <w:numPr>
          <w:ilvl w:val="2"/>
          <w:numId w:val="7"/>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参加政府采购活动前三年内，在经营活动中没有重大违法记录。</w:t>
      </w:r>
    </w:p>
    <w:p>
      <w:pPr>
        <w:numPr>
          <w:ilvl w:val="2"/>
          <w:numId w:val="7"/>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法律、行政法规规定的其他条件。</w:t>
      </w:r>
    </w:p>
    <w:p>
      <w:pPr>
        <w:numPr>
          <w:ilvl w:val="2"/>
          <w:numId w:val="7"/>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符合</w:t>
      </w:r>
      <w:r>
        <w:rPr>
          <w:rFonts w:hint="eastAsia" w:ascii="宋体" w:hAnsi="宋体" w:cs="黑体"/>
          <w:color w:val="auto"/>
          <w:szCs w:val="21"/>
          <w:highlight w:val="none"/>
        </w:rPr>
        <w:t>竞争性</w:t>
      </w:r>
      <w:r>
        <w:rPr>
          <w:rFonts w:hint="eastAsia" w:ascii="宋体" w:hAnsi="宋体"/>
          <w:color w:val="auto"/>
          <w:highlight w:val="none"/>
        </w:rPr>
        <w:t>磋商</w:t>
      </w:r>
      <w:r>
        <w:rPr>
          <w:rFonts w:hint="eastAsia" w:ascii="宋体" w:hAnsi="宋体" w:cs="黑体"/>
          <w:color w:val="auto"/>
          <w:szCs w:val="21"/>
          <w:highlight w:val="none"/>
        </w:rPr>
        <w:t>邀请“供应商资格”要求</w:t>
      </w:r>
      <w:r>
        <w:rPr>
          <w:rFonts w:hint="eastAsia" w:ascii="宋体" w:hAnsi="宋体"/>
          <w:color w:val="auto"/>
          <w:szCs w:val="21"/>
          <w:highlight w:val="none"/>
        </w:rPr>
        <w:t>的特殊条款</w:t>
      </w:r>
      <w:r>
        <w:rPr>
          <w:rFonts w:hint="eastAsia" w:ascii="宋体" w:hAnsi="宋体" w:cs="黑体"/>
          <w:color w:val="auto"/>
          <w:szCs w:val="21"/>
          <w:highlight w:val="none"/>
        </w:rPr>
        <w:t>。</w:t>
      </w:r>
    </w:p>
    <w:p>
      <w:pPr>
        <w:numPr>
          <w:ilvl w:val="1"/>
          <w:numId w:val="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不得参与本采购项目竞争的</w:t>
      </w:r>
      <w:r>
        <w:rPr>
          <w:rFonts w:hint="eastAsia" w:ascii="宋体" w:hAnsi="宋体"/>
          <w:color w:val="auto"/>
          <w:highlight w:val="none"/>
        </w:rPr>
        <w:t>供应商</w:t>
      </w:r>
    </w:p>
    <w:p>
      <w:pPr>
        <w:snapToGrid w:val="0"/>
        <w:spacing w:line="360" w:lineRule="auto"/>
        <w:ind w:left="546" w:leftChars="260"/>
        <w:rPr>
          <w:rFonts w:ascii="宋体" w:hAnsi="宋体"/>
          <w:color w:val="auto"/>
          <w:szCs w:val="21"/>
          <w:highlight w:val="none"/>
        </w:rPr>
      </w:pPr>
      <w:r>
        <w:rPr>
          <w:rFonts w:hint="eastAsia" w:ascii="宋体" w:hAnsi="宋体"/>
          <w:color w:val="auto"/>
          <w:szCs w:val="21"/>
          <w:highlight w:val="none"/>
        </w:rPr>
        <w:t>除联合体外（如允许），不同的</w:t>
      </w:r>
      <w:r>
        <w:rPr>
          <w:rFonts w:hint="eastAsia" w:ascii="宋体" w:hAnsi="宋体"/>
          <w:color w:val="auto"/>
          <w:highlight w:val="none"/>
        </w:rPr>
        <w:t>供应商</w:t>
      </w:r>
      <w:r>
        <w:rPr>
          <w:rFonts w:hint="eastAsia" w:ascii="宋体" w:hAnsi="宋体"/>
          <w:color w:val="auto"/>
          <w:szCs w:val="21"/>
          <w:highlight w:val="none"/>
        </w:rPr>
        <w:t>之间有下列情形之一的，不接受同时参与本采购项目竞争的</w:t>
      </w:r>
      <w:r>
        <w:rPr>
          <w:rFonts w:hint="eastAsia" w:ascii="宋体" w:hAnsi="宋体"/>
          <w:color w:val="auto"/>
          <w:highlight w:val="none"/>
        </w:rPr>
        <w:t>供应商</w:t>
      </w:r>
      <w:r>
        <w:rPr>
          <w:rFonts w:hint="eastAsia" w:ascii="宋体" w:hAnsi="宋体"/>
          <w:color w:val="auto"/>
          <w:szCs w:val="21"/>
          <w:highlight w:val="none"/>
        </w:rPr>
        <w:t>：</w:t>
      </w:r>
    </w:p>
    <w:p>
      <w:pPr>
        <w:numPr>
          <w:ilvl w:val="2"/>
          <w:numId w:val="7"/>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彼此存在投资与被投资关系的。</w:t>
      </w:r>
    </w:p>
    <w:p>
      <w:pPr>
        <w:numPr>
          <w:ilvl w:val="2"/>
          <w:numId w:val="7"/>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彼此的经营者、董事会（或同类管理机构）成员属于直系亲属或配偶关系的。</w:t>
      </w:r>
    </w:p>
    <w:p>
      <w:pPr>
        <w:numPr>
          <w:ilvl w:val="2"/>
          <w:numId w:val="7"/>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法定代表人或单位负责人为同一人或者存在控股、管理关系的不同单位，不接受作为参与同一采购项目竞争的</w:t>
      </w:r>
      <w:r>
        <w:rPr>
          <w:rFonts w:hint="eastAsia" w:ascii="宋体" w:hAnsi="宋体"/>
          <w:color w:val="auto"/>
          <w:highlight w:val="none"/>
        </w:rPr>
        <w:t>供应商</w:t>
      </w:r>
      <w:r>
        <w:rPr>
          <w:rFonts w:hint="eastAsia" w:ascii="宋体" w:hAnsi="宋体"/>
          <w:color w:val="auto"/>
          <w:szCs w:val="21"/>
          <w:highlight w:val="none"/>
        </w:rPr>
        <w:t>。</w:t>
      </w:r>
    </w:p>
    <w:p>
      <w:pPr>
        <w:numPr>
          <w:ilvl w:val="1"/>
          <w:numId w:val="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同一品牌同一型号的产品可由多家</w:t>
      </w:r>
      <w:r>
        <w:rPr>
          <w:rFonts w:hint="eastAsia" w:ascii="宋体" w:hAnsi="宋体"/>
          <w:color w:val="auto"/>
          <w:highlight w:val="none"/>
        </w:rPr>
        <w:t>供应商</w:t>
      </w:r>
      <w:r>
        <w:rPr>
          <w:rFonts w:hint="eastAsia" w:ascii="宋体" w:hAnsi="宋体"/>
          <w:color w:val="auto"/>
          <w:szCs w:val="21"/>
          <w:highlight w:val="none"/>
        </w:rPr>
        <w:t>参加竞争，但只作为一家</w:t>
      </w:r>
      <w:r>
        <w:rPr>
          <w:rFonts w:hint="eastAsia" w:ascii="宋体" w:hAnsi="宋体"/>
          <w:color w:val="auto"/>
          <w:highlight w:val="none"/>
        </w:rPr>
        <w:t>供应商</w:t>
      </w:r>
      <w:r>
        <w:rPr>
          <w:rFonts w:hint="eastAsia" w:ascii="宋体" w:hAnsi="宋体"/>
          <w:color w:val="auto"/>
          <w:szCs w:val="21"/>
          <w:highlight w:val="none"/>
        </w:rPr>
        <w:t>计算。同一品牌不同型号的产品由多家</w:t>
      </w:r>
      <w:r>
        <w:rPr>
          <w:rFonts w:hint="eastAsia" w:ascii="宋体" w:hAnsi="宋体"/>
          <w:color w:val="auto"/>
          <w:highlight w:val="none"/>
        </w:rPr>
        <w:t>供应商</w:t>
      </w:r>
      <w:r>
        <w:rPr>
          <w:rFonts w:hint="eastAsia" w:ascii="宋体" w:hAnsi="宋体"/>
          <w:color w:val="auto"/>
          <w:szCs w:val="21"/>
          <w:highlight w:val="none"/>
        </w:rPr>
        <w:t>参加竞争，作为不同的</w:t>
      </w:r>
      <w:r>
        <w:rPr>
          <w:rFonts w:hint="eastAsia" w:ascii="宋体" w:hAnsi="宋体"/>
          <w:color w:val="auto"/>
          <w:highlight w:val="none"/>
        </w:rPr>
        <w:t>供应商</w:t>
      </w:r>
      <w:r>
        <w:rPr>
          <w:rFonts w:hint="eastAsia" w:ascii="宋体" w:hAnsi="宋体"/>
          <w:color w:val="auto"/>
          <w:szCs w:val="21"/>
          <w:highlight w:val="none"/>
        </w:rPr>
        <w:t>计算。</w:t>
      </w:r>
    </w:p>
    <w:p>
      <w:pPr>
        <w:numPr>
          <w:ilvl w:val="0"/>
          <w:numId w:val="7"/>
        </w:numPr>
        <w:autoSpaceDE w:val="0"/>
        <w:autoSpaceDN w:val="0"/>
        <w:adjustRightInd w:val="0"/>
        <w:snapToGrid w:val="0"/>
        <w:spacing w:line="360" w:lineRule="auto"/>
        <w:outlineLvl w:val="0"/>
        <w:rPr>
          <w:rFonts w:ascii="宋体" w:hAnsi="宋体"/>
          <w:b/>
          <w:bCs/>
          <w:color w:val="auto"/>
          <w:sz w:val="24"/>
          <w:highlight w:val="none"/>
        </w:rPr>
      </w:pPr>
      <w:bookmarkStart w:id="58" w:name="_Toc475104472"/>
      <w:bookmarkStart w:id="59" w:name="_Toc333236630"/>
      <w:bookmarkStart w:id="60" w:name="_Toc363737686"/>
      <w:bookmarkStart w:id="61" w:name="_Toc323110980"/>
      <w:bookmarkStart w:id="62" w:name="_Toc315793455"/>
      <w:bookmarkStart w:id="63" w:name="_Toc320515021"/>
      <w:bookmarkStart w:id="64" w:name="_Toc320515070"/>
      <w:bookmarkStart w:id="65" w:name="_Toc322680347"/>
      <w:r>
        <w:rPr>
          <w:rFonts w:hint="eastAsia" w:ascii="宋体" w:hAnsi="宋体"/>
          <w:b/>
          <w:bCs/>
          <w:color w:val="auto"/>
          <w:sz w:val="24"/>
          <w:highlight w:val="none"/>
        </w:rPr>
        <w:t>合格的服务和货物</w:t>
      </w:r>
      <w:bookmarkEnd w:id="58"/>
      <w:bookmarkEnd w:id="59"/>
      <w:bookmarkEnd w:id="60"/>
    </w:p>
    <w:p>
      <w:pPr>
        <w:numPr>
          <w:ilvl w:val="1"/>
          <w:numId w:val="7"/>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“服务” 是指</w:t>
      </w:r>
      <w:r>
        <w:rPr>
          <w:rFonts w:hint="eastAsia" w:ascii="宋体" w:hAnsi="宋体"/>
          <w:color w:val="auto"/>
          <w:highlight w:val="none"/>
        </w:rPr>
        <w:t>供应商</w:t>
      </w:r>
      <w:r>
        <w:rPr>
          <w:rFonts w:hint="eastAsia" w:ascii="宋体" w:hAnsi="宋体"/>
          <w:color w:val="auto"/>
          <w:szCs w:val="21"/>
          <w:highlight w:val="none"/>
        </w:rPr>
        <w:t>按竞争性磋商文件规定完成的全部服务内容，其中包括完成服务所需的货物，及须承担的技术支持、培训和其它伴随服务。</w:t>
      </w:r>
    </w:p>
    <w:p>
      <w:pPr>
        <w:numPr>
          <w:ilvl w:val="1"/>
          <w:numId w:val="7"/>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“货物”是指</w:t>
      </w:r>
      <w:r>
        <w:rPr>
          <w:rFonts w:hint="eastAsia" w:ascii="宋体" w:hAnsi="宋体"/>
          <w:color w:val="auto"/>
          <w:highlight w:val="none"/>
        </w:rPr>
        <w:t>供应商</w:t>
      </w:r>
      <w:r>
        <w:rPr>
          <w:rFonts w:hint="eastAsia" w:ascii="宋体" w:hAnsi="宋体"/>
          <w:color w:val="auto"/>
          <w:szCs w:val="21"/>
          <w:highlight w:val="none"/>
        </w:rPr>
        <w:t>制造或组织符合竞争性磋商文件要求的货物等。提供的货物必须是其合法生产、合法来源的符合国家有关标准要求的货物，并满足竞争性磋商文件规定的规格、参数、质量、价格、有效期、售后服务等要求。</w:t>
      </w:r>
    </w:p>
    <w:p>
      <w:pPr>
        <w:numPr>
          <w:ilvl w:val="1"/>
          <w:numId w:val="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提供的所有服务，其质量、技术等特征必须符合国家、行业现行法律、法规的相关标准和《中华人民共和国政府采购法》的有关规定及用户需求。</w:t>
      </w:r>
    </w:p>
    <w:p>
      <w:pPr>
        <w:numPr>
          <w:ilvl w:val="1"/>
          <w:numId w:val="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采购人有权拒绝接受任何不合格的服务，由此产生的费用及相关后果均由</w:t>
      </w:r>
      <w:r>
        <w:rPr>
          <w:rFonts w:hint="eastAsia" w:ascii="宋体" w:hAnsi="宋体"/>
          <w:color w:val="auto"/>
          <w:highlight w:val="none"/>
        </w:rPr>
        <w:t>供应商</w:t>
      </w:r>
      <w:r>
        <w:rPr>
          <w:rFonts w:hint="eastAsia" w:ascii="宋体" w:hAnsi="宋体"/>
          <w:color w:val="auto"/>
          <w:szCs w:val="21"/>
          <w:highlight w:val="none"/>
        </w:rPr>
        <w:t>自行承担。</w:t>
      </w:r>
    </w:p>
    <w:p>
      <w:pPr>
        <w:numPr>
          <w:ilvl w:val="1"/>
          <w:numId w:val="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应保证为本项目提供的技术、服务或其任何一部分不会产生因第三方提出侵犯其专利权、商标权或其他知识产权而引起的法律和经济纠纷；如果</w:t>
      </w:r>
      <w:r>
        <w:rPr>
          <w:rFonts w:hint="eastAsia" w:ascii="宋体" w:hAnsi="宋体"/>
          <w:color w:val="auto"/>
          <w:highlight w:val="none"/>
        </w:rPr>
        <w:t>供应商</w:t>
      </w:r>
      <w:r>
        <w:rPr>
          <w:rFonts w:hint="eastAsia" w:ascii="宋体" w:hAnsi="宋体"/>
          <w:color w:val="auto"/>
          <w:szCs w:val="21"/>
          <w:highlight w:val="none"/>
        </w:rPr>
        <w:t>不拥有相应的知识产权，则须在报价中包括合法获取该知识产权的相关费用，并在响应文件中附有相关证明文件。如因第三方提出其专利权、商标权或其他知识产权的侵权之诉，则一切法律责任由</w:t>
      </w:r>
      <w:r>
        <w:rPr>
          <w:rFonts w:hint="eastAsia" w:ascii="宋体" w:hAnsi="宋体"/>
          <w:color w:val="auto"/>
          <w:highlight w:val="none"/>
        </w:rPr>
        <w:t>供应商</w:t>
      </w:r>
      <w:r>
        <w:rPr>
          <w:rFonts w:hint="eastAsia" w:ascii="宋体" w:hAnsi="宋体"/>
          <w:color w:val="auto"/>
          <w:szCs w:val="21"/>
          <w:highlight w:val="none"/>
        </w:rPr>
        <w:t>承担。</w:t>
      </w:r>
    </w:p>
    <w:p>
      <w:pPr>
        <w:numPr>
          <w:ilvl w:val="0"/>
          <w:numId w:val="7"/>
        </w:numPr>
        <w:autoSpaceDE w:val="0"/>
        <w:autoSpaceDN w:val="0"/>
        <w:adjustRightInd w:val="0"/>
        <w:snapToGrid w:val="0"/>
        <w:spacing w:line="360" w:lineRule="auto"/>
        <w:outlineLvl w:val="0"/>
        <w:rPr>
          <w:rFonts w:ascii="宋体" w:hAnsi="宋体"/>
          <w:b/>
          <w:bCs/>
          <w:color w:val="auto"/>
          <w:sz w:val="24"/>
          <w:highlight w:val="none"/>
        </w:rPr>
      </w:pPr>
      <w:bookmarkStart w:id="66" w:name="_Toc363737687"/>
      <w:bookmarkStart w:id="67" w:name="_Toc475104473"/>
      <w:r>
        <w:rPr>
          <w:rFonts w:hint="eastAsia" w:ascii="宋体" w:hAnsi="宋体"/>
          <w:b/>
          <w:bCs/>
          <w:color w:val="auto"/>
          <w:sz w:val="24"/>
          <w:highlight w:val="none"/>
        </w:rPr>
        <w:t>磋商费用</w:t>
      </w:r>
      <w:bookmarkEnd w:id="61"/>
      <w:bookmarkEnd w:id="62"/>
      <w:bookmarkEnd w:id="63"/>
      <w:bookmarkEnd w:id="64"/>
      <w:bookmarkEnd w:id="65"/>
      <w:bookmarkEnd w:id="66"/>
      <w:bookmarkEnd w:id="67"/>
    </w:p>
    <w:p>
      <w:pPr>
        <w:numPr>
          <w:ilvl w:val="1"/>
          <w:numId w:val="7"/>
        </w:numPr>
        <w:autoSpaceDE w:val="0"/>
        <w:autoSpaceDN w:val="0"/>
        <w:adjustRightInd w:val="0"/>
        <w:snapToGrid w:val="0"/>
        <w:spacing w:line="360" w:lineRule="auto"/>
        <w:jc w:val="left"/>
        <w:rPr>
          <w:rFonts w:ascii="宋体" w:hAnsi="宋体"/>
          <w:b/>
          <w:bCs/>
          <w:color w:val="auto"/>
          <w:szCs w:val="21"/>
          <w:highlight w:val="none"/>
        </w:rPr>
      </w:pPr>
      <w:bookmarkStart w:id="68" w:name="_Toc322680348"/>
      <w:bookmarkStart w:id="69" w:name="_Toc320515071"/>
      <w:bookmarkStart w:id="70" w:name="_Toc323110981"/>
      <w:bookmarkStart w:id="71" w:name="_Toc320515022"/>
      <w:bookmarkStart w:id="72" w:name="_Toc315793456"/>
      <w:r>
        <w:rPr>
          <w:rFonts w:hint="eastAsia" w:ascii="宋体" w:hAnsi="宋体"/>
          <w:color w:val="auto"/>
          <w:highlight w:val="none"/>
        </w:rPr>
        <w:t>供应商</w:t>
      </w:r>
      <w:r>
        <w:rPr>
          <w:rFonts w:hint="eastAsia" w:ascii="宋体" w:hAnsi="宋体" w:cs="宋体"/>
          <w:color w:val="auto"/>
          <w:szCs w:val="21"/>
          <w:highlight w:val="none"/>
        </w:rPr>
        <w:t>应承担所有与编写磋商</w:t>
      </w:r>
      <w:r>
        <w:rPr>
          <w:rFonts w:hint="eastAsia" w:ascii="宋体" w:hAnsi="宋体"/>
          <w:color w:val="auto"/>
          <w:highlight w:val="none"/>
        </w:rPr>
        <w:t>响应</w:t>
      </w:r>
      <w:r>
        <w:rPr>
          <w:rFonts w:hint="eastAsia" w:ascii="宋体" w:hAnsi="宋体" w:cs="宋体"/>
          <w:color w:val="auto"/>
          <w:szCs w:val="21"/>
          <w:highlight w:val="none"/>
        </w:rPr>
        <w:t>文件和参加报价的所有费用，不论磋商的结果如何，采购代理机构和采购人在任何情况下均无义务和责任承担这些费用。</w:t>
      </w:r>
      <w:bookmarkEnd w:id="68"/>
      <w:bookmarkEnd w:id="69"/>
      <w:bookmarkEnd w:id="70"/>
      <w:bookmarkEnd w:id="71"/>
    </w:p>
    <w:bookmarkEnd w:id="72"/>
    <w:p>
      <w:pPr>
        <w:numPr>
          <w:ilvl w:val="0"/>
          <w:numId w:val="6"/>
        </w:numPr>
        <w:autoSpaceDE w:val="0"/>
        <w:autoSpaceDN w:val="0"/>
        <w:adjustRightInd w:val="0"/>
        <w:snapToGrid w:val="0"/>
        <w:spacing w:before="240" w:beforeLines="100" w:after="240" w:afterLines="100" w:line="360" w:lineRule="auto"/>
        <w:ind w:left="601" w:hanging="601"/>
        <w:jc w:val="center"/>
        <w:outlineLvl w:val="0"/>
        <w:rPr>
          <w:rFonts w:ascii="宋体" w:hAnsi="宋体"/>
          <w:b/>
          <w:color w:val="auto"/>
          <w:sz w:val="28"/>
          <w:szCs w:val="28"/>
          <w:highlight w:val="none"/>
          <w:lang w:eastAsia="zh-TW"/>
        </w:rPr>
      </w:pPr>
      <w:bookmarkStart w:id="73" w:name="_Toc475104474"/>
      <w:r>
        <w:rPr>
          <w:rFonts w:hint="eastAsia" w:ascii="宋体" w:hAnsi="宋体"/>
          <w:b/>
          <w:color w:val="auto"/>
          <w:sz w:val="28"/>
          <w:szCs w:val="28"/>
          <w:highlight w:val="none"/>
          <w:lang w:eastAsia="zh-TW"/>
        </w:rPr>
        <w:t>竞争性磋商文件</w:t>
      </w:r>
      <w:bookmarkEnd w:id="73"/>
    </w:p>
    <w:p>
      <w:pPr>
        <w:numPr>
          <w:ilvl w:val="0"/>
          <w:numId w:val="7"/>
        </w:numPr>
        <w:autoSpaceDE w:val="0"/>
        <w:autoSpaceDN w:val="0"/>
        <w:adjustRightInd w:val="0"/>
        <w:snapToGrid w:val="0"/>
        <w:spacing w:line="360" w:lineRule="auto"/>
        <w:outlineLvl w:val="0"/>
        <w:rPr>
          <w:rFonts w:ascii="宋体" w:hAnsi="宋体"/>
          <w:b/>
          <w:bCs/>
          <w:color w:val="auto"/>
          <w:sz w:val="24"/>
          <w:highlight w:val="none"/>
        </w:rPr>
      </w:pPr>
      <w:bookmarkStart w:id="74" w:name="_Toc315793458"/>
      <w:bookmarkStart w:id="75" w:name="_Toc320515024"/>
      <w:bookmarkStart w:id="76" w:name="_Toc475104475"/>
      <w:bookmarkStart w:id="77" w:name="_Toc363737689"/>
      <w:bookmarkStart w:id="78" w:name="_Toc320515073"/>
      <w:bookmarkStart w:id="79" w:name="_Toc323110983"/>
      <w:bookmarkStart w:id="80" w:name="_Toc322680350"/>
      <w:r>
        <w:rPr>
          <w:rFonts w:hint="eastAsia" w:ascii="宋体" w:hAnsi="宋体"/>
          <w:b/>
          <w:bCs/>
          <w:color w:val="auto"/>
          <w:sz w:val="24"/>
          <w:highlight w:val="none"/>
        </w:rPr>
        <w:t>竞争性磋商文件的编制依据与构成</w:t>
      </w:r>
      <w:bookmarkEnd w:id="74"/>
      <w:bookmarkEnd w:id="75"/>
      <w:bookmarkEnd w:id="76"/>
      <w:bookmarkEnd w:id="77"/>
      <w:bookmarkEnd w:id="78"/>
      <w:bookmarkEnd w:id="79"/>
      <w:bookmarkEnd w:id="80"/>
    </w:p>
    <w:p>
      <w:pPr>
        <w:numPr>
          <w:ilvl w:val="1"/>
          <w:numId w:val="7"/>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本竞争性磋商文件的编制依据是《中华人民共和国政府采购法》、</w:t>
      </w:r>
      <w:r>
        <w:rPr>
          <w:rFonts w:hint="eastAsia" w:ascii="宋体" w:hAnsi="宋体"/>
          <w:color w:val="auto"/>
          <w:szCs w:val="21"/>
          <w:highlight w:val="none"/>
        </w:rPr>
        <w:t>中华人民共和国财政部令第74号《政府采购非招标采购方式管理办法》、中华人民共和国政府采购法实施条例、</w:t>
      </w:r>
      <w:r>
        <w:rPr>
          <w:rFonts w:hint="eastAsia" w:ascii="宋体" w:hAnsi="宋体" w:cs="宋体"/>
          <w:color w:val="auto"/>
          <w:szCs w:val="21"/>
          <w:highlight w:val="none"/>
        </w:rPr>
        <w:t>《政府采购竞争性磋商管理办法》（财库[2014]214号）和《广东省实施〈中华人民共和国政府采购法〉办法》。</w:t>
      </w:r>
    </w:p>
    <w:p>
      <w:pPr>
        <w:numPr>
          <w:ilvl w:val="1"/>
          <w:numId w:val="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要求提供的货物或服务、采购过程和合同条件在竞争性磋商文件中均有说明。竞争性磋商文件以中文文字编写。</w:t>
      </w:r>
    </w:p>
    <w:p>
      <w:pPr>
        <w:numPr>
          <w:ilvl w:val="1"/>
          <w:numId w:val="7"/>
        </w:numPr>
        <w:spacing w:line="360" w:lineRule="auto"/>
        <w:outlineLvl w:val="3"/>
        <w:rPr>
          <w:rFonts w:ascii="宋体" w:hAnsi="宋体" w:cs="宋体"/>
          <w:color w:val="auto"/>
          <w:szCs w:val="21"/>
          <w:highlight w:val="none"/>
          <w:lang w:eastAsia="zh-TW"/>
        </w:rPr>
      </w:pPr>
      <w:r>
        <w:rPr>
          <w:rFonts w:hint="eastAsia" w:ascii="宋体" w:hAnsi="宋体" w:cs="宋体"/>
          <w:color w:val="auto"/>
          <w:szCs w:val="21"/>
          <w:highlight w:val="none"/>
          <w:lang w:eastAsia="zh-TW"/>
        </w:rPr>
        <w:t>竞争性磋商文件的组成</w:t>
      </w:r>
    </w:p>
    <w:p>
      <w:pPr>
        <w:spacing w:line="360" w:lineRule="auto"/>
        <w:ind w:firstLine="240"/>
        <w:rPr>
          <w:rFonts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邀请</w:t>
      </w:r>
    </w:p>
    <w:p>
      <w:pPr>
        <w:spacing w:line="360" w:lineRule="auto"/>
        <w:ind w:firstLine="240"/>
        <w:rPr>
          <w:rFonts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须知</w:t>
      </w:r>
    </w:p>
    <w:p>
      <w:pPr>
        <w:spacing w:line="360" w:lineRule="auto"/>
        <w:ind w:firstLine="240"/>
        <w:rPr>
          <w:rFonts w:ascii="宋体" w:hAnsi="宋体"/>
          <w:color w:val="auto"/>
          <w:szCs w:val="21"/>
          <w:highlight w:val="none"/>
        </w:rPr>
      </w:pPr>
      <w:r>
        <w:rPr>
          <w:rFonts w:ascii="宋体" w:hAnsi="宋体"/>
          <w:color w:val="auto"/>
          <w:szCs w:val="21"/>
          <w:highlight w:val="none"/>
        </w:rPr>
        <w:t>（3）</w:t>
      </w:r>
      <w:r>
        <w:rPr>
          <w:rFonts w:hint="eastAsia" w:ascii="宋体" w:hAnsi="宋体"/>
          <w:color w:val="auto"/>
          <w:szCs w:val="21"/>
          <w:highlight w:val="none"/>
        </w:rPr>
        <w:t>采购人需求书</w:t>
      </w:r>
    </w:p>
    <w:p>
      <w:pPr>
        <w:spacing w:line="360" w:lineRule="auto"/>
        <w:ind w:firstLine="240"/>
        <w:rPr>
          <w:rFonts w:ascii="宋体" w:hAnsi="宋体"/>
          <w:color w:val="auto"/>
          <w:szCs w:val="21"/>
          <w:highlight w:val="none"/>
        </w:rPr>
      </w:pPr>
      <w:r>
        <w:rPr>
          <w:rFonts w:ascii="宋体" w:hAnsi="宋体"/>
          <w:color w:val="auto"/>
          <w:szCs w:val="21"/>
          <w:highlight w:val="none"/>
        </w:rPr>
        <w:t>（4）</w:t>
      </w:r>
      <w:r>
        <w:rPr>
          <w:rFonts w:hint="eastAsia" w:ascii="宋体" w:hAnsi="宋体"/>
          <w:color w:val="auto"/>
          <w:szCs w:val="21"/>
          <w:highlight w:val="none"/>
        </w:rPr>
        <w:t>政府采购合同（样本）</w:t>
      </w:r>
    </w:p>
    <w:p>
      <w:pPr>
        <w:spacing w:line="360" w:lineRule="auto"/>
        <w:ind w:firstLine="240"/>
        <w:rPr>
          <w:rFonts w:ascii="宋体" w:hAnsi="宋体"/>
          <w:color w:val="auto"/>
          <w:szCs w:val="21"/>
          <w:highlight w:val="none"/>
        </w:rPr>
      </w:pPr>
      <w:r>
        <w:rPr>
          <w:rFonts w:hint="eastAsia" w:ascii="宋体" w:hAnsi="宋体"/>
          <w:color w:val="auto"/>
          <w:szCs w:val="21"/>
          <w:highlight w:val="none"/>
        </w:rPr>
        <w:t>（5）附件（格式）</w:t>
      </w:r>
    </w:p>
    <w:p>
      <w:pPr>
        <w:spacing w:line="360" w:lineRule="auto"/>
        <w:ind w:firstLine="240"/>
        <w:rPr>
          <w:rFonts w:ascii="宋体" w:hAnsi="宋体"/>
          <w:color w:val="auto"/>
          <w:szCs w:val="21"/>
          <w:highlight w:val="none"/>
        </w:rPr>
      </w:pPr>
      <w:r>
        <w:rPr>
          <w:rFonts w:hint="eastAsia" w:ascii="宋体" w:hAnsi="宋体"/>
          <w:color w:val="auto"/>
          <w:szCs w:val="21"/>
          <w:highlight w:val="none"/>
        </w:rPr>
        <w:t>★（6）</w:t>
      </w:r>
      <w:r>
        <w:rPr>
          <w:rFonts w:hint="eastAsia" w:ascii="宋体" w:hAnsi="宋体" w:cs="宋体"/>
          <w:color w:val="auto"/>
          <w:szCs w:val="21"/>
          <w:highlight w:val="none"/>
        </w:rPr>
        <w:t>清单报价表</w:t>
      </w:r>
      <w:r>
        <w:rPr>
          <w:rFonts w:hint="eastAsia" w:ascii="宋体" w:hAnsi="宋体"/>
          <w:color w:val="auto"/>
          <w:szCs w:val="21"/>
          <w:highlight w:val="none"/>
        </w:rPr>
        <w:t>（另册）</w:t>
      </w:r>
    </w:p>
    <w:p>
      <w:pPr>
        <w:spacing w:line="360" w:lineRule="auto"/>
        <w:ind w:firstLine="240"/>
        <w:rPr>
          <w:rFonts w:ascii="宋体" w:hAnsi="宋体"/>
          <w:color w:val="auto"/>
          <w:szCs w:val="21"/>
          <w:highlight w:val="none"/>
        </w:rPr>
      </w:pPr>
      <w:r>
        <w:rPr>
          <w:rFonts w:hint="eastAsia" w:ascii="宋体" w:hAnsi="宋体"/>
          <w:color w:val="auto"/>
          <w:szCs w:val="21"/>
          <w:highlight w:val="none"/>
        </w:rPr>
        <w:t>★投标人《</w:t>
      </w:r>
      <w:r>
        <w:rPr>
          <w:rFonts w:hint="eastAsia" w:ascii="宋体" w:hAnsi="宋体" w:cs="宋体"/>
          <w:color w:val="auto"/>
          <w:szCs w:val="21"/>
          <w:highlight w:val="none"/>
        </w:rPr>
        <w:t>清单报价表</w:t>
      </w:r>
      <w:r>
        <w:rPr>
          <w:rFonts w:hint="eastAsia" w:ascii="宋体" w:hAnsi="宋体"/>
          <w:color w:val="auto"/>
          <w:szCs w:val="21"/>
          <w:highlight w:val="none"/>
        </w:rPr>
        <w:t>》正本须用采购人提供的原件手工填写（含封面），并逐页加盖法人公章确认，投标人不得修改《</w:t>
      </w:r>
      <w:r>
        <w:rPr>
          <w:rFonts w:hint="eastAsia" w:ascii="宋体" w:hAnsi="宋体" w:cs="宋体"/>
          <w:color w:val="auto"/>
          <w:szCs w:val="21"/>
          <w:highlight w:val="none"/>
        </w:rPr>
        <w:t>清单报价表</w:t>
      </w:r>
      <w:r>
        <w:rPr>
          <w:rFonts w:hint="eastAsia" w:ascii="宋体" w:hAnsi="宋体"/>
          <w:color w:val="auto"/>
          <w:szCs w:val="21"/>
          <w:highlight w:val="none"/>
        </w:rPr>
        <w:t>》中项目内容及工程数量；副本可以采用正本复印并逐页加盖法人公章确认。</w:t>
      </w:r>
    </w:p>
    <w:p>
      <w:pPr>
        <w:numPr>
          <w:ilvl w:val="1"/>
          <w:numId w:val="7"/>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应认真阅读、并充分理解竞争性磋商文件的全部内容（包括所有的补充、修改内容、重要事项、格式、条款和技术规范、参数及要求等）。</w:t>
      </w:r>
      <w:r>
        <w:rPr>
          <w:rFonts w:hint="eastAsia" w:ascii="宋体" w:hAnsi="宋体"/>
          <w:color w:val="auto"/>
          <w:highlight w:val="none"/>
        </w:rPr>
        <w:t>供应商</w:t>
      </w:r>
      <w:r>
        <w:rPr>
          <w:rFonts w:hint="eastAsia" w:ascii="宋体" w:hAnsi="宋体" w:cs="宋体"/>
          <w:color w:val="auto"/>
          <w:szCs w:val="21"/>
          <w:highlight w:val="none"/>
        </w:rPr>
        <w:t>没有按照竞争性磋商文件要求提交全部资料，或者磋商响应文件没有对竞争性磋商文件在各方面都作出实质性响应是</w:t>
      </w:r>
      <w:r>
        <w:rPr>
          <w:rFonts w:hint="eastAsia" w:ascii="宋体" w:hAnsi="宋体"/>
          <w:color w:val="auto"/>
          <w:highlight w:val="none"/>
        </w:rPr>
        <w:t>供应商</w:t>
      </w:r>
      <w:r>
        <w:rPr>
          <w:rFonts w:hint="eastAsia" w:ascii="宋体" w:hAnsi="宋体" w:cs="宋体"/>
          <w:color w:val="auto"/>
          <w:szCs w:val="21"/>
          <w:highlight w:val="none"/>
        </w:rPr>
        <w:t>的风险，有可能导致其报价被拒绝，或被认定为无效响应。</w:t>
      </w:r>
    </w:p>
    <w:p>
      <w:pPr>
        <w:numPr>
          <w:ilvl w:val="0"/>
          <w:numId w:val="7"/>
        </w:numPr>
        <w:autoSpaceDE w:val="0"/>
        <w:autoSpaceDN w:val="0"/>
        <w:adjustRightInd w:val="0"/>
        <w:snapToGrid w:val="0"/>
        <w:spacing w:line="360" w:lineRule="auto"/>
        <w:outlineLvl w:val="0"/>
        <w:rPr>
          <w:rFonts w:ascii="宋体" w:hAnsi="宋体"/>
          <w:b/>
          <w:bCs/>
          <w:color w:val="auto"/>
          <w:sz w:val="24"/>
          <w:highlight w:val="none"/>
        </w:rPr>
      </w:pPr>
      <w:bookmarkStart w:id="81" w:name="_Toc322680351"/>
      <w:bookmarkStart w:id="82" w:name="_Toc475104476"/>
      <w:bookmarkStart w:id="83" w:name="_Toc315793459"/>
      <w:bookmarkStart w:id="84" w:name="_Toc320515074"/>
      <w:bookmarkStart w:id="85" w:name="_Toc363737690"/>
      <w:bookmarkStart w:id="86" w:name="_Toc320515025"/>
      <w:bookmarkStart w:id="87" w:name="_Toc323110984"/>
      <w:r>
        <w:rPr>
          <w:rFonts w:hint="eastAsia" w:ascii="宋体" w:hAnsi="宋体"/>
          <w:b/>
          <w:bCs/>
          <w:color w:val="auto"/>
          <w:sz w:val="24"/>
          <w:highlight w:val="none"/>
        </w:rPr>
        <w:t>竞争性磋商文件的澄清</w:t>
      </w:r>
      <w:bookmarkEnd w:id="81"/>
      <w:bookmarkEnd w:id="82"/>
      <w:bookmarkEnd w:id="83"/>
      <w:bookmarkEnd w:id="84"/>
      <w:bookmarkEnd w:id="85"/>
      <w:bookmarkEnd w:id="86"/>
      <w:bookmarkEnd w:id="87"/>
    </w:p>
    <w:p>
      <w:pPr>
        <w:numPr>
          <w:ilvl w:val="1"/>
          <w:numId w:val="7"/>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任何要求对竞争性磋商文件进行澄清的</w:t>
      </w:r>
      <w:r>
        <w:rPr>
          <w:rFonts w:hint="eastAsia" w:ascii="宋体" w:hAnsi="宋体"/>
          <w:color w:val="auto"/>
          <w:highlight w:val="none"/>
        </w:rPr>
        <w:t>供应商</w:t>
      </w:r>
      <w:r>
        <w:rPr>
          <w:rFonts w:hint="eastAsia" w:ascii="宋体" w:hAnsi="宋体" w:cs="宋体"/>
          <w:color w:val="auto"/>
          <w:szCs w:val="21"/>
          <w:highlight w:val="none"/>
        </w:rPr>
        <w:t>，均应以书面形式在磋商</w:t>
      </w:r>
      <w:r>
        <w:rPr>
          <w:rFonts w:hint="eastAsia" w:ascii="宋体" w:hAnsi="宋体"/>
          <w:color w:val="auto"/>
          <w:highlight w:val="none"/>
        </w:rPr>
        <w:t>响应</w:t>
      </w:r>
      <w:r>
        <w:rPr>
          <w:rFonts w:hint="eastAsia" w:ascii="宋体" w:hAnsi="宋体" w:cs="宋体"/>
          <w:color w:val="auto"/>
          <w:szCs w:val="21"/>
          <w:highlight w:val="none"/>
        </w:rPr>
        <w:t>文件递交截止时间前通知采购代理机构。采购代理机构将组织采购人对</w:t>
      </w:r>
      <w:r>
        <w:rPr>
          <w:rFonts w:hint="eastAsia" w:ascii="宋体" w:hAnsi="宋体"/>
          <w:color w:val="auto"/>
          <w:highlight w:val="none"/>
        </w:rPr>
        <w:t>供应商</w:t>
      </w:r>
      <w:r>
        <w:rPr>
          <w:rFonts w:hint="eastAsia" w:ascii="宋体" w:hAnsi="宋体" w:cs="宋体"/>
          <w:color w:val="auto"/>
          <w:szCs w:val="21"/>
          <w:highlight w:val="none"/>
        </w:rPr>
        <w:t>所要求澄清的内容均以书面形式予以答复。必要时，采购代理机构将组织相关专家召开答疑会，并将会议内容以书面形式发给每个购买竞争性磋商文件的潜在</w:t>
      </w:r>
      <w:r>
        <w:rPr>
          <w:rFonts w:hint="eastAsia" w:ascii="宋体" w:hAnsi="宋体"/>
          <w:color w:val="auto"/>
          <w:highlight w:val="none"/>
        </w:rPr>
        <w:t>供应商</w:t>
      </w:r>
      <w:r>
        <w:rPr>
          <w:rFonts w:hint="eastAsia" w:ascii="宋体" w:hAnsi="宋体" w:cs="宋体"/>
          <w:color w:val="auto"/>
          <w:szCs w:val="21"/>
          <w:highlight w:val="none"/>
        </w:rPr>
        <w:t>，答复中不包括问题的来源。</w:t>
      </w:r>
    </w:p>
    <w:p>
      <w:pPr>
        <w:numPr>
          <w:ilvl w:val="1"/>
          <w:numId w:val="7"/>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在规定的时间内未对竞争性磋商文件提出澄清或疑问的，采购代理机构将视其为无异议。对竞争性磋商文件中描述有歧意或前后不一致的地方，磋商小组有权进行评判，但对同一条款的评判应适用于每个</w:t>
      </w:r>
      <w:r>
        <w:rPr>
          <w:rFonts w:hint="eastAsia" w:ascii="宋体" w:hAnsi="宋体"/>
          <w:color w:val="auto"/>
          <w:highlight w:val="none"/>
        </w:rPr>
        <w:t>供应商</w:t>
      </w:r>
      <w:r>
        <w:rPr>
          <w:rFonts w:hint="eastAsia" w:ascii="宋体" w:hAnsi="宋体" w:cs="宋体"/>
          <w:color w:val="auto"/>
          <w:szCs w:val="21"/>
          <w:highlight w:val="none"/>
        </w:rPr>
        <w:t>。</w:t>
      </w:r>
    </w:p>
    <w:p>
      <w:pPr>
        <w:numPr>
          <w:ilvl w:val="1"/>
          <w:numId w:val="7"/>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除非需要，不举行项目集中答疑会或现场考察，如举行集中答疑会或现场考察的，则按以下规定：</w:t>
      </w:r>
    </w:p>
    <w:p>
      <w:pPr>
        <w:numPr>
          <w:ilvl w:val="2"/>
          <w:numId w:val="7"/>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在</w:t>
      </w:r>
      <w:r>
        <w:rPr>
          <w:rFonts w:hint="eastAsia" w:ascii="宋体" w:hAnsi="宋体" w:cs="黑体"/>
          <w:color w:val="auto"/>
          <w:szCs w:val="21"/>
          <w:highlight w:val="none"/>
        </w:rPr>
        <w:t>竞争性磋商邀请</w:t>
      </w:r>
      <w:r>
        <w:rPr>
          <w:rFonts w:hint="eastAsia" w:ascii="宋体" w:hAnsi="宋体" w:cs="宋体"/>
          <w:color w:val="auto"/>
          <w:szCs w:val="21"/>
          <w:highlight w:val="none"/>
        </w:rPr>
        <w:t>中规定的日期、时间和地点组织公开答疑会或现场考察；</w:t>
      </w:r>
    </w:p>
    <w:p>
      <w:pPr>
        <w:numPr>
          <w:ilvl w:val="2"/>
          <w:numId w:val="7"/>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对本项目提出的疑问，需在答疑会或现场考察召开日前至少一个工作日将问题清单以书面形式（加盖公章）提交至政府采购代理机构，</w:t>
      </w:r>
      <w:r>
        <w:rPr>
          <w:rFonts w:hint="eastAsia" w:ascii="宋体" w:hAnsi="宋体"/>
          <w:color w:val="auto"/>
          <w:highlight w:val="none"/>
        </w:rPr>
        <w:t>供应商</w:t>
      </w:r>
      <w:r>
        <w:rPr>
          <w:rFonts w:hint="eastAsia" w:ascii="宋体" w:hAnsi="宋体" w:cs="宋体"/>
          <w:color w:val="auto"/>
          <w:szCs w:val="21"/>
          <w:highlight w:val="none"/>
        </w:rPr>
        <w:t>授权代表于上述的时间和地点出席答疑会或现场考察。</w:t>
      </w:r>
    </w:p>
    <w:p>
      <w:pPr>
        <w:numPr>
          <w:ilvl w:val="2"/>
          <w:numId w:val="7"/>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已购买竞争性磋商文件的</w:t>
      </w:r>
      <w:r>
        <w:rPr>
          <w:rFonts w:hint="eastAsia" w:ascii="宋体" w:hAnsi="宋体"/>
          <w:color w:val="auto"/>
          <w:highlight w:val="none"/>
        </w:rPr>
        <w:t>供应商</w:t>
      </w:r>
      <w:r>
        <w:rPr>
          <w:rFonts w:hint="eastAsia" w:ascii="宋体" w:hAnsi="宋体" w:cs="宋体"/>
          <w:color w:val="auto"/>
          <w:szCs w:val="21"/>
          <w:highlight w:val="none"/>
        </w:rPr>
        <w:t>如不出席答疑会或现场考察视为对竞争性磋商文件所有内容无任何异议。</w:t>
      </w:r>
    </w:p>
    <w:p>
      <w:pPr>
        <w:numPr>
          <w:ilvl w:val="0"/>
          <w:numId w:val="7"/>
        </w:numPr>
        <w:autoSpaceDE w:val="0"/>
        <w:autoSpaceDN w:val="0"/>
        <w:adjustRightInd w:val="0"/>
        <w:snapToGrid w:val="0"/>
        <w:spacing w:line="360" w:lineRule="auto"/>
        <w:outlineLvl w:val="0"/>
        <w:rPr>
          <w:rFonts w:ascii="宋体" w:hAnsi="宋体"/>
          <w:b/>
          <w:bCs/>
          <w:color w:val="auto"/>
          <w:sz w:val="24"/>
          <w:highlight w:val="none"/>
        </w:rPr>
      </w:pPr>
      <w:bookmarkStart w:id="88" w:name="_Toc475104477"/>
      <w:bookmarkStart w:id="89" w:name="_Toc322680352"/>
      <w:bookmarkStart w:id="90" w:name="_Toc320515075"/>
      <w:bookmarkStart w:id="91" w:name="_Toc363737691"/>
      <w:bookmarkStart w:id="92" w:name="_Toc315793460"/>
      <w:bookmarkStart w:id="93" w:name="_Toc323110985"/>
      <w:bookmarkStart w:id="94" w:name="_Toc320515026"/>
      <w:r>
        <w:rPr>
          <w:rFonts w:hint="eastAsia" w:ascii="宋体" w:hAnsi="宋体"/>
          <w:b/>
          <w:bCs/>
          <w:color w:val="auto"/>
          <w:sz w:val="24"/>
          <w:highlight w:val="none"/>
        </w:rPr>
        <w:t>竞争性磋商文件的修改</w:t>
      </w:r>
      <w:bookmarkEnd w:id="88"/>
      <w:bookmarkEnd w:id="89"/>
      <w:bookmarkEnd w:id="90"/>
      <w:bookmarkEnd w:id="91"/>
      <w:bookmarkEnd w:id="92"/>
      <w:bookmarkEnd w:id="93"/>
      <w:bookmarkEnd w:id="94"/>
    </w:p>
    <w:p>
      <w:pPr>
        <w:numPr>
          <w:ilvl w:val="1"/>
          <w:numId w:val="7"/>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cs="宋体"/>
          <w:color w:val="auto"/>
          <w:szCs w:val="21"/>
          <w:highlight w:val="none"/>
        </w:rPr>
        <w:t>无论出于何种原因，采购代理机构可主动地或在解答</w:t>
      </w:r>
      <w:r>
        <w:rPr>
          <w:rFonts w:hint="eastAsia" w:ascii="宋体" w:hAnsi="宋体"/>
          <w:color w:val="auto"/>
          <w:highlight w:val="none"/>
        </w:rPr>
        <w:t>供应商</w:t>
      </w:r>
      <w:r>
        <w:rPr>
          <w:rFonts w:hint="eastAsia" w:ascii="宋体" w:hAnsi="宋体" w:cs="宋体"/>
          <w:color w:val="auto"/>
          <w:szCs w:val="21"/>
          <w:highlight w:val="none"/>
        </w:rPr>
        <w:t>提出的疑问时对竞争性磋商文件进行修改，政府采购代理机构对已发出的竞争性磋商文件进行必要修改的，应当</w:t>
      </w:r>
      <w:r>
        <w:rPr>
          <w:rFonts w:hint="eastAsia" w:ascii="宋体" w:hAnsi="宋体"/>
          <w:color w:val="auto"/>
          <w:szCs w:val="21"/>
          <w:highlight w:val="none"/>
        </w:rPr>
        <w:t>于</w:t>
      </w:r>
      <w:r>
        <w:rPr>
          <w:rFonts w:hint="eastAsia" w:ascii="宋体" w:hAnsi="宋体" w:cs="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文件递交</w:t>
      </w:r>
      <w:r>
        <w:rPr>
          <w:rFonts w:hint="eastAsia" w:ascii="宋体" w:hAnsi="宋体"/>
          <w:color w:val="auto"/>
          <w:szCs w:val="21"/>
          <w:highlight w:val="none"/>
        </w:rPr>
        <w:t>截止</w:t>
      </w:r>
      <w:r>
        <w:rPr>
          <w:rFonts w:hint="eastAsia" w:ascii="宋体" w:hAnsi="宋体" w:cs="宋体"/>
          <w:color w:val="auto"/>
          <w:szCs w:val="21"/>
          <w:highlight w:val="none"/>
        </w:rPr>
        <w:t>时间</w:t>
      </w:r>
      <w:r>
        <w:rPr>
          <w:rFonts w:hint="eastAsia" w:ascii="宋体" w:hAnsi="宋体"/>
          <w:color w:val="auto"/>
          <w:szCs w:val="21"/>
          <w:highlight w:val="none"/>
        </w:rPr>
        <w:t>前</w:t>
      </w:r>
      <w:r>
        <w:rPr>
          <w:rFonts w:hint="eastAsia" w:ascii="宋体" w:hAnsi="宋体"/>
          <w:bCs/>
          <w:color w:val="auto"/>
          <w:szCs w:val="21"/>
          <w:highlight w:val="none"/>
        </w:rPr>
        <w:t>在政府采购指定媒体上发布公告</w:t>
      </w:r>
      <w:r>
        <w:rPr>
          <w:rFonts w:ascii="宋体" w:hAnsi="宋体"/>
          <w:color w:val="auto"/>
          <w:szCs w:val="21"/>
          <w:highlight w:val="none"/>
        </w:rPr>
        <w:t>通知所有</w:t>
      </w:r>
      <w:r>
        <w:rPr>
          <w:rFonts w:hint="eastAsia" w:ascii="宋体" w:hAnsi="宋体"/>
          <w:color w:val="auto"/>
          <w:szCs w:val="21"/>
          <w:highlight w:val="none"/>
        </w:rPr>
        <w:t>已获取竞争性磋商文件的</w:t>
      </w:r>
      <w:r>
        <w:rPr>
          <w:rFonts w:hint="eastAsia" w:ascii="宋体" w:hAnsi="宋体"/>
          <w:color w:val="auto"/>
          <w:highlight w:val="none"/>
        </w:rPr>
        <w:t>供应商</w:t>
      </w:r>
      <w:r>
        <w:rPr>
          <w:rFonts w:hint="eastAsia" w:ascii="宋体" w:hAnsi="宋体"/>
          <w:bCs/>
          <w:color w:val="auto"/>
          <w:szCs w:val="21"/>
          <w:highlight w:val="none"/>
        </w:rPr>
        <w:t>，</w:t>
      </w:r>
      <w:r>
        <w:rPr>
          <w:rFonts w:hint="eastAsia" w:ascii="宋体" w:hAnsi="宋体"/>
          <w:color w:val="auto"/>
          <w:highlight w:val="none"/>
        </w:rPr>
        <w:t>供应商</w:t>
      </w:r>
      <w:r>
        <w:rPr>
          <w:rFonts w:hint="eastAsia" w:ascii="宋体" w:hAnsi="宋体"/>
          <w:color w:val="auto"/>
          <w:szCs w:val="21"/>
          <w:highlight w:val="none"/>
        </w:rPr>
        <w:t>在收到</w:t>
      </w:r>
      <w:r>
        <w:rPr>
          <w:rFonts w:hint="eastAsia" w:ascii="宋体" w:hAnsi="宋体"/>
          <w:bCs/>
          <w:color w:val="auto"/>
          <w:szCs w:val="21"/>
          <w:highlight w:val="none"/>
        </w:rPr>
        <w:t>补充</w:t>
      </w:r>
      <w:r>
        <w:rPr>
          <w:rFonts w:ascii="宋体" w:hAnsi="宋体"/>
          <w:color w:val="auto"/>
          <w:szCs w:val="21"/>
          <w:highlight w:val="none"/>
        </w:rPr>
        <w:t>或修改</w:t>
      </w:r>
      <w:r>
        <w:rPr>
          <w:rFonts w:hint="eastAsia" w:ascii="宋体" w:hAnsi="宋体"/>
          <w:color w:val="auto"/>
          <w:szCs w:val="21"/>
          <w:highlight w:val="none"/>
        </w:rPr>
        <w:t>通知后应立即以书面形式予以确认，</w:t>
      </w:r>
      <w:r>
        <w:rPr>
          <w:rFonts w:ascii="宋体" w:hAnsi="宋体"/>
          <w:color w:val="auto"/>
          <w:szCs w:val="21"/>
          <w:highlight w:val="none"/>
        </w:rPr>
        <w:t>该</w:t>
      </w:r>
      <w:r>
        <w:rPr>
          <w:rFonts w:hint="eastAsia" w:ascii="宋体" w:hAnsi="宋体"/>
          <w:bCs/>
          <w:color w:val="auto"/>
          <w:szCs w:val="21"/>
          <w:highlight w:val="none"/>
        </w:rPr>
        <w:t>补充</w:t>
      </w:r>
      <w:r>
        <w:rPr>
          <w:rFonts w:ascii="宋体" w:hAnsi="宋体"/>
          <w:color w:val="auto"/>
          <w:szCs w:val="21"/>
          <w:highlight w:val="none"/>
        </w:rPr>
        <w:t>或修改的内容为竞争性磋商文件的组成部分</w:t>
      </w:r>
      <w:r>
        <w:rPr>
          <w:rFonts w:hint="eastAsia" w:ascii="宋体" w:hAnsi="宋体"/>
          <w:color w:val="auto"/>
          <w:szCs w:val="21"/>
          <w:highlight w:val="none"/>
        </w:rPr>
        <w:t>。</w:t>
      </w:r>
    </w:p>
    <w:p>
      <w:pPr>
        <w:numPr>
          <w:ilvl w:val="1"/>
          <w:numId w:val="7"/>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bCs/>
          <w:color w:val="auto"/>
          <w:szCs w:val="21"/>
          <w:highlight w:val="none"/>
        </w:rPr>
        <w:t>根据采购项目的具体情况，采购代理机构可延长磋商响应文件递交截止时间和磋商时间，但至少应当在规定的磋商响应文件递交截止时间至少</w:t>
      </w:r>
      <w:r>
        <w:rPr>
          <w:rStyle w:val="95"/>
          <w:rFonts w:hint="eastAsia"/>
          <w:color w:val="auto"/>
          <w:highlight w:val="none"/>
        </w:rPr>
        <w:t>五</w:t>
      </w:r>
      <w:r>
        <w:rPr>
          <w:rFonts w:hint="eastAsia" w:ascii="宋体" w:hAnsi="宋体"/>
          <w:bCs/>
          <w:color w:val="auto"/>
          <w:szCs w:val="21"/>
          <w:highlight w:val="none"/>
        </w:rPr>
        <w:t>日前，将变更时间在政府采购指定媒体上发布公告，并通知所有报名的</w:t>
      </w:r>
      <w:r>
        <w:rPr>
          <w:rFonts w:hint="eastAsia" w:ascii="宋体" w:hAnsi="宋体"/>
          <w:color w:val="auto"/>
          <w:highlight w:val="none"/>
        </w:rPr>
        <w:t>供应商</w:t>
      </w:r>
      <w:r>
        <w:rPr>
          <w:rFonts w:hint="eastAsia" w:ascii="宋体" w:hAnsi="宋体"/>
          <w:bCs/>
          <w:color w:val="auto"/>
          <w:szCs w:val="21"/>
          <w:highlight w:val="none"/>
        </w:rPr>
        <w:t>。</w:t>
      </w:r>
    </w:p>
    <w:p>
      <w:pPr>
        <w:numPr>
          <w:ilvl w:val="1"/>
          <w:numId w:val="7"/>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竞争性磋商文件的修改内容是竞争性磋商文件的组成部分，将以书面形式通知所有购买竞争性磋商文件的潜在</w:t>
      </w:r>
      <w:r>
        <w:rPr>
          <w:rFonts w:hint="eastAsia" w:ascii="宋体" w:hAnsi="宋体"/>
          <w:color w:val="auto"/>
          <w:highlight w:val="none"/>
        </w:rPr>
        <w:t>供应商</w:t>
      </w:r>
      <w:r>
        <w:rPr>
          <w:rFonts w:hint="eastAsia" w:ascii="宋体" w:hAnsi="宋体" w:cs="宋体"/>
          <w:color w:val="auto"/>
          <w:szCs w:val="21"/>
          <w:highlight w:val="none"/>
        </w:rPr>
        <w:t>，并对潜在</w:t>
      </w:r>
      <w:r>
        <w:rPr>
          <w:rFonts w:hint="eastAsia" w:ascii="宋体" w:hAnsi="宋体"/>
          <w:color w:val="auto"/>
          <w:highlight w:val="none"/>
        </w:rPr>
        <w:t>供应商</w:t>
      </w:r>
      <w:r>
        <w:rPr>
          <w:rFonts w:hint="eastAsia" w:ascii="宋体" w:hAnsi="宋体" w:cs="宋体"/>
          <w:color w:val="auto"/>
          <w:szCs w:val="21"/>
          <w:highlight w:val="none"/>
        </w:rPr>
        <w:t>具有约束力。潜在</w:t>
      </w:r>
      <w:r>
        <w:rPr>
          <w:rFonts w:hint="eastAsia" w:ascii="宋体" w:hAnsi="宋体"/>
          <w:color w:val="auto"/>
          <w:highlight w:val="none"/>
        </w:rPr>
        <w:t>供应商</w:t>
      </w:r>
      <w:r>
        <w:rPr>
          <w:rFonts w:hint="eastAsia" w:ascii="宋体" w:hAnsi="宋体" w:cs="宋体"/>
          <w:color w:val="auto"/>
          <w:szCs w:val="21"/>
          <w:highlight w:val="none"/>
        </w:rPr>
        <w:t>在收到上述通知后，应立即以书面形式向采购代理机构确认。如在24小时之内无书面回函则视为同意修改内容，并有责任履行相应的义务。</w:t>
      </w:r>
    </w:p>
    <w:p>
      <w:pPr>
        <w:autoSpaceDE w:val="0"/>
        <w:autoSpaceDN w:val="0"/>
        <w:adjustRightInd w:val="0"/>
        <w:snapToGrid w:val="0"/>
        <w:spacing w:line="360" w:lineRule="auto"/>
        <w:jc w:val="left"/>
        <w:rPr>
          <w:rFonts w:ascii="宋体" w:hAnsi="宋体" w:cs="宋体"/>
          <w:color w:val="auto"/>
          <w:szCs w:val="21"/>
          <w:highlight w:val="none"/>
        </w:rPr>
      </w:pPr>
    </w:p>
    <w:p>
      <w:pPr>
        <w:numPr>
          <w:ilvl w:val="0"/>
          <w:numId w:val="6"/>
        </w:numPr>
        <w:autoSpaceDE w:val="0"/>
        <w:autoSpaceDN w:val="0"/>
        <w:adjustRightInd w:val="0"/>
        <w:snapToGrid w:val="0"/>
        <w:spacing w:before="240" w:beforeLines="100" w:after="240" w:afterLines="100" w:line="360" w:lineRule="auto"/>
        <w:ind w:left="601" w:hanging="601"/>
        <w:jc w:val="center"/>
        <w:outlineLvl w:val="0"/>
        <w:rPr>
          <w:rFonts w:ascii="宋体" w:hAnsi="宋体"/>
          <w:b/>
          <w:color w:val="auto"/>
          <w:sz w:val="28"/>
          <w:szCs w:val="28"/>
          <w:highlight w:val="none"/>
          <w:lang w:eastAsia="zh-TW"/>
        </w:rPr>
      </w:pPr>
      <w:bookmarkStart w:id="95" w:name="_Toc315793461"/>
      <w:bookmarkStart w:id="96" w:name="_Toc363737692"/>
      <w:bookmarkStart w:id="97" w:name="_Toc475104478"/>
      <w:bookmarkStart w:id="98" w:name="_Toc320515027"/>
      <w:bookmarkStart w:id="99" w:name="_Toc323110986"/>
      <w:bookmarkStart w:id="100" w:name="_Toc320515076"/>
      <w:bookmarkStart w:id="101" w:name="_Toc322680353"/>
      <w:r>
        <w:rPr>
          <w:rFonts w:hint="eastAsia" w:ascii="宋体" w:hAnsi="宋体"/>
          <w:b/>
          <w:color w:val="auto"/>
          <w:sz w:val="28"/>
          <w:szCs w:val="28"/>
          <w:highlight w:val="none"/>
          <w:lang w:eastAsia="zh-TW"/>
        </w:rPr>
        <w:t>磋商响应文件的编制</w:t>
      </w:r>
      <w:bookmarkEnd w:id="95"/>
      <w:bookmarkEnd w:id="96"/>
      <w:bookmarkEnd w:id="97"/>
      <w:bookmarkEnd w:id="98"/>
      <w:bookmarkEnd w:id="99"/>
      <w:bookmarkEnd w:id="100"/>
      <w:bookmarkEnd w:id="101"/>
    </w:p>
    <w:p>
      <w:pPr>
        <w:numPr>
          <w:ilvl w:val="0"/>
          <w:numId w:val="7"/>
        </w:numPr>
        <w:autoSpaceDE w:val="0"/>
        <w:autoSpaceDN w:val="0"/>
        <w:adjustRightInd w:val="0"/>
        <w:snapToGrid w:val="0"/>
        <w:spacing w:line="360" w:lineRule="auto"/>
        <w:outlineLvl w:val="0"/>
        <w:rPr>
          <w:rFonts w:ascii="宋体" w:hAnsi="宋体"/>
          <w:b/>
          <w:bCs/>
          <w:color w:val="auto"/>
          <w:sz w:val="24"/>
          <w:highlight w:val="none"/>
        </w:rPr>
      </w:pPr>
      <w:bookmarkStart w:id="102" w:name="_Toc320515077"/>
      <w:bookmarkStart w:id="103" w:name="_Toc315793462"/>
      <w:bookmarkStart w:id="104" w:name="_Toc320515028"/>
      <w:bookmarkStart w:id="105" w:name="_Toc323110987"/>
      <w:bookmarkStart w:id="106" w:name="_Toc475104479"/>
      <w:bookmarkStart w:id="107" w:name="_Toc363737693"/>
      <w:bookmarkStart w:id="108" w:name="_Toc322680354"/>
      <w:r>
        <w:rPr>
          <w:rFonts w:hint="eastAsia" w:ascii="宋体" w:hAnsi="宋体"/>
          <w:b/>
          <w:bCs/>
          <w:color w:val="auto"/>
          <w:sz w:val="24"/>
          <w:highlight w:val="none"/>
        </w:rPr>
        <w:t>响应的语言</w:t>
      </w:r>
      <w:bookmarkEnd w:id="102"/>
      <w:bookmarkEnd w:id="103"/>
      <w:bookmarkEnd w:id="104"/>
      <w:bookmarkEnd w:id="105"/>
      <w:bookmarkEnd w:id="106"/>
      <w:bookmarkEnd w:id="107"/>
      <w:bookmarkEnd w:id="108"/>
    </w:p>
    <w:p>
      <w:pPr>
        <w:numPr>
          <w:ilvl w:val="1"/>
          <w:numId w:val="7"/>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提交的磋商响应文件以及</w:t>
      </w:r>
      <w:r>
        <w:rPr>
          <w:rFonts w:hint="eastAsia" w:ascii="宋体" w:hAnsi="宋体"/>
          <w:color w:val="auto"/>
          <w:highlight w:val="none"/>
        </w:rPr>
        <w:t>供应商</w:t>
      </w:r>
      <w:r>
        <w:rPr>
          <w:rFonts w:hint="eastAsia" w:ascii="宋体" w:hAnsi="宋体" w:cs="宋体"/>
          <w:color w:val="auto"/>
          <w:szCs w:val="21"/>
          <w:highlight w:val="none"/>
        </w:rPr>
        <w:t>与采购代理机构就有关磋商响应的所有来往函电均应使用中文书写。</w:t>
      </w:r>
      <w:r>
        <w:rPr>
          <w:rFonts w:hint="eastAsia" w:ascii="宋体" w:hAnsi="宋体"/>
          <w:color w:val="auto"/>
          <w:highlight w:val="none"/>
        </w:rPr>
        <w:t>供应商</w:t>
      </w:r>
      <w:r>
        <w:rPr>
          <w:rFonts w:hint="eastAsia" w:ascii="宋体" w:hAnsi="宋体" w:cs="宋体"/>
          <w:color w:val="auto"/>
          <w:szCs w:val="21"/>
          <w:highlight w:val="none"/>
        </w:rPr>
        <w:t>提交的支持资料和己印刷的文献可以用另一种语言，但相应内容应附有中文翻译本，在解释磋商响应文件的修改内容时以中文翻译本为准。对中文翻译有异议的，以权威机构的译本为准。</w:t>
      </w:r>
    </w:p>
    <w:p>
      <w:pPr>
        <w:numPr>
          <w:ilvl w:val="0"/>
          <w:numId w:val="7"/>
        </w:numPr>
        <w:autoSpaceDE w:val="0"/>
        <w:autoSpaceDN w:val="0"/>
        <w:adjustRightInd w:val="0"/>
        <w:snapToGrid w:val="0"/>
        <w:spacing w:line="360" w:lineRule="auto"/>
        <w:outlineLvl w:val="0"/>
        <w:rPr>
          <w:rFonts w:ascii="宋体" w:hAnsi="宋体"/>
          <w:b/>
          <w:bCs/>
          <w:color w:val="auto"/>
          <w:sz w:val="24"/>
          <w:highlight w:val="none"/>
        </w:rPr>
      </w:pPr>
      <w:bookmarkStart w:id="109" w:name="_Toc320515029"/>
      <w:bookmarkStart w:id="110" w:name="_Toc363737694"/>
      <w:bookmarkStart w:id="111" w:name="_Toc320515078"/>
      <w:bookmarkStart w:id="112" w:name="_Toc315793463"/>
      <w:bookmarkStart w:id="113" w:name="_Toc475104480"/>
      <w:bookmarkStart w:id="114" w:name="_Toc322680355"/>
      <w:bookmarkStart w:id="115" w:name="_Toc323110988"/>
      <w:r>
        <w:rPr>
          <w:rFonts w:hint="eastAsia" w:ascii="宋体" w:hAnsi="宋体"/>
          <w:b/>
          <w:bCs/>
          <w:color w:val="auto"/>
          <w:sz w:val="24"/>
          <w:highlight w:val="none"/>
        </w:rPr>
        <w:t>磋商响应文件的构成</w:t>
      </w:r>
      <w:bookmarkEnd w:id="109"/>
      <w:bookmarkEnd w:id="110"/>
      <w:bookmarkEnd w:id="111"/>
      <w:bookmarkEnd w:id="112"/>
      <w:bookmarkEnd w:id="113"/>
      <w:bookmarkEnd w:id="114"/>
      <w:bookmarkEnd w:id="115"/>
    </w:p>
    <w:p>
      <w:pPr>
        <w:numPr>
          <w:ilvl w:val="1"/>
          <w:numId w:val="7"/>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编写的磋商响应文件应编排为三部分：①商务响应文件（包括</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）；②技术响应文件；③报价信封，磋商响应文件应包含但不限于以下内容：</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①按规定填写的竞争性磋商函、资格声明函、同意竞争性磋商文件条款说明、《清单报价表》正本；</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②按要求出具的资格证明文件，证明</w:t>
      </w:r>
      <w:r>
        <w:rPr>
          <w:rFonts w:hint="eastAsia" w:ascii="宋体" w:hAnsi="宋体"/>
          <w:color w:val="auto"/>
          <w:highlight w:val="none"/>
        </w:rPr>
        <w:t>供应商</w:t>
      </w:r>
      <w:r>
        <w:rPr>
          <w:rFonts w:hint="eastAsia" w:ascii="宋体" w:hAnsi="宋体" w:cs="宋体"/>
          <w:color w:val="auto"/>
          <w:szCs w:val="21"/>
          <w:highlight w:val="none"/>
        </w:rPr>
        <w:t>是合格的，而且获得成交资格后有能力履行合同；</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③按规定出具的证明文件，证明</w:t>
      </w:r>
      <w:r>
        <w:rPr>
          <w:rFonts w:hint="eastAsia" w:ascii="宋体" w:hAnsi="宋体"/>
          <w:color w:val="auto"/>
          <w:highlight w:val="none"/>
        </w:rPr>
        <w:t>供应商</w:t>
      </w:r>
      <w:r>
        <w:rPr>
          <w:rFonts w:hint="eastAsia" w:ascii="宋体" w:hAnsi="宋体" w:cs="宋体"/>
          <w:color w:val="auto"/>
          <w:szCs w:val="21"/>
          <w:highlight w:val="none"/>
        </w:rPr>
        <w:t>提供的服务及货物是合格的，而且符合竞争性磋商文件的规定；</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④对竞争性磋商文件第三章作出的书面响应，包括但不限于服务及商务要求等；</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⑤</w:t>
      </w:r>
      <w:r>
        <w:rPr>
          <w:rFonts w:hint="eastAsia" w:ascii="宋体" w:hAnsi="宋体"/>
          <w:color w:val="auto"/>
          <w:highlight w:val="none"/>
        </w:rPr>
        <w:t>供应商</w:t>
      </w:r>
      <w:r>
        <w:rPr>
          <w:rFonts w:hint="eastAsia" w:ascii="宋体" w:hAnsi="宋体" w:cs="宋体"/>
          <w:color w:val="auto"/>
          <w:szCs w:val="21"/>
          <w:highlight w:val="none"/>
        </w:rPr>
        <w:t>认为须提交与评审内容相关的其他资料。</w:t>
      </w:r>
    </w:p>
    <w:p>
      <w:pPr>
        <w:pStyle w:val="177"/>
        <w:numPr>
          <w:ilvl w:val="1"/>
          <w:numId w:val="7"/>
        </w:numPr>
        <w:tabs>
          <w:tab w:val="left" w:pos="360"/>
          <w:tab w:val="left" w:pos="709"/>
        </w:tabs>
        <w:adjustRightInd w:val="0"/>
        <w:spacing w:line="360" w:lineRule="auto"/>
        <w:textAlignment w:val="baseline"/>
        <w:outlineLvl w:val="9"/>
        <w:rPr>
          <w:rFonts w:cs="宋体"/>
          <w:color w:val="auto"/>
          <w:sz w:val="21"/>
          <w:szCs w:val="21"/>
          <w:highlight w:val="none"/>
        </w:rPr>
      </w:pPr>
      <w:bookmarkStart w:id="116" w:name="_Toc475104481"/>
      <w:r>
        <w:rPr>
          <w:rFonts w:hint="eastAsia" w:cs="宋体"/>
          <w:color w:val="auto"/>
          <w:sz w:val="21"/>
          <w:szCs w:val="21"/>
          <w:highlight w:val="none"/>
        </w:rPr>
        <w:t>商务部分文件是指供应商提交的证明供应商的资格合格，且获得成交资格后有能力履行合同的文件。服务部分文件是指证明供应商提供的服务和货物是合格的，而且符合本竞争性磋商文件规定的文件。</w:t>
      </w:r>
      <w:bookmarkEnd w:id="116"/>
    </w:p>
    <w:p>
      <w:pPr>
        <w:numPr>
          <w:ilvl w:val="1"/>
          <w:numId w:val="7"/>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磋商响应文件的构成应符合法律法规及竞争性磋商文件的要求。</w:t>
      </w:r>
    </w:p>
    <w:p>
      <w:pPr>
        <w:numPr>
          <w:ilvl w:val="0"/>
          <w:numId w:val="7"/>
        </w:numPr>
        <w:autoSpaceDE w:val="0"/>
        <w:autoSpaceDN w:val="0"/>
        <w:adjustRightInd w:val="0"/>
        <w:snapToGrid w:val="0"/>
        <w:spacing w:line="360" w:lineRule="auto"/>
        <w:outlineLvl w:val="0"/>
        <w:rPr>
          <w:rFonts w:ascii="宋体" w:hAnsi="宋体"/>
          <w:b/>
          <w:bCs/>
          <w:color w:val="auto"/>
          <w:sz w:val="24"/>
          <w:highlight w:val="none"/>
        </w:rPr>
      </w:pPr>
      <w:bookmarkStart w:id="117" w:name="_Toc320515079"/>
      <w:bookmarkStart w:id="118" w:name="_Toc320515030"/>
      <w:bookmarkStart w:id="119" w:name="_Toc315793464"/>
      <w:bookmarkStart w:id="120" w:name="_Toc363737695"/>
      <w:bookmarkStart w:id="121" w:name="_Toc323110989"/>
      <w:bookmarkStart w:id="122" w:name="_Toc475104482"/>
      <w:bookmarkStart w:id="123" w:name="_Toc322680356"/>
      <w:r>
        <w:rPr>
          <w:rFonts w:hint="eastAsia" w:ascii="宋体" w:hAnsi="宋体"/>
          <w:b/>
          <w:bCs/>
          <w:color w:val="auto"/>
          <w:sz w:val="24"/>
          <w:highlight w:val="none"/>
        </w:rPr>
        <w:t>磋商响应文件的编写</w:t>
      </w:r>
      <w:bookmarkEnd w:id="117"/>
      <w:bookmarkEnd w:id="118"/>
      <w:bookmarkEnd w:id="119"/>
      <w:bookmarkEnd w:id="120"/>
      <w:bookmarkEnd w:id="121"/>
      <w:bookmarkEnd w:id="122"/>
      <w:bookmarkEnd w:id="123"/>
    </w:p>
    <w:p>
      <w:pPr>
        <w:numPr>
          <w:ilvl w:val="1"/>
          <w:numId w:val="7"/>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应仔细阅读竞争性磋商文件的所有内容，按竞争性磋商文件的要求制作并递交磋商响应文件，并保证所提供的全部资料的真实性、准确性，以确保其报价对竞争性磋商文件做出实质性响应。</w:t>
      </w:r>
      <w:r>
        <w:rPr>
          <w:rFonts w:hint="eastAsia" w:cs="宋体"/>
          <w:color w:val="auto"/>
          <w:szCs w:val="21"/>
          <w:highlight w:val="none"/>
        </w:rPr>
        <w:t>供应商</w:t>
      </w:r>
      <w:r>
        <w:rPr>
          <w:rFonts w:hint="eastAsia" w:ascii="宋体" w:hAnsi="宋体" w:cs="宋体"/>
          <w:color w:val="auto"/>
          <w:szCs w:val="21"/>
          <w:highlight w:val="none"/>
        </w:rPr>
        <w:t>在报价中提供不真实的材料，无论其材料是否重要，都将直接导致磋商响应文件无效，并承担由此产生的法律责任。</w:t>
      </w:r>
    </w:p>
    <w:p>
      <w:pPr>
        <w:numPr>
          <w:ilvl w:val="1"/>
          <w:numId w:val="7"/>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响应语言和计量单位：磋商响应文件和来往函件应用简体中文书写，</w:t>
      </w:r>
      <w:r>
        <w:rPr>
          <w:rFonts w:hint="eastAsia" w:cs="宋体"/>
          <w:color w:val="auto"/>
          <w:szCs w:val="21"/>
          <w:highlight w:val="none"/>
        </w:rPr>
        <w:t>供应商</w:t>
      </w:r>
      <w:r>
        <w:rPr>
          <w:rFonts w:hint="eastAsia" w:ascii="宋体" w:hAnsi="宋体" w:cs="宋体"/>
          <w:color w:val="auto"/>
          <w:szCs w:val="21"/>
          <w:highlight w:val="none"/>
        </w:rPr>
        <w:t>提供的支持文件、技术资料和印刷的文献可以用其他语言，但相应内容应附有中文翻译文本（经公证处公证），对不同文字文本磋商响应文件的解释发生异议的，以中文文本为准。计量单位应使用国际公制单位。</w:t>
      </w:r>
    </w:p>
    <w:p>
      <w:pPr>
        <w:numPr>
          <w:ilvl w:val="1"/>
          <w:numId w:val="7"/>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须用人民币作为报价的货币单位。磋商响应文件的大写金额和小写金额不一致的，以大写金额为准；总价金额与按单价汇总金额不一致的，以单价金额计算结果为准；单价金额小数点有明显错位的，应以总价为准，并修改单价。</w:t>
      </w:r>
    </w:p>
    <w:p>
      <w:pPr>
        <w:numPr>
          <w:ilvl w:val="1"/>
          <w:numId w:val="7"/>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应当对磋商响应文件进行装订，对未经装订的磋商响应文件可能发生的文件散落或缺损，由此造成的后果和责任由</w:t>
      </w:r>
      <w:r>
        <w:rPr>
          <w:rFonts w:hint="eastAsia" w:cs="宋体"/>
          <w:color w:val="auto"/>
          <w:szCs w:val="21"/>
          <w:highlight w:val="none"/>
        </w:rPr>
        <w:t>供应商</w:t>
      </w:r>
      <w:r>
        <w:rPr>
          <w:rFonts w:hint="eastAsia" w:ascii="宋体" w:hAnsi="宋体" w:cs="宋体"/>
          <w:color w:val="auto"/>
          <w:szCs w:val="21"/>
          <w:highlight w:val="none"/>
        </w:rPr>
        <w:t>承担。</w:t>
      </w:r>
    </w:p>
    <w:p>
      <w:pPr>
        <w:numPr>
          <w:ilvl w:val="1"/>
          <w:numId w:val="7"/>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必须对磋商响应文件所提供的全部资料的真实性承担法律责任，并无条件接受采购人、政府采购代理机构及政府采购监督管理部门等对其中任何资料进行核实的要求。</w:t>
      </w:r>
    </w:p>
    <w:p>
      <w:pPr>
        <w:numPr>
          <w:ilvl w:val="1"/>
          <w:numId w:val="7"/>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如果因为</w:t>
      </w:r>
      <w:r>
        <w:rPr>
          <w:rFonts w:hint="eastAsia" w:cs="宋体"/>
          <w:color w:val="auto"/>
          <w:szCs w:val="21"/>
          <w:highlight w:val="none"/>
        </w:rPr>
        <w:t>供应商</w:t>
      </w:r>
      <w:r>
        <w:rPr>
          <w:rFonts w:hint="eastAsia" w:ascii="宋体" w:hAnsi="宋体" w:cs="宋体"/>
          <w:color w:val="auto"/>
          <w:szCs w:val="21"/>
          <w:highlight w:val="none"/>
        </w:rPr>
        <w:t>的磋商响应文件只填写和提供了本竞争性磋商文件要求的部分内容和附件，或没有提供竞争性磋商文件中所要求的全部资料及数据，由此造成的后果和责任由</w:t>
      </w:r>
      <w:r>
        <w:rPr>
          <w:rFonts w:hint="eastAsia" w:cs="宋体"/>
          <w:color w:val="auto"/>
          <w:szCs w:val="21"/>
          <w:highlight w:val="none"/>
        </w:rPr>
        <w:t>供应商</w:t>
      </w:r>
      <w:r>
        <w:rPr>
          <w:rFonts w:hint="eastAsia" w:ascii="宋体" w:hAnsi="宋体" w:cs="宋体"/>
          <w:color w:val="auto"/>
          <w:szCs w:val="21"/>
          <w:highlight w:val="none"/>
        </w:rPr>
        <w:t>承担。</w:t>
      </w:r>
    </w:p>
    <w:p>
      <w:pPr>
        <w:numPr>
          <w:ilvl w:val="0"/>
          <w:numId w:val="7"/>
        </w:numPr>
        <w:autoSpaceDE w:val="0"/>
        <w:autoSpaceDN w:val="0"/>
        <w:adjustRightInd w:val="0"/>
        <w:snapToGrid w:val="0"/>
        <w:spacing w:line="360" w:lineRule="auto"/>
        <w:outlineLvl w:val="0"/>
        <w:rPr>
          <w:rFonts w:ascii="宋体" w:hAnsi="宋体"/>
          <w:b/>
          <w:bCs/>
          <w:color w:val="auto"/>
          <w:sz w:val="24"/>
          <w:highlight w:val="none"/>
        </w:rPr>
      </w:pPr>
      <w:bookmarkStart w:id="124" w:name="_Toc323110990"/>
      <w:bookmarkStart w:id="125" w:name="_Toc475104483"/>
      <w:bookmarkStart w:id="126" w:name="_Toc363737696"/>
      <w:r>
        <w:rPr>
          <w:rFonts w:hint="eastAsia" w:ascii="宋体" w:hAnsi="宋体"/>
          <w:b/>
          <w:bCs/>
          <w:color w:val="auto"/>
          <w:sz w:val="24"/>
          <w:highlight w:val="none"/>
        </w:rPr>
        <w:t>竞争性磋商报价</w:t>
      </w:r>
      <w:bookmarkEnd w:id="124"/>
      <w:bookmarkEnd w:id="125"/>
      <w:bookmarkEnd w:id="126"/>
    </w:p>
    <w:p>
      <w:pPr>
        <w:numPr>
          <w:ilvl w:val="1"/>
          <w:numId w:val="7"/>
        </w:numPr>
        <w:autoSpaceDE w:val="0"/>
        <w:autoSpaceDN w:val="0"/>
        <w:adjustRightInd w:val="0"/>
        <w:snapToGrid w:val="0"/>
        <w:spacing w:line="360" w:lineRule="auto"/>
        <w:jc w:val="left"/>
        <w:rPr>
          <w:rFonts w:ascii="宋体" w:hAnsi="宋体" w:cs="宋体"/>
          <w:color w:val="auto"/>
          <w:szCs w:val="21"/>
          <w:highlight w:val="none"/>
        </w:rPr>
      </w:pPr>
      <w:bookmarkStart w:id="127" w:name="_Toc315793468"/>
      <w:bookmarkStart w:id="128" w:name="_Toc320515032"/>
      <w:bookmarkStart w:id="129" w:name="_Toc320515081"/>
      <w:bookmarkStart w:id="130" w:name="_Toc322680358"/>
      <w:bookmarkStart w:id="131" w:name="_Toc323110991"/>
      <w:r>
        <w:rPr>
          <w:rFonts w:hint="eastAsia" w:cs="宋体"/>
          <w:color w:val="auto"/>
          <w:szCs w:val="21"/>
          <w:highlight w:val="none"/>
        </w:rPr>
        <w:t>供应商</w:t>
      </w:r>
      <w:r>
        <w:rPr>
          <w:rFonts w:hint="eastAsia" w:ascii="宋体" w:hAnsi="宋体" w:cs="宋体"/>
          <w:color w:val="auto"/>
          <w:szCs w:val="21"/>
          <w:highlight w:val="none"/>
          <w:lang w:eastAsia="zh-TW"/>
        </w:rPr>
        <w:t>人应按照“第</w:t>
      </w:r>
      <w:r>
        <w:rPr>
          <w:rFonts w:hint="eastAsia" w:ascii="宋体" w:hAnsi="宋体" w:cs="宋体"/>
          <w:color w:val="auto"/>
          <w:szCs w:val="21"/>
          <w:highlight w:val="none"/>
        </w:rPr>
        <w:t>三</w:t>
      </w:r>
      <w:r>
        <w:rPr>
          <w:rFonts w:hint="eastAsia" w:ascii="宋体" w:hAnsi="宋体" w:cs="宋体"/>
          <w:color w:val="auto"/>
          <w:szCs w:val="21"/>
          <w:highlight w:val="none"/>
          <w:lang w:eastAsia="zh-TW"/>
        </w:rPr>
        <w:t>章　</w:t>
      </w:r>
      <w:r>
        <w:rPr>
          <w:rFonts w:hint="eastAsia" w:ascii="宋体" w:hAnsi="宋体" w:cs="宋体"/>
          <w:color w:val="auto"/>
          <w:szCs w:val="21"/>
          <w:highlight w:val="none"/>
        </w:rPr>
        <w:t>采购人</w:t>
      </w:r>
      <w:r>
        <w:rPr>
          <w:rFonts w:hint="eastAsia" w:ascii="宋体" w:hAnsi="宋体" w:cs="宋体"/>
          <w:color w:val="auto"/>
          <w:szCs w:val="21"/>
          <w:highlight w:val="none"/>
          <w:lang w:eastAsia="zh-TW"/>
        </w:rPr>
        <w:t>需求</w:t>
      </w:r>
      <w:r>
        <w:rPr>
          <w:rFonts w:hint="eastAsia" w:ascii="宋体" w:hAnsi="宋体" w:cs="宋体"/>
          <w:color w:val="auto"/>
          <w:szCs w:val="21"/>
          <w:highlight w:val="none"/>
        </w:rPr>
        <w:t>书</w:t>
      </w:r>
      <w:r>
        <w:rPr>
          <w:rFonts w:hint="eastAsia" w:ascii="宋体" w:hAnsi="宋体" w:cs="宋体"/>
          <w:color w:val="auto"/>
          <w:szCs w:val="21"/>
          <w:highlight w:val="none"/>
          <w:lang w:eastAsia="zh-TW"/>
        </w:rPr>
        <w:t xml:space="preserve">” </w:t>
      </w:r>
      <w:r>
        <w:rPr>
          <w:rFonts w:hint="eastAsia" w:ascii="宋体" w:hAnsi="宋体" w:cs="宋体"/>
          <w:color w:val="auto"/>
          <w:szCs w:val="21"/>
          <w:highlight w:val="none"/>
        </w:rPr>
        <w:t>中</w:t>
      </w:r>
      <w:r>
        <w:rPr>
          <w:rFonts w:hint="eastAsia" w:ascii="宋体" w:hAnsi="宋体" w:cs="宋体"/>
          <w:color w:val="auto"/>
          <w:szCs w:val="21"/>
          <w:highlight w:val="none"/>
          <w:lang w:eastAsia="zh-TW"/>
        </w:rPr>
        <w:t>采购项目</w:t>
      </w:r>
      <w:r>
        <w:rPr>
          <w:rFonts w:hint="eastAsia" w:ascii="宋体" w:hAnsi="宋体" w:cs="宋体"/>
          <w:color w:val="auto"/>
          <w:szCs w:val="21"/>
          <w:highlight w:val="none"/>
        </w:rPr>
        <w:t>服务</w:t>
      </w:r>
      <w:r>
        <w:rPr>
          <w:rFonts w:hint="eastAsia" w:ascii="宋体" w:hAnsi="宋体" w:cs="宋体"/>
          <w:color w:val="auto"/>
          <w:szCs w:val="21"/>
          <w:highlight w:val="none"/>
          <w:lang w:eastAsia="zh-TW"/>
        </w:rPr>
        <w:t>要求规定的内容、责任范围进行报价。并按《</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lang w:eastAsia="zh-TW"/>
        </w:rPr>
        <w:t>》的</w:t>
      </w:r>
      <w:r>
        <w:rPr>
          <w:rFonts w:hint="eastAsia" w:ascii="宋体" w:hAnsi="宋体" w:cs="宋体"/>
          <w:color w:val="auto"/>
          <w:szCs w:val="21"/>
          <w:highlight w:val="none"/>
        </w:rPr>
        <w:t>要求</w:t>
      </w:r>
      <w:r>
        <w:rPr>
          <w:rFonts w:hint="eastAsia" w:ascii="宋体" w:hAnsi="宋体" w:cs="宋体"/>
          <w:color w:val="auto"/>
          <w:szCs w:val="21"/>
          <w:highlight w:val="none"/>
          <w:lang w:eastAsia="zh-TW"/>
        </w:rPr>
        <w:t>报出总价和分项价格。</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总价中不得包含</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文件要求以外的内容，否则，在评标时不予核减。</w:t>
      </w:r>
      <w:r>
        <w:rPr>
          <w:rFonts w:hint="eastAsia" w:ascii="宋体" w:hAnsi="宋体" w:cs="宋体"/>
          <w:color w:val="auto"/>
          <w:szCs w:val="21"/>
          <w:highlight w:val="none"/>
        </w:rPr>
        <w:t>响应报价</w:t>
      </w:r>
      <w:r>
        <w:rPr>
          <w:rFonts w:hint="eastAsia" w:ascii="宋体" w:hAnsi="宋体" w:cs="宋体"/>
          <w:color w:val="auto"/>
          <w:szCs w:val="21"/>
          <w:highlight w:val="none"/>
          <w:lang w:eastAsia="zh-TW"/>
        </w:rPr>
        <w:t>总价中也不得缺漏</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文件所要求的内容，否则，被视为</w:t>
      </w:r>
      <w:r>
        <w:rPr>
          <w:rFonts w:hint="eastAsia" w:ascii="宋体" w:hAnsi="宋体" w:cs="宋体"/>
          <w:color w:val="auto"/>
          <w:szCs w:val="21"/>
          <w:highlight w:val="none"/>
        </w:rPr>
        <w:t>包含在报价中</w:t>
      </w:r>
      <w:r>
        <w:rPr>
          <w:rFonts w:hint="eastAsia" w:ascii="宋体" w:hAnsi="宋体" w:cs="宋体"/>
          <w:color w:val="auto"/>
          <w:szCs w:val="21"/>
          <w:highlight w:val="none"/>
          <w:lang w:eastAsia="zh-TW"/>
        </w:rPr>
        <w:t>。</w:t>
      </w:r>
    </w:p>
    <w:p>
      <w:pPr>
        <w:numPr>
          <w:ilvl w:val="1"/>
          <w:numId w:val="7"/>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的报价明显低于其他响应报价，使得其响应报价可能低于其个别成本的，有可能影响服务质量和不能诚信履约的，磋商小组可以要求该</w:t>
      </w:r>
      <w:r>
        <w:rPr>
          <w:rFonts w:hint="eastAsia" w:cs="宋体"/>
          <w:color w:val="auto"/>
          <w:szCs w:val="21"/>
          <w:highlight w:val="none"/>
        </w:rPr>
        <w:t>供应商</w:t>
      </w:r>
      <w:r>
        <w:rPr>
          <w:rFonts w:hint="eastAsia" w:ascii="宋体" w:hAnsi="宋体" w:cs="宋体"/>
          <w:color w:val="auto"/>
          <w:szCs w:val="21"/>
          <w:highlight w:val="none"/>
        </w:rPr>
        <w:t>作出书面说明并提供相关证明材料。</w:t>
      </w:r>
      <w:r>
        <w:rPr>
          <w:rFonts w:hint="eastAsia" w:cs="宋体"/>
          <w:color w:val="auto"/>
          <w:szCs w:val="21"/>
          <w:highlight w:val="none"/>
        </w:rPr>
        <w:t>供应商</w:t>
      </w:r>
      <w:r>
        <w:rPr>
          <w:rFonts w:hint="eastAsia" w:ascii="宋体" w:hAnsi="宋体" w:cs="宋体"/>
          <w:color w:val="auto"/>
          <w:szCs w:val="21"/>
          <w:highlight w:val="none"/>
        </w:rPr>
        <w:t>不能合理说明或者不能提供相关证明材料的，由磋商小组认定该供应商以低于成本报价竞标其报价应作无效竞标处理。</w:t>
      </w:r>
    </w:p>
    <w:p>
      <w:pPr>
        <w:numPr>
          <w:ilvl w:val="1"/>
          <w:numId w:val="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报价明细表</w:t>
      </w:r>
      <w:r>
        <w:rPr>
          <w:rFonts w:hint="eastAsia" w:ascii="宋体" w:hAnsi="宋体" w:cs="宋体"/>
          <w:color w:val="auto"/>
          <w:szCs w:val="21"/>
          <w:highlight w:val="none"/>
        </w:rPr>
        <w:t>内容应包含：</w:t>
      </w:r>
    </w:p>
    <w:p>
      <w:pPr>
        <w:numPr>
          <w:ilvl w:val="2"/>
          <w:numId w:val="7"/>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竞争性磋商文件要求全部服务所需的费用；</w:t>
      </w:r>
    </w:p>
    <w:p>
      <w:pPr>
        <w:numPr>
          <w:ilvl w:val="2"/>
          <w:numId w:val="7"/>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报价包含履行合同所有相关服务所需的费用；</w:t>
      </w:r>
    </w:p>
    <w:p>
      <w:pPr>
        <w:numPr>
          <w:ilvl w:val="2"/>
          <w:numId w:val="7"/>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报价均应包含所有的税费；</w:t>
      </w:r>
    </w:p>
    <w:p>
      <w:pPr>
        <w:numPr>
          <w:ilvl w:val="2"/>
          <w:numId w:val="7"/>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其他一切隐含及不可预见的费用；</w:t>
      </w:r>
    </w:p>
    <w:p>
      <w:pPr>
        <w:numPr>
          <w:ilvl w:val="1"/>
          <w:numId w:val="7"/>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报价为本次采购内容的总价包干响应报价即为合同价，不得在成交后提出任何增加费用要求，</w:t>
      </w:r>
      <w:r>
        <w:rPr>
          <w:rFonts w:hint="eastAsia" w:cs="宋体"/>
          <w:color w:val="auto"/>
          <w:szCs w:val="21"/>
          <w:highlight w:val="none"/>
        </w:rPr>
        <w:t>供应商</w:t>
      </w:r>
      <w:r>
        <w:rPr>
          <w:rFonts w:hint="eastAsia" w:ascii="宋体" w:hAnsi="宋体" w:cs="宋体"/>
          <w:color w:val="auto"/>
          <w:szCs w:val="21"/>
          <w:highlight w:val="none"/>
        </w:rPr>
        <w:t>在报价时应充分考虑相关风险性因素。</w:t>
      </w:r>
    </w:p>
    <w:p>
      <w:pPr>
        <w:numPr>
          <w:ilvl w:val="1"/>
          <w:numId w:val="7"/>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cs="宋体"/>
          <w:color w:val="auto"/>
          <w:szCs w:val="21"/>
          <w:highlight w:val="none"/>
        </w:rPr>
        <w:t>供应商</w:t>
      </w:r>
      <w:r>
        <w:rPr>
          <w:rFonts w:hint="eastAsia" w:ascii="宋体" w:hAnsi="宋体" w:cs="宋体"/>
          <w:color w:val="auto"/>
          <w:szCs w:val="21"/>
          <w:highlight w:val="none"/>
        </w:rPr>
        <w:t>在获得成交资格并签署合同后，服务期限内出现的任何遗漏，均由成交供应商负责，采购人将不再支付任何费用。</w:t>
      </w:r>
    </w:p>
    <w:p>
      <w:pPr>
        <w:numPr>
          <w:ilvl w:val="1"/>
          <w:numId w:val="7"/>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对于报价免费的项目须标明“免费”。</w:t>
      </w:r>
    </w:p>
    <w:p>
      <w:pPr>
        <w:numPr>
          <w:ilvl w:val="1"/>
          <w:numId w:val="7"/>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所报的</w:t>
      </w:r>
      <w:r>
        <w:rPr>
          <w:rFonts w:hint="eastAsia" w:ascii="宋体" w:hAnsi="宋体" w:cs="宋体"/>
          <w:color w:val="auto"/>
          <w:szCs w:val="21"/>
          <w:highlight w:val="none"/>
        </w:rPr>
        <w:t>响应报</w:t>
      </w:r>
      <w:r>
        <w:rPr>
          <w:rFonts w:hint="eastAsia" w:ascii="宋体" w:hAnsi="宋体" w:cs="宋体"/>
          <w:color w:val="auto"/>
          <w:szCs w:val="21"/>
          <w:highlight w:val="none"/>
          <w:lang w:eastAsia="zh-TW"/>
        </w:rPr>
        <w:t>价在合同执行过程中是固定不变的</w:t>
      </w:r>
      <w:r>
        <w:rPr>
          <w:rFonts w:hint="eastAsia" w:ascii="宋体" w:hAnsi="宋体" w:cs="宋体"/>
          <w:color w:val="auto"/>
          <w:szCs w:val="21"/>
          <w:highlight w:val="none"/>
        </w:rPr>
        <w:t>，</w:t>
      </w:r>
      <w:r>
        <w:rPr>
          <w:rFonts w:hint="eastAsia" w:ascii="宋体" w:hAnsi="宋体" w:cs="宋体"/>
          <w:color w:val="auto"/>
          <w:szCs w:val="21"/>
          <w:highlight w:val="none"/>
          <w:lang w:eastAsia="zh-TW"/>
        </w:rPr>
        <w:t>不得以任何理由予以变更。任何包含价格调整要求的</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被认为是非实质性响应而予以拒绝。</w:t>
      </w:r>
    </w:p>
    <w:p>
      <w:pPr>
        <w:numPr>
          <w:ilvl w:val="1"/>
          <w:numId w:val="7"/>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投标报价应为包括设计图纸和工程量清单项目所发生的人工费、材料费、机械费、管理费、利润、项目措施费、规费、税金、配合费、预留金以及施工合同包含的所有风险、责任等全部费用。</w:t>
      </w:r>
    </w:p>
    <w:p>
      <w:pPr>
        <w:numPr>
          <w:ilvl w:val="1"/>
          <w:numId w:val="7"/>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采购人可根据项目的实际情况增减（或变更）工程量，中标人不得拒绝。在变更过程中，一、凡清单内已有的计价项目，综合单价不予调整；二、清单内有类似项目（类似项目是指做法及计价程序均相同，仅主材品牌、规格、型号或颜色不同的），套用清单内类似项目的综合单价计价程序，套换主材单价计取综合单价，主材价格按广州市建设工程造价管理站同期《广州建设工程造价信息》材料综合价格计算，《广州建设工程造价信息》没有的，由采购人、中标人、监理单位按实际使用的厂家、品牌、规格、质量等结合市场行情进行确定；三、增减（变更）项目在清单内没有相同或类似项目的，综合单价按广州市建委颁布的现行有关定额、广州市建设工程造价管理站公布的施工时期材料信息，市政公用工程部分按《市政公用工程工程量清单计价规范》（GB50500-2013）和《广东省建筑与装饰工程综合定额2018》，安装工程部分按《广东省安装、市政、园林绿化工程工程量清单计价指引》和《广东省安装工程综合定额2018》，其他工程按省、市建委颁发的现行执行定额计算。材料单价中，主材价格按广州市建设工程造价管理站发布的施工时期的《广州建设工程造价信息》中的常用材料税前综合价格部分计算，《广州建设工程造价信息》中没有的主材价格，由采购人、中标人、监理单位按实际使用的厂家、品牌、规格及质量等进行市场确定，取费标准中的利润按人工费的18%计取。变更部分的下浮率按投标下浮率（投标下浮率=（采购预算-中标价）÷采购预算×100%）作总价下浮计算，当下浮率不足8%时，按下浮率8%计算，但双方已经办理过定价手续的清单项目或主材所涉及费用不再参与下浮。没有上述计价依据的工程项目，由发包方和承包方协商。</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投标人所报任何分部分项工程量清单项目的综合单价高于套用建设主管部门规定的相关专业定额价格的30%以上时，采购人有权认为此报价为恶意高价，在工程结算时，该项目的综合单价将按照本条第2）条款中“没有相同或相似工程项目的”处理办法进行予以结算。(如有)</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2）对于任一分部分项工程量清单项目，如因设计变更、方案调整等原因导致工程量偏差超过15%，则超过15%部分的综合单价按照下列规定调整结算分部分项工程费：(如有)</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①当Q1﹥1.15Q0时，S=1.15Q0×P0+（Q1-1.15Q0）×P1,其中P1=0.9 P0</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②当Q1﹤0.85Q0时，S=Q1×P0 = Q1×P1, 其中P0=P1</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式中   S ——调整后的某一分部分项工程费结算价；</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       Q1——最终完成的工程量； </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       Q0——工程量清单中开列的工程量； </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       P1——按照最终完成工程量重新调整后的综合单价； </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       P0——承包人在工程量清单中填报的综合单价。</w:t>
      </w:r>
    </w:p>
    <w:p>
      <w:pPr>
        <w:numPr>
          <w:ilvl w:val="1"/>
          <w:numId w:val="7"/>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投标人报价须充分综合考虑如下实际因素，投标人一旦中标，采购人不再因如下因素进行造价和工期的调整：a、本工程位于采购人科研的重要场所内，投标人须服从采购人因科研需要合理安排施工工序及施工时间和停电时间，确保施工工作不妨碍采购人的科研秩序；b、本工程相关材料检测和消防报验工作由投标人负责，相关费用由投标人在投标报价内综合考虑，采购人不再支付任何费用；c、本工程相关安全及材料检测工作由投标人负责，相关费用由投标人在投标报价内综合考虑，采购人不再支付任何费用。</w:t>
      </w:r>
    </w:p>
    <w:p>
      <w:pPr>
        <w:numPr>
          <w:ilvl w:val="1"/>
          <w:numId w:val="7"/>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合同工程质量保修期 2年，结合具体工程要求如下：(如有)</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1)地基基础工程、主体结构工程为设计文件规定的合理使用年限；</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2)屋面防水工程、有防水要求的卫生间、房间和外墙面的防渗漏工程为</w:t>
      </w:r>
      <w:r>
        <w:rPr>
          <w:rFonts w:hint="eastAsia" w:ascii="宋体" w:hAnsi="宋体" w:cs="宋体"/>
          <w:color w:val="auto"/>
          <w:szCs w:val="21"/>
          <w:highlight w:val="none"/>
          <w:u w:val="single"/>
        </w:rPr>
        <w:t>五</w:t>
      </w:r>
      <w:r>
        <w:rPr>
          <w:rFonts w:hint="eastAsia" w:ascii="宋体" w:hAnsi="宋体" w:cs="宋体"/>
          <w:color w:val="auto"/>
          <w:szCs w:val="21"/>
          <w:highlight w:val="none"/>
        </w:rPr>
        <w:t>年；</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3)电气管线工程、给排水管道工程、设备安装工程为</w:t>
      </w:r>
      <w:r>
        <w:rPr>
          <w:rFonts w:hint="eastAsia" w:ascii="宋体" w:hAnsi="宋体" w:cs="宋体"/>
          <w:color w:val="auto"/>
          <w:szCs w:val="21"/>
          <w:highlight w:val="none"/>
          <w:u w:val="single"/>
        </w:rPr>
        <w:t xml:space="preserve"> 两 </w:t>
      </w:r>
      <w:r>
        <w:rPr>
          <w:rFonts w:hint="eastAsia" w:ascii="宋体" w:hAnsi="宋体" w:cs="宋体"/>
          <w:color w:val="auto"/>
          <w:szCs w:val="21"/>
          <w:highlight w:val="none"/>
        </w:rPr>
        <w:t>年；</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4)供热、供冷系统工程为</w:t>
      </w:r>
      <w:r>
        <w:rPr>
          <w:rFonts w:hint="eastAsia" w:ascii="宋体" w:hAnsi="宋体" w:cs="宋体"/>
          <w:color w:val="auto"/>
          <w:szCs w:val="21"/>
          <w:highlight w:val="none"/>
          <w:u w:val="single"/>
        </w:rPr>
        <w:t xml:space="preserve">  两 </w:t>
      </w:r>
      <w:r>
        <w:rPr>
          <w:rFonts w:hint="eastAsia" w:ascii="宋体" w:hAnsi="宋体" w:cs="宋体"/>
          <w:color w:val="auto"/>
          <w:szCs w:val="21"/>
          <w:highlight w:val="none"/>
        </w:rPr>
        <w:t xml:space="preserve">个采暖期、供冷期； </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5)装饰装修工程为</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 xml:space="preserve">两   </w:t>
      </w:r>
      <w:r>
        <w:rPr>
          <w:rFonts w:hint="eastAsia" w:ascii="宋体" w:hAnsi="宋体" w:cs="宋体"/>
          <w:color w:val="auto"/>
          <w:szCs w:val="21"/>
          <w:highlight w:val="none"/>
        </w:rPr>
        <w:t>年；</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6)其他项目</w:t>
      </w:r>
      <w:r>
        <w:rPr>
          <w:rFonts w:hint="eastAsia" w:ascii="宋体" w:hAnsi="宋体" w:cs="宋体"/>
          <w:color w:val="auto"/>
          <w:szCs w:val="21"/>
          <w:highlight w:val="none"/>
          <w:u w:val="single"/>
        </w:rPr>
        <w:t xml:space="preserve"> 保修期为竣工证书发出后的24个月</w:t>
      </w:r>
      <w:r>
        <w:rPr>
          <w:rFonts w:hint="eastAsia" w:ascii="宋体" w:hAnsi="宋体" w:cs="宋体"/>
          <w:color w:val="auto"/>
          <w:szCs w:val="21"/>
          <w:highlight w:val="none"/>
        </w:rPr>
        <w:t>。</w:t>
      </w:r>
    </w:p>
    <w:p>
      <w:pPr>
        <w:numPr>
          <w:ilvl w:val="1"/>
          <w:numId w:val="7"/>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质量保证金：项目完成后，中标人向采购人提交结算价5%的质量保证金，在两年质保期满后15个工作日内由采购人无息退还给中标人若承包人在质量保证期内未完全履行缺陷保修义务的，发包人有权扣除质量保证金，并保留进一步索赔的权利。</w:t>
      </w:r>
    </w:p>
    <w:p>
      <w:pPr>
        <w:numPr>
          <w:ilvl w:val="1"/>
          <w:numId w:val="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文件中另有规定，本次采购不接受选择性报价及备选方案，</w:t>
      </w:r>
      <w:r>
        <w:rPr>
          <w:rFonts w:hint="eastAsia" w:ascii="宋体" w:hAnsi="宋体" w:cs="宋体"/>
          <w:color w:val="auto"/>
          <w:szCs w:val="21"/>
          <w:highlight w:val="none"/>
        </w:rPr>
        <w:t>否则将被视为无效报价。</w:t>
      </w:r>
    </w:p>
    <w:p>
      <w:pPr>
        <w:numPr>
          <w:ilvl w:val="1"/>
          <w:numId w:val="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文件中另有规定，本次采购不接受具有附加条件的报价，否则将被视为无效响应。</w:t>
      </w:r>
    </w:p>
    <w:p>
      <w:pPr>
        <w:numPr>
          <w:ilvl w:val="0"/>
          <w:numId w:val="7"/>
        </w:numPr>
        <w:autoSpaceDE w:val="0"/>
        <w:autoSpaceDN w:val="0"/>
        <w:adjustRightInd w:val="0"/>
        <w:snapToGrid w:val="0"/>
        <w:spacing w:line="360" w:lineRule="auto"/>
        <w:outlineLvl w:val="0"/>
        <w:rPr>
          <w:rFonts w:ascii="宋体" w:hAnsi="宋体"/>
          <w:b/>
          <w:bCs/>
          <w:color w:val="auto"/>
          <w:sz w:val="24"/>
          <w:highlight w:val="none"/>
        </w:rPr>
      </w:pPr>
      <w:bookmarkStart w:id="132" w:name="_Toc363737697"/>
      <w:bookmarkStart w:id="133" w:name="_Toc475104484"/>
      <w:r>
        <w:rPr>
          <w:rFonts w:hint="eastAsia" w:ascii="宋体" w:hAnsi="宋体"/>
          <w:b/>
          <w:bCs/>
          <w:color w:val="auto"/>
          <w:sz w:val="24"/>
          <w:highlight w:val="none"/>
        </w:rPr>
        <w:t>证明供应商合格和资格的文件</w:t>
      </w:r>
      <w:bookmarkEnd w:id="127"/>
      <w:bookmarkEnd w:id="128"/>
      <w:bookmarkEnd w:id="129"/>
      <w:bookmarkEnd w:id="130"/>
      <w:bookmarkEnd w:id="131"/>
      <w:bookmarkEnd w:id="132"/>
      <w:bookmarkEnd w:id="133"/>
    </w:p>
    <w:p>
      <w:pPr>
        <w:numPr>
          <w:ilvl w:val="1"/>
          <w:numId w:val="7"/>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应提交证明其有资格参加磋商响应和获得成交资格后有能力履行合同的文件，并作为其磋商响应文件的一部分。如果</w:t>
      </w:r>
      <w:r>
        <w:rPr>
          <w:rFonts w:hint="eastAsia" w:cs="宋体"/>
          <w:color w:val="auto"/>
          <w:szCs w:val="21"/>
          <w:highlight w:val="none"/>
        </w:rPr>
        <w:t>供应商</w:t>
      </w:r>
      <w:r>
        <w:rPr>
          <w:rFonts w:hint="eastAsia" w:ascii="宋体" w:hAnsi="宋体" w:cs="宋体"/>
          <w:color w:val="auto"/>
          <w:szCs w:val="21"/>
          <w:highlight w:val="none"/>
        </w:rPr>
        <w:t>为联合体，应提交联合体各方的资格证明文件、联合体协议并注明主体方及各方拟承担的工作和责任。否则，将导致其响应无效。</w:t>
      </w:r>
    </w:p>
    <w:p>
      <w:pPr>
        <w:numPr>
          <w:ilvl w:val="1"/>
          <w:numId w:val="7"/>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供应商提交的资格证明文件应证明其满足本须知定义的合格</w:t>
      </w:r>
      <w:r>
        <w:rPr>
          <w:rFonts w:hint="eastAsia" w:cs="宋体"/>
          <w:color w:val="auto"/>
          <w:szCs w:val="21"/>
          <w:highlight w:val="none"/>
        </w:rPr>
        <w:t>供应商</w:t>
      </w:r>
      <w:r>
        <w:rPr>
          <w:rFonts w:hint="eastAsia" w:ascii="宋体" w:hAnsi="宋体" w:cs="宋体"/>
          <w:color w:val="auto"/>
          <w:szCs w:val="21"/>
          <w:highlight w:val="none"/>
        </w:rPr>
        <w:t>。</w:t>
      </w:r>
    </w:p>
    <w:p>
      <w:pPr>
        <w:numPr>
          <w:ilvl w:val="0"/>
          <w:numId w:val="7"/>
        </w:numPr>
        <w:autoSpaceDE w:val="0"/>
        <w:autoSpaceDN w:val="0"/>
        <w:adjustRightInd w:val="0"/>
        <w:snapToGrid w:val="0"/>
        <w:spacing w:line="360" w:lineRule="auto"/>
        <w:outlineLvl w:val="0"/>
        <w:rPr>
          <w:rFonts w:ascii="宋体" w:hAnsi="宋体"/>
          <w:b/>
          <w:bCs/>
          <w:color w:val="auto"/>
          <w:sz w:val="24"/>
          <w:highlight w:val="none"/>
        </w:rPr>
      </w:pPr>
      <w:bookmarkStart w:id="134" w:name="_Toc315793469"/>
      <w:bookmarkStart w:id="135" w:name="_Toc320515082"/>
      <w:bookmarkStart w:id="136" w:name="_Toc475104485"/>
      <w:bookmarkStart w:id="137" w:name="_Toc363737698"/>
      <w:bookmarkStart w:id="138" w:name="_Toc333236642"/>
      <w:bookmarkStart w:id="139" w:name="_Toc320515033"/>
      <w:bookmarkStart w:id="140" w:name="_Toc323110993"/>
      <w:r>
        <w:rPr>
          <w:rFonts w:hint="eastAsia" w:ascii="宋体" w:hAnsi="宋体"/>
          <w:b/>
          <w:bCs/>
          <w:color w:val="auto"/>
          <w:sz w:val="24"/>
          <w:highlight w:val="none"/>
        </w:rPr>
        <w:t>证明服务的合格性和符合磋商文件规定的文件</w:t>
      </w:r>
      <w:bookmarkEnd w:id="134"/>
      <w:bookmarkEnd w:id="135"/>
      <w:bookmarkEnd w:id="136"/>
      <w:bookmarkEnd w:id="137"/>
      <w:bookmarkEnd w:id="138"/>
      <w:bookmarkEnd w:id="139"/>
    </w:p>
    <w:p>
      <w:pPr>
        <w:numPr>
          <w:ilvl w:val="1"/>
          <w:numId w:val="7"/>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s="宋体"/>
          <w:color w:val="auto"/>
          <w:szCs w:val="21"/>
          <w:highlight w:val="none"/>
          <w:lang w:eastAsia="zh-TW"/>
        </w:rPr>
        <w:t>供应商应提交证明文件</w:t>
      </w:r>
      <w:r>
        <w:rPr>
          <w:rFonts w:hint="eastAsia" w:ascii="宋体" w:hAnsi="宋体" w:cs="宋体"/>
          <w:color w:val="auto"/>
          <w:szCs w:val="21"/>
          <w:highlight w:val="none"/>
        </w:rPr>
        <w:t>，</w:t>
      </w:r>
      <w:r>
        <w:rPr>
          <w:rFonts w:hint="eastAsia" w:ascii="宋体" w:hAnsi="宋体" w:cs="宋体"/>
          <w:color w:val="auto"/>
          <w:szCs w:val="21"/>
          <w:highlight w:val="none"/>
          <w:lang w:eastAsia="zh-TW"/>
        </w:rPr>
        <w:t>证明其拟</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的服务的合格性符合</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规定。该证明文件作为</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的一部分。</w:t>
      </w:r>
    </w:p>
    <w:p>
      <w:pPr>
        <w:numPr>
          <w:ilvl w:val="1"/>
          <w:numId w:val="7"/>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证明服务与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的要求相一致的文件，可以是文字资料、图纸和数据，它包括：</w:t>
      </w:r>
    </w:p>
    <w:p>
      <w:pPr>
        <w:numPr>
          <w:ilvl w:val="2"/>
          <w:numId w:val="7"/>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服务主要内容、方案、质量、标准指标等的详细说明；</w:t>
      </w:r>
    </w:p>
    <w:p>
      <w:pPr>
        <w:numPr>
          <w:ilvl w:val="2"/>
          <w:numId w:val="7"/>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对照竞争性磋商文件服务内容与要求，逐条说明所提供服务已对磋商文件的服务内容与要求作出了实质性的响应，并申明与服务内容与要求条文的偏差和例外。特别对有具体参数要求的指标，</w:t>
      </w:r>
      <w:r>
        <w:rPr>
          <w:rFonts w:hint="eastAsia" w:cs="宋体"/>
          <w:color w:val="auto"/>
          <w:szCs w:val="21"/>
          <w:highlight w:val="none"/>
        </w:rPr>
        <w:t>供应商</w:t>
      </w:r>
      <w:r>
        <w:rPr>
          <w:rFonts w:hint="eastAsia" w:ascii="宋体" w:hAnsi="宋体" w:cs="宋体"/>
          <w:color w:val="auto"/>
          <w:szCs w:val="21"/>
          <w:highlight w:val="none"/>
        </w:rPr>
        <w:t>须提供所投服务的具体参数值。</w:t>
      </w:r>
      <w:r>
        <w:rPr>
          <w:rFonts w:hint="eastAsia" w:cs="宋体"/>
          <w:color w:val="auto"/>
          <w:szCs w:val="21"/>
          <w:highlight w:val="none"/>
        </w:rPr>
        <w:t>供应商</w:t>
      </w:r>
      <w:r>
        <w:rPr>
          <w:rFonts w:hint="eastAsia" w:ascii="宋体" w:hAnsi="宋体" w:cs="宋体"/>
          <w:color w:val="auto"/>
          <w:szCs w:val="21"/>
          <w:highlight w:val="none"/>
        </w:rPr>
        <w:t>在阐述时应注意竞争性磋商文件的服务内容、要求和标准，</w:t>
      </w:r>
      <w:r>
        <w:rPr>
          <w:rFonts w:hint="eastAsia" w:cs="宋体"/>
          <w:color w:val="auto"/>
          <w:szCs w:val="21"/>
          <w:highlight w:val="none"/>
        </w:rPr>
        <w:t>供应商</w:t>
      </w:r>
      <w:r>
        <w:rPr>
          <w:rFonts w:hint="eastAsia" w:ascii="宋体" w:hAnsi="宋体" w:cs="宋体"/>
          <w:color w:val="auto"/>
          <w:szCs w:val="21"/>
          <w:highlight w:val="none"/>
        </w:rPr>
        <w:t>在报价中要实质上满足或超过竞争性磋商文件的要求。</w:t>
      </w:r>
    </w:p>
    <w:p>
      <w:pPr>
        <w:numPr>
          <w:ilvl w:val="0"/>
          <w:numId w:val="7"/>
        </w:numPr>
        <w:autoSpaceDE w:val="0"/>
        <w:autoSpaceDN w:val="0"/>
        <w:adjustRightInd w:val="0"/>
        <w:snapToGrid w:val="0"/>
        <w:spacing w:line="360" w:lineRule="auto"/>
        <w:outlineLvl w:val="0"/>
        <w:rPr>
          <w:rFonts w:hint="eastAsia" w:ascii="宋体" w:hAnsi="宋体"/>
          <w:b/>
          <w:bCs/>
          <w:color w:val="auto"/>
          <w:sz w:val="24"/>
          <w:highlight w:val="none"/>
        </w:rPr>
      </w:pPr>
      <w:bookmarkStart w:id="141" w:name="_Toc363737699"/>
      <w:r>
        <w:rPr>
          <w:rFonts w:hint="eastAsia" w:ascii="宋体" w:hAnsi="宋体"/>
          <w:b/>
          <w:bCs/>
          <w:color w:val="auto"/>
          <w:sz w:val="24"/>
          <w:highlight w:val="none"/>
          <w:lang w:eastAsia="zh-CN"/>
        </w:rPr>
        <w:t>磋商</w:t>
      </w:r>
      <w:r>
        <w:rPr>
          <w:rFonts w:hint="eastAsia" w:ascii="宋体" w:hAnsi="宋体"/>
          <w:b/>
          <w:bCs/>
          <w:color w:val="auto"/>
          <w:sz w:val="24"/>
          <w:highlight w:val="none"/>
        </w:rPr>
        <w:t>保证金</w:t>
      </w:r>
    </w:p>
    <w:p>
      <w:pPr>
        <w:numPr>
          <w:ilvl w:val="1"/>
          <w:numId w:val="7"/>
        </w:numPr>
        <w:autoSpaceDE w:val="0"/>
        <w:autoSpaceDN w:val="0"/>
        <w:adjustRightInd w:val="0"/>
        <w:snapToGrid w:val="0"/>
        <w:spacing w:line="360" w:lineRule="auto"/>
        <w:jc w:val="left"/>
        <w:rPr>
          <w:rFonts w:hint="eastAsia" w:ascii="宋体" w:hAnsi="宋体" w:cs="宋体"/>
          <w:b/>
          <w:bCs/>
          <w:color w:val="auto"/>
          <w:szCs w:val="21"/>
          <w:highlight w:val="none"/>
        </w:rPr>
      </w:pPr>
      <w:r>
        <w:rPr>
          <w:rFonts w:hint="eastAsia" w:ascii="宋体" w:hAnsi="宋体" w:cs="宋体"/>
          <w:color w:val="auto"/>
          <w:szCs w:val="21"/>
          <w:highlight w:val="none"/>
          <w:lang w:eastAsia="zh-TW"/>
        </w:rPr>
        <w:t>投标人应向采购代理机构交纳《投标人须知一览表》中规定金额的</w:t>
      </w:r>
      <w:r>
        <w:rPr>
          <w:rFonts w:hint="eastAsia" w:ascii="宋体" w:hAnsi="宋体" w:cs="宋体"/>
          <w:color w:val="auto"/>
          <w:szCs w:val="21"/>
          <w:highlight w:val="none"/>
        </w:rPr>
        <w:t>磋商保证金</w:t>
      </w:r>
      <w:r>
        <w:rPr>
          <w:rFonts w:hint="eastAsia" w:ascii="宋体" w:hAnsi="宋体" w:cs="宋体"/>
          <w:color w:val="auto"/>
          <w:szCs w:val="21"/>
          <w:highlight w:val="none"/>
          <w:lang w:eastAsia="zh-TW"/>
        </w:rPr>
        <w:t>，并作为其</w:t>
      </w:r>
      <w:r>
        <w:rPr>
          <w:rFonts w:hint="eastAsia" w:ascii="宋体" w:hAnsi="宋体" w:cs="宋体"/>
          <w:color w:val="auto"/>
          <w:szCs w:val="21"/>
          <w:highlight w:val="none"/>
        </w:rPr>
        <w:t>磋商文件</w:t>
      </w:r>
      <w:r>
        <w:rPr>
          <w:rFonts w:hint="eastAsia" w:ascii="宋体" w:hAnsi="宋体" w:cs="宋体"/>
          <w:color w:val="auto"/>
          <w:szCs w:val="21"/>
          <w:highlight w:val="none"/>
          <w:lang w:eastAsia="zh-TW"/>
        </w:rPr>
        <w:t>的组成部分。</w:t>
      </w:r>
    </w:p>
    <w:p>
      <w:pPr>
        <w:numPr>
          <w:ilvl w:val="1"/>
          <w:numId w:val="7"/>
        </w:numPr>
        <w:autoSpaceDE w:val="0"/>
        <w:autoSpaceDN w:val="0"/>
        <w:adjustRightInd w:val="0"/>
        <w:snapToGrid w:val="0"/>
        <w:spacing w:line="360" w:lineRule="auto"/>
        <w:jc w:val="left"/>
        <w:rPr>
          <w:rFonts w:hint="eastAsia" w:ascii="宋体" w:hAnsi="宋体" w:cs="宋体"/>
          <w:color w:val="auto"/>
          <w:szCs w:val="21"/>
          <w:highlight w:val="none"/>
          <w:lang w:eastAsia="zh-TW"/>
        </w:rPr>
      </w:pPr>
      <w:r>
        <w:rPr>
          <w:rFonts w:hint="eastAsia" w:ascii="宋体" w:hAnsi="宋体" w:cs="宋体"/>
          <w:color w:val="auto"/>
          <w:szCs w:val="21"/>
          <w:highlight w:val="none"/>
        </w:rPr>
        <w:t>磋商保证金为人民币，必须于《投标人须知一览表》中规定的时间以支票或者金融机构、担保机构出具的保函等非现金形式提交。磋商保证金作为供应商投标的组成部分，与磋商文件一同递交。</w:t>
      </w:r>
    </w:p>
    <w:p>
      <w:pPr>
        <w:numPr>
          <w:ilvl w:val="1"/>
          <w:numId w:val="7"/>
        </w:numPr>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rPr>
        <w:t>磋商保证金应以投标人的名义转账。</w:t>
      </w:r>
    </w:p>
    <w:p>
      <w:pPr>
        <w:numPr>
          <w:ilvl w:val="1"/>
          <w:numId w:val="7"/>
        </w:numPr>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rPr>
        <w:t>递交磋商文件时请将磋商保证金汇款声明函（加盖公章，格式详见第六章）封入“唱标信封”里。</w:t>
      </w:r>
    </w:p>
    <w:p>
      <w:pPr>
        <w:numPr>
          <w:ilvl w:val="1"/>
          <w:numId w:val="7"/>
        </w:numPr>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rPr>
        <w:t>投标人未按上述规定交纳足额磋商保证金的，其磋商文件将被拒绝。</w:t>
      </w:r>
    </w:p>
    <w:p>
      <w:pPr>
        <w:numPr>
          <w:ilvl w:val="1"/>
          <w:numId w:val="7"/>
        </w:numPr>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rPr>
        <w:t>采购代理机构应当在中标通知书发出后五个工作日内退还未中标投标人的磋商保证金，在采购合同签订后五个工作日内退还中标投标人的磋商保证金。在投标有效期内不能确定中标投标人的，在投标有效期满后五个工作日内，退回所有投标人的磋商保证金。</w:t>
      </w:r>
      <w:r>
        <w:rPr>
          <w:rFonts w:hint="eastAsia" w:ascii="宋体" w:hAnsi="宋体" w:cs="宋体"/>
          <w:color w:val="auto"/>
          <w:szCs w:val="21"/>
          <w:highlight w:val="none"/>
          <w:lang w:eastAsia="zh-TW"/>
        </w:rPr>
        <w:t>但因投标人自身原因导致无法及时退还的除外。</w:t>
      </w:r>
    </w:p>
    <w:p>
      <w:pPr>
        <w:numPr>
          <w:ilvl w:val="1"/>
          <w:numId w:val="7"/>
        </w:numPr>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bCs/>
          <w:color w:val="auto"/>
          <w:szCs w:val="21"/>
          <w:highlight w:val="none"/>
          <w:lang w:val="en-GB"/>
        </w:rPr>
        <w:t>所有</w:t>
      </w:r>
      <w:r>
        <w:rPr>
          <w:rFonts w:hint="eastAsia" w:ascii="宋体" w:hAnsi="宋体" w:cs="宋体"/>
          <w:bCs/>
          <w:color w:val="auto"/>
          <w:szCs w:val="21"/>
          <w:highlight w:val="none"/>
        </w:rPr>
        <w:t>投标人的磋商保证金以支票或转账的方式予以退还。</w:t>
      </w:r>
    </w:p>
    <w:p>
      <w:pPr>
        <w:numPr>
          <w:ilvl w:val="1"/>
          <w:numId w:val="7"/>
        </w:numPr>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rPr>
        <w:t>中标人有下列情形之一的，采购代理机构不予退还其交纳的磋商保证金；情节严重的，由财政部门将其列入不良行为记录名单，在一至三年内禁止参加政府采购活动，并予以通报：</w:t>
      </w:r>
    </w:p>
    <w:p>
      <w:pPr>
        <w:numPr>
          <w:ilvl w:val="2"/>
          <w:numId w:val="7"/>
        </w:numPr>
        <w:tabs>
          <w:tab w:val="left" w:pos="851"/>
        </w:tabs>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lang w:eastAsia="zh-TW"/>
        </w:rPr>
        <w:t>投标人在</w:t>
      </w:r>
      <w:r>
        <w:rPr>
          <w:rFonts w:hint="eastAsia" w:ascii="宋体" w:hAnsi="宋体" w:cs="宋体"/>
          <w:color w:val="auto"/>
          <w:szCs w:val="21"/>
          <w:highlight w:val="none"/>
        </w:rPr>
        <w:t>采购</w:t>
      </w:r>
      <w:r>
        <w:rPr>
          <w:rFonts w:hint="eastAsia" w:ascii="宋体" w:hAnsi="宋体" w:cs="宋体"/>
          <w:color w:val="auto"/>
          <w:szCs w:val="21"/>
          <w:highlight w:val="none"/>
          <w:lang w:eastAsia="zh-TW"/>
        </w:rPr>
        <w:t>文件中规定的投标有效期内撤</w:t>
      </w:r>
      <w:r>
        <w:rPr>
          <w:rFonts w:hint="eastAsia" w:ascii="宋体" w:hAnsi="宋体" w:cs="宋体"/>
          <w:color w:val="auto"/>
          <w:szCs w:val="21"/>
          <w:highlight w:val="none"/>
        </w:rPr>
        <w:t>销</w:t>
      </w:r>
      <w:r>
        <w:rPr>
          <w:rFonts w:hint="eastAsia" w:ascii="宋体" w:hAnsi="宋体" w:cs="宋体"/>
          <w:color w:val="auto"/>
          <w:szCs w:val="21"/>
          <w:highlight w:val="none"/>
          <w:lang w:eastAsia="zh-TW"/>
        </w:rPr>
        <w:t>其</w:t>
      </w:r>
      <w:r>
        <w:rPr>
          <w:rFonts w:hint="eastAsia" w:ascii="宋体" w:hAnsi="宋体" w:cs="宋体"/>
          <w:color w:val="auto"/>
          <w:szCs w:val="21"/>
          <w:highlight w:val="none"/>
        </w:rPr>
        <w:t>磋商文件；</w:t>
      </w:r>
    </w:p>
    <w:p>
      <w:pPr>
        <w:numPr>
          <w:ilvl w:val="2"/>
          <w:numId w:val="7"/>
        </w:numPr>
        <w:tabs>
          <w:tab w:val="left" w:pos="851"/>
        </w:tabs>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rPr>
        <w:t>依法取消中标资格的；</w:t>
      </w:r>
    </w:p>
    <w:p>
      <w:pPr>
        <w:numPr>
          <w:ilvl w:val="2"/>
          <w:numId w:val="7"/>
        </w:numPr>
        <w:tabs>
          <w:tab w:val="left" w:pos="851"/>
        </w:tabs>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rPr>
        <w:t>中标后无正当理由不与采购人或者采购代理机构签订合同的；</w:t>
      </w:r>
    </w:p>
    <w:p>
      <w:pPr>
        <w:numPr>
          <w:ilvl w:val="2"/>
          <w:numId w:val="7"/>
        </w:numPr>
        <w:tabs>
          <w:tab w:val="left" w:pos="851"/>
        </w:tabs>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rPr>
        <w:t>将中标项目转让给他人，或者在磋商文件中未说明，且未经采购招标机构同意，将中标项目分包给他人的；</w:t>
      </w:r>
    </w:p>
    <w:p>
      <w:pPr>
        <w:numPr>
          <w:ilvl w:val="2"/>
          <w:numId w:val="7"/>
        </w:numPr>
        <w:tabs>
          <w:tab w:val="left" w:pos="851"/>
        </w:tabs>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rPr>
        <w:t>拒绝履行合同义务的。</w:t>
      </w:r>
    </w:p>
    <w:p>
      <w:pPr>
        <w:numPr>
          <w:ilvl w:val="1"/>
          <w:numId w:val="7"/>
        </w:numPr>
        <w:tabs>
          <w:tab w:val="left" w:pos="735"/>
        </w:tabs>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highlight w:val="none"/>
        </w:rPr>
        <w:t>采用《政府采购投标担保函》提交的，应符合下列规定：</w:t>
      </w:r>
    </w:p>
    <w:p>
      <w:pPr>
        <w:tabs>
          <w:tab w:val="left" w:pos="1164"/>
        </w:tabs>
        <w:spacing w:line="360" w:lineRule="auto"/>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（1）投标担保可采用银行保函、专业担保公司的保证</w:t>
      </w:r>
      <w:r>
        <w:rPr>
          <w:rFonts w:hint="eastAsia" w:ascii="宋体" w:hAnsi="宋体" w:cs="宋体"/>
          <w:color w:val="auto"/>
          <w:szCs w:val="21"/>
          <w:highlight w:val="none"/>
          <w:lang w:eastAsia="zh-CN"/>
        </w:rPr>
        <w:t>；</w:t>
      </w:r>
    </w:p>
    <w:p>
      <w:pPr>
        <w:tabs>
          <w:tab w:val="left" w:pos="1164"/>
        </w:tabs>
        <w:spacing w:line="360" w:lineRule="auto"/>
        <w:rPr>
          <w:rFonts w:hint="eastAsia" w:ascii="宋体" w:hAnsi="宋体" w:cs="宋体"/>
          <w:color w:val="auto"/>
          <w:highlight w:val="none"/>
        </w:rPr>
      </w:pPr>
      <w:r>
        <w:rPr>
          <w:rFonts w:hint="eastAsia" w:ascii="宋体" w:hAnsi="宋体" w:cs="宋体"/>
          <w:color w:val="auto"/>
          <w:szCs w:val="21"/>
          <w:highlight w:val="none"/>
        </w:rPr>
        <w:t>（2）采用</w:t>
      </w:r>
      <w:r>
        <w:rPr>
          <w:rFonts w:hint="eastAsia" w:ascii="宋体" w:hAnsi="宋体" w:cs="宋体"/>
          <w:bCs/>
          <w:color w:val="auto"/>
          <w:szCs w:val="21"/>
          <w:highlight w:val="none"/>
        </w:rPr>
        <w:t>采购</w:t>
      </w:r>
      <w:r>
        <w:rPr>
          <w:rFonts w:hint="eastAsia" w:ascii="宋体" w:hAnsi="宋体" w:cs="宋体"/>
          <w:color w:val="auto"/>
          <w:szCs w:val="21"/>
          <w:highlight w:val="none"/>
        </w:rPr>
        <w:t>文件提供的格式或采购代理机构接受的其他格式；</w:t>
      </w:r>
    </w:p>
    <w:p>
      <w:pPr>
        <w:tabs>
          <w:tab w:val="left" w:pos="1164"/>
        </w:tabs>
        <w:spacing w:line="360" w:lineRule="auto"/>
        <w:rPr>
          <w:rFonts w:hint="eastAsia" w:ascii="宋体" w:hAnsi="宋体" w:cs="宋体"/>
          <w:color w:val="auto"/>
          <w:szCs w:val="21"/>
          <w:highlight w:val="none"/>
        </w:rPr>
      </w:pPr>
      <w:r>
        <w:rPr>
          <w:rFonts w:hint="eastAsia" w:ascii="宋体" w:hAnsi="宋体" w:cs="宋体"/>
          <w:color w:val="auto"/>
          <w:szCs w:val="21"/>
          <w:highlight w:val="none"/>
        </w:rPr>
        <w:t>（3）有效期超过投标有效期30天；</w:t>
      </w:r>
    </w:p>
    <w:p>
      <w:pPr>
        <w:numPr>
          <w:ilvl w:val="-1"/>
          <w:numId w:val="0"/>
        </w:numPr>
        <w:autoSpaceDE w:val="0"/>
        <w:autoSpaceDN w:val="0"/>
        <w:adjustRightInd w:val="0"/>
        <w:snapToGrid w:val="0"/>
        <w:spacing w:line="360" w:lineRule="auto"/>
        <w:ind w:left="0" w:firstLine="0"/>
        <w:jc w:val="left"/>
        <w:rPr>
          <w:rFonts w:ascii="宋体" w:hAnsi="宋体"/>
          <w:color w:val="auto"/>
          <w:szCs w:val="21"/>
          <w:highlight w:val="none"/>
        </w:rPr>
      </w:pPr>
      <w:r>
        <w:rPr>
          <w:rFonts w:hint="eastAsia" w:ascii="宋体" w:hAnsi="宋体" w:cs="宋体"/>
          <w:color w:val="auto"/>
          <w:szCs w:val="21"/>
          <w:highlight w:val="none"/>
        </w:rPr>
        <w:t>（4）采购其他方式提交磋商保证金的，不需要提交</w:t>
      </w:r>
      <w:r>
        <w:rPr>
          <w:rFonts w:hint="eastAsia" w:ascii="宋体" w:hAnsi="宋体" w:cs="宋体"/>
          <w:color w:val="auto"/>
          <w:highlight w:val="none"/>
        </w:rPr>
        <w:t>《政府采购投标担保函》。</w:t>
      </w:r>
      <w:bookmarkEnd w:id="141"/>
    </w:p>
    <w:bookmarkEnd w:id="140"/>
    <w:p>
      <w:pPr>
        <w:numPr>
          <w:ilvl w:val="0"/>
          <w:numId w:val="7"/>
        </w:numPr>
        <w:autoSpaceDE w:val="0"/>
        <w:autoSpaceDN w:val="0"/>
        <w:adjustRightInd w:val="0"/>
        <w:snapToGrid w:val="0"/>
        <w:spacing w:line="360" w:lineRule="auto"/>
        <w:outlineLvl w:val="0"/>
        <w:rPr>
          <w:rFonts w:ascii="宋体" w:hAnsi="宋体"/>
          <w:b/>
          <w:bCs/>
          <w:color w:val="auto"/>
          <w:sz w:val="24"/>
          <w:highlight w:val="none"/>
        </w:rPr>
      </w:pPr>
      <w:bookmarkStart w:id="142" w:name="_Toc351550769"/>
      <w:bookmarkStart w:id="143" w:name="_Toc394926941"/>
      <w:bookmarkStart w:id="144" w:name="_Toc475104487"/>
      <w:bookmarkStart w:id="145" w:name="_Toc322680361"/>
      <w:bookmarkStart w:id="146" w:name="_Toc323110994"/>
      <w:bookmarkStart w:id="147" w:name="_Toc363737700"/>
      <w:bookmarkStart w:id="148" w:name="_Toc315793471"/>
      <w:bookmarkStart w:id="149" w:name="_Toc320515035"/>
      <w:bookmarkStart w:id="150" w:name="_Toc320515084"/>
      <w:r>
        <w:rPr>
          <w:rFonts w:hint="eastAsia" w:ascii="宋体" w:hAnsi="宋体"/>
          <w:b/>
          <w:bCs/>
          <w:color w:val="auto"/>
          <w:sz w:val="24"/>
          <w:highlight w:val="none"/>
        </w:rPr>
        <w:t>政府采购信用担保</w:t>
      </w:r>
      <w:bookmarkEnd w:id="142"/>
      <w:bookmarkEnd w:id="143"/>
      <w:bookmarkEnd w:id="144"/>
    </w:p>
    <w:bookmarkEnd w:id="145"/>
    <w:bookmarkEnd w:id="146"/>
    <w:bookmarkEnd w:id="147"/>
    <w:bookmarkEnd w:id="148"/>
    <w:bookmarkEnd w:id="149"/>
    <w:bookmarkEnd w:id="150"/>
    <w:p>
      <w:pPr>
        <w:numPr>
          <w:ilvl w:val="1"/>
          <w:numId w:val="7"/>
        </w:numPr>
        <w:autoSpaceDE w:val="0"/>
        <w:autoSpaceDN w:val="0"/>
        <w:adjustRightInd w:val="0"/>
        <w:snapToGrid w:val="0"/>
        <w:spacing w:line="360" w:lineRule="auto"/>
        <w:outlineLvl w:val="0"/>
        <w:rPr>
          <w:rFonts w:ascii="宋体" w:hAnsi="宋体" w:cs="宋体"/>
          <w:color w:val="auto"/>
          <w:szCs w:val="21"/>
          <w:highlight w:val="none"/>
        </w:rPr>
      </w:pPr>
      <w:bookmarkStart w:id="151" w:name="_Toc475104489"/>
      <w:r>
        <w:rPr>
          <w:rFonts w:hint="eastAsia" w:ascii="宋体" w:hAnsi="宋体"/>
          <w:color w:val="auto"/>
          <w:szCs w:val="21"/>
          <w:highlight w:val="none"/>
        </w:rPr>
        <w:t>履约担保，是指由专业担保机构为</w:t>
      </w:r>
      <w:r>
        <w:rPr>
          <w:rFonts w:hint="eastAsia" w:cs="宋体"/>
          <w:color w:val="auto"/>
          <w:szCs w:val="21"/>
          <w:highlight w:val="none"/>
        </w:rPr>
        <w:t>供应商</w:t>
      </w:r>
      <w:r>
        <w:rPr>
          <w:rFonts w:hint="eastAsia" w:ascii="宋体" w:hAnsi="宋体"/>
          <w:color w:val="auto"/>
          <w:szCs w:val="21"/>
          <w:highlight w:val="none"/>
        </w:rPr>
        <w:t>支付履约保证金的义务向采购人提供的保证担保。</w:t>
      </w:r>
      <w:r>
        <w:rPr>
          <w:rFonts w:hint="eastAsia" w:cs="宋体"/>
          <w:color w:val="auto"/>
          <w:szCs w:val="21"/>
          <w:highlight w:val="none"/>
        </w:rPr>
        <w:t>供应商</w:t>
      </w:r>
      <w:r>
        <w:rPr>
          <w:rFonts w:hint="eastAsia" w:ascii="宋体" w:hAnsi="宋体"/>
          <w:color w:val="auto"/>
          <w:szCs w:val="21"/>
          <w:highlight w:val="none"/>
        </w:rPr>
        <w:t>未按政府采购合同履行约定义务而应实际支付保证金的，由专业担保机构按照担保函约定履行担保责任。</w:t>
      </w:r>
      <w:r>
        <w:rPr>
          <w:rFonts w:hint="eastAsia" w:cs="宋体"/>
          <w:color w:val="auto"/>
          <w:szCs w:val="21"/>
          <w:highlight w:val="none"/>
        </w:rPr>
        <w:t>供应商</w:t>
      </w:r>
      <w:r>
        <w:rPr>
          <w:rFonts w:hint="eastAsia" w:ascii="宋体" w:hAnsi="宋体"/>
          <w:color w:val="auto"/>
          <w:szCs w:val="21"/>
          <w:highlight w:val="none"/>
        </w:rPr>
        <w:t>可以自行选择是否采取履约担保函的形式交纳履约保证金。</w:t>
      </w:r>
      <w:bookmarkEnd w:id="151"/>
    </w:p>
    <w:p>
      <w:pPr>
        <w:numPr>
          <w:ilvl w:val="1"/>
          <w:numId w:val="7"/>
        </w:numPr>
        <w:autoSpaceDE w:val="0"/>
        <w:autoSpaceDN w:val="0"/>
        <w:adjustRightInd w:val="0"/>
        <w:snapToGrid w:val="0"/>
        <w:spacing w:line="360" w:lineRule="auto"/>
        <w:outlineLvl w:val="0"/>
        <w:rPr>
          <w:rFonts w:ascii="宋体" w:hAnsi="宋体" w:cs="宋体"/>
          <w:color w:val="auto"/>
          <w:szCs w:val="21"/>
          <w:highlight w:val="none"/>
        </w:rPr>
      </w:pPr>
      <w:bookmarkStart w:id="152" w:name="_Toc315793300"/>
      <w:bookmarkStart w:id="153" w:name="_Toc475104490"/>
      <w:r>
        <w:rPr>
          <w:rFonts w:hint="eastAsia"/>
          <w:color w:val="auto"/>
          <w:szCs w:val="21"/>
          <w:highlight w:val="none"/>
        </w:rPr>
        <w:t>融资担保，是指由专业担保机构为</w:t>
      </w:r>
      <w:r>
        <w:rPr>
          <w:rFonts w:hint="eastAsia" w:cs="宋体"/>
          <w:color w:val="auto"/>
          <w:szCs w:val="21"/>
          <w:highlight w:val="none"/>
        </w:rPr>
        <w:t>供应商</w:t>
      </w:r>
      <w:r>
        <w:rPr>
          <w:rFonts w:hint="eastAsia"/>
          <w:color w:val="auto"/>
          <w:szCs w:val="21"/>
          <w:highlight w:val="none"/>
        </w:rPr>
        <w:t>向银行融资提供的保证担保。</w:t>
      </w:r>
      <w:r>
        <w:rPr>
          <w:rFonts w:hint="eastAsia" w:cs="宋体"/>
          <w:color w:val="auto"/>
          <w:szCs w:val="21"/>
          <w:highlight w:val="none"/>
        </w:rPr>
        <w:t>供应商</w:t>
      </w:r>
      <w:r>
        <w:rPr>
          <w:rFonts w:hint="eastAsia"/>
          <w:color w:val="auto"/>
          <w:szCs w:val="21"/>
          <w:highlight w:val="none"/>
        </w:rPr>
        <w:t>可以自愿选择是否采取融资担保的形式为政府采购履约进行融资。</w:t>
      </w:r>
      <w:bookmarkEnd w:id="152"/>
      <w:bookmarkEnd w:id="153"/>
    </w:p>
    <w:p>
      <w:pPr>
        <w:numPr>
          <w:ilvl w:val="1"/>
          <w:numId w:val="7"/>
        </w:numPr>
        <w:autoSpaceDE w:val="0"/>
        <w:autoSpaceDN w:val="0"/>
        <w:adjustRightInd w:val="0"/>
        <w:snapToGrid w:val="0"/>
        <w:spacing w:line="360" w:lineRule="auto"/>
        <w:outlineLvl w:val="0"/>
        <w:rPr>
          <w:rFonts w:ascii="宋体" w:hAnsi="宋体" w:cs="宋体"/>
          <w:color w:val="auto"/>
          <w:szCs w:val="21"/>
          <w:highlight w:val="none"/>
        </w:rPr>
      </w:pPr>
      <w:bookmarkStart w:id="154" w:name="_Toc475104493"/>
      <w:r>
        <w:rPr>
          <w:rFonts w:hint="eastAsia" w:ascii="宋体" w:hAnsi="宋体"/>
          <w:color w:val="auto"/>
          <w:szCs w:val="21"/>
          <w:highlight w:val="none"/>
        </w:rPr>
        <w:t>专业担保机构的选择。</w:t>
      </w:r>
      <w:r>
        <w:rPr>
          <w:rFonts w:hint="eastAsia" w:cs="宋体"/>
          <w:color w:val="auto"/>
          <w:szCs w:val="21"/>
          <w:highlight w:val="none"/>
        </w:rPr>
        <w:t>供应商</w:t>
      </w:r>
      <w:r>
        <w:rPr>
          <w:rFonts w:hint="eastAsia" w:ascii="宋体" w:hAnsi="宋体"/>
          <w:color w:val="auto"/>
          <w:szCs w:val="21"/>
          <w:highlight w:val="none"/>
        </w:rPr>
        <w:t>必须选定有合法资质的担保公司任一家作为专业担保机构。</w:t>
      </w:r>
    </w:p>
    <w:bookmarkEnd w:id="154"/>
    <w:p>
      <w:pPr>
        <w:numPr>
          <w:ilvl w:val="0"/>
          <w:numId w:val="7"/>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响应有效期</w:t>
      </w:r>
    </w:p>
    <w:p>
      <w:pPr>
        <w:numPr>
          <w:ilvl w:val="1"/>
          <w:numId w:val="7"/>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从磋商响应文件递交截止日起，响应有效期为</w:t>
      </w:r>
      <w:r>
        <w:rPr>
          <w:rFonts w:ascii="宋体" w:hAnsi="宋体" w:cs="ZWAdobeF"/>
          <w:color w:val="auto"/>
          <w:sz w:val="2"/>
          <w:szCs w:val="2"/>
          <w:highlight w:val="none"/>
        </w:rPr>
        <w:t>UU</w:t>
      </w:r>
      <w:r>
        <w:rPr>
          <w:rFonts w:hint="eastAsia" w:ascii="宋体" w:hAnsi="宋体" w:cs="宋体"/>
          <w:color w:val="auto"/>
          <w:szCs w:val="21"/>
          <w:highlight w:val="none"/>
          <w:u w:val="single"/>
        </w:rPr>
        <w:t>90</w:t>
      </w:r>
      <w:r>
        <w:rPr>
          <w:rFonts w:ascii="宋体" w:hAnsi="宋体" w:cs="ZWAdobeF"/>
          <w:color w:val="auto"/>
          <w:sz w:val="2"/>
          <w:szCs w:val="2"/>
          <w:highlight w:val="none"/>
        </w:rPr>
        <w:t>UU</w:t>
      </w:r>
      <w:r>
        <w:rPr>
          <w:rFonts w:hint="eastAsia" w:ascii="宋体" w:hAnsi="宋体" w:cs="宋体"/>
          <w:color w:val="auto"/>
          <w:szCs w:val="21"/>
          <w:highlight w:val="none"/>
        </w:rPr>
        <w:t>天（日历天）。响应有效期不足的响应将被视为非实质性响应</w:t>
      </w:r>
      <w:r>
        <w:rPr>
          <w:rFonts w:hint="eastAsia" w:ascii="宋体" w:hAnsi="宋体"/>
          <w:color w:val="auto"/>
          <w:szCs w:val="21"/>
          <w:highlight w:val="none"/>
        </w:rPr>
        <w:t>，</w:t>
      </w:r>
      <w:r>
        <w:rPr>
          <w:rFonts w:hint="eastAsia" w:ascii="宋体" w:hAnsi="宋体" w:cs="宋体"/>
          <w:color w:val="auto"/>
          <w:szCs w:val="21"/>
          <w:highlight w:val="none"/>
        </w:rPr>
        <w:t>视为无效响应。</w:t>
      </w:r>
    </w:p>
    <w:p>
      <w:pPr>
        <w:numPr>
          <w:ilvl w:val="1"/>
          <w:numId w:val="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特殊情况下，在原响应有效期截止之前，政府采购代理机构可要求</w:t>
      </w:r>
      <w:r>
        <w:rPr>
          <w:rFonts w:hint="eastAsia" w:cs="宋体"/>
          <w:color w:val="auto"/>
          <w:szCs w:val="21"/>
          <w:highlight w:val="none"/>
        </w:rPr>
        <w:t>供应商</w:t>
      </w:r>
      <w:r>
        <w:rPr>
          <w:rFonts w:hint="eastAsia" w:ascii="宋体" w:hAnsi="宋体" w:cs="宋体"/>
          <w:color w:val="auto"/>
          <w:szCs w:val="21"/>
          <w:highlight w:val="none"/>
        </w:rPr>
        <w:t>延长响应有效期。这种要求与答复均应以书面形式提交。</w:t>
      </w:r>
      <w:r>
        <w:rPr>
          <w:rFonts w:hint="eastAsia" w:cs="宋体"/>
          <w:color w:val="auto"/>
          <w:szCs w:val="21"/>
          <w:highlight w:val="none"/>
        </w:rPr>
        <w:t>供应商</w:t>
      </w:r>
      <w:r>
        <w:rPr>
          <w:rFonts w:hint="eastAsia" w:ascii="宋体" w:hAnsi="宋体" w:cs="宋体"/>
          <w:color w:val="auto"/>
          <w:szCs w:val="21"/>
          <w:highlight w:val="none"/>
        </w:rPr>
        <w:t>可拒绝政府采购代理机构的这种要求，</w:t>
      </w:r>
      <w:r>
        <w:rPr>
          <w:rFonts w:hint="eastAsia" w:ascii="宋体" w:hAnsi="宋体" w:cs="宋体"/>
          <w:color w:val="auto"/>
          <w:szCs w:val="21"/>
          <w:highlight w:val="none"/>
          <w:lang w:eastAsia="zh-TW"/>
        </w:rPr>
        <w:t>其</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保证金将不会被没收</w:t>
      </w:r>
      <w:r>
        <w:rPr>
          <w:rFonts w:hint="eastAsia" w:ascii="宋体" w:hAnsi="宋体" w:cs="宋体"/>
          <w:color w:val="auto"/>
          <w:szCs w:val="21"/>
          <w:highlight w:val="none"/>
        </w:rPr>
        <w:t>，但其磋商响应在原响应有效期期满后将不再有效。同意延长响应有效期的</w:t>
      </w:r>
      <w:r>
        <w:rPr>
          <w:rFonts w:hint="eastAsia" w:cs="宋体"/>
          <w:color w:val="auto"/>
          <w:szCs w:val="21"/>
          <w:highlight w:val="none"/>
        </w:rPr>
        <w:t>供应商</w:t>
      </w:r>
      <w:r>
        <w:rPr>
          <w:rFonts w:hint="eastAsia" w:ascii="宋体" w:hAnsi="宋体" w:cs="宋体"/>
          <w:color w:val="auto"/>
          <w:szCs w:val="21"/>
          <w:highlight w:val="none"/>
        </w:rPr>
        <w:t>将不会被要求和允许修正其磋商响应，</w:t>
      </w:r>
      <w:r>
        <w:rPr>
          <w:rFonts w:hint="eastAsia" w:ascii="宋体" w:hAnsi="宋体" w:cs="宋体"/>
          <w:color w:val="auto"/>
          <w:szCs w:val="21"/>
          <w:highlight w:val="none"/>
          <w:lang w:eastAsia="zh-TW"/>
        </w:rPr>
        <w:t>而只会被要求相应地延长其</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保证金的有效期。在这种情况下</w:t>
      </w:r>
      <w:r>
        <w:rPr>
          <w:rFonts w:hint="eastAsia" w:ascii="宋体" w:hAnsi="宋体" w:cs="宋体"/>
          <w:color w:val="auto"/>
          <w:szCs w:val="21"/>
          <w:highlight w:val="none"/>
        </w:rPr>
        <w:t>，</w:t>
      </w:r>
      <w:r>
        <w:rPr>
          <w:rFonts w:hint="eastAsia" w:ascii="宋体" w:hAnsi="宋体" w:cs="宋体"/>
          <w:color w:val="auto"/>
          <w:szCs w:val="21"/>
          <w:highlight w:val="none"/>
          <w:lang w:eastAsia="zh-TW"/>
        </w:rPr>
        <w:t>本须知有关</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保证金的退还和没收的规定将在延长了的有效期内继续有效。</w:t>
      </w:r>
    </w:p>
    <w:p>
      <w:pPr>
        <w:numPr>
          <w:ilvl w:val="0"/>
          <w:numId w:val="7"/>
        </w:numPr>
        <w:autoSpaceDE w:val="0"/>
        <w:autoSpaceDN w:val="0"/>
        <w:adjustRightInd w:val="0"/>
        <w:snapToGrid w:val="0"/>
        <w:spacing w:line="360" w:lineRule="auto"/>
        <w:outlineLvl w:val="0"/>
        <w:rPr>
          <w:rFonts w:ascii="宋体" w:hAnsi="宋体"/>
          <w:b/>
          <w:bCs/>
          <w:color w:val="auto"/>
          <w:sz w:val="24"/>
          <w:highlight w:val="none"/>
        </w:rPr>
      </w:pPr>
      <w:bookmarkStart w:id="155" w:name="_Toc475104494"/>
      <w:bookmarkStart w:id="156" w:name="_Toc363737701"/>
      <w:bookmarkStart w:id="157" w:name="_Toc315793472"/>
      <w:bookmarkStart w:id="158" w:name="_Toc320515036"/>
      <w:bookmarkStart w:id="159" w:name="_Toc320515085"/>
      <w:bookmarkStart w:id="160" w:name="_Toc320515037"/>
      <w:bookmarkStart w:id="161" w:name="_Toc323110996"/>
      <w:bookmarkStart w:id="162" w:name="_Toc322680363"/>
      <w:bookmarkStart w:id="163" w:name="_Toc320515086"/>
      <w:bookmarkStart w:id="164" w:name="_Toc315793473"/>
      <w:r>
        <w:rPr>
          <w:rFonts w:hint="eastAsia" w:ascii="宋体" w:hAnsi="宋体"/>
          <w:b/>
          <w:bCs/>
          <w:color w:val="auto"/>
          <w:sz w:val="24"/>
          <w:highlight w:val="none"/>
        </w:rPr>
        <w:t>磋商响应文件的式样和签署</w:t>
      </w:r>
      <w:bookmarkEnd w:id="155"/>
      <w:bookmarkEnd w:id="156"/>
      <w:bookmarkEnd w:id="157"/>
      <w:bookmarkEnd w:id="158"/>
      <w:bookmarkEnd w:id="159"/>
    </w:p>
    <w:p>
      <w:pPr>
        <w:numPr>
          <w:ilvl w:val="1"/>
          <w:numId w:val="7"/>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全部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r>
        <w:rPr>
          <w:rFonts w:hint="eastAsia" w:ascii="宋体" w:hAnsi="宋体" w:cs="宋体"/>
          <w:color w:val="auto"/>
          <w:szCs w:val="21"/>
          <w:highlight w:val="none"/>
        </w:rPr>
        <w:t>数量参看《竞争性磋商须知一览表》</w:t>
      </w:r>
      <w:r>
        <w:rPr>
          <w:rFonts w:hint="eastAsia" w:ascii="宋体" w:hAnsi="宋体" w:cs="宋体"/>
          <w:color w:val="auto"/>
          <w:szCs w:val="21"/>
          <w:highlight w:val="none"/>
          <w:lang w:eastAsia="zh-TW"/>
        </w:rPr>
        <w:t>，所有</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响应文件应用A4规格纸打印装订成册</w:t>
      </w:r>
      <w:r>
        <w:rPr>
          <w:rFonts w:hint="eastAsia" w:ascii="宋体" w:hAnsi="宋体" w:cs="宋体"/>
          <w:color w:val="auto"/>
          <w:szCs w:val="21"/>
          <w:highlight w:val="none"/>
        </w:rPr>
        <w:t>（如采购需求要求提交设计方案展示图纸，图纸规格统一按A0(约1189mm×841mm)规格编制）。于封面注明“正本”和“副本”。如果正本与副本不符，应以正本为准。所有不完整的磋商响应将被拒绝。无论磋商结果如何，</w:t>
      </w:r>
      <w:r>
        <w:rPr>
          <w:rFonts w:hint="eastAsia" w:cs="宋体"/>
          <w:color w:val="auto"/>
          <w:szCs w:val="21"/>
          <w:highlight w:val="none"/>
        </w:rPr>
        <w:t>供应商</w:t>
      </w:r>
      <w:r>
        <w:rPr>
          <w:rFonts w:hint="eastAsia" w:ascii="宋体" w:hAnsi="宋体" w:cs="宋体"/>
          <w:color w:val="auto"/>
          <w:szCs w:val="21"/>
          <w:highlight w:val="none"/>
        </w:rPr>
        <w:t>的全部磋商响应文件均不退回。</w:t>
      </w:r>
    </w:p>
    <w:p>
      <w:pPr>
        <w:numPr>
          <w:ilvl w:val="1"/>
          <w:numId w:val="7"/>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投标人《清单报价表》正本须用采购人提供的原件填写（含封面），并逐页加盖法人公章确认，投标人不得修改《清单报价表》中项目内容及工程数量；副本可以采用正本复印并逐页加盖法人公章确认。</w:t>
      </w:r>
    </w:p>
    <w:p>
      <w:pPr>
        <w:numPr>
          <w:ilvl w:val="1"/>
          <w:numId w:val="7"/>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响应文件的签署：</w:t>
      </w:r>
    </w:p>
    <w:p>
      <w:pPr>
        <w:numPr>
          <w:ilvl w:val="2"/>
          <w:numId w:val="7"/>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磋商响应文件的正本需打印，磋商响应文件要求签名的由法定代表人或经其正式授权的代表签字，</w:t>
      </w:r>
      <w:r>
        <w:rPr>
          <w:rFonts w:ascii="宋体" w:hAnsi="宋体" w:cs="ZWAdobeF"/>
          <w:color w:val="auto"/>
          <w:sz w:val="2"/>
          <w:szCs w:val="2"/>
          <w:highlight w:val="none"/>
        </w:rPr>
        <w:t>UU</w:t>
      </w:r>
      <w:r>
        <w:rPr>
          <w:rFonts w:hint="eastAsia" w:ascii="宋体" w:hAnsi="宋体" w:cs="宋体"/>
          <w:b/>
          <w:color w:val="auto"/>
          <w:szCs w:val="21"/>
          <w:highlight w:val="none"/>
          <w:u w:val="single"/>
        </w:rPr>
        <w:t>磋商响应文件正本每一页均要求加盖供应商公章</w:t>
      </w:r>
      <w:r>
        <w:rPr>
          <w:rFonts w:ascii="宋体" w:hAnsi="宋体" w:cs="ZWAdobeF"/>
          <w:color w:val="auto"/>
          <w:sz w:val="2"/>
          <w:szCs w:val="2"/>
          <w:highlight w:val="none"/>
        </w:rPr>
        <w:t>UU</w:t>
      </w:r>
      <w:r>
        <w:rPr>
          <w:rFonts w:hint="eastAsia" w:ascii="宋体" w:hAnsi="宋体" w:cs="宋体"/>
          <w:color w:val="auto"/>
          <w:szCs w:val="21"/>
          <w:highlight w:val="none"/>
        </w:rPr>
        <w:t>，副本可以复印，与正本具有同等法律效力。授权代表须将以书面形式出具的《法定代表人授权委托书》附在磋商响应文件中。</w:t>
      </w:r>
    </w:p>
    <w:p>
      <w:pPr>
        <w:numPr>
          <w:ilvl w:val="2"/>
          <w:numId w:val="7"/>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磋商响应文件中的任何重要的插字、涂改、增删和修正，必须由法定代表人或经其正式授权的代表在旁边签章或签字才有效。</w:t>
      </w:r>
    </w:p>
    <w:p>
      <w:pPr>
        <w:numPr>
          <w:ilvl w:val="0"/>
          <w:numId w:val="6"/>
        </w:numPr>
        <w:autoSpaceDE w:val="0"/>
        <w:autoSpaceDN w:val="0"/>
        <w:adjustRightInd w:val="0"/>
        <w:snapToGrid w:val="0"/>
        <w:spacing w:before="240" w:beforeLines="100" w:after="240" w:afterLines="100" w:line="360" w:lineRule="auto"/>
        <w:ind w:left="601" w:hanging="601"/>
        <w:jc w:val="center"/>
        <w:outlineLvl w:val="0"/>
        <w:rPr>
          <w:rFonts w:ascii="宋体" w:hAnsi="宋体"/>
          <w:b/>
          <w:color w:val="auto"/>
          <w:sz w:val="28"/>
          <w:szCs w:val="28"/>
          <w:highlight w:val="none"/>
          <w:lang w:eastAsia="zh-TW"/>
        </w:rPr>
      </w:pPr>
      <w:bookmarkStart w:id="165" w:name="_Toc363737702"/>
      <w:bookmarkStart w:id="166" w:name="_Toc475104495"/>
      <w:r>
        <w:rPr>
          <w:rFonts w:hint="eastAsia" w:ascii="宋体" w:hAnsi="宋体"/>
          <w:b/>
          <w:color w:val="auto"/>
          <w:sz w:val="28"/>
          <w:szCs w:val="28"/>
          <w:highlight w:val="none"/>
          <w:lang w:eastAsia="zh-TW"/>
        </w:rPr>
        <w:t>磋商响应文件的递交</w:t>
      </w:r>
      <w:bookmarkEnd w:id="160"/>
      <w:bookmarkEnd w:id="161"/>
      <w:bookmarkEnd w:id="162"/>
      <w:bookmarkEnd w:id="163"/>
      <w:bookmarkEnd w:id="164"/>
      <w:bookmarkEnd w:id="165"/>
      <w:bookmarkEnd w:id="166"/>
    </w:p>
    <w:p>
      <w:pPr>
        <w:numPr>
          <w:ilvl w:val="0"/>
          <w:numId w:val="7"/>
        </w:numPr>
        <w:autoSpaceDE w:val="0"/>
        <w:autoSpaceDN w:val="0"/>
        <w:adjustRightInd w:val="0"/>
        <w:snapToGrid w:val="0"/>
        <w:spacing w:line="360" w:lineRule="auto"/>
        <w:outlineLvl w:val="0"/>
        <w:rPr>
          <w:rFonts w:ascii="宋体" w:hAnsi="宋体"/>
          <w:b/>
          <w:bCs/>
          <w:color w:val="auto"/>
          <w:sz w:val="24"/>
          <w:highlight w:val="none"/>
        </w:rPr>
      </w:pPr>
      <w:bookmarkStart w:id="167" w:name="_Toc320515087"/>
      <w:bookmarkStart w:id="168" w:name="_Toc475104496"/>
      <w:bookmarkStart w:id="169" w:name="_Toc363737703"/>
      <w:bookmarkStart w:id="170" w:name="_Toc315793474"/>
      <w:bookmarkStart w:id="171" w:name="_Toc320515038"/>
      <w:r>
        <w:rPr>
          <w:rFonts w:hint="eastAsia" w:ascii="宋体" w:hAnsi="宋体"/>
          <w:b/>
          <w:bCs/>
          <w:color w:val="auto"/>
          <w:sz w:val="24"/>
          <w:highlight w:val="none"/>
        </w:rPr>
        <w:t>磋商响应文件的密封和标记</w:t>
      </w:r>
      <w:bookmarkEnd w:id="167"/>
      <w:bookmarkEnd w:id="168"/>
      <w:bookmarkEnd w:id="169"/>
      <w:bookmarkEnd w:id="170"/>
      <w:bookmarkEnd w:id="171"/>
    </w:p>
    <w:p>
      <w:pPr>
        <w:numPr>
          <w:ilvl w:val="1"/>
          <w:numId w:val="7"/>
        </w:numPr>
        <w:autoSpaceDE w:val="0"/>
        <w:autoSpaceDN w:val="0"/>
        <w:adjustRightInd w:val="0"/>
        <w:snapToGrid w:val="0"/>
        <w:spacing w:line="360" w:lineRule="auto"/>
        <w:rPr>
          <w:rFonts w:ascii="宋体" w:hAnsi="宋体" w:cs="黑体"/>
          <w:b/>
          <w:bCs/>
          <w:dstrike/>
          <w:color w:val="auto"/>
          <w:szCs w:val="21"/>
          <w:highlight w:val="none"/>
        </w:rPr>
      </w:pPr>
      <w:r>
        <w:rPr>
          <w:rFonts w:hint="eastAsia" w:ascii="宋体" w:hAnsi="宋体" w:cs="宋体"/>
          <w:color w:val="auto"/>
          <w:szCs w:val="21"/>
          <w:highlight w:val="none"/>
        </w:rPr>
        <w:t>报价信封的密封和标记：</w:t>
      </w:r>
    </w:p>
    <w:p>
      <w:pPr>
        <w:numPr>
          <w:ilvl w:val="2"/>
          <w:numId w:val="7"/>
        </w:numPr>
        <w:tabs>
          <w:tab w:val="left" w:pos="851"/>
        </w:tabs>
        <w:autoSpaceDE w:val="0"/>
        <w:autoSpaceDN w:val="0"/>
        <w:adjustRightInd w:val="0"/>
        <w:snapToGrid w:val="0"/>
        <w:spacing w:line="360" w:lineRule="auto"/>
        <w:jc w:val="left"/>
        <w:rPr>
          <w:rFonts w:ascii="宋体" w:hAnsi="宋体" w:cs="黑体"/>
          <w:b/>
          <w:bCs/>
          <w:dstrike/>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应将</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和电子文件</w:t>
      </w:r>
      <w:r>
        <w:rPr>
          <w:rFonts w:hint="eastAsia" w:ascii="宋体" w:hAnsi="宋体" w:cs="宋体"/>
          <w:color w:val="auto"/>
          <w:szCs w:val="21"/>
          <w:highlight w:val="none"/>
          <w:lang w:eastAsia="zh-TW"/>
        </w:rPr>
        <w:t>单独</w:t>
      </w:r>
      <w:r>
        <w:rPr>
          <w:rFonts w:hint="eastAsia" w:ascii="宋体" w:hAnsi="宋体" w:cs="宋体"/>
          <w:color w:val="auto"/>
          <w:szCs w:val="21"/>
          <w:highlight w:val="none"/>
        </w:rPr>
        <w:t>一起</w:t>
      </w:r>
      <w:r>
        <w:rPr>
          <w:rFonts w:hint="eastAsia" w:ascii="宋体" w:hAnsi="宋体" w:cs="宋体"/>
          <w:color w:val="auto"/>
          <w:szCs w:val="21"/>
          <w:highlight w:val="none"/>
          <w:lang w:eastAsia="zh-TW"/>
        </w:rPr>
        <w:t>密封提交</w:t>
      </w:r>
      <w:r>
        <w:rPr>
          <w:rFonts w:hint="eastAsia" w:ascii="宋体" w:hAnsi="宋体" w:cs="宋体"/>
          <w:color w:val="auto"/>
          <w:szCs w:val="21"/>
          <w:highlight w:val="none"/>
        </w:rPr>
        <w:t>，</w:t>
      </w:r>
      <w:r>
        <w:rPr>
          <w:rFonts w:hint="eastAsia" w:ascii="宋体" w:hAnsi="宋体" w:cs="宋体"/>
          <w:color w:val="auto"/>
          <w:szCs w:val="21"/>
          <w:highlight w:val="none"/>
          <w:lang w:eastAsia="zh-TW"/>
        </w:rPr>
        <w:t>并在信封上标明</w:t>
      </w:r>
      <w:r>
        <w:rPr>
          <w:rFonts w:hint="eastAsia" w:ascii="宋体" w:hAnsi="宋体" w:cs="宋体"/>
          <w:color w:val="auto"/>
          <w:szCs w:val="21"/>
          <w:highlight w:val="none"/>
        </w:rPr>
        <w:t>“报价信封”的</w:t>
      </w:r>
      <w:r>
        <w:rPr>
          <w:rFonts w:hint="eastAsia" w:ascii="宋体" w:hAnsi="宋体" w:cs="宋体"/>
          <w:color w:val="auto"/>
          <w:szCs w:val="21"/>
          <w:highlight w:val="none"/>
          <w:lang w:eastAsia="zh-TW"/>
        </w:rPr>
        <w:t>字样。</w:t>
      </w:r>
    </w:p>
    <w:p>
      <w:pPr>
        <w:numPr>
          <w:ilvl w:val="1"/>
          <w:numId w:val="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磋商响应文件递交及封装：</w:t>
      </w:r>
    </w:p>
    <w:p>
      <w:pPr>
        <w:numPr>
          <w:ilvl w:val="2"/>
          <w:numId w:val="7"/>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所有磋商响应文件及样板（如有）应在磋商响应文件递交截止时间前送达磋商响应文件递交地点（时间及地点以第一章竞争性磋商邀请为准），并当面交予采购代理机构专责人员，采购代理机构将拒绝以下情况之一的磋商响应文件：</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（1）迟于磋商响应文件递交截止时间递交的；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（2）以电报、电话、电传、传真或邮递形式递交的；</w:t>
      </w:r>
    </w:p>
    <w:p>
      <w:pPr>
        <w:tabs>
          <w:tab w:val="left" w:pos="851"/>
        </w:tabs>
        <w:autoSpaceDE w:val="0"/>
        <w:autoSpaceDN w:val="0"/>
        <w:adjustRightInd w:val="0"/>
        <w:snapToGrid w:val="0"/>
        <w:spacing w:line="360" w:lineRule="auto"/>
        <w:ind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（3）密封不严、册装不整的。</w:t>
      </w:r>
    </w:p>
    <w:p>
      <w:pPr>
        <w:tabs>
          <w:tab w:val="left" w:pos="851"/>
        </w:tabs>
        <w:autoSpaceDE w:val="0"/>
        <w:autoSpaceDN w:val="0"/>
        <w:adjustRightInd w:val="0"/>
        <w:snapToGrid w:val="0"/>
        <w:spacing w:line="360" w:lineRule="auto"/>
        <w:ind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（4）未提交或未足额提交磋商保证金的。</w:t>
      </w:r>
    </w:p>
    <w:p>
      <w:pPr>
        <w:numPr>
          <w:ilvl w:val="2"/>
          <w:numId w:val="7"/>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正本单独封装，副本全部一起封装，报价信封单独封装，封套表面标明 “正本”、“副本”或“报价信封”字样。在每一封套上按以下顺序标明如下字样，注明竞争性磋商邀请中指明的项目名称、项目编号和“在(竞争性磋商文件中规定的磋商响应文件递交截止时间)之前不得启封”的字样，如：</w:t>
      </w:r>
    </w:p>
    <w:tbl>
      <w:tblPr>
        <w:tblStyle w:val="89"/>
        <w:tblW w:w="0" w:type="auto"/>
        <w:tblInd w:w="11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0" w:type="dxa"/>
          </w:tcPr>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收件人名称：广州市信怡招标代理有限公司</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 xml:space="preserve">项目编号：                 </w:t>
            </w:r>
          </w:p>
          <w:p>
            <w:pPr>
              <w:spacing w:line="360" w:lineRule="auto"/>
              <w:ind w:firstLine="420" w:firstLineChars="200"/>
              <w:rPr>
                <w:rFonts w:ascii="宋体" w:hAnsi="宋体" w:cs="宋体"/>
                <w:color w:val="auto"/>
                <w:szCs w:val="21"/>
                <w:highlight w:val="none"/>
              </w:rPr>
            </w:pPr>
            <w:r>
              <w:rPr>
                <w:rFonts w:hint="eastAsia" w:ascii="宋体" w:hAnsi="宋体"/>
                <w:color w:val="auto"/>
                <w:szCs w:val="21"/>
                <w:highlight w:val="none"/>
              </w:rPr>
              <w:t>项目名称：</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包装内容：</w:t>
            </w:r>
            <w:r>
              <w:rPr>
                <w:rFonts w:hint="eastAsia" w:ascii="宋体" w:hAnsi="宋体" w:cs="宋体"/>
                <w:color w:val="auto"/>
                <w:szCs w:val="21"/>
                <w:highlight w:val="none"/>
              </w:rPr>
              <w:t>磋商</w:t>
            </w:r>
            <w:r>
              <w:rPr>
                <w:rFonts w:hint="eastAsia" w:ascii="宋体" w:hAnsi="宋体"/>
                <w:color w:val="auto"/>
                <w:szCs w:val="21"/>
                <w:highlight w:val="none"/>
              </w:rPr>
              <w:t>响应文件正本</w:t>
            </w:r>
            <w:r>
              <w:rPr>
                <w:rFonts w:ascii="宋体" w:hAnsi="宋体"/>
                <w:color w:val="auto"/>
                <w:szCs w:val="21"/>
                <w:highlight w:val="none"/>
              </w:rPr>
              <w:t>/</w:t>
            </w:r>
            <w:r>
              <w:rPr>
                <w:rFonts w:hint="eastAsia" w:ascii="宋体" w:hAnsi="宋体"/>
                <w:color w:val="auto"/>
                <w:szCs w:val="21"/>
                <w:highlight w:val="none"/>
              </w:rPr>
              <w:t>副本</w:t>
            </w:r>
            <w:r>
              <w:rPr>
                <w:rFonts w:ascii="宋体" w:hAnsi="宋体"/>
                <w:color w:val="auto"/>
                <w:szCs w:val="21"/>
                <w:highlight w:val="none"/>
              </w:rPr>
              <w:t>/</w:t>
            </w:r>
            <w:r>
              <w:rPr>
                <w:rFonts w:hint="eastAsia" w:ascii="宋体" w:hAnsi="宋体"/>
                <w:color w:val="auto"/>
                <w:szCs w:val="21"/>
                <w:highlight w:val="none"/>
              </w:rPr>
              <w:t>报价信封</w:t>
            </w:r>
          </w:p>
          <w:p>
            <w:pPr>
              <w:spacing w:line="360" w:lineRule="auto"/>
              <w:ind w:firstLine="420" w:firstLineChars="200"/>
              <w:rPr>
                <w:rFonts w:ascii="宋体" w:hAnsi="宋体"/>
                <w:color w:val="auto"/>
                <w:szCs w:val="21"/>
                <w:highlight w:val="none"/>
              </w:rPr>
            </w:pPr>
            <w:r>
              <w:rPr>
                <w:rFonts w:hint="eastAsia" w:cs="宋体"/>
                <w:color w:val="auto"/>
                <w:szCs w:val="21"/>
                <w:highlight w:val="none"/>
              </w:rPr>
              <w:t>供应商</w:t>
            </w:r>
            <w:r>
              <w:rPr>
                <w:rFonts w:hint="eastAsia" w:ascii="宋体" w:hAnsi="宋体"/>
                <w:color w:val="auto"/>
                <w:szCs w:val="21"/>
                <w:highlight w:val="none"/>
              </w:rPr>
              <w:t>名称：</w:t>
            </w:r>
          </w:p>
          <w:p>
            <w:pPr>
              <w:spacing w:line="360" w:lineRule="auto"/>
              <w:ind w:firstLine="420" w:firstLineChars="200"/>
              <w:rPr>
                <w:rFonts w:ascii="宋体" w:hAnsi="宋体"/>
                <w:color w:val="auto"/>
                <w:szCs w:val="21"/>
                <w:highlight w:val="none"/>
              </w:rPr>
            </w:pPr>
            <w:r>
              <w:rPr>
                <w:rFonts w:hint="eastAsia" w:cs="宋体"/>
                <w:color w:val="auto"/>
                <w:szCs w:val="21"/>
                <w:highlight w:val="none"/>
              </w:rPr>
              <w:t>供应商</w:t>
            </w:r>
            <w:r>
              <w:rPr>
                <w:rFonts w:hint="eastAsia" w:ascii="宋体" w:hAnsi="宋体"/>
                <w:color w:val="auto"/>
                <w:szCs w:val="21"/>
                <w:highlight w:val="none"/>
              </w:rPr>
              <w:t>地址：</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w:t>
            </w:r>
            <w:r>
              <w:rPr>
                <w:rFonts w:ascii="宋体" w:hAnsi="宋体"/>
                <w:color w:val="auto"/>
                <w:szCs w:val="21"/>
                <w:highlight w:val="none"/>
              </w:rPr>
              <w:t xml:space="preserve"> 系 人：</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联系电话：</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传真电话：</w:t>
            </w:r>
          </w:p>
          <w:p>
            <w:pPr>
              <w:tabs>
                <w:tab w:val="left" w:pos="851"/>
              </w:tabs>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olor w:val="auto"/>
                <w:szCs w:val="21"/>
                <w:highlight w:val="none"/>
              </w:rPr>
              <w:t>在规定的磋商时间</w:t>
            </w:r>
            <w:r>
              <w:rPr>
                <w:rFonts w:hint="eastAsia" w:ascii="宋体" w:hAnsi="宋体"/>
                <w:color w:val="auto"/>
                <w:szCs w:val="21"/>
                <w:highlight w:val="none"/>
                <w:lang w:eastAsia="zh-CN"/>
              </w:rPr>
              <w:t>2020</w:t>
            </w:r>
            <w:r>
              <w:rPr>
                <w:rFonts w:ascii="宋体" w:hAnsi="宋体"/>
                <w:color w:val="auto"/>
                <w:szCs w:val="21"/>
                <w:highlight w:val="none"/>
              </w:rPr>
              <w:t>年</w:t>
            </w:r>
            <w:r>
              <w:rPr>
                <w:rFonts w:hint="eastAsia" w:ascii="宋体" w:hAnsi="宋体"/>
                <w:color w:val="auto"/>
                <w:szCs w:val="21"/>
                <w:highlight w:val="none"/>
              </w:rPr>
              <w:t xml:space="preserve"> </w:t>
            </w:r>
            <w:r>
              <w:rPr>
                <w:rFonts w:ascii="宋体" w:hAnsi="宋体"/>
                <w:color w:val="auto"/>
                <w:szCs w:val="21"/>
                <w:highlight w:val="none"/>
              </w:rPr>
              <w:t>月</w:t>
            </w:r>
            <w:r>
              <w:rPr>
                <w:rFonts w:hint="eastAsia" w:ascii="宋体" w:hAnsi="宋体"/>
                <w:color w:val="auto"/>
                <w:szCs w:val="21"/>
                <w:highlight w:val="none"/>
              </w:rPr>
              <w:t xml:space="preserve"> </w:t>
            </w:r>
            <w:r>
              <w:rPr>
                <w:rFonts w:ascii="宋体" w:hAnsi="宋体"/>
                <w:color w:val="auto"/>
                <w:szCs w:val="21"/>
                <w:highlight w:val="none"/>
              </w:rPr>
              <w:t>日</w:t>
            </w:r>
            <w:r>
              <w:rPr>
                <w:rFonts w:hint="eastAsia" w:ascii="宋体" w:hAnsi="宋体"/>
                <w:color w:val="auto"/>
                <w:szCs w:val="21"/>
                <w:highlight w:val="none"/>
              </w:rPr>
              <w:t>前不得启封</w:t>
            </w:r>
          </w:p>
        </w:tc>
      </w:tr>
    </w:tbl>
    <w:p>
      <w:pPr>
        <w:numPr>
          <w:ilvl w:val="1"/>
          <w:numId w:val="7"/>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采购代理机构对因不可抗力事件造成的磋商响应文件的损坏、丢失不承担责任。</w:t>
      </w:r>
    </w:p>
    <w:p>
      <w:pPr>
        <w:numPr>
          <w:ilvl w:val="1"/>
          <w:numId w:val="7"/>
        </w:numPr>
        <w:autoSpaceDE w:val="0"/>
        <w:autoSpaceDN w:val="0"/>
        <w:adjustRightInd w:val="0"/>
        <w:snapToGrid w:val="0"/>
        <w:spacing w:line="360" w:lineRule="auto"/>
        <w:rPr>
          <w:rFonts w:ascii="宋体" w:hAnsi="宋体"/>
          <w:color w:val="auto"/>
          <w:szCs w:val="21"/>
          <w:highlight w:val="none"/>
        </w:rPr>
      </w:pPr>
      <w:r>
        <w:rPr>
          <w:rFonts w:hint="eastAsia" w:ascii="宋体" w:hAnsi="宋体" w:cs="宋体"/>
          <w:color w:val="auto"/>
          <w:szCs w:val="21"/>
          <w:highlight w:val="none"/>
          <w:lang w:eastAsia="zh-TW"/>
        </w:rPr>
        <w:t>如果未按本须知</w:t>
      </w:r>
      <w:r>
        <w:rPr>
          <w:rFonts w:hint="eastAsia" w:ascii="宋体" w:hAnsi="宋体" w:cs="宋体"/>
          <w:color w:val="auto"/>
          <w:szCs w:val="21"/>
          <w:highlight w:val="none"/>
        </w:rPr>
        <w:t>上款</w:t>
      </w:r>
      <w:r>
        <w:rPr>
          <w:rFonts w:hint="eastAsia" w:ascii="宋体" w:hAnsi="宋体" w:cs="宋体"/>
          <w:color w:val="auto"/>
          <w:szCs w:val="21"/>
          <w:highlight w:val="none"/>
          <w:lang w:eastAsia="zh-TW"/>
        </w:rPr>
        <w:t>要求加写标记和</w:t>
      </w:r>
      <w:r>
        <w:rPr>
          <w:rFonts w:hint="eastAsia" w:ascii="宋体" w:hAnsi="宋体" w:cs="宋体"/>
          <w:color w:val="auto"/>
          <w:szCs w:val="21"/>
          <w:highlight w:val="none"/>
        </w:rPr>
        <w:t>密封，</w:t>
      </w:r>
      <w:r>
        <w:rPr>
          <w:rFonts w:hint="eastAsia" w:ascii="宋体" w:hAnsi="宋体" w:cs="宋体"/>
          <w:color w:val="auto"/>
          <w:szCs w:val="21"/>
          <w:highlight w:val="none"/>
          <w:lang w:eastAsia="zh-TW"/>
        </w:rPr>
        <w:t>政府采购代理机构对误投或提前启封概不负责</w:t>
      </w:r>
      <w:r>
        <w:rPr>
          <w:rFonts w:hint="eastAsia" w:ascii="宋体" w:hAnsi="宋体" w:cs="宋体"/>
          <w:color w:val="auto"/>
          <w:szCs w:val="21"/>
          <w:highlight w:val="none"/>
        </w:rPr>
        <w:t>。</w:t>
      </w:r>
    </w:p>
    <w:p>
      <w:pPr>
        <w:numPr>
          <w:ilvl w:val="0"/>
          <w:numId w:val="7"/>
        </w:numPr>
        <w:autoSpaceDE w:val="0"/>
        <w:autoSpaceDN w:val="0"/>
        <w:adjustRightInd w:val="0"/>
        <w:snapToGrid w:val="0"/>
        <w:spacing w:line="360" w:lineRule="auto"/>
        <w:outlineLvl w:val="0"/>
        <w:rPr>
          <w:rFonts w:ascii="宋体" w:hAnsi="宋体"/>
          <w:b/>
          <w:bCs/>
          <w:color w:val="auto"/>
          <w:sz w:val="24"/>
          <w:highlight w:val="none"/>
        </w:rPr>
      </w:pPr>
      <w:bookmarkStart w:id="172" w:name="_Toc323110999"/>
      <w:bookmarkStart w:id="173" w:name="_Toc322680366"/>
      <w:bookmarkStart w:id="174" w:name="_Toc320515089"/>
      <w:bookmarkStart w:id="175" w:name="_Toc320515040"/>
      <w:bookmarkStart w:id="176" w:name="_Toc315793476"/>
      <w:r>
        <w:rPr>
          <w:rFonts w:hint="eastAsia" w:ascii="宋体" w:hAnsi="宋体"/>
          <w:b/>
          <w:bCs/>
          <w:color w:val="auto"/>
          <w:sz w:val="24"/>
          <w:highlight w:val="none"/>
        </w:rPr>
        <w:t>磋商响应文件递交截止期</w:t>
      </w:r>
    </w:p>
    <w:p>
      <w:pPr>
        <w:numPr>
          <w:ilvl w:val="1"/>
          <w:numId w:val="7"/>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应在不迟于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响应文件递交至政府采购代理机构</w:t>
      </w:r>
      <w:r>
        <w:rPr>
          <w:rFonts w:hint="eastAsia" w:ascii="宋体" w:hAnsi="宋体" w:cs="宋体"/>
          <w:color w:val="auto"/>
          <w:szCs w:val="21"/>
          <w:highlight w:val="none"/>
        </w:rPr>
        <w:t>，</w:t>
      </w:r>
      <w:r>
        <w:rPr>
          <w:rFonts w:hint="eastAsia" w:ascii="宋体" w:hAnsi="宋体" w:cs="宋体"/>
          <w:color w:val="auto"/>
          <w:szCs w:val="21"/>
          <w:highlight w:val="none"/>
          <w:lang w:eastAsia="zh-TW"/>
        </w:rPr>
        <w:t>递交地点应是</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中指明的地址。</w:t>
      </w:r>
    </w:p>
    <w:p>
      <w:pPr>
        <w:numPr>
          <w:ilvl w:val="1"/>
          <w:numId w:val="7"/>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采购代理机构将拒绝在规定的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后收到的任何</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p>
    <w:bookmarkEnd w:id="172"/>
    <w:bookmarkEnd w:id="173"/>
    <w:bookmarkEnd w:id="174"/>
    <w:bookmarkEnd w:id="175"/>
    <w:bookmarkEnd w:id="176"/>
    <w:p>
      <w:pPr>
        <w:numPr>
          <w:ilvl w:val="0"/>
          <w:numId w:val="7"/>
        </w:numPr>
        <w:autoSpaceDE w:val="0"/>
        <w:autoSpaceDN w:val="0"/>
        <w:adjustRightInd w:val="0"/>
        <w:snapToGrid w:val="0"/>
        <w:spacing w:line="360" w:lineRule="auto"/>
        <w:outlineLvl w:val="0"/>
        <w:rPr>
          <w:rFonts w:ascii="宋体" w:hAnsi="宋体"/>
          <w:b/>
          <w:bCs/>
          <w:color w:val="auto"/>
          <w:sz w:val="24"/>
          <w:highlight w:val="none"/>
        </w:rPr>
      </w:pPr>
      <w:bookmarkStart w:id="177" w:name="_Toc363737705"/>
      <w:bookmarkStart w:id="178" w:name="_Toc475104498"/>
      <w:bookmarkStart w:id="179" w:name="_Toc323111000"/>
      <w:r>
        <w:rPr>
          <w:rFonts w:hint="eastAsia" w:ascii="宋体" w:hAnsi="宋体"/>
          <w:b/>
          <w:bCs/>
          <w:color w:val="auto"/>
          <w:sz w:val="24"/>
          <w:highlight w:val="none"/>
        </w:rPr>
        <w:t>磋商响应文件的修改和撤回</w:t>
      </w:r>
      <w:bookmarkEnd w:id="177"/>
      <w:bookmarkEnd w:id="178"/>
    </w:p>
    <w:p>
      <w:pPr>
        <w:numPr>
          <w:ilvl w:val="1"/>
          <w:numId w:val="7"/>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前，可以对所递交的</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响应文件进行补充、修改或者撤回，并书面通知</w:t>
      </w:r>
      <w:r>
        <w:rPr>
          <w:rFonts w:hint="eastAsia" w:ascii="宋体" w:hAnsi="宋体" w:cs="宋体"/>
          <w:color w:val="auto"/>
          <w:szCs w:val="21"/>
          <w:highlight w:val="none"/>
        </w:rPr>
        <w:t>采购代理机构</w:t>
      </w:r>
      <w:r>
        <w:rPr>
          <w:rFonts w:hint="eastAsia" w:ascii="宋体" w:hAnsi="宋体" w:cs="宋体"/>
          <w:color w:val="auto"/>
          <w:szCs w:val="21"/>
          <w:highlight w:val="none"/>
          <w:lang w:eastAsia="zh-TW"/>
        </w:rPr>
        <w:t>。补充、修改的内容应当按竞争性磋商文件要求签署、盖章</w:t>
      </w:r>
      <w:r>
        <w:rPr>
          <w:rFonts w:hint="eastAsia" w:ascii="宋体" w:hAnsi="宋体" w:cs="宋体"/>
          <w:color w:val="auto"/>
          <w:szCs w:val="21"/>
          <w:highlight w:val="none"/>
        </w:rPr>
        <w:t>和密封</w:t>
      </w:r>
      <w:r>
        <w:rPr>
          <w:rFonts w:hint="eastAsia" w:ascii="宋体" w:hAnsi="宋体" w:cs="宋体"/>
          <w:color w:val="auto"/>
          <w:szCs w:val="21"/>
          <w:highlight w:val="none"/>
          <w:lang w:eastAsia="zh-TW"/>
        </w:rPr>
        <w:t>，</w:t>
      </w:r>
      <w:r>
        <w:rPr>
          <w:rFonts w:hint="eastAsia" w:ascii="宋体" w:hAnsi="宋体" w:cs="宋体"/>
          <w:color w:val="auto"/>
          <w:szCs w:val="21"/>
          <w:highlight w:val="none"/>
        </w:rPr>
        <w:t>在磋商响应文件递交截止时间前密封好提交，</w:t>
      </w:r>
      <w:r>
        <w:rPr>
          <w:rFonts w:hint="eastAsia" w:ascii="宋体" w:hAnsi="宋体" w:cs="宋体"/>
          <w:color w:val="auto"/>
          <w:szCs w:val="21"/>
          <w:highlight w:val="none"/>
          <w:lang w:eastAsia="zh-TW"/>
        </w:rPr>
        <w:t>并作为</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响应文件的组成部分。补充、修改的内容与响应文件不一致的，以补充、修改的内容为准。在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后，</w:t>
      </w:r>
      <w:r>
        <w:rPr>
          <w:rFonts w:hint="eastAsia" w:cs="宋体"/>
          <w:color w:val="auto"/>
          <w:szCs w:val="21"/>
          <w:highlight w:val="none"/>
        </w:rPr>
        <w:t>供应商</w:t>
      </w:r>
      <w:r>
        <w:rPr>
          <w:rFonts w:hint="eastAsia" w:ascii="宋体" w:hAnsi="宋体" w:cs="宋体"/>
          <w:color w:val="auto"/>
          <w:szCs w:val="21"/>
          <w:highlight w:val="none"/>
          <w:lang w:eastAsia="zh-TW"/>
        </w:rPr>
        <w:t>不得对其</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响应文件做任何修改和补充。</w:t>
      </w:r>
    </w:p>
    <w:p>
      <w:pPr>
        <w:numPr>
          <w:ilvl w:val="0"/>
          <w:numId w:val="6"/>
        </w:numPr>
        <w:autoSpaceDE w:val="0"/>
        <w:autoSpaceDN w:val="0"/>
        <w:adjustRightInd w:val="0"/>
        <w:snapToGrid w:val="0"/>
        <w:spacing w:before="240" w:beforeLines="100" w:after="240" w:afterLines="100" w:line="360" w:lineRule="auto"/>
        <w:ind w:left="601" w:hanging="601"/>
        <w:jc w:val="center"/>
        <w:outlineLvl w:val="0"/>
        <w:rPr>
          <w:rFonts w:ascii="宋体" w:hAnsi="宋体"/>
          <w:b/>
          <w:color w:val="auto"/>
          <w:sz w:val="28"/>
          <w:szCs w:val="28"/>
          <w:highlight w:val="none"/>
          <w:lang w:eastAsia="zh-TW"/>
        </w:rPr>
      </w:pPr>
      <w:bookmarkStart w:id="180" w:name="_Toc363737706"/>
      <w:bookmarkStart w:id="181" w:name="_Toc475104499"/>
      <w:r>
        <w:rPr>
          <w:rFonts w:hint="eastAsia" w:ascii="宋体" w:hAnsi="宋体"/>
          <w:b/>
          <w:color w:val="auto"/>
          <w:sz w:val="28"/>
          <w:szCs w:val="28"/>
          <w:highlight w:val="none"/>
        </w:rPr>
        <w:t>竞争性磋商流程</w:t>
      </w:r>
      <w:bookmarkEnd w:id="179"/>
      <w:bookmarkEnd w:id="180"/>
      <w:bookmarkEnd w:id="181"/>
    </w:p>
    <w:p>
      <w:pPr>
        <w:numPr>
          <w:ilvl w:val="0"/>
          <w:numId w:val="7"/>
        </w:numPr>
        <w:autoSpaceDE w:val="0"/>
        <w:autoSpaceDN w:val="0"/>
        <w:adjustRightInd w:val="0"/>
        <w:snapToGrid w:val="0"/>
        <w:spacing w:line="360" w:lineRule="auto"/>
        <w:outlineLvl w:val="0"/>
        <w:rPr>
          <w:rFonts w:ascii="宋体" w:hAnsi="宋体"/>
          <w:b/>
          <w:bCs/>
          <w:color w:val="auto"/>
          <w:sz w:val="24"/>
          <w:highlight w:val="none"/>
        </w:rPr>
      </w:pPr>
      <w:bookmarkStart w:id="182" w:name="_Toc475104500"/>
      <w:bookmarkStart w:id="183" w:name="_Toc323111001"/>
      <w:bookmarkStart w:id="184" w:name="_Toc363737707"/>
      <w:r>
        <w:rPr>
          <w:rFonts w:hint="eastAsia" w:ascii="宋体" w:hAnsi="宋体"/>
          <w:b/>
          <w:bCs/>
          <w:color w:val="auto"/>
          <w:sz w:val="24"/>
          <w:highlight w:val="none"/>
        </w:rPr>
        <w:t>磋商及抽取磋商顺序</w:t>
      </w:r>
      <w:bookmarkEnd w:id="182"/>
      <w:bookmarkEnd w:id="183"/>
      <w:bookmarkEnd w:id="184"/>
    </w:p>
    <w:p>
      <w:pPr>
        <w:numPr>
          <w:ilvl w:val="1"/>
          <w:numId w:val="7"/>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磋商在竞争性磋商文件确定的</w:t>
      </w:r>
      <w:r>
        <w:rPr>
          <w:rFonts w:hint="eastAsia" w:ascii="宋体" w:hAnsi="宋体" w:cs="宋体"/>
          <w:color w:val="auto"/>
          <w:szCs w:val="21"/>
          <w:highlight w:val="none"/>
        </w:rPr>
        <w:t>磋商响应</w:t>
      </w:r>
      <w:r>
        <w:rPr>
          <w:rFonts w:hint="eastAsia" w:ascii="宋体" w:hAnsi="宋体" w:cs="宋体"/>
          <w:color w:val="auto"/>
          <w:szCs w:val="21"/>
          <w:highlight w:val="none"/>
          <w:lang w:eastAsia="zh-TW"/>
        </w:rPr>
        <w:t>文件递交截止时间的同一时间公开进行，磋商地点为竞争性磋商文件预先确定的地点。</w:t>
      </w:r>
    </w:p>
    <w:p>
      <w:pPr>
        <w:numPr>
          <w:ilvl w:val="1"/>
          <w:numId w:val="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磋商由</w:t>
      </w:r>
      <w:r>
        <w:rPr>
          <w:rFonts w:hint="eastAsia" w:ascii="宋体" w:hAnsi="宋体" w:cs="宋体"/>
          <w:color w:val="auto"/>
          <w:szCs w:val="21"/>
          <w:highlight w:val="none"/>
        </w:rPr>
        <w:t>采购人或</w:t>
      </w:r>
      <w:r>
        <w:rPr>
          <w:rFonts w:hint="eastAsia" w:ascii="宋体" w:hAnsi="宋体" w:cs="宋体"/>
          <w:color w:val="auto"/>
          <w:szCs w:val="21"/>
          <w:highlight w:val="none"/>
          <w:lang w:eastAsia="zh-TW"/>
        </w:rPr>
        <w:t>采购代理机构主持，</w:t>
      </w:r>
      <w:r>
        <w:rPr>
          <w:rFonts w:hint="eastAsia" w:ascii="宋体" w:hAnsi="宋体" w:cs="宋体"/>
          <w:b/>
          <w:color w:val="auto"/>
          <w:szCs w:val="21"/>
          <w:highlight w:val="none"/>
          <w:lang w:eastAsia="zh-TW"/>
        </w:rPr>
        <w:t>邀请所有供应商代表持本人身份证原件</w:t>
      </w:r>
      <w:r>
        <w:rPr>
          <w:rFonts w:hint="eastAsia" w:ascii="宋体" w:hAnsi="宋体" w:cs="宋体"/>
          <w:b/>
          <w:color w:val="auto"/>
          <w:szCs w:val="21"/>
          <w:highlight w:val="none"/>
        </w:rPr>
        <w:t>、法定代表人证明书、法定代表人授权书（如适用）参加。</w:t>
      </w:r>
    </w:p>
    <w:p>
      <w:pPr>
        <w:numPr>
          <w:ilvl w:val="1"/>
          <w:numId w:val="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在竞争性磋商文件规定的</w:t>
      </w:r>
      <w:r>
        <w:rPr>
          <w:rFonts w:hint="eastAsia" w:ascii="宋体" w:hAnsi="宋体"/>
          <w:color w:val="auto"/>
          <w:highlight w:val="none"/>
        </w:rPr>
        <w:t>磋商响应文件递交</w:t>
      </w:r>
      <w:r>
        <w:rPr>
          <w:rFonts w:hint="eastAsia" w:ascii="宋体" w:hAnsi="宋体"/>
          <w:color w:val="auto"/>
          <w:szCs w:val="21"/>
          <w:highlight w:val="none"/>
        </w:rPr>
        <w:t>截止时间到点时，主持人应当宣布</w:t>
      </w:r>
      <w:r>
        <w:rPr>
          <w:rFonts w:hint="eastAsia" w:ascii="宋体" w:hAnsi="宋体"/>
          <w:color w:val="auto"/>
          <w:highlight w:val="none"/>
        </w:rPr>
        <w:t>磋商响应文件递交截止时间</w:t>
      </w:r>
      <w:r>
        <w:rPr>
          <w:rFonts w:hint="eastAsia" w:ascii="宋体" w:hAnsi="宋体"/>
          <w:color w:val="auto"/>
          <w:szCs w:val="21"/>
          <w:highlight w:val="none"/>
        </w:rPr>
        <w:t>已到，以后递交的磋商响应文件一律不予接受。</w:t>
      </w:r>
    </w:p>
    <w:p>
      <w:pPr>
        <w:numPr>
          <w:ilvl w:val="1"/>
          <w:numId w:val="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主持人宣读磋商大会会场纪律。</w:t>
      </w:r>
    </w:p>
    <w:p>
      <w:pPr>
        <w:numPr>
          <w:ilvl w:val="1"/>
          <w:numId w:val="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在</w:t>
      </w:r>
      <w:r>
        <w:rPr>
          <w:rFonts w:hint="eastAsia" w:ascii="宋体" w:hAnsi="宋体"/>
          <w:color w:val="auto"/>
          <w:szCs w:val="21"/>
          <w:highlight w:val="none"/>
        </w:rPr>
        <w:t>磋商响应文件递交截止时间</w:t>
      </w:r>
      <w:r>
        <w:rPr>
          <w:rFonts w:hint="eastAsia" w:ascii="宋体" w:hAnsi="宋体" w:cs="宋体"/>
          <w:color w:val="auto"/>
          <w:szCs w:val="21"/>
          <w:highlight w:val="none"/>
          <w:lang w:eastAsia="zh-TW"/>
        </w:rPr>
        <w:t>前收到的所有经检查合格的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，磋商时，</w:t>
      </w:r>
      <w:r>
        <w:rPr>
          <w:rFonts w:hint="eastAsia" w:ascii="宋体" w:hAnsi="宋体" w:cs="宋体"/>
          <w:color w:val="auto"/>
          <w:kern w:val="0"/>
          <w:szCs w:val="21"/>
          <w:highlight w:val="none"/>
        </w:rPr>
        <w:t>由递交</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响应文件的前三名</w:t>
      </w:r>
      <w:r>
        <w:rPr>
          <w:rFonts w:hint="eastAsia" w:cs="宋体"/>
          <w:color w:val="auto"/>
          <w:szCs w:val="21"/>
          <w:highlight w:val="none"/>
        </w:rPr>
        <w:t>供应商</w:t>
      </w:r>
      <w:r>
        <w:rPr>
          <w:rFonts w:hint="eastAsia" w:ascii="宋体" w:hAnsi="宋体" w:cs="宋体"/>
          <w:color w:val="auto"/>
          <w:kern w:val="0"/>
          <w:szCs w:val="21"/>
          <w:highlight w:val="none"/>
        </w:rPr>
        <w:t>授权代表作为全体</w:t>
      </w:r>
      <w:r>
        <w:rPr>
          <w:rFonts w:hint="eastAsia" w:cs="宋体"/>
          <w:color w:val="auto"/>
          <w:szCs w:val="21"/>
          <w:highlight w:val="none"/>
        </w:rPr>
        <w:t>供应商</w:t>
      </w:r>
      <w:r>
        <w:rPr>
          <w:rFonts w:hint="eastAsia" w:ascii="宋体" w:hAnsi="宋体" w:cs="宋体"/>
          <w:color w:val="auto"/>
          <w:kern w:val="0"/>
          <w:szCs w:val="21"/>
          <w:highlight w:val="none"/>
        </w:rPr>
        <w:t>推选的代表就全部</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响应文件的密封情况进行检查，也可以由采购人委托的公证机构检查并公证；经确认无误后，由</w:t>
      </w:r>
      <w:r>
        <w:rPr>
          <w:rFonts w:hint="eastAsia" w:ascii="宋体" w:hAnsi="宋体"/>
          <w:color w:val="auto"/>
          <w:szCs w:val="21"/>
          <w:highlight w:val="none"/>
        </w:rPr>
        <w:t>磋商</w:t>
      </w:r>
      <w:r>
        <w:rPr>
          <w:rFonts w:hint="eastAsia" w:ascii="宋体" w:hAnsi="宋体" w:cs="宋体"/>
          <w:color w:val="auto"/>
          <w:kern w:val="0"/>
          <w:szCs w:val="21"/>
          <w:highlight w:val="none"/>
        </w:rPr>
        <w:t>工作人员当众拆封，宣读</w:t>
      </w:r>
      <w:r>
        <w:rPr>
          <w:rFonts w:hint="eastAsia" w:cs="宋体"/>
          <w:color w:val="auto"/>
          <w:szCs w:val="21"/>
          <w:highlight w:val="none"/>
        </w:rPr>
        <w:t>供应商</w:t>
      </w:r>
      <w:r>
        <w:rPr>
          <w:rFonts w:hint="eastAsia" w:ascii="宋体" w:hAnsi="宋体" w:cs="宋体"/>
          <w:color w:val="auto"/>
          <w:kern w:val="0"/>
          <w:szCs w:val="21"/>
          <w:highlight w:val="none"/>
        </w:rPr>
        <w:t>名称、初次报价和</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响应文件的其他主要内容</w:t>
      </w:r>
      <w:r>
        <w:rPr>
          <w:rFonts w:hint="eastAsia" w:ascii="宋体" w:hAnsi="宋体" w:cs="宋体"/>
          <w:color w:val="auto"/>
          <w:szCs w:val="21"/>
          <w:highlight w:val="none"/>
          <w:lang w:eastAsia="zh-TW"/>
        </w:rPr>
        <w:t>。</w:t>
      </w:r>
    </w:p>
    <w:p>
      <w:pPr>
        <w:numPr>
          <w:ilvl w:val="1"/>
          <w:numId w:val="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磋商会记录人应在磋商记录表上记录唱标内容，并当场公示。</w:t>
      </w:r>
    </w:p>
    <w:p>
      <w:pPr>
        <w:numPr>
          <w:ilvl w:val="1"/>
          <w:numId w:val="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代理机构组织</w:t>
      </w:r>
      <w:r>
        <w:rPr>
          <w:rFonts w:hint="eastAsia" w:cs="宋体"/>
          <w:color w:val="auto"/>
          <w:szCs w:val="21"/>
          <w:highlight w:val="none"/>
        </w:rPr>
        <w:t>供应商</w:t>
      </w:r>
      <w:r>
        <w:rPr>
          <w:rFonts w:hint="eastAsia" w:ascii="宋体" w:hAnsi="宋体" w:cs="宋体"/>
          <w:color w:val="auto"/>
          <w:szCs w:val="21"/>
          <w:highlight w:val="none"/>
        </w:rPr>
        <w:t>抽签决定磋商顺序。</w:t>
      </w:r>
    </w:p>
    <w:p>
      <w:pPr>
        <w:numPr>
          <w:ilvl w:val="0"/>
          <w:numId w:val="7"/>
        </w:numPr>
        <w:autoSpaceDE w:val="0"/>
        <w:autoSpaceDN w:val="0"/>
        <w:adjustRightInd w:val="0"/>
        <w:snapToGrid w:val="0"/>
        <w:spacing w:line="360" w:lineRule="auto"/>
        <w:outlineLvl w:val="0"/>
        <w:rPr>
          <w:rFonts w:ascii="宋体" w:hAnsi="宋体"/>
          <w:b/>
          <w:bCs/>
          <w:color w:val="auto"/>
          <w:sz w:val="24"/>
          <w:highlight w:val="none"/>
        </w:rPr>
      </w:pPr>
      <w:bookmarkStart w:id="185" w:name="_Toc323111002"/>
      <w:bookmarkStart w:id="186" w:name="_Toc363737708"/>
      <w:bookmarkStart w:id="187" w:name="_Toc475104501"/>
      <w:r>
        <w:rPr>
          <w:rFonts w:hint="eastAsia" w:ascii="宋体" w:hAnsi="宋体"/>
          <w:b/>
          <w:bCs/>
          <w:color w:val="auto"/>
          <w:sz w:val="24"/>
          <w:highlight w:val="none"/>
        </w:rPr>
        <w:t>磋商小组</w:t>
      </w:r>
      <w:bookmarkEnd w:id="185"/>
      <w:bookmarkEnd w:id="186"/>
      <w:bookmarkEnd w:id="187"/>
    </w:p>
    <w:p>
      <w:pPr>
        <w:numPr>
          <w:ilvl w:val="1"/>
          <w:numId w:val="7"/>
        </w:numPr>
        <w:autoSpaceDE w:val="0"/>
        <w:autoSpaceDN w:val="0"/>
        <w:adjustRightInd w:val="0"/>
        <w:snapToGrid w:val="0"/>
        <w:spacing w:line="360" w:lineRule="auto"/>
        <w:jc w:val="left"/>
        <w:rPr>
          <w:rFonts w:ascii="宋体" w:hAnsi="宋体" w:cs="宋体"/>
          <w:color w:val="auto"/>
          <w:szCs w:val="21"/>
          <w:highlight w:val="none"/>
        </w:rPr>
      </w:pPr>
      <w:bookmarkStart w:id="188" w:name="_Toc315793480"/>
      <w:bookmarkStart w:id="189" w:name="_Toc322680370"/>
      <w:bookmarkStart w:id="190" w:name="_Toc323111003"/>
      <w:bookmarkStart w:id="191" w:name="_Toc320515044"/>
      <w:bookmarkStart w:id="192" w:name="_Toc320515093"/>
      <w:bookmarkStart w:id="193" w:name="_Toc363737709"/>
      <w:bookmarkStart w:id="194" w:name="_Toc475104502"/>
      <w:r>
        <w:rPr>
          <w:rFonts w:hint="eastAsia" w:ascii="宋体" w:hAnsi="宋体"/>
          <w:color w:val="auto"/>
          <w:szCs w:val="21"/>
          <w:highlight w:val="none"/>
        </w:rPr>
        <w:t>磋商</w:t>
      </w:r>
      <w:r>
        <w:rPr>
          <w:rFonts w:hint="eastAsia" w:ascii="宋体" w:hAnsi="宋体" w:cs="宋体"/>
          <w:color w:val="auto"/>
          <w:szCs w:val="21"/>
          <w:highlight w:val="none"/>
        </w:rPr>
        <w:t>由依照政府采购法律、法规、规章、政策的规定组建的</w:t>
      </w:r>
      <w:r>
        <w:rPr>
          <w:rFonts w:hint="eastAsia" w:ascii="宋体" w:hAnsi="宋体"/>
          <w:color w:val="auto"/>
          <w:szCs w:val="21"/>
          <w:highlight w:val="none"/>
        </w:rPr>
        <w:t>磋商</w:t>
      </w:r>
      <w:r>
        <w:rPr>
          <w:rFonts w:hint="eastAsia" w:ascii="宋体" w:hAnsi="宋体" w:cs="宋体"/>
          <w:color w:val="auto"/>
          <w:szCs w:val="21"/>
          <w:highlight w:val="none"/>
        </w:rPr>
        <w:t>小组负责。磋商小组由采购人代表和评审专家组成，其中评审专家人数不得少于磋商小组成员总数的2/3。评审专家从政府采购评审专家库内相关专业的专家名单中随机抽取。</w:t>
      </w:r>
    </w:p>
    <w:p>
      <w:pPr>
        <w:numPr>
          <w:ilvl w:val="1"/>
          <w:numId w:val="7"/>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名单在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结果确定前严格保密。评审专家（含采购人代表）</w:t>
      </w:r>
      <w:r>
        <w:rPr>
          <w:rFonts w:hint="eastAsia" w:ascii="宋体" w:hAnsi="宋体" w:cs="宋体"/>
          <w:color w:val="auto"/>
          <w:szCs w:val="21"/>
          <w:highlight w:val="none"/>
        </w:rPr>
        <w:t>不得参与同自己或任职单位有利害关系的政府采购项目磋商活动。具有下列情形之一的，评审专家应主动提出回避，采购人、采购代理机构和政府采购监管部门也可以要求其回避</w:t>
      </w:r>
      <w:r>
        <w:rPr>
          <w:rFonts w:hint="eastAsia" w:ascii="宋体" w:hAnsi="宋体" w:cs="宋体"/>
          <w:color w:val="auto"/>
          <w:szCs w:val="21"/>
          <w:highlight w:val="none"/>
          <w:lang w:eastAsia="zh-TW"/>
        </w:rPr>
        <w:t xml:space="preserve">： </w:t>
      </w:r>
    </w:p>
    <w:p>
      <w:pPr>
        <w:numPr>
          <w:ilvl w:val="2"/>
          <w:numId w:val="7"/>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本人、配偶或直系亲属3年内曾在参加该采购项目的</w:t>
      </w:r>
      <w:r>
        <w:rPr>
          <w:rFonts w:hint="eastAsia" w:cs="宋体"/>
          <w:color w:val="auto"/>
          <w:szCs w:val="21"/>
          <w:highlight w:val="none"/>
        </w:rPr>
        <w:t>供应商</w:t>
      </w:r>
      <w:r>
        <w:rPr>
          <w:rFonts w:hint="eastAsia" w:ascii="宋体" w:hAnsi="宋体" w:cs="宋体"/>
          <w:color w:val="auto"/>
          <w:szCs w:val="21"/>
          <w:highlight w:val="none"/>
        </w:rPr>
        <w:t>中任职（包括一般工作）或担任顾问，或参与该采购项目的</w:t>
      </w:r>
      <w:r>
        <w:rPr>
          <w:rFonts w:hint="eastAsia" w:cs="宋体"/>
          <w:color w:val="auto"/>
          <w:szCs w:val="21"/>
          <w:highlight w:val="none"/>
        </w:rPr>
        <w:t>供应商</w:t>
      </w:r>
      <w:r>
        <w:rPr>
          <w:rFonts w:hint="eastAsia" w:ascii="宋体" w:hAnsi="宋体" w:cs="宋体"/>
          <w:color w:val="auto"/>
          <w:szCs w:val="21"/>
          <w:highlight w:val="none"/>
        </w:rPr>
        <w:t>发生过法律纠纷；</w:t>
      </w:r>
    </w:p>
    <w:p>
      <w:pPr>
        <w:numPr>
          <w:ilvl w:val="2"/>
          <w:numId w:val="7"/>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任职单位与采购人或参加该采购项目</w:t>
      </w:r>
      <w:r>
        <w:rPr>
          <w:rFonts w:hint="eastAsia" w:cs="宋体"/>
          <w:color w:val="auto"/>
          <w:szCs w:val="21"/>
          <w:highlight w:val="none"/>
        </w:rPr>
        <w:t>供应商</w:t>
      </w:r>
      <w:r>
        <w:rPr>
          <w:rFonts w:hint="eastAsia" w:ascii="宋体" w:hAnsi="宋体" w:cs="宋体"/>
          <w:color w:val="auto"/>
          <w:szCs w:val="21"/>
          <w:highlight w:val="none"/>
        </w:rPr>
        <w:t>存在行政隶属关系；</w:t>
      </w:r>
    </w:p>
    <w:p>
      <w:pPr>
        <w:numPr>
          <w:ilvl w:val="2"/>
          <w:numId w:val="7"/>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曾经参加过该采购项目的进口产品或</w:t>
      </w:r>
      <w:r>
        <w:rPr>
          <w:rFonts w:hint="eastAsia" w:ascii="宋体" w:hAnsi="宋体"/>
          <w:bCs/>
          <w:color w:val="auto"/>
          <w:szCs w:val="21"/>
          <w:highlight w:val="none"/>
        </w:rPr>
        <w:t>竞争性磋商文件</w:t>
      </w:r>
      <w:r>
        <w:rPr>
          <w:rFonts w:hint="eastAsia" w:ascii="宋体" w:hAnsi="宋体" w:cs="宋体"/>
          <w:color w:val="auto"/>
          <w:szCs w:val="21"/>
          <w:highlight w:val="none"/>
        </w:rPr>
        <w:t>、采购需求、采购方式的论证和咨询服务工作；</w:t>
      </w:r>
    </w:p>
    <w:p>
      <w:pPr>
        <w:numPr>
          <w:ilvl w:val="2"/>
          <w:numId w:val="7"/>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是参加该采购项目</w:t>
      </w:r>
      <w:r>
        <w:rPr>
          <w:rFonts w:hint="eastAsia" w:cs="宋体"/>
          <w:color w:val="auto"/>
          <w:szCs w:val="21"/>
          <w:highlight w:val="none"/>
        </w:rPr>
        <w:t>供应商</w:t>
      </w:r>
      <w:r>
        <w:rPr>
          <w:rFonts w:hint="eastAsia" w:ascii="宋体" w:hAnsi="宋体" w:cs="宋体"/>
          <w:color w:val="auto"/>
          <w:szCs w:val="21"/>
          <w:highlight w:val="none"/>
        </w:rPr>
        <w:t>的上级主管部门、控股或参股单位的工作人员、或与该</w:t>
      </w:r>
      <w:r>
        <w:rPr>
          <w:rFonts w:hint="eastAsia" w:cs="宋体"/>
          <w:color w:val="auto"/>
          <w:szCs w:val="21"/>
          <w:highlight w:val="none"/>
        </w:rPr>
        <w:t>供应商</w:t>
      </w:r>
      <w:r>
        <w:rPr>
          <w:rFonts w:hint="eastAsia" w:ascii="宋体" w:hAnsi="宋体" w:cs="宋体"/>
          <w:color w:val="auto"/>
          <w:szCs w:val="21"/>
          <w:highlight w:val="none"/>
        </w:rPr>
        <w:t>存在其他经济利益关系；</w:t>
      </w:r>
    </w:p>
    <w:p>
      <w:pPr>
        <w:numPr>
          <w:ilvl w:val="2"/>
          <w:numId w:val="7"/>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小组成员之间具有配偶、近亲属关系；</w:t>
      </w:r>
    </w:p>
    <w:p>
      <w:pPr>
        <w:numPr>
          <w:ilvl w:val="2"/>
          <w:numId w:val="7"/>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同一单位的评审专家在同一项目</w:t>
      </w:r>
      <w:r>
        <w:rPr>
          <w:rFonts w:hint="eastAsia" w:ascii="宋体" w:hAnsi="宋体"/>
          <w:color w:val="auto"/>
          <w:szCs w:val="21"/>
          <w:highlight w:val="none"/>
        </w:rPr>
        <w:t>磋商</w:t>
      </w:r>
      <w:r>
        <w:rPr>
          <w:rFonts w:hint="eastAsia" w:ascii="宋体" w:hAnsi="宋体" w:cs="宋体"/>
          <w:color w:val="auto"/>
          <w:szCs w:val="21"/>
          <w:highlight w:val="none"/>
        </w:rPr>
        <w:t>小组成员中超过两名；</w:t>
      </w:r>
    </w:p>
    <w:p>
      <w:pPr>
        <w:numPr>
          <w:ilvl w:val="2"/>
          <w:numId w:val="7"/>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与</w:t>
      </w:r>
      <w:r>
        <w:rPr>
          <w:rFonts w:hint="eastAsia" w:cs="宋体"/>
          <w:color w:val="auto"/>
          <w:szCs w:val="21"/>
          <w:highlight w:val="none"/>
        </w:rPr>
        <w:t>供应商</w:t>
      </w:r>
      <w:r>
        <w:rPr>
          <w:rFonts w:hint="eastAsia" w:ascii="宋体" w:hAnsi="宋体" w:cs="宋体"/>
          <w:color w:val="auto"/>
          <w:szCs w:val="21"/>
          <w:highlight w:val="none"/>
        </w:rPr>
        <w:t>的法定代表人或者负责人有夫妻、直系血亲、三代以内旁系血亲或者近姻亲关系；</w:t>
      </w:r>
    </w:p>
    <w:p>
      <w:pPr>
        <w:numPr>
          <w:ilvl w:val="2"/>
          <w:numId w:val="7"/>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其他可能影响评审工作公正性情形。</w:t>
      </w:r>
    </w:p>
    <w:p>
      <w:pPr>
        <w:numPr>
          <w:ilvl w:val="0"/>
          <w:numId w:val="7"/>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w:t>
      </w:r>
      <w:bookmarkEnd w:id="188"/>
      <w:bookmarkEnd w:id="189"/>
      <w:bookmarkEnd w:id="190"/>
      <w:bookmarkEnd w:id="191"/>
      <w:bookmarkEnd w:id="192"/>
      <w:bookmarkEnd w:id="193"/>
      <w:r>
        <w:rPr>
          <w:rFonts w:hint="eastAsia" w:ascii="宋体" w:hAnsi="宋体"/>
          <w:b/>
          <w:bCs/>
          <w:color w:val="auto"/>
          <w:sz w:val="24"/>
          <w:highlight w:val="none"/>
        </w:rPr>
        <w:t>资格性审查及符合性检查</w:t>
      </w:r>
      <w:bookmarkEnd w:id="194"/>
    </w:p>
    <w:p>
      <w:pPr>
        <w:numPr>
          <w:ilvl w:val="1"/>
          <w:numId w:val="7"/>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将根据</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的规定，对各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进行资格性审查及符合性检查</w:t>
      </w:r>
      <w:r>
        <w:rPr>
          <w:rFonts w:hint="eastAsia" w:ascii="宋体" w:hAnsi="宋体" w:cs="宋体"/>
          <w:color w:val="auto"/>
          <w:szCs w:val="21"/>
          <w:highlight w:val="none"/>
        </w:rPr>
        <w:t>。</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出现下列情况之一时将被认定为</w:t>
      </w:r>
      <w:r>
        <w:rPr>
          <w:rFonts w:hint="eastAsia" w:ascii="宋体" w:hAnsi="宋体" w:cs="宋体"/>
          <w:color w:val="auto"/>
          <w:szCs w:val="21"/>
          <w:highlight w:val="none"/>
        </w:rPr>
        <w:t>采购响应无效</w:t>
      </w:r>
      <w:r>
        <w:rPr>
          <w:rFonts w:hint="eastAsia" w:ascii="宋体" w:hAnsi="宋体" w:cs="宋体"/>
          <w:color w:val="auto"/>
          <w:szCs w:val="21"/>
          <w:highlight w:val="none"/>
          <w:lang w:eastAsia="zh-TW"/>
        </w:rPr>
        <w:t>：</w:t>
      </w:r>
    </w:p>
    <w:p>
      <w:pPr>
        <w:autoSpaceDE w:val="0"/>
        <w:autoSpaceDN w:val="0"/>
        <w:adjustRightInd w:val="0"/>
        <w:snapToGrid w:val="0"/>
        <w:spacing w:line="360" w:lineRule="auto"/>
        <w:ind w:firstLine="525" w:firstLineChars="250"/>
        <w:jc w:val="left"/>
        <w:rPr>
          <w:rFonts w:ascii="宋体" w:hAnsi="宋体" w:cs="黑体"/>
          <w:bCs/>
          <w:color w:val="auto"/>
          <w:szCs w:val="21"/>
          <w:highlight w:val="none"/>
        </w:rPr>
      </w:pPr>
      <w:r>
        <w:rPr>
          <w:rFonts w:hint="eastAsia" w:ascii="宋体" w:hAnsi="宋体" w:cs="黑体"/>
          <w:bCs/>
          <w:color w:val="auto"/>
          <w:szCs w:val="21"/>
          <w:highlight w:val="none"/>
        </w:rPr>
        <w:t>1）</w:t>
      </w:r>
      <w:r>
        <w:rPr>
          <w:rFonts w:hint="eastAsia" w:cs="宋体"/>
          <w:color w:val="auto"/>
          <w:szCs w:val="21"/>
          <w:highlight w:val="none"/>
        </w:rPr>
        <w:t>供应商</w:t>
      </w:r>
      <w:r>
        <w:rPr>
          <w:rFonts w:hint="eastAsia" w:ascii="宋体" w:hAnsi="宋体" w:cs="黑体"/>
          <w:bCs/>
          <w:color w:val="auto"/>
          <w:szCs w:val="21"/>
          <w:highlight w:val="none"/>
        </w:rPr>
        <w:t>不具备《中华人民共和国政府采购法》第二十二条规定条件；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2）</w:t>
      </w:r>
      <w:r>
        <w:rPr>
          <w:rFonts w:hint="eastAsia" w:ascii="宋体" w:hAnsi="宋体"/>
          <w:color w:val="auto"/>
          <w:szCs w:val="21"/>
          <w:highlight w:val="none"/>
        </w:rPr>
        <w:t>磋商</w:t>
      </w:r>
      <w:r>
        <w:rPr>
          <w:rFonts w:hint="eastAsia" w:ascii="宋体" w:hAnsi="宋体"/>
          <w:color w:val="auto"/>
          <w:kern w:val="0"/>
          <w:szCs w:val="21"/>
          <w:highlight w:val="none"/>
        </w:rPr>
        <w:t>响应文件没有</w:t>
      </w:r>
      <w:r>
        <w:rPr>
          <w:rFonts w:hint="eastAsia" w:cs="宋体"/>
          <w:color w:val="auto"/>
          <w:szCs w:val="21"/>
          <w:highlight w:val="none"/>
        </w:rPr>
        <w:t>供应商</w:t>
      </w:r>
      <w:r>
        <w:rPr>
          <w:rFonts w:hint="eastAsia" w:ascii="宋体" w:hAnsi="宋体"/>
          <w:color w:val="auto"/>
          <w:kern w:val="0"/>
          <w:szCs w:val="21"/>
          <w:highlight w:val="none"/>
        </w:rPr>
        <w:t>盖章及其法定代表人（或法定代表人委托的代理人）的印鉴或签名的；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3）</w:t>
      </w:r>
      <w:r>
        <w:rPr>
          <w:rFonts w:hint="eastAsia" w:cs="宋体"/>
          <w:color w:val="auto"/>
          <w:szCs w:val="21"/>
          <w:highlight w:val="none"/>
        </w:rPr>
        <w:t>供应商</w:t>
      </w:r>
      <w:r>
        <w:rPr>
          <w:rFonts w:hint="eastAsia" w:ascii="宋体" w:hAnsi="宋体"/>
          <w:color w:val="auto"/>
          <w:kern w:val="0"/>
          <w:szCs w:val="21"/>
          <w:highlight w:val="none"/>
        </w:rPr>
        <w:t>不符合资格条件；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4）</w:t>
      </w:r>
      <w:r>
        <w:rPr>
          <w:rFonts w:hint="eastAsia" w:ascii="宋体" w:hAnsi="宋体"/>
          <w:color w:val="auto"/>
          <w:szCs w:val="21"/>
          <w:highlight w:val="none"/>
        </w:rPr>
        <w:t>磋商</w:t>
      </w:r>
      <w:r>
        <w:rPr>
          <w:rFonts w:hint="eastAsia" w:ascii="宋体" w:hAnsi="宋体"/>
          <w:color w:val="auto"/>
          <w:kern w:val="0"/>
          <w:szCs w:val="21"/>
          <w:highlight w:val="none"/>
        </w:rPr>
        <w:t>响应文件提供虚假材料；</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5）</w:t>
      </w:r>
      <w:r>
        <w:rPr>
          <w:rFonts w:hint="eastAsia" w:ascii="宋体" w:hAnsi="宋体"/>
          <w:color w:val="auto"/>
          <w:szCs w:val="21"/>
          <w:highlight w:val="none"/>
        </w:rPr>
        <w:t>磋商</w:t>
      </w:r>
      <w:r>
        <w:rPr>
          <w:rFonts w:hint="eastAsia" w:ascii="宋体" w:hAnsi="宋体"/>
          <w:color w:val="auto"/>
          <w:kern w:val="0"/>
          <w:szCs w:val="21"/>
          <w:highlight w:val="none"/>
        </w:rPr>
        <w:t>响应文件未完全满足竞争性磋商文件中带“★”号的条款或指标；</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6）</w:t>
      </w:r>
      <w:r>
        <w:rPr>
          <w:rFonts w:hint="eastAsia" w:cs="宋体"/>
          <w:color w:val="auto"/>
          <w:szCs w:val="21"/>
          <w:highlight w:val="none"/>
        </w:rPr>
        <w:t>供应商</w:t>
      </w:r>
      <w:r>
        <w:rPr>
          <w:rFonts w:hint="eastAsia" w:ascii="宋体" w:hAnsi="宋体"/>
          <w:color w:val="auto"/>
          <w:kern w:val="0"/>
          <w:szCs w:val="21"/>
          <w:highlight w:val="none"/>
        </w:rPr>
        <w:t>的相关证件、证明文件、合同和其他文件的原件、复印件没有按竞争性磋商文件规定提交或提交的原件与复印件不一致的；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7）</w:t>
      </w:r>
      <w:r>
        <w:rPr>
          <w:rFonts w:hint="eastAsia" w:ascii="宋体" w:hAnsi="宋体"/>
          <w:color w:val="auto"/>
          <w:kern w:val="0"/>
          <w:szCs w:val="21"/>
          <w:highlight w:val="none"/>
        </w:rPr>
        <w:t>最终响应报价不确定或超过竞争性磋商文件中列出的采购预算（最高限价）的；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8)恶意竞争低于成本价的；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9）</w:t>
      </w:r>
      <w:r>
        <w:rPr>
          <w:rFonts w:hint="eastAsia" w:ascii="宋体" w:hAnsi="宋体"/>
          <w:color w:val="auto"/>
          <w:szCs w:val="21"/>
          <w:highlight w:val="none"/>
        </w:rPr>
        <w:t>磋商</w:t>
      </w:r>
      <w:r>
        <w:rPr>
          <w:rFonts w:hint="eastAsia" w:ascii="宋体" w:hAnsi="宋体"/>
          <w:color w:val="auto"/>
          <w:kern w:val="0"/>
          <w:szCs w:val="21"/>
          <w:highlight w:val="none"/>
        </w:rPr>
        <w:t>期间，</w:t>
      </w:r>
      <w:r>
        <w:rPr>
          <w:rFonts w:hint="eastAsia" w:cs="宋体"/>
          <w:color w:val="auto"/>
          <w:szCs w:val="21"/>
          <w:highlight w:val="none"/>
        </w:rPr>
        <w:t>供应商</w:t>
      </w:r>
      <w:r>
        <w:rPr>
          <w:rFonts w:hint="eastAsia" w:ascii="宋体" w:hAnsi="宋体"/>
          <w:color w:val="auto"/>
          <w:kern w:val="0"/>
          <w:szCs w:val="21"/>
          <w:highlight w:val="none"/>
        </w:rPr>
        <w:t>没有按</w:t>
      </w:r>
      <w:r>
        <w:rPr>
          <w:rFonts w:hint="eastAsia" w:ascii="宋体" w:hAnsi="宋体"/>
          <w:color w:val="auto"/>
          <w:szCs w:val="21"/>
          <w:highlight w:val="none"/>
        </w:rPr>
        <w:t>磋商</w:t>
      </w:r>
      <w:r>
        <w:rPr>
          <w:rFonts w:hint="eastAsia" w:ascii="宋体" w:hAnsi="宋体"/>
          <w:color w:val="auto"/>
          <w:kern w:val="0"/>
          <w:szCs w:val="21"/>
          <w:highlight w:val="none"/>
        </w:rPr>
        <w:t>小组的要求提交经授权代表签字的澄清、说明、补正或改变了</w:t>
      </w:r>
      <w:r>
        <w:rPr>
          <w:rFonts w:hint="eastAsia" w:ascii="宋体" w:hAnsi="宋体"/>
          <w:color w:val="auto"/>
          <w:szCs w:val="21"/>
          <w:highlight w:val="none"/>
        </w:rPr>
        <w:t>磋商</w:t>
      </w:r>
      <w:r>
        <w:rPr>
          <w:rFonts w:hint="eastAsia" w:ascii="宋体" w:hAnsi="宋体"/>
          <w:color w:val="auto"/>
          <w:kern w:val="0"/>
          <w:szCs w:val="21"/>
          <w:highlight w:val="none"/>
        </w:rPr>
        <w:t>响应文件的实质性内容；</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10）</w:t>
      </w:r>
      <w:r>
        <w:rPr>
          <w:rFonts w:hint="eastAsia" w:cs="宋体"/>
          <w:color w:val="auto"/>
          <w:szCs w:val="21"/>
          <w:highlight w:val="none"/>
        </w:rPr>
        <w:t>供应商</w:t>
      </w:r>
      <w:r>
        <w:rPr>
          <w:rFonts w:hint="eastAsia" w:ascii="宋体" w:hAnsi="宋体"/>
          <w:color w:val="auto"/>
          <w:kern w:val="0"/>
          <w:szCs w:val="21"/>
          <w:highlight w:val="none"/>
        </w:rPr>
        <w:t>对采购人、采购代理机构、</w:t>
      </w:r>
      <w:r>
        <w:rPr>
          <w:rFonts w:hint="eastAsia" w:ascii="宋体" w:hAnsi="宋体"/>
          <w:color w:val="auto"/>
          <w:szCs w:val="21"/>
          <w:highlight w:val="none"/>
        </w:rPr>
        <w:t>磋商</w:t>
      </w:r>
      <w:r>
        <w:rPr>
          <w:rFonts w:hint="eastAsia" w:ascii="宋体" w:hAnsi="宋体"/>
          <w:color w:val="auto"/>
          <w:kern w:val="0"/>
          <w:szCs w:val="21"/>
          <w:highlight w:val="none"/>
        </w:rPr>
        <w:t>小组及其工作人员施加影响，有碍公平、公正；</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11）法律、法规、规章规定属于报价无效的其他情形。</w:t>
      </w:r>
    </w:p>
    <w:p>
      <w:pPr>
        <w:spacing w:line="360" w:lineRule="auto"/>
        <w:ind w:left="420" w:leftChars="200" w:firstLine="315" w:firstLineChars="150"/>
        <w:jc w:val="left"/>
        <w:rPr>
          <w:rFonts w:ascii="宋体" w:hAnsi="宋体"/>
          <w:color w:val="auto"/>
          <w:szCs w:val="21"/>
          <w:highlight w:val="none"/>
        </w:rPr>
      </w:pPr>
      <w:bookmarkStart w:id="195" w:name="_Toc323111004"/>
      <w:bookmarkStart w:id="196" w:name="_Toc363737710"/>
      <w:bookmarkStart w:id="197" w:name="_Toc475104503"/>
      <w:bookmarkStart w:id="198" w:name="_Toc351716665"/>
      <w:bookmarkStart w:id="199" w:name="_Toc315793483"/>
      <w:bookmarkStart w:id="200" w:name="_Toc320515096"/>
      <w:bookmarkStart w:id="201" w:name="_Toc323111005"/>
      <w:bookmarkStart w:id="202" w:name="_Toc322680372"/>
      <w:bookmarkStart w:id="203" w:name="_Toc320515047"/>
      <w:r>
        <w:rPr>
          <w:rFonts w:hint="eastAsia" w:ascii="宋体" w:hAnsi="宋体"/>
          <w:color w:val="auto"/>
          <w:szCs w:val="21"/>
          <w:highlight w:val="none"/>
        </w:rPr>
        <w:t>磋商</w:t>
      </w:r>
      <w:r>
        <w:rPr>
          <w:rFonts w:hint="eastAsia" w:ascii="宋体" w:hAnsi="宋体" w:cs="黑体"/>
          <w:bCs/>
          <w:color w:val="auto"/>
          <w:szCs w:val="21"/>
          <w:highlight w:val="none"/>
        </w:rPr>
        <w:t>小组进行资格性、符合性检查时发现</w:t>
      </w:r>
      <w:r>
        <w:rPr>
          <w:rFonts w:hint="eastAsia" w:cs="宋体"/>
          <w:color w:val="auto"/>
          <w:szCs w:val="21"/>
          <w:highlight w:val="none"/>
        </w:rPr>
        <w:t>供应商</w:t>
      </w:r>
      <w:r>
        <w:rPr>
          <w:rFonts w:hint="eastAsia" w:ascii="宋体" w:hAnsi="宋体" w:cs="黑体"/>
          <w:bCs/>
          <w:color w:val="auto"/>
          <w:szCs w:val="21"/>
          <w:highlight w:val="none"/>
        </w:rPr>
        <w:t>有实质性不响应</w:t>
      </w:r>
      <w:r>
        <w:rPr>
          <w:rFonts w:hint="eastAsia" w:ascii="宋体" w:hAnsi="宋体"/>
          <w:color w:val="auto"/>
          <w:kern w:val="0"/>
          <w:szCs w:val="21"/>
          <w:highlight w:val="none"/>
        </w:rPr>
        <w:t>竞争性磋商文件</w:t>
      </w:r>
      <w:r>
        <w:rPr>
          <w:rFonts w:hint="eastAsia" w:ascii="宋体" w:hAnsi="宋体" w:cs="黑体"/>
          <w:bCs/>
          <w:color w:val="auto"/>
          <w:szCs w:val="21"/>
          <w:highlight w:val="none"/>
        </w:rPr>
        <w:t>的，即现场告知</w:t>
      </w:r>
      <w:r>
        <w:rPr>
          <w:rFonts w:hint="eastAsia" w:cs="宋体"/>
          <w:color w:val="auto"/>
          <w:szCs w:val="21"/>
          <w:highlight w:val="none"/>
        </w:rPr>
        <w:t>供应商</w:t>
      </w:r>
      <w:r>
        <w:rPr>
          <w:rFonts w:hint="eastAsia" w:ascii="宋体" w:hAnsi="宋体" w:cs="黑体"/>
          <w:bCs/>
          <w:color w:val="auto"/>
          <w:szCs w:val="21"/>
          <w:highlight w:val="none"/>
        </w:rPr>
        <w:t>并说明理由。如其</w:t>
      </w:r>
      <w:r>
        <w:rPr>
          <w:rFonts w:hint="eastAsia" w:ascii="宋体" w:hAnsi="宋体"/>
          <w:color w:val="auto"/>
          <w:szCs w:val="21"/>
          <w:highlight w:val="none"/>
        </w:rPr>
        <w:t>磋商</w:t>
      </w:r>
      <w:r>
        <w:rPr>
          <w:rFonts w:hint="eastAsia" w:ascii="宋体" w:hAnsi="宋体" w:cs="黑体"/>
          <w:bCs/>
          <w:color w:val="auto"/>
          <w:szCs w:val="21"/>
          <w:highlight w:val="none"/>
        </w:rPr>
        <w:t>响应文件</w:t>
      </w:r>
      <w:r>
        <w:rPr>
          <w:rFonts w:hint="eastAsia" w:ascii="宋体" w:hAnsi="宋体" w:cs="宋体"/>
          <w:color w:val="auto"/>
          <w:szCs w:val="21"/>
          <w:highlight w:val="none"/>
          <w:lang w:eastAsia="zh-TW"/>
        </w:rPr>
        <w:t>被认定为无效</w:t>
      </w:r>
      <w:r>
        <w:rPr>
          <w:rFonts w:hint="eastAsia" w:ascii="宋体" w:hAnsi="宋体" w:cs="宋体"/>
          <w:color w:val="auto"/>
          <w:szCs w:val="21"/>
          <w:highlight w:val="none"/>
        </w:rPr>
        <w:t>报价</w:t>
      </w:r>
      <w:r>
        <w:rPr>
          <w:rFonts w:hint="eastAsia" w:ascii="宋体" w:hAnsi="宋体" w:cs="黑体"/>
          <w:bCs/>
          <w:color w:val="auto"/>
          <w:szCs w:val="21"/>
          <w:highlight w:val="none"/>
        </w:rPr>
        <w:t>即被视为不能通过资格性审查及符合性检查，不得参与技术、商务和价格等的后续磋商。</w:t>
      </w:r>
    </w:p>
    <w:p>
      <w:pPr>
        <w:numPr>
          <w:ilvl w:val="0"/>
          <w:numId w:val="7"/>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磋商响应文件的详细评审</w:t>
      </w:r>
      <w:bookmarkEnd w:id="195"/>
      <w:r>
        <w:rPr>
          <w:rFonts w:hint="eastAsia" w:ascii="宋体" w:hAnsi="宋体"/>
          <w:b/>
          <w:bCs/>
          <w:color w:val="auto"/>
          <w:sz w:val="24"/>
          <w:highlight w:val="none"/>
        </w:rPr>
        <w:t>及谈判</w:t>
      </w:r>
      <w:bookmarkEnd w:id="196"/>
      <w:bookmarkEnd w:id="197"/>
      <w:bookmarkEnd w:id="198"/>
    </w:p>
    <w:p>
      <w:pPr>
        <w:numPr>
          <w:ilvl w:val="1"/>
          <w:numId w:val="7"/>
        </w:numPr>
        <w:autoSpaceDE w:val="0"/>
        <w:autoSpaceDN w:val="0"/>
        <w:adjustRightInd w:val="0"/>
        <w:snapToGrid w:val="0"/>
        <w:spacing w:line="360" w:lineRule="auto"/>
        <w:jc w:val="left"/>
        <w:rPr>
          <w:rFonts w:ascii="宋体" w:hAnsi="宋体"/>
          <w:color w:val="auto"/>
          <w:szCs w:val="21"/>
          <w:highlight w:val="none"/>
        </w:rPr>
      </w:pPr>
      <w:bookmarkStart w:id="204" w:name="_Toc475104505"/>
      <w:bookmarkStart w:id="205" w:name="_Toc363737712"/>
      <w:r>
        <w:rPr>
          <w:rFonts w:hint="eastAsia" w:ascii="宋体" w:hAnsi="宋体" w:cs="黑体"/>
          <w:color w:val="auto"/>
          <w:szCs w:val="21"/>
          <w:highlight w:val="none"/>
        </w:rPr>
        <w:t>提交首次响应文件截止之日前，采购人、采购代理机构或者磋商小组可以对已发出的磋商文件进行必要的澄清或者修改，澄清或者修改的内容作为磋商文件的组成部分。澄清或者修改的内容可能影响响应文件编制的，采购人、采购代理机构或者磋商小组应当在提交首次响应文件截止之日3个工作日前，以书面形式通知所有接收磋商文件的报价人，不足3个工作日的，应当顺延提交首次响应文件截止之日。</w:t>
      </w:r>
    </w:p>
    <w:p>
      <w:pPr>
        <w:numPr>
          <w:ilvl w:val="1"/>
          <w:numId w:val="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磋商小组将对</w:t>
      </w:r>
      <w:r>
        <w:rPr>
          <w:rFonts w:hint="eastAsia" w:cs="宋体"/>
          <w:color w:val="auto"/>
          <w:szCs w:val="21"/>
          <w:highlight w:val="none"/>
        </w:rPr>
        <w:t>供应商</w:t>
      </w:r>
      <w:r>
        <w:rPr>
          <w:rFonts w:hint="eastAsia" w:ascii="宋体" w:hAnsi="宋体"/>
          <w:color w:val="auto"/>
          <w:szCs w:val="21"/>
          <w:highlight w:val="none"/>
        </w:rPr>
        <w:t>磋商响应文件进行审查，审查磋商响应文件是否对竞争性磋商文件作出实质性的响应。对未作出实质性响应的</w:t>
      </w:r>
      <w:r>
        <w:rPr>
          <w:rFonts w:hint="eastAsia" w:cs="宋体"/>
          <w:color w:val="auto"/>
          <w:szCs w:val="21"/>
          <w:highlight w:val="none"/>
        </w:rPr>
        <w:t>供应商</w:t>
      </w:r>
      <w:r>
        <w:rPr>
          <w:rFonts w:hint="eastAsia" w:ascii="宋体" w:hAnsi="宋体"/>
          <w:color w:val="auto"/>
          <w:szCs w:val="21"/>
          <w:highlight w:val="none"/>
        </w:rPr>
        <w:t>应实行现场告知，以让其核证、澄清事实。</w:t>
      </w:r>
    </w:p>
    <w:p>
      <w:pPr>
        <w:numPr>
          <w:ilvl w:val="1"/>
          <w:numId w:val="7"/>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在对响应文件的有效性、完整性和响应程度进行审查时，可以要求供应商对响应文件中含义不明确、同类问题表述不一致或者有明显文字和计算错误的内容等作出必要的澄清、说明或者更正。报价人的澄清、说明或者更正不得超出响应文件的范围或者改变响应文件的实质性内容。</w:t>
      </w:r>
    </w:p>
    <w:p>
      <w:pPr>
        <w:numPr>
          <w:ilvl w:val="1"/>
          <w:numId w:val="7"/>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要求供应商澄清、说明或者更正响应文件应当以书面形式作出。报价人的澄清、说明或者更正应当由法定代表人或其授权代表签字或者加盖公章。由授权代表签字的，应当附法定代表人授权书。报价人为自然人的，应当由本人签字并附身份证明。</w:t>
      </w:r>
    </w:p>
    <w:p>
      <w:pPr>
        <w:numPr>
          <w:ilvl w:val="1"/>
          <w:numId w:val="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磋商小组所有成员集中将逐一与通过符合性审（检）查的</w:t>
      </w:r>
      <w:r>
        <w:rPr>
          <w:rFonts w:hint="eastAsia" w:cs="宋体"/>
          <w:color w:val="auto"/>
          <w:szCs w:val="21"/>
          <w:highlight w:val="none"/>
        </w:rPr>
        <w:t>供应商</w:t>
      </w:r>
      <w:r>
        <w:rPr>
          <w:rFonts w:hint="eastAsia" w:ascii="宋体" w:hAnsi="宋体"/>
          <w:color w:val="auto"/>
          <w:szCs w:val="21"/>
          <w:highlight w:val="none"/>
        </w:rPr>
        <w:t>（以抽签顺序为准）分别进行相同轮次的磋商（一轮或多轮，不超过三轮报价，具体磋商轮次由磋商小组视情况决定），磋商的内容包括但不限于：商务条件、技术规格、价格、验收、合同执行计划、相关服务、质量保证、与采购人配合等内容，磋商目的在于澄清报价、优化需求，在磋商中，磋商小组及有关当事人应当严格遵守保密原则，任何人不得透露与谈判有关的</w:t>
      </w:r>
      <w:r>
        <w:rPr>
          <w:rFonts w:hint="eastAsia" w:cs="宋体"/>
          <w:color w:val="auto"/>
          <w:szCs w:val="21"/>
          <w:highlight w:val="none"/>
        </w:rPr>
        <w:t>供应商</w:t>
      </w:r>
      <w:r>
        <w:rPr>
          <w:rFonts w:hint="eastAsia" w:ascii="宋体" w:hAnsi="宋体"/>
          <w:color w:val="auto"/>
          <w:szCs w:val="21"/>
          <w:highlight w:val="none"/>
        </w:rPr>
        <w:t>的服务、价格和其他任何信息。</w:t>
      </w:r>
    </w:p>
    <w:p>
      <w:pPr>
        <w:numPr>
          <w:ilvl w:val="1"/>
          <w:numId w:val="7"/>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在磋商过程中，磋商小组可以根据磋商文件和磋商情况实质性变动采购需求中的技术、服务要求以及合同草案条款，但不得变动磋商文件中的其他内容。实质性变动的内容，须经采购人代表确认。</w:t>
      </w:r>
    </w:p>
    <w:p>
      <w:pPr>
        <w:numPr>
          <w:ilvl w:val="2"/>
          <w:numId w:val="7"/>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文件作出的实质性变动是</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文件的有效组成部分，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小组应当及时以书面形式同时通知所有参加</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的</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w:t>
      </w:r>
    </w:p>
    <w:p>
      <w:pPr>
        <w:numPr>
          <w:ilvl w:val="2"/>
          <w:numId w:val="7"/>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应当按照</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文件的变动情况和</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小组的要求重新提交响应文件，并由其法定代表人或授权代表签字或者加盖公章。由授权代表签字的，应当附法定代表人授权书。</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为自然人的，应当由本人签字并附身份证明。</w:t>
      </w:r>
    </w:p>
    <w:p>
      <w:pPr>
        <w:numPr>
          <w:ilvl w:val="1"/>
          <w:numId w:val="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竞争性磋商文件的修正：磋商小组调整或修改采购需求内容时，应取得磋商小组的一致同意，并以书面形式通知所有参加磋商的</w:t>
      </w:r>
      <w:r>
        <w:rPr>
          <w:rFonts w:hint="eastAsia" w:cs="宋体"/>
          <w:color w:val="auto"/>
          <w:szCs w:val="21"/>
          <w:highlight w:val="none"/>
        </w:rPr>
        <w:t>供应商</w:t>
      </w:r>
      <w:r>
        <w:rPr>
          <w:rFonts w:hint="eastAsia" w:ascii="宋体" w:hAnsi="宋体"/>
          <w:color w:val="auto"/>
          <w:szCs w:val="21"/>
          <w:highlight w:val="none"/>
        </w:rPr>
        <w:t>。但任何形式的决定须以符合公平、公正原则和有利于项目的顺利实施为前提。</w:t>
      </w:r>
    </w:p>
    <w:p>
      <w:pPr>
        <w:numPr>
          <w:ilvl w:val="1"/>
          <w:numId w:val="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磋商小组在谈判结束后，要求所有参加磋商的</w:t>
      </w:r>
      <w:r>
        <w:rPr>
          <w:rFonts w:hint="eastAsia" w:cs="宋体"/>
          <w:color w:val="auto"/>
          <w:szCs w:val="21"/>
          <w:highlight w:val="none"/>
        </w:rPr>
        <w:t>供应商</w:t>
      </w:r>
      <w:r>
        <w:rPr>
          <w:rFonts w:hint="eastAsia" w:ascii="宋体" w:hAnsi="宋体"/>
          <w:color w:val="auto"/>
          <w:szCs w:val="21"/>
          <w:highlight w:val="none"/>
        </w:rPr>
        <w:t>在规定的时间内集中密封提交最后报价（最后报价时间视磋商进程由磋商小组决定）及作出有关承诺。</w:t>
      </w:r>
    </w:p>
    <w:p>
      <w:pPr>
        <w:numPr>
          <w:ilvl w:val="1"/>
          <w:numId w:val="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在磋商过程中，</w:t>
      </w:r>
      <w:r>
        <w:rPr>
          <w:rFonts w:hint="eastAsia" w:cs="宋体"/>
          <w:color w:val="auto"/>
          <w:szCs w:val="21"/>
          <w:highlight w:val="none"/>
        </w:rPr>
        <w:t>供应商</w:t>
      </w:r>
      <w:r>
        <w:rPr>
          <w:rFonts w:hint="eastAsia" w:ascii="宋体" w:hAnsi="宋体"/>
          <w:color w:val="auto"/>
          <w:szCs w:val="21"/>
          <w:highlight w:val="none"/>
        </w:rPr>
        <w:t>提交的澄清文件和最后报价文件，由</w:t>
      </w:r>
      <w:r>
        <w:rPr>
          <w:rFonts w:hint="eastAsia" w:cs="宋体"/>
          <w:color w:val="auto"/>
          <w:szCs w:val="21"/>
          <w:highlight w:val="none"/>
        </w:rPr>
        <w:t>供应商</w:t>
      </w:r>
      <w:r>
        <w:rPr>
          <w:rFonts w:hint="eastAsia" w:ascii="宋体" w:hAnsi="宋体"/>
          <w:color w:val="auto"/>
          <w:szCs w:val="21"/>
          <w:highlight w:val="none"/>
        </w:rPr>
        <w:t>法人代表或其授权代表签字或加盖公章后生效。供应商为自然人的，应当由本人签字并附身份证明。</w:t>
      </w:r>
      <w:r>
        <w:rPr>
          <w:rFonts w:hint="eastAsia" w:cs="宋体"/>
          <w:color w:val="auto"/>
          <w:szCs w:val="21"/>
          <w:highlight w:val="none"/>
        </w:rPr>
        <w:t>供应商</w:t>
      </w:r>
      <w:r>
        <w:rPr>
          <w:rFonts w:hint="eastAsia" w:ascii="宋体" w:hAnsi="宋体"/>
          <w:color w:val="auto"/>
          <w:szCs w:val="21"/>
          <w:highlight w:val="none"/>
        </w:rPr>
        <w:t>应受其约束。</w:t>
      </w:r>
    </w:p>
    <w:p>
      <w:pPr>
        <w:numPr>
          <w:ilvl w:val="1"/>
          <w:numId w:val="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经磋商确定最终采购需求和提交最后报价的供应商后，由磋商小组采用综合评分法对提交最后报价的供应商的响应文件和最后报价进行综合评分。</w:t>
      </w:r>
    </w:p>
    <w:p>
      <w:pPr>
        <w:numPr>
          <w:ilvl w:val="0"/>
          <w:numId w:val="7"/>
        </w:numPr>
        <w:autoSpaceDE w:val="0"/>
        <w:autoSpaceDN w:val="0"/>
        <w:adjustRightInd w:val="0"/>
        <w:snapToGrid w:val="0"/>
        <w:spacing w:line="360" w:lineRule="auto"/>
        <w:outlineLvl w:val="0"/>
        <w:rPr>
          <w:rFonts w:ascii="宋体" w:hAnsi="宋体"/>
          <w:b/>
          <w:bCs/>
          <w:color w:val="auto"/>
          <w:sz w:val="24"/>
          <w:highlight w:val="none"/>
        </w:rPr>
      </w:pPr>
      <w:bookmarkStart w:id="206" w:name="_Toc351716666"/>
      <w:bookmarkStart w:id="207" w:name="_Toc363737711"/>
      <w:bookmarkStart w:id="208" w:name="_Toc475104504"/>
      <w:r>
        <w:rPr>
          <w:rFonts w:hint="eastAsia" w:ascii="宋体" w:hAnsi="宋体"/>
          <w:b/>
          <w:bCs/>
          <w:color w:val="auto"/>
          <w:sz w:val="24"/>
          <w:highlight w:val="none"/>
        </w:rPr>
        <w:t>评定成交的评审方法和标准</w:t>
      </w:r>
      <w:bookmarkEnd w:id="206"/>
      <w:bookmarkEnd w:id="207"/>
      <w:bookmarkEnd w:id="208"/>
    </w:p>
    <w:p>
      <w:pPr>
        <w:numPr>
          <w:ilvl w:val="1"/>
          <w:numId w:val="7"/>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7"/>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竞争性磋商</w:t>
      </w:r>
      <w:r>
        <w:rPr>
          <w:rFonts w:hint="eastAsia"/>
          <w:color w:val="auto"/>
          <w:highlight w:val="none"/>
        </w:rPr>
        <w:t>报告应当由磋商小组全体人员签字认可。磋商小组成员对</w:t>
      </w:r>
      <w:r>
        <w:rPr>
          <w:rFonts w:hint="eastAsia" w:ascii="宋体" w:hAnsi="宋体"/>
          <w:color w:val="auto"/>
          <w:szCs w:val="21"/>
          <w:highlight w:val="none"/>
        </w:rPr>
        <w:t>竞争性磋商</w:t>
      </w:r>
      <w:r>
        <w:rPr>
          <w:rFonts w:hint="eastAsia"/>
          <w:color w:val="auto"/>
          <w:highlight w:val="none"/>
        </w:rPr>
        <w:t>报告有异议的，磋商小组按照少数服从多数的原则推荐成交候选人，采购程序继续进行。对竞争性磋商报告有异议的磋商小组成员，应当在报告上签署不同意见并说明理由，由磋商小组书面记录相关情况。磋商小组成员拒绝在报告上签字又不书面说明其不同意见和理由的，视为同意</w:t>
      </w:r>
      <w:r>
        <w:rPr>
          <w:rFonts w:hint="eastAsia" w:ascii="宋体" w:hAnsi="宋体"/>
          <w:color w:val="auto"/>
          <w:szCs w:val="21"/>
          <w:highlight w:val="none"/>
        </w:rPr>
        <w:t>竞争性磋商</w:t>
      </w:r>
      <w:r>
        <w:rPr>
          <w:rFonts w:hint="eastAsia"/>
          <w:color w:val="auto"/>
          <w:highlight w:val="none"/>
        </w:rPr>
        <w:t>报告。</w:t>
      </w:r>
    </w:p>
    <w:p>
      <w:pPr>
        <w:numPr>
          <w:ilvl w:val="1"/>
          <w:numId w:val="7"/>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综合评分=技术得分+商务得分+价格得分。</w:t>
      </w:r>
    </w:p>
    <w:p>
      <w:pPr>
        <w:numPr>
          <w:ilvl w:val="1"/>
          <w:numId w:val="7"/>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用综合评分法的，按评审后评审得分由高到低顺序排列。综合评分相同的，按照最后报价由低到高的顺序推荐。综合得分且最后报价相同的，按照价格由低到高的顺序推荐。评审得分相同，且评标价和技术评分均相同的，名次由磋商小组会投票决定。磋商小组会按上述排列向采购人推荐综合总得分第一名为第一成交候选人，第二名为第二成交候选人，第三名为第三成交候选人，以此类推。第一成交候选人不得随意放弃成交资格。</w:t>
      </w:r>
    </w:p>
    <w:p>
      <w:pPr>
        <w:numPr>
          <w:ilvl w:val="0"/>
          <w:numId w:val="7"/>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小型和微型企业产品价格扣除</w:t>
      </w:r>
      <w:bookmarkEnd w:id="204"/>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27.1根据财政部、工业和信息化部印发的《政府采购促进中小企业发展暂行办法》（财库[2011]181号）的规定，对小型和微型企业产品的价格给予6%的扣除，用扣除后的价格参与评审；提供产品中仅有部分小型和微型企业产品的，则按所投小型和微型企业产品的价格予以扣除。</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27.2《政府采购促进中小企业发展暂行办法》所称中小企业（含中型、小型、微型企业，下同）应当同时符合以下条件：</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27.3符合中小企业划分标准，并以</w:t>
      </w:r>
      <w:r>
        <w:rPr>
          <w:rFonts w:hint="eastAsia" w:ascii="宋体" w:hAnsi="宋体"/>
          <w:bCs/>
          <w:color w:val="auto"/>
          <w:szCs w:val="21"/>
          <w:highlight w:val="none"/>
          <w:u w:val="single"/>
        </w:rPr>
        <w:t>提供中小企业管理部门出具的证明为准</w:t>
      </w:r>
      <w:r>
        <w:rPr>
          <w:rFonts w:hint="eastAsia" w:ascii="宋体" w:hAnsi="宋体"/>
          <w:bCs/>
          <w:color w:val="auto"/>
          <w:szCs w:val="21"/>
          <w:highlight w:val="none"/>
        </w:rPr>
        <w:t>；</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27.6小型、微型企业提供中型企业制造的货物的，视同为中型企业。</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szCs w:val="21"/>
          <w:highlight w:val="none"/>
        </w:rPr>
        <w:t>27.7</w:t>
      </w:r>
      <w:r>
        <w:rPr>
          <w:rFonts w:hint="eastAsia" w:ascii="宋体" w:hAnsi="宋体"/>
          <w:bCs/>
          <w:color w:val="auto"/>
          <w:highlight w:val="none"/>
        </w:rPr>
        <w:t>参加政府采购活动的中小企业应当提供《中小企业声明函》（格式见报价文件格式）。</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27.8监狱企业视同小型、微型企业，享受评审中价格扣除：</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27.8.1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27.8.2监狱企业参加政府采购活动时，应当提供由省级以上监狱管理局、戒毒管理局（含新疆生产建设兵团）出具的属于监狱企业的证明文件，否则不予认可。</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highlight w:val="none"/>
        </w:rPr>
        <w:t>27.9供应商同时为小型、微型企业和监狱企业的，评审中只享受一次价格扣除。不重复进行价格扣除。</w:t>
      </w:r>
    </w:p>
    <w:p>
      <w:pPr>
        <w:autoSpaceDE w:val="0"/>
        <w:autoSpaceDN w:val="0"/>
        <w:adjustRightInd w:val="0"/>
        <w:snapToGrid w:val="0"/>
        <w:spacing w:line="360" w:lineRule="auto"/>
        <w:ind w:left="525" w:hanging="525" w:hangingChars="250"/>
        <w:jc w:val="left"/>
        <w:rPr>
          <w:rFonts w:ascii="宋体" w:hAnsi="宋体"/>
          <w:color w:val="auto"/>
          <w:szCs w:val="21"/>
          <w:highlight w:val="none"/>
        </w:rPr>
      </w:pPr>
      <w:r>
        <w:rPr>
          <w:rFonts w:hint="eastAsia" w:ascii="宋体" w:hAnsi="宋体"/>
          <w:bCs/>
          <w:color w:val="auto"/>
          <w:szCs w:val="21"/>
          <w:highlight w:val="none"/>
        </w:rPr>
        <w:t>27.10</w:t>
      </w:r>
      <w:r>
        <w:rPr>
          <w:rFonts w:hint="eastAsia" w:ascii="宋体" w:hAnsi="宋体"/>
          <w:color w:val="auto"/>
          <w:szCs w:val="21"/>
          <w:highlight w:val="none"/>
        </w:rPr>
        <w:t>提供产品中含节能产品时，在评分标准中应给予总分3%*B的加分；含环境标志产品时，在评分标准中应给予总分3%*C的加分（其中B为节能产品报价占总报价比重，C为环境标志产品占总报价比重）。</w:t>
      </w:r>
    </w:p>
    <w:p>
      <w:pPr>
        <w:autoSpaceDE w:val="0"/>
        <w:autoSpaceDN w:val="0"/>
        <w:adjustRightInd w:val="0"/>
        <w:snapToGrid w:val="0"/>
        <w:spacing w:line="360" w:lineRule="auto"/>
        <w:outlineLvl w:val="0"/>
        <w:rPr>
          <w:rFonts w:ascii="宋体" w:hAnsi="宋体"/>
          <w:b/>
          <w:bCs/>
          <w:color w:val="auto"/>
          <w:sz w:val="24"/>
          <w:highlight w:val="none"/>
        </w:rPr>
      </w:pPr>
      <w:bookmarkStart w:id="209" w:name="_Toc475104506"/>
      <w:r>
        <w:rPr>
          <w:rFonts w:hint="eastAsia" w:ascii="宋体" w:hAnsi="宋体"/>
          <w:color w:val="auto"/>
          <w:szCs w:val="21"/>
          <w:highlight w:val="none"/>
        </w:rPr>
        <w:t>27.11</w:t>
      </w:r>
      <w:r>
        <w:rPr>
          <w:rFonts w:hint="eastAsia" w:ascii="宋体" w:hAnsi="宋体"/>
          <w:bCs/>
          <w:color w:val="auto"/>
          <w:highlight w:val="none"/>
        </w:rPr>
        <w:t>供应商</w:t>
      </w:r>
      <w:r>
        <w:rPr>
          <w:rFonts w:hint="eastAsia" w:ascii="宋体" w:hAnsi="宋体"/>
          <w:bCs/>
          <w:color w:val="auto"/>
          <w:szCs w:val="21"/>
          <w:highlight w:val="none"/>
        </w:rPr>
        <w:t>应当提供《</w:t>
      </w:r>
      <w:r>
        <w:rPr>
          <w:rFonts w:hint="eastAsia" w:ascii="宋体" w:hAnsi="宋体"/>
          <w:color w:val="auto"/>
          <w:szCs w:val="21"/>
          <w:highlight w:val="none"/>
          <w:lang w:val="en-GB"/>
        </w:rPr>
        <w:t>产品适用政府采购政策情况表</w:t>
      </w:r>
      <w:r>
        <w:rPr>
          <w:rFonts w:hint="eastAsia" w:ascii="宋体" w:hAnsi="宋体"/>
          <w:bCs/>
          <w:color w:val="auto"/>
          <w:szCs w:val="21"/>
          <w:highlight w:val="none"/>
        </w:rPr>
        <w:t>》（格式见报价文件格式）。</w:t>
      </w:r>
      <w:bookmarkEnd w:id="209"/>
    </w:p>
    <w:p>
      <w:pPr>
        <w:numPr>
          <w:ilvl w:val="0"/>
          <w:numId w:val="7"/>
        </w:numPr>
        <w:autoSpaceDE w:val="0"/>
        <w:autoSpaceDN w:val="0"/>
        <w:adjustRightInd w:val="0"/>
        <w:snapToGrid w:val="0"/>
        <w:spacing w:line="360" w:lineRule="auto"/>
        <w:outlineLvl w:val="0"/>
        <w:rPr>
          <w:rFonts w:ascii="宋体" w:hAnsi="宋体"/>
          <w:b/>
          <w:bCs/>
          <w:color w:val="auto"/>
          <w:sz w:val="24"/>
          <w:highlight w:val="none"/>
        </w:rPr>
      </w:pPr>
      <w:bookmarkStart w:id="210" w:name="_Toc475104507"/>
      <w:r>
        <w:rPr>
          <w:rFonts w:hint="eastAsia" w:ascii="宋体" w:hAnsi="宋体"/>
          <w:b/>
          <w:bCs/>
          <w:color w:val="auto"/>
          <w:sz w:val="24"/>
          <w:highlight w:val="none"/>
        </w:rPr>
        <w:t>定标原则与授标</w:t>
      </w:r>
      <w:bookmarkEnd w:id="199"/>
      <w:bookmarkEnd w:id="200"/>
      <w:bookmarkEnd w:id="201"/>
      <w:bookmarkEnd w:id="202"/>
      <w:bookmarkEnd w:id="203"/>
      <w:bookmarkEnd w:id="205"/>
      <w:bookmarkEnd w:id="210"/>
    </w:p>
    <w:p>
      <w:pPr>
        <w:numPr>
          <w:ilvl w:val="1"/>
          <w:numId w:val="7"/>
        </w:numPr>
        <w:autoSpaceDE w:val="0"/>
        <w:autoSpaceDN w:val="0"/>
        <w:adjustRightInd w:val="0"/>
        <w:snapToGrid w:val="0"/>
        <w:spacing w:line="360" w:lineRule="auto"/>
        <w:jc w:val="left"/>
        <w:rPr>
          <w:rFonts w:ascii="宋体" w:hAnsi="宋体" w:cs="黑体"/>
          <w:b/>
          <w:bCs/>
          <w:color w:val="auto"/>
          <w:szCs w:val="21"/>
          <w:highlight w:val="none"/>
        </w:rPr>
      </w:pPr>
      <w:bookmarkStart w:id="211" w:name="_Toc475104508"/>
      <w:bookmarkStart w:id="212" w:name="_Toc320515097"/>
      <w:bookmarkStart w:id="213" w:name="_Toc363737713"/>
      <w:bookmarkStart w:id="214" w:name="_Toc315793484"/>
      <w:bookmarkStart w:id="215" w:name="_Toc320515048"/>
      <w:bookmarkStart w:id="216" w:name="_Toc323111007"/>
      <w:bookmarkStart w:id="217" w:name="_Toc322680374"/>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7"/>
        </w:numPr>
        <w:autoSpaceDE w:val="0"/>
        <w:autoSpaceDN w:val="0"/>
        <w:adjustRightInd w:val="0"/>
        <w:snapToGrid w:val="0"/>
        <w:spacing w:line="360" w:lineRule="auto"/>
        <w:jc w:val="left"/>
        <w:rPr>
          <w:rFonts w:ascii="宋体" w:hAnsi="宋体" w:cs="黑体"/>
          <w:color w:val="auto"/>
          <w:szCs w:val="21"/>
          <w:highlight w:val="none"/>
        </w:rPr>
      </w:pPr>
      <w:r>
        <w:rPr>
          <w:rFonts w:hint="eastAsia" w:ascii="宋体" w:hAnsi="宋体" w:cs="黑体"/>
          <w:color w:val="auto"/>
          <w:szCs w:val="21"/>
          <w:highlight w:val="none"/>
        </w:rPr>
        <w:t>磋商报告应当由磋商小组全体人员签字认可。磋商小组成员对磋商报告有异议的，磋商小组按照少数服从多数的原则推荐成交候选人，采购程序继续进行。对磋商报告有异议的磋商小组成员，应当在报告上签署不同意见并说明理由，由磋商小组书面记录相关情况。磋商小组成员拒绝在报告上签字又不书面说明其不同意见和理由的，视为同意磋商报告。</w:t>
      </w:r>
    </w:p>
    <w:p>
      <w:pPr>
        <w:numPr>
          <w:ilvl w:val="1"/>
          <w:numId w:val="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w:t>
      </w:r>
      <w:r>
        <w:rPr>
          <w:rFonts w:ascii="宋体" w:hAnsi="宋体"/>
          <w:color w:val="auto"/>
          <w:szCs w:val="21"/>
          <w:highlight w:val="none"/>
        </w:rPr>
        <w:t>小组提</w:t>
      </w:r>
      <w:r>
        <w:rPr>
          <w:rFonts w:hint="eastAsia" w:ascii="宋体" w:hAnsi="宋体"/>
          <w:color w:val="auto"/>
          <w:szCs w:val="21"/>
          <w:highlight w:val="none"/>
        </w:rPr>
        <w:t>交竞争性磋商</w:t>
      </w:r>
      <w:r>
        <w:rPr>
          <w:rFonts w:ascii="宋体" w:hAnsi="宋体"/>
          <w:color w:val="auto"/>
          <w:szCs w:val="21"/>
          <w:highlight w:val="none"/>
        </w:rPr>
        <w:t>报告和推荐</w:t>
      </w:r>
      <w:r>
        <w:rPr>
          <w:rFonts w:hint="eastAsia" w:ascii="宋体" w:hAnsi="宋体"/>
          <w:color w:val="auto"/>
          <w:szCs w:val="21"/>
          <w:highlight w:val="none"/>
        </w:rPr>
        <w:t>成交</w:t>
      </w:r>
      <w:r>
        <w:rPr>
          <w:rFonts w:ascii="宋体" w:hAnsi="宋体"/>
          <w:color w:val="auto"/>
          <w:szCs w:val="21"/>
          <w:highlight w:val="none"/>
        </w:rPr>
        <w:t>意见报</w:t>
      </w:r>
      <w:r>
        <w:rPr>
          <w:rFonts w:hint="eastAsia" w:ascii="宋体" w:hAnsi="宋体"/>
          <w:color w:val="auto"/>
          <w:szCs w:val="21"/>
          <w:highlight w:val="none"/>
        </w:rPr>
        <w:t>采购人确认，采购人在收到竞争性磋商报告后的法定时间内，按照竞争性磋商报告中推荐的成交候选人顺序确定成交供应商，也可以事先授权磋商小组直接确定成交供应商。确认后政府采购代理机构将在政府采购指定媒体上</w:t>
      </w:r>
      <w:r>
        <w:rPr>
          <w:rFonts w:ascii="宋体" w:hAnsi="宋体"/>
          <w:color w:val="auto"/>
          <w:szCs w:val="21"/>
          <w:highlight w:val="none"/>
        </w:rPr>
        <w:t>发</w:t>
      </w:r>
      <w:r>
        <w:rPr>
          <w:rFonts w:hint="eastAsia" w:ascii="宋体" w:hAnsi="宋体"/>
          <w:color w:val="auto"/>
          <w:szCs w:val="21"/>
          <w:highlight w:val="none"/>
        </w:rPr>
        <w:t>布成交公告。不在成交名单之列者即为未成交供应商，政府采购代理机构不再以其他方式另行通知。</w:t>
      </w:r>
    </w:p>
    <w:p>
      <w:pPr>
        <w:numPr>
          <w:ilvl w:val="1"/>
          <w:numId w:val="7"/>
        </w:numPr>
        <w:shd w:val="clear" w:color="auto" w:fill="FFFFFF"/>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评审结果确定后，采购代理机构可以应采购人要求，通知磋商小组会推荐的成交候选人在2个工作日内，按竞争性磋商文件中所列清单中的相关证件、证明文件、合同的原件送采购人核对与</w:t>
      </w:r>
      <w:r>
        <w:rPr>
          <w:rFonts w:hint="eastAsia" w:ascii="宋体" w:hAnsi="宋体"/>
          <w:bCs/>
          <w:color w:val="auto"/>
          <w:highlight w:val="none"/>
        </w:rPr>
        <w:t>供应商</w:t>
      </w:r>
      <w:r>
        <w:rPr>
          <w:rFonts w:hint="eastAsia" w:ascii="宋体" w:hAnsi="宋体"/>
          <w:color w:val="auto"/>
          <w:szCs w:val="21"/>
          <w:highlight w:val="none"/>
        </w:rPr>
        <w:t>响应文件中的复印件是否一致。采购人在接到原件之日起3个工作日内，核对没有不一致的，须确认成交的供应商；核对发现有不一致或</w:t>
      </w:r>
      <w:r>
        <w:rPr>
          <w:rFonts w:hint="eastAsia" w:ascii="宋体" w:hAnsi="宋体"/>
          <w:bCs/>
          <w:color w:val="auto"/>
          <w:highlight w:val="none"/>
        </w:rPr>
        <w:t>供应商</w:t>
      </w:r>
      <w:r>
        <w:rPr>
          <w:rFonts w:hint="eastAsia" w:ascii="宋体" w:hAnsi="宋体"/>
          <w:color w:val="auto"/>
          <w:szCs w:val="21"/>
          <w:highlight w:val="none"/>
        </w:rPr>
        <w:t>无正当理由不按时提供原件的，书面向采购代理机构提出，并报同级财政部门核实后按响应无效处理。</w:t>
      </w:r>
    </w:p>
    <w:p>
      <w:pPr>
        <w:numPr>
          <w:ilvl w:val="1"/>
          <w:numId w:val="7"/>
        </w:numPr>
        <w:shd w:val="clear" w:color="auto" w:fill="FFFFFF"/>
        <w:autoSpaceDE w:val="0"/>
        <w:autoSpaceDN w:val="0"/>
        <w:adjustRightInd w:val="0"/>
        <w:snapToGrid w:val="0"/>
        <w:spacing w:line="360" w:lineRule="auto"/>
        <w:jc w:val="left"/>
        <w:rPr>
          <w:rFonts w:hint="eastAsia" w:ascii="宋体" w:hAnsi="宋体"/>
          <w:color w:val="auto"/>
          <w:szCs w:val="21"/>
          <w:highlight w:val="none"/>
        </w:rPr>
      </w:pPr>
      <w:r>
        <w:rPr>
          <w:rFonts w:hint="eastAsia" w:ascii="宋体" w:hAnsi="宋体"/>
          <w:color w:val="auto"/>
          <w:szCs w:val="21"/>
          <w:highlight w:val="none"/>
        </w:rPr>
        <w:t>根据《财政部关于政府采购竞争性磋商采购方式管理暂行办法有关问题的补充通知》(财库〔2015〕124号)规定，采用竞争性磋商采购方式采购的政府购买服务项目（含政府和社会资本合作项目），在采购过程中符合要求的供应商（社会资本）只有2家的，竞争性磋商采购活动可以继续进行。采购过程中符合要求的供应商（社会资本）只有1家的，采购人（项目实施机构）或者采购代理机构应当终止竞争性磋商采购活动，发布项目终止公告并说明原因，重新开展采购活动。</w:t>
      </w:r>
    </w:p>
    <w:p>
      <w:pPr>
        <w:numPr>
          <w:ilvl w:val="1"/>
          <w:numId w:val="7"/>
        </w:numPr>
        <w:shd w:val="clear" w:color="auto" w:fill="FFFFFF"/>
        <w:autoSpaceDE w:val="0"/>
        <w:autoSpaceDN w:val="0"/>
        <w:adjustRightInd w:val="0"/>
        <w:snapToGrid w:val="0"/>
        <w:spacing w:line="360" w:lineRule="auto"/>
        <w:jc w:val="left"/>
        <w:rPr>
          <w:rFonts w:hint="eastAsia" w:ascii="宋体" w:hAnsi="宋体"/>
          <w:color w:val="auto"/>
          <w:szCs w:val="21"/>
          <w:highlight w:val="none"/>
        </w:rPr>
      </w:pPr>
      <w:r>
        <w:rPr>
          <w:rFonts w:hint="eastAsia" w:ascii="宋体" w:hAnsi="宋体"/>
          <w:color w:val="auto"/>
          <w:szCs w:val="21"/>
          <w:highlight w:val="none"/>
        </w:rPr>
        <w:t>因不可抗力或自身原因不能履行政府采购合同的、不按要求与采购人签订政府采购合同、成交供应商放弃成交、成交资格被依法确认无效的，采购人可以与排位在成交供应商之后第一位的成交候选人签订政府采购合同，没有其他成交候选人的，应当重新组织采购活动。</w:t>
      </w:r>
    </w:p>
    <w:p>
      <w:pPr>
        <w:numPr>
          <w:ilvl w:val="0"/>
          <w:numId w:val="7"/>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质疑与回复</w:t>
      </w:r>
      <w:bookmarkEnd w:id="211"/>
      <w:bookmarkEnd w:id="212"/>
      <w:bookmarkEnd w:id="213"/>
      <w:bookmarkEnd w:id="214"/>
      <w:bookmarkEnd w:id="215"/>
    </w:p>
    <w:p>
      <w:pPr>
        <w:numPr>
          <w:ilvl w:val="1"/>
          <w:numId w:val="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质疑书应当包括下列主要内容：</w:t>
      </w:r>
    </w:p>
    <w:p>
      <w:pPr>
        <w:numPr>
          <w:ilvl w:val="2"/>
          <w:numId w:val="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供应商的姓名或者名称、地址、邮编、联系人及联系电话；</w:t>
      </w:r>
    </w:p>
    <w:p>
      <w:pPr>
        <w:numPr>
          <w:ilvl w:val="2"/>
          <w:numId w:val="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质疑项目的名称、编号；</w:t>
      </w:r>
    </w:p>
    <w:p>
      <w:pPr>
        <w:numPr>
          <w:ilvl w:val="2"/>
          <w:numId w:val="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具体、明确的质疑事项和与质疑事项相关的请求；</w:t>
      </w:r>
    </w:p>
    <w:p>
      <w:pPr>
        <w:numPr>
          <w:ilvl w:val="2"/>
          <w:numId w:val="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事实依据；</w:t>
      </w:r>
    </w:p>
    <w:p>
      <w:pPr>
        <w:numPr>
          <w:ilvl w:val="2"/>
          <w:numId w:val="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必要的法律依据；</w:t>
      </w:r>
    </w:p>
    <w:p>
      <w:pPr>
        <w:numPr>
          <w:ilvl w:val="2"/>
          <w:numId w:val="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提出质疑的日期。</w:t>
      </w:r>
    </w:p>
    <w:p>
      <w:pPr>
        <w:numPr>
          <w:ilvl w:val="1"/>
          <w:numId w:val="7"/>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质疑书应当署名。供应商为自然人的，应当由本人签字；供应商为法人或者其他组织的，应当由法定代表人、主要负责人，或者其授权代表签字或者盖章，并加盖公章。</w:t>
      </w:r>
    </w:p>
    <w:p>
      <w:pPr>
        <w:numPr>
          <w:ilvl w:val="1"/>
          <w:numId w:val="7"/>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rPr>
        <w:t>供应商</w:t>
      </w:r>
      <w:r>
        <w:rPr>
          <w:rFonts w:hint="eastAsia" w:ascii="宋体" w:hAnsi="宋体"/>
          <w:color w:val="auto"/>
          <w:szCs w:val="21"/>
          <w:highlight w:val="none"/>
        </w:rPr>
        <w:t>认为竞争性磋商文件的内容损害其权益的，应当以书面形式（加盖</w:t>
      </w:r>
      <w:r>
        <w:rPr>
          <w:rFonts w:hint="eastAsia" w:ascii="宋体" w:hAnsi="宋体"/>
          <w:bCs/>
          <w:color w:val="auto"/>
          <w:highlight w:val="none"/>
        </w:rPr>
        <w:t>供应商</w:t>
      </w:r>
      <w:r>
        <w:rPr>
          <w:rFonts w:hint="eastAsia" w:ascii="宋体" w:hAnsi="宋体"/>
          <w:color w:val="auto"/>
          <w:szCs w:val="21"/>
          <w:highlight w:val="none"/>
        </w:rPr>
        <w:t>公章）在竞争性磋商文件公示期间或者自期满之日起7个工作日内向政府采购代理机构提交质疑书原件，逾期质疑无效。</w:t>
      </w:r>
      <w:r>
        <w:rPr>
          <w:rFonts w:hint="eastAsia" w:ascii="宋体" w:hAnsi="宋体"/>
          <w:bCs/>
          <w:color w:val="auto"/>
          <w:highlight w:val="none"/>
        </w:rPr>
        <w:t>供应商</w:t>
      </w:r>
      <w:r>
        <w:rPr>
          <w:rFonts w:hint="eastAsia" w:ascii="宋体" w:hAnsi="宋体"/>
          <w:color w:val="auto"/>
          <w:szCs w:val="21"/>
          <w:highlight w:val="none"/>
        </w:rPr>
        <w:t>以电话、传真或电邮形式提交的质疑属于无效质疑。</w:t>
      </w:r>
    </w:p>
    <w:p>
      <w:pPr>
        <w:numPr>
          <w:ilvl w:val="1"/>
          <w:numId w:val="7"/>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rPr>
        <w:t>供应商</w:t>
      </w:r>
      <w:r>
        <w:rPr>
          <w:rFonts w:hint="eastAsia" w:ascii="宋体" w:hAnsi="宋体" w:cs="黑体"/>
          <w:bCs/>
          <w:color w:val="auto"/>
          <w:szCs w:val="21"/>
          <w:highlight w:val="none"/>
        </w:rPr>
        <w:t>认为采购过程和</w:t>
      </w:r>
      <w:r>
        <w:rPr>
          <w:rFonts w:hint="eastAsia" w:ascii="宋体" w:hAnsi="宋体"/>
          <w:color w:val="auto"/>
          <w:szCs w:val="21"/>
          <w:highlight w:val="none"/>
        </w:rPr>
        <w:t>成交</w:t>
      </w:r>
      <w:r>
        <w:rPr>
          <w:rFonts w:hint="eastAsia" w:ascii="宋体" w:hAnsi="宋体" w:cs="黑体"/>
          <w:bCs/>
          <w:color w:val="auto"/>
          <w:szCs w:val="21"/>
          <w:highlight w:val="none"/>
        </w:rPr>
        <w:t>结果使自己的权益受到损害的，应当以书面形式（加盖</w:t>
      </w:r>
      <w:r>
        <w:rPr>
          <w:rFonts w:hint="eastAsia" w:ascii="宋体" w:hAnsi="宋体"/>
          <w:bCs/>
          <w:color w:val="auto"/>
          <w:highlight w:val="none"/>
        </w:rPr>
        <w:t>供应商</w:t>
      </w:r>
      <w:r>
        <w:rPr>
          <w:rFonts w:hint="eastAsia" w:ascii="宋体" w:hAnsi="宋体" w:cs="黑体"/>
          <w:bCs/>
          <w:color w:val="auto"/>
          <w:szCs w:val="21"/>
          <w:highlight w:val="none"/>
        </w:rPr>
        <w:t>公章）在知道或者应知其权益受到损害之日起7个工作日内向政府采购代理机构提交质疑书原件，逾期质疑无效。</w:t>
      </w:r>
      <w:r>
        <w:rPr>
          <w:rFonts w:hint="eastAsia" w:ascii="宋体" w:hAnsi="宋体"/>
          <w:bCs/>
          <w:color w:val="auto"/>
          <w:highlight w:val="none"/>
        </w:rPr>
        <w:t>供应商</w:t>
      </w:r>
      <w:r>
        <w:rPr>
          <w:rFonts w:hint="eastAsia" w:ascii="宋体" w:hAnsi="宋体" w:cs="黑体"/>
          <w:bCs/>
          <w:color w:val="auto"/>
          <w:szCs w:val="21"/>
          <w:highlight w:val="none"/>
        </w:rPr>
        <w:t>以电话、传真或电邮形式提交的质疑属于无效质疑。</w:t>
      </w:r>
    </w:p>
    <w:p>
      <w:pPr>
        <w:numPr>
          <w:ilvl w:val="1"/>
          <w:numId w:val="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质疑内容不得含有虚假、恶意成分。依据谁主张谁举证的原则，质疑者提供的质疑书应当包括下列主要内容：具体的质疑事项、事实依据及相关确凿的证明材料和注明事实的确切来源、</w:t>
      </w:r>
      <w:r>
        <w:rPr>
          <w:rFonts w:hint="eastAsia" w:ascii="宋体" w:hAnsi="宋体"/>
          <w:bCs/>
          <w:color w:val="auto"/>
          <w:highlight w:val="none"/>
        </w:rPr>
        <w:t>供应商</w:t>
      </w:r>
      <w:r>
        <w:rPr>
          <w:rFonts w:hint="eastAsia" w:ascii="宋体" w:hAnsi="宋体"/>
          <w:color w:val="auto"/>
          <w:szCs w:val="21"/>
          <w:highlight w:val="none"/>
        </w:rPr>
        <w:t>名称、联系人与联系电话、质疑时间，质疑书应当署名并由法定代表人或授权代表签字并加盖公章。政府采购代理机构受理书面质疑书原件之日起，在规定的期限内作出答复。对于捏造事实、进行虚假质疑及投诉情节严重的，禁止参加政府采购活动一至三年。</w:t>
      </w:r>
    </w:p>
    <w:p>
      <w:pPr>
        <w:numPr>
          <w:ilvl w:val="1"/>
          <w:numId w:val="7"/>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政府采购代理机构在收到</w:t>
      </w:r>
      <w:r>
        <w:rPr>
          <w:rFonts w:hint="eastAsia" w:ascii="宋体" w:hAnsi="宋体"/>
          <w:bCs/>
          <w:color w:val="auto"/>
          <w:highlight w:val="none"/>
        </w:rPr>
        <w:t>供应商</w:t>
      </w:r>
      <w:r>
        <w:rPr>
          <w:rFonts w:hint="eastAsia" w:ascii="宋体" w:hAnsi="宋体"/>
          <w:color w:val="auto"/>
          <w:szCs w:val="21"/>
          <w:highlight w:val="none"/>
        </w:rPr>
        <w:t>的有效书面质疑后七个工作日内作出答复，但答复的内容不涉及商业秘密，质疑</w:t>
      </w:r>
      <w:r>
        <w:rPr>
          <w:rFonts w:hint="eastAsia" w:ascii="宋体" w:hAnsi="宋体"/>
          <w:bCs/>
          <w:color w:val="auto"/>
          <w:highlight w:val="none"/>
        </w:rPr>
        <w:t>供应商</w:t>
      </w:r>
      <w:r>
        <w:rPr>
          <w:rFonts w:hint="eastAsia" w:ascii="宋体" w:hAnsi="宋体"/>
          <w:color w:val="auto"/>
          <w:szCs w:val="21"/>
          <w:highlight w:val="none"/>
        </w:rPr>
        <w:t>对采购人、政府采购代理机构的质疑答复不满意，或采购人、政府采购代理机构未在规定期限内作出答复的，可以在答复期满后十五个工作日内向同级政府采购监督管理部门提出投诉。投诉事项应该是经过质疑的事项。</w:t>
      </w:r>
    </w:p>
    <w:p>
      <w:pPr>
        <w:numPr>
          <w:ilvl w:val="1"/>
          <w:numId w:val="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w:t>
      </w:r>
      <w:r>
        <w:rPr>
          <w:rFonts w:hint="eastAsia" w:ascii="宋体" w:hAnsi="宋体"/>
          <w:bCs/>
          <w:color w:val="auto"/>
          <w:highlight w:val="none"/>
        </w:rPr>
        <w:t>供应商</w:t>
      </w:r>
      <w:r>
        <w:rPr>
          <w:rFonts w:hint="eastAsia" w:ascii="宋体" w:hAnsi="宋体"/>
          <w:color w:val="auto"/>
          <w:szCs w:val="21"/>
          <w:highlight w:val="none"/>
        </w:rPr>
        <w:t>需要修改、补充质疑函的，应当在质疑有效期内提交修改或补充材料。质疑函收到日期以提交修改或补充的质疑函原件之日计算。</w:t>
      </w:r>
    </w:p>
    <w:p>
      <w:pPr>
        <w:numPr>
          <w:ilvl w:val="1"/>
          <w:numId w:val="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接收质疑函的方式如下：</w:t>
      </w:r>
    </w:p>
    <w:p>
      <w:pPr>
        <w:numPr>
          <w:ilvl w:val="2"/>
          <w:numId w:val="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联系部门：广州市信怡招标代理有限公司招标代理部</w:t>
      </w:r>
    </w:p>
    <w:p>
      <w:pPr>
        <w:numPr>
          <w:ilvl w:val="2"/>
          <w:numId w:val="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联系电话：020-89001296</w:t>
      </w:r>
    </w:p>
    <w:p>
      <w:pPr>
        <w:numPr>
          <w:ilvl w:val="2"/>
          <w:numId w:val="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通讯地址：广州市海珠区红卫新村西路29号UP智谷D栋503房。</w:t>
      </w:r>
    </w:p>
    <w:bookmarkEnd w:id="216"/>
    <w:bookmarkEnd w:id="217"/>
    <w:p>
      <w:pPr>
        <w:numPr>
          <w:ilvl w:val="0"/>
          <w:numId w:val="7"/>
        </w:numPr>
        <w:autoSpaceDE w:val="0"/>
        <w:autoSpaceDN w:val="0"/>
        <w:adjustRightInd w:val="0"/>
        <w:snapToGrid w:val="0"/>
        <w:spacing w:line="360" w:lineRule="auto"/>
        <w:outlineLvl w:val="0"/>
        <w:rPr>
          <w:rFonts w:ascii="宋体" w:hAnsi="宋体"/>
          <w:b/>
          <w:bCs/>
          <w:color w:val="auto"/>
          <w:sz w:val="24"/>
          <w:highlight w:val="none"/>
        </w:rPr>
      </w:pPr>
      <w:bookmarkStart w:id="218" w:name="_Toc363737714"/>
      <w:bookmarkStart w:id="219" w:name="_Toc475104509"/>
      <w:r>
        <w:rPr>
          <w:rFonts w:hint="eastAsia" w:ascii="宋体" w:hAnsi="宋体"/>
          <w:b/>
          <w:bCs/>
          <w:color w:val="auto"/>
          <w:sz w:val="24"/>
          <w:highlight w:val="none"/>
        </w:rPr>
        <w:t>成交通知书</w:t>
      </w:r>
      <w:bookmarkEnd w:id="218"/>
      <w:bookmarkEnd w:id="219"/>
    </w:p>
    <w:p>
      <w:pPr>
        <w:numPr>
          <w:ilvl w:val="1"/>
          <w:numId w:val="7"/>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成交供应商确定后</w:t>
      </w:r>
      <w:r>
        <w:rPr>
          <w:rFonts w:hint="eastAsia" w:ascii="宋体" w:hAnsi="宋体" w:cs="宋体"/>
          <w:color w:val="auto"/>
          <w:szCs w:val="21"/>
          <w:highlight w:val="none"/>
        </w:rPr>
        <w:t>，</w:t>
      </w:r>
      <w:r>
        <w:rPr>
          <w:rFonts w:hint="eastAsia" w:ascii="宋体" w:hAnsi="宋体" w:cs="宋体"/>
          <w:color w:val="auto"/>
          <w:szCs w:val="21"/>
          <w:highlight w:val="none"/>
          <w:lang w:eastAsia="zh-TW"/>
        </w:rPr>
        <w:t>政府采购代理机构将在政府采购监督管理部门</w:t>
      </w:r>
      <w:r>
        <w:rPr>
          <w:rFonts w:hint="eastAsia" w:ascii="宋体" w:hAnsi="宋体" w:cs="宋体"/>
          <w:color w:val="auto"/>
          <w:szCs w:val="21"/>
          <w:highlight w:val="none"/>
        </w:rPr>
        <w:t>法定</w:t>
      </w:r>
      <w:r>
        <w:rPr>
          <w:rFonts w:hint="eastAsia" w:ascii="宋体" w:hAnsi="宋体" w:cs="宋体"/>
          <w:color w:val="auto"/>
          <w:szCs w:val="21"/>
          <w:highlight w:val="none"/>
          <w:lang w:eastAsia="zh-TW"/>
        </w:rPr>
        <w:t>的媒体上发布</w:t>
      </w:r>
      <w:r>
        <w:rPr>
          <w:rFonts w:hint="eastAsia" w:ascii="宋体" w:hAnsi="宋体"/>
          <w:color w:val="auto"/>
          <w:szCs w:val="21"/>
          <w:highlight w:val="none"/>
        </w:rPr>
        <w:t>成交</w:t>
      </w:r>
      <w:r>
        <w:rPr>
          <w:rFonts w:hint="eastAsia" w:ascii="宋体" w:hAnsi="宋体" w:cs="宋体"/>
          <w:color w:val="auto"/>
          <w:szCs w:val="21"/>
          <w:highlight w:val="none"/>
        </w:rPr>
        <w:t>结果公告</w:t>
      </w:r>
      <w:r>
        <w:rPr>
          <w:rFonts w:hint="eastAsia" w:ascii="宋体" w:hAnsi="宋体" w:cs="宋体"/>
          <w:color w:val="auto"/>
          <w:szCs w:val="21"/>
          <w:highlight w:val="none"/>
          <w:lang w:eastAsia="zh-TW"/>
        </w:rPr>
        <w:t>，并向成交供应商发出《成交通知书》</w:t>
      </w:r>
      <w:r>
        <w:rPr>
          <w:rFonts w:hint="eastAsia" w:ascii="宋体" w:hAnsi="宋体" w:cs="宋体"/>
          <w:color w:val="auto"/>
          <w:szCs w:val="21"/>
          <w:highlight w:val="none"/>
        </w:rPr>
        <w:t>，</w:t>
      </w:r>
      <w:r>
        <w:rPr>
          <w:rFonts w:hint="eastAsia" w:ascii="宋体" w:hAnsi="宋体" w:cs="宋体"/>
          <w:color w:val="auto"/>
          <w:szCs w:val="21"/>
          <w:highlight w:val="none"/>
          <w:lang w:eastAsia="zh-TW"/>
        </w:rPr>
        <w:t>《成交通知书》对成交供应商和采购人具有同等法律效力。</w:t>
      </w:r>
    </w:p>
    <w:p>
      <w:pPr>
        <w:numPr>
          <w:ilvl w:val="1"/>
          <w:numId w:val="7"/>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《成交通知书》将作为授予合同资格的合法依据，是合同的一个组成部分。</w:t>
      </w:r>
    </w:p>
    <w:p>
      <w:pPr>
        <w:numPr>
          <w:ilvl w:val="0"/>
          <w:numId w:val="6"/>
        </w:numPr>
        <w:autoSpaceDE w:val="0"/>
        <w:autoSpaceDN w:val="0"/>
        <w:adjustRightInd w:val="0"/>
        <w:snapToGrid w:val="0"/>
        <w:spacing w:before="240" w:beforeLines="100" w:after="240" w:afterLines="100" w:line="360" w:lineRule="auto"/>
        <w:ind w:left="601" w:hanging="601"/>
        <w:jc w:val="center"/>
        <w:outlineLvl w:val="0"/>
        <w:rPr>
          <w:rFonts w:ascii="宋体" w:hAnsi="宋体"/>
          <w:b/>
          <w:color w:val="auto"/>
          <w:sz w:val="28"/>
          <w:szCs w:val="28"/>
          <w:highlight w:val="none"/>
          <w:lang w:eastAsia="zh-TW"/>
        </w:rPr>
      </w:pPr>
      <w:bookmarkStart w:id="220" w:name="_Toc315793486"/>
      <w:bookmarkStart w:id="221" w:name="_Toc320515050"/>
      <w:bookmarkStart w:id="222" w:name="_Toc320515099"/>
      <w:bookmarkStart w:id="223" w:name="_Toc363737715"/>
      <w:bookmarkStart w:id="224" w:name="_Toc475104510"/>
      <w:bookmarkStart w:id="225" w:name="_Toc28489462"/>
      <w:bookmarkStart w:id="226" w:name="_Toc14450813"/>
      <w:r>
        <w:rPr>
          <w:rFonts w:hint="eastAsia" w:ascii="宋体" w:hAnsi="宋体"/>
          <w:b/>
          <w:color w:val="auto"/>
          <w:sz w:val="28"/>
          <w:szCs w:val="28"/>
          <w:highlight w:val="none"/>
          <w:lang w:eastAsia="zh-TW"/>
        </w:rPr>
        <w:t>授予合同</w:t>
      </w:r>
      <w:bookmarkEnd w:id="220"/>
      <w:bookmarkEnd w:id="221"/>
      <w:bookmarkEnd w:id="222"/>
      <w:bookmarkEnd w:id="223"/>
      <w:bookmarkEnd w:id="224"/>
    </w:p>
    <w:p>
      <w:pPr>
        <w:numPr>
          <w:ilvl w:val="0"/>
          <w:numId w:val="7"/>
        </w:numPr>
        <w:autoSpaceDE w:val="0"/>
        <w:autoSpaceDN w:val="0"/>
        <w:adjustRightInd w:val="0"/>
        <w:snapToGrid w:val="0"/>
        <w:spacing w:line="360" w:lineRule="auto"/>
        <w:outlineLvl w:val="0"/>
        <w:rPr>
          <w:rFonts w:ascii="宋体" w:hAnsi="宋体"/>
          <w:b/>
          <w:bCs/>
          <w:color w:val="auto"/>
          <w:sz w:val="24"/>
          <w:highlight w:val="none"/>
        </w:rPr>
      </w:pPr>
      <w:bookmarkStart w:id="227" w:name="_Toc320515100"/>
      <w:bookmarkStart w:id="228" w:name="_Toc363737716"/>
      <w:bookmarkStart w:id="229" w:name="_Toc315793487"/>
      <w:bookmarkStart w:id="230" w:name="_Toc320515051"/>
      <w:bookmarkStart w:id="231" w:name="_Toc475104511"/>
      <w:r>
        <w:rPr>
          <w:rFonts w:hint="eastAsia" w:ascii="宋体" w:hAnsi="宋体"/>
          <w:b/>
          <w:bCs/>
          <w:color w:val="auto"/>
          <w:sz w:val="24"/>
          <w:highlight w:val="none"/>
        </w:rPr>
        <w:t>合同的订立</w:t>
      </w:r>
      <w:bookmarkEnd w:id="227"/>
      <w:bookmarkEnd w:id="228"/>
      <w:bookmarkEnd w:id="229"/>
      <w:bookmarkEnd w:id="230"/>
      <w:bookmarkEnd w:id="231"/>
    </w:p>
    <w:p>
      <w:pPr>
        <w:numPr>
          <w:ilvl w:val="1"/>
          <w:numId w:val="7"/>
        </w:numPr>
        <w:autoSpaceDE w:val="0"/>
        <w:autoSpaceDN w:val="0"/>
        <w:adjustRightInd w:val="0"/>
        <w:snapToGrid w:val="0"/>
        <w:spacing w:line="360" w:lineRule="auto"/>
        <w:jc w:val="left"/>
        <w:rPr>
          <w:rFonts w:ascii="宋体" w:hAnsi="宋体" w:cs="黑体"/>
          <w:b/>
          <w:bCs/>
          <w:color w:val="auto"/>
          <w:szCs w:val="21"/>
          <w:highlight w:val="none"/>
        </w:rPr>
      </w:pPr>
      <w:bookmarkStart w:id="232" w:name="_Toc320515101"/>
      <w:bookmarkStart w:id="233" w:name="_Toc363737717"/>
      <w:bookmarkStart w:id="234" w:name="_Toc475104512"/>
      <w:bookmarkStart w:id="235" w:name="_Toc315793488"/>
      <w:bookmarkStart w:id="236" w:name="_Toc320515052"/>
      <w:r>
        <w:rPr>
          <w:rFonts w:hint="eastAsia" w:ascii="宋体" w:hAnsi="宋体" w:cs="宋体"/>
          <w:color w:val="auto"/>
          <w:szCs w:val="21"/>
          <w:highlight w:val="none"/>
          <w:lang w:eastAsia="zh-TW"/>
        </w:rPr>
        <w:t>采购人或者</w:t>
      </w:r>
      <w:r>
        <w:rPr>
          <w:rFonts w:hint="eastAsia" w:ascii="宋体" w:hAnsi="宋体" w:cs="宋体"/>
          <w:color w:val="auto"/>
          <w:szCs w:val="21"/>
          <w:highlight w:val="none"/>
        </w:rPr>
        <w:t>政府</w:t>
      </w:r>
      <w:r>
        <w:rPr>
          <w:rFonts w:hint="eastAsia" w:ascii="宋体" w:hAnsi="宋体" w:cs="宋体"/>
          <w:color w:val="auto"/>
          <w:szCs w:val="21"/>
          <w:highlight w:val="none"/>
          <w:lang w:eastAsia="zh-TW"/>
        </w:rPr>
        <w:t>采购代理机构应当自成交通知书发出之日起三十日内，按照竞争性磋商文件和成交供应商</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响应文件的约定，与成交供应商签订书面合同。所签订的合同不得对竞争性磋商文件和成交供应商</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响应文件作实质性修改</w:t>
      </w:r>
      <w:r>
        <w:rPr>
          <w:rFonts w:hint="eastAsia" w:ascii="宋体" w:hAnsi="宋体" w:cs="宋体"/>
          <w:color w:val="auto"/>
          <w:szCs w:val="21"/>
          <w:highlight w:val="none"/>
        </w:rPr>
        <w:t>。</w:t>
      </w:r>
    </w:p>
    <w:p>
      <w:pPr>
        <w:numPr>
          <w:ilvl w:val="1"/>
          <w:numId w:val="7"/>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 xml:space="preserve">招标采购单位不得向成交供应商提出任何不合理的要求，作为签订合同的条件，不得与成交供应商私下订立背离合同实质性内容的协议。 </w:t>
      </w:r>
    </w:p>
    <w:p>
      <w:pPr>
        <w:numPr>
          <w:ilvl w:val="1"/>
          <w:numId w:val="7"/>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lang w:eastAsia="zh-TW"/>
        </w:rPr>
        <w:t>签订政府采购合同后</w:t>
      </w:r>
      <w:r>
        <w:rPr>
          <w:rFonts w:hint="eastAsia" w:ascii="宋体" w:hAnsi="宋体" w:cs="宋体"/>
          <w:color w:val="auto"/>
          <w:szCs w:val="21"/>
          <w:highlight w:val="none"/>
        </w:rPr>
        <w:t>七</w:t>
      </w:r>
      <w:r>
        <w:rPr>
          <w:rFonts w:hint="eastAsia" w:ascii="宋体" w:hAnsi="宋体" w:cs="宋体"/>
          <w:color w:val="auto"/>
          <w:szCs w:val="21"/>
          <w:highlight w:val="none"/>
          <w:lang w:eastAsia="zh-TW"/>
        </w:rPr>
        <w:t>个工作日内，采购人应将政府采购合同副本报同级政府采购监督管理部门备案。</w:t>
      </w:r>
    </w:p>
    <w:p>
      <w:pPr>
        <w:numPr>
          <w:ilvl w:val="0"/>
          <w:numId w:val="7"/>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合同的履行</w:t>
      </w:r>
      <w:bookmarkEnd w:id="232"/>
      <w:bookmarkEnd w:id="233"/>
      <w:bookmarkEnd w:id="234"/>
      <w:bookmarkEnd w:id="235"/>
      <w:bookmarkEnd w:id="236"/>
    </w:p>
    <w:p>
      <w:pPr>
        <w:numPr>
          <w:ilvl w:val="1"/>
          <w:numId w:val="7"/>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政府采购合同订立后，合同各方不得擅自变更、中止或者终止合同。政府采购合同需要变更的，采购人应将有关合同变更内容，以书面形式报政府采购监督管理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备案；因特殊情况需要中止或终止合同的，采购人应将中止或终止合同的理由以及相应措施，以书面形式报政府采购监督管理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w:t>
      </w:r>
    </w:p>
    <w:p>
      <w:pPr>
        <w:numPr>
          <w:ilvl w:val="1"/>
          <w:numId w:val="7"/>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政府采购合同履行中，采购人需追加与合同标的相同的货物、工程或者服务的，在不改变合同其他条款的前提下，可以与</w:t>
      </w:r>
      <w:r>
        <w:rPr>
          <w:rFonts w:hint="eastAsia" w:ascii="宋体" w:hAnsi="宋体" w:cs="宋体"/>
          <w:color w:val="auto"/>
          <w:szCs w:val="21"/>
          <w:highlight w:val="none"/>
        </w:rPr>
        <w:t>成交</w:t>
      </w:r>
      <w:r>
        <w:rPr>
          <w:rFonts w:hint="eastAsia" w:ascii="宋体" w:hAnsi="宋体" w:cs="宋体"/>
          <w:color w:val="auto"/>
          <w:szCs w:val="21"/>
          <w:highlight w:val="none"/>
          <w:lang w:eastAsia="zh-TW"/>
        </w:rPr>
        <w:t>供应商签订补充合同，但所补充合同的采购金额不得超过原</w:t>
      </w:r>
      <w:r>
        <w:rPr>
          <w:rFonts w:hint="eastAsia" w:ascii="宋体" w:hAnsi="宋体" w:cs="宋体"/>
          <w:color w:val="auto"/>
          <w:szCs w:val="21"/>
          <w:highlight w:val="none"/>
        </w:rPr>
        <w:t>合同</w:t>
      </w:r>
      <w:r>
        <w:rPr>
          <w:rFonts w:hint="eastAsia" w:ascii="宋体" w:hAnsi="宋体" w:cs="宋体"/>
          <w:color w:val="auto"/>
          <w:szCs w:val="21"/>
          <w:highlight w:val="none"/>
          <w:lang w:eastAsia="zh-TW"/>
        </w:rPr>
        <w:t>采购金额的百分之十。签订补充合同的必须按规定备案。</w:t>
      </w:r>
    </w:p>
    <w:p>
      <w:pPr>
        <w:numPr>
          <w:ilvl w:val="0"/>
          <w:numId w:val="7"/>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采购代理服务费</w:t>
      </w:r>
    </w:p>
    <w:p>
      <w:pPr>
        <w:numPr>
          <w:ilvl w:val="1"/>
          <w:numId w:val="7"/>
        </w:numPr>
        <w:autoSpaceDE w:val="0"/>
        <w:autoSpaceDN w:val="0"/>
        <w:adjustRightInd w:val="0"/>
        <w:snapToGrid w:val="0"/>
        <w:spacing w:line="360" w:lineRule="auto"/>
        <w:outlineLvl w:val="0"/>
        <w:rPr>
          <w:rFonts w:ascii="宋体" w:hAnsi="宋体" w:cs="宋体"/>
          <w:color w:val="auto"/>
          <w:szCs w:val="21"/>
          <w:highlight w:val="none"/>
        </w:rPr>
      </w:pPr>
      <w:bookmarkStart w:id="237" w:name="_Toc475104515"/>
      <w:bookmarkStart w:id="238" w:name="_Toc363737720"/>
      <w:r>
        <w:rPr>
          <w:rFonts w:hint="eastAsia" w:ascii="宋体" w:hAnsi="宋体" w:cs="宋体"/>
          <w:color w:val="auto"/>
          <w:szCs w:val="21"/>
          <w:highlight w:val="none"/>
        </w:rPr>
        <w:t>成交服务费按</w:t>
      </w:r>
      <w:r>
        <w:rPr>
          <w:rFonts w:hint="eastAsia" w:ascii="宋体" w:hAnsi="宋体"/>
          <w:color w:val="auto"/>
          <w:szCs w:val="21"/>
          <w:highlight w:val="none"/>
        </w:rPr>
        <w:t>采购代</w:t>
      </w:r>
      <w:r>
        <w:rPr>
          <w:rFonts w:hint="eastAsia" w:ascii="宋体" w:hAnsi="宋体" w:cs="宋体"/>
          <w:color w:val="auto"/>
          <w:szCs w:val="21"/>
          <w:highlight w:val="none"/>
        </w:rPr>
        <w:t>理服务费收费依据及方法按《竞争性</w:t>
      </w:r>
      <w:r>
        <w:rPr>
          <w:rFonts w:hint="eastAsia" w:ascii="宋体" w:hAnsi="宋体"/>
          <w:color w:val="auto"/>
          <w:szCs w:val="21"/>
          <w:highlight w:val="none"/>
        </w:rPr>
        <w:t>磋商</w:t>
      </w:r>
      <w:r>
        <w:rPr>
          <w:rFonts w:hint="eastAsia" w:ascii="宋体" w:hAnsi="宋体" w:cs="宋体"/>
          <w:color w:val="auto"/>
          <w:szCs w:val="21"/>
          <w:highlight w:val="none"/>
        </w:rPr>
        <w:t>须知一览表》中规定执行。</w:t>
      </w:r>
      <w:bookmarkEnd w:id="237"/>
      <w:bookmarkEnd w:id="238"/>
    </w:p>
    <w:p>
      <w:pPr>
        <w:numPr>
          <w:ilvl w:val="0"/>
          <w:numId w:val="7"/>
        </w:numPr>
        <w:autoSpaceDE w:val="0"/>
        <w:autoSpaceDN w:val="0"/>
        <w:adjustRightInd w:val="0"/>
        <w:snapToGrid w:val="0"/>
        <w:spacing w:line="360" w:lineRule="auto"/>
        <w:outlineLvl w:val="0"/>
        <w:rPr>
          <w:rFonts w:ascii="宋体" w:hAnsi="宋体" w:cs="宋体"/>
          <w:b/>
          <w:color w:val="auto"/>
          <w:sz w:val="24"/>
          <w:highlight w:val="none"/>
        </w:rPr>
      </w:pPr>
      <w:bookmarkStart w:id="239" w:name="_Toc363737723"/>
      <w:bookmarkStart w:id="240" w:name="_Toc475104518"/>
      <w:r>
        <w:rPr>
          <w:rFonts w:hint="eastAsia" w:ascii="宋体" w:hAnsi="宋体" w:cs="宋体"/>
          <w:b/>
          <w:color w:val="auto"/>
          <w:sz w:val="24"/>
          <w:highlight w:val="none"/>
        </w:rPr>
        <w:t>其他</w:t>
      </w:r>
      <w:bookmarkEnd w:id="239"/>
      <w:bookmarkEnd w:id="240"/>
    </w:p>
    <w:p>
      <w:pPr>
        <w:numPr>
          <w:ilvl w:val="1"/>
          <w:numId w:val="7"/>
        </w:numPr>
        <w:autoSpaceDE w:val="0"/>
        <w:autoSpaceDN w:val="0"/>
        <w:adjustRightInd w:val="0"/>
        <w:snapToGrid w:val="0"/>
        <w:spacing w:line="360" w:lineRule="auto"/>
        <w:outlineLvl w:val="0"/>
        <w:rPr>
          <w:rFonts w:ascii="宋体" w:hAnsi="宋体" w:cs="宋体"/>
          <w:color w:val="auto"/>
          <w:szCs w:val="21"/>
          <w:highlight w:val="none"/>
        </w:rPr>
      </w:pPr>
      <w:bookmarkStart w:id="241" w:name="_Toc363737724"/>
      <w:bookmarkStart w:id="242" w:name="_Toc475104519"/>
      <w:r>
        <w:rPr>
          <w:rFonts w:hint="eastAsia" w:ascii="宋体" w:hAnsi="宋体" w:cs="宋体"/>
          <w:color w:val="auto"/>
          <w:szCs w:val="21"/>
          <w:highlight w:val="none"/>
        </w:rPr>
        <w:t>本项目相关公告在以下媒体发布：中国采购与招标网（网址：www.chinabidding.com.cn）、广州市信怡招标代理有限公司网站（www.gzxyzb.com）和</w:t>
      </w:r>
      <w:r>
        <w:rPr>
          <w:rFonts w:hint="eastAsia" w:ascii="宋体" w:hAnsi="宋体" w:eastAsia="宋体" w:cs="宋体"/>
          <w:color w:val="auto"/>
          <w:szCs w:val="21"/>
          <w:highlight w:val="none"/>
          <w:lang w:eastAsia="zh-CN"/>
        </w:rPr>
        <w:t>广东省农业科学院动物卫生研究所（www.vmi.gdaas.cn/index.aspx）</w:t>
      </w:r>
      <w:r>
        <w:rPr>
          <w:rFonts w:hint="eastAsia" w:ascii="宋体" w:hAnsi="宋体" w:cs="宋体"/>
          <w:color w:val="auto"/>
          <w:szCs w:val="21"/>
          <w:highlight w:val="none"/>
        </w:rPr>
        <w:t>。相关公告在法定媒体上公布之日即视为有效送达，不再另行通知。</w:t>
      </w:r>
      <w:bookmarkEnd w:id="241"/>
      <w:bookmarkEnd w:id="242"/>
    </w:p>
    <w:p>
      <w:pPr>
        <w:numPr>
          <w:ilvl w:val="1"/>
          <w:numId w:val="7"/>
        </w:numPr>
        <w:autoSpaceDE w:val="0"/>
        <w:autoSpaceDN w:val="0"/>
        <w:adjustRightInd w:val="0"/>
        <w:snapToGrid w:val="0"/>
        <w:spacing w:line="360" w:lineRule="auto"/>
        <w:outlineLvl w:val="0"/>
        <w:rPr>
          <w:rFonts w:ascii="宋体" w:hAnsi="宋体" w:cs="宋体"/>
          <w:color w:val="auto"/>
          <w:szCs w:val="21"/>
          <w:highlight w:val="none"/>
        </w:rPr>
      </w:pPr>
      <w:bookmarkStart w:id="243" w:name="_Toc363737725"/>
      <w:bookmarkStart w:id="244" w:name="_Toc475104520"/>
      <w:r>
        <w:rPr>
          <w:rFonts w:hint="eastAsia" w:ascii="宋体" w:hAnsi="宋体" w:cs="宋体"/>
          <w:color w:val="auto"/>
          <w:szCs w:val="21"/>
          <w:highlight w:val="none"/>
        </w:rPr>
        <w:t>其他未尽事宜，依照《中华人民共和国政府采购法》和省市相关法律、法规执行。</w:t>
      </w:r>
      <w:bookmarkEnd w:id="243"/>
      <w:bookmarkEnd w:id="244"/>
    </w:p>
    <w:p>
      <w:pPr>
        <w:numPr>
          <w:ilvl w:val="1"/>
          <w:numId w:val="7"/>
        </w:numPr>
        <w:autoSpaceDE w:val="0"/>
        <w:autoSpaceDN w:val="0"/>
        <w:adjustRightInd w:val="0"/>
        <w:snapToGrid w:val="0"/>
        <w:spacing w:line="360" w:lineRule="auto"/>
        <w:outlineLvl w:val="0"/>
        <w:rPr>
          <w:rFonts w:ascii="宋体" w:hAnsi="宋体" w:cs="宋体"/>
          <w:color w:val="auto"/>
          <w:szCs w:val="21"/>
          <w:highlight w:val="none"/>
        </w:rPr>
      </w:pPr>
      <w:r>
        <w:rPr>
          <w:rFonts w:hint="eastAsia" w:ascii="宋体" w:hAnsi="宋体" w:cs="宋体"/>
          <w:color w:val="auto"/>
          <w:szCs w:val="21"/>
          <w:highlight w:val="none"/>
        </w:rPr>
        <w:t>询问函、质疑函格式</w:t>
      </w:r>
    </w:p>
    <w:p>
      <w:pPr>
        <w:snapToGrid w:val="0"/>
        <w:spacing w:line="360" w:lineRule="auto"/>
        <w:ind w:firstLine="424" w:firstLineChars="201"/>
        <w:rPr>
          <w:rFonts w:ascii="宋体"/>
          <w:b/>
          <w:color w:val="auto"/>
          <w:szCs w:val="21"/>
          <w:highlight w:val="none"/>
        </w:rPr>
      </w:pPr>
      <w:r>
        <w:rPr>
          <w:rFonts w:hint="eastAsia" w:ascii="宋体" w:hAnsi="宋体"/>
          <w:b/>
          <w:color w:val="auto"/>
          <w:szCs w:val="21"/>
          <w:highlight w:val="none"/>
        </w:rPr>
        <w:t>说明：本部分格式为投标人提交询问函、质疑函时使用，不属于投标文件格式的组成部分。</w:t>
      </w:r>
    </w:p>
    <w:p>
      <w:pPr>
        <w:spacing w:after="120" w:afterLines="50"/>
        <w:jc w:val="center"/>
        <w:rPr>
          <w:rFonts w:ascii="宋体"/>
          <w:b/>
          <w:bCs/>
          <w:color w:val="auto"/>
          <w:sz w:val="28"/>
          <w:szCs w:val="28"/>
          <w:highlight w:val="none"/>
        </w:rPr>
      </w:pPr>
      <w:r>
        <w:rPr>
          <w:rFonts w:hint="eastAsia" w:ascii="宋体" w:hAnsi="宋体"/>
          <w:b/>
          <w:bCs/>
          <w:color w:val="auto"/>
          <w:sz w:val="28"/>
          <w:szCs w:val="28"/>
          <w:highlight w:val="none"/>
        </w:rPr>
        <w:t>询</w:t>
      </w:r>
      <w:r>
        <w:rPr>
          <w:rFonts w:ascii="宋体" w:hAnsi="宋体"/>
          <w:b/>
          <w:bCs/>
          <w:color w:val="auto"/>
          <w:sz w:val="28"/>
          <w:szCs w:val="28"/>
          <w:highlight w:val="none"/>
        </w:rPr>
        <w:t xml:space="preserve">  </w:t>
      </w:r>
      <w:r>
        <w:rPr>
          <w:rFonts w:hint="eastAsia" w:ascii="宋体" w:hAnsi="宋体"/>
          <w:b/>
          <w:bCs/>
          <w:color w:val="auto"/>
          <w:sz w:val="28"/>
          <w:szCs w:val="28"/>
          <w:highlight w:val="none"/>
        </w:rPr>
        <w:t>问</w:t>
      </w:r>
      <w:r>
        <w:rPr>
          <w:rFonts w:ascii="宋体" w:hAnsi="宋体"/>
          <w:b/>
          <w:bCs/>
          <w:color w:val="auto"/>
          <w:sz w:val="28"/>
          <w:szCs w:val="28"/>
          <w:highlight w:val="none"/>
        </w:rPr>
        <w:t xml:space="preserve">  </w:t>
      </w:r>
      <w:r>
        <w:rPr>
          <w:rFonts w:hint="eastAsia" w:ascii="宋体" w:hAnsi="宋体"/>
          <w:b/>
          <w:bCs/>
          <w:color w:val="auto"/>
          <w:sz w:val="28"/>
          <w:szCs w:val="28"/>
          <w:highlight w:val="none"/>
        </w:rPr>
        <w:t>函</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我单位已报名并准备参与</w:t>
      </w:r>
      <w:r>
        <w:rPr>
          <w:rFonts w:hint="eastAsia" w:ascii="宋体" w:hAnsi="宋体"/>
          <w:color w:val="auto"/>
          <w:szCs w:val="21"/>
          <w:highlight w:val="none"/>
          <w:u w:val="single"/>
        </w:rPr>
        <w:t>（项目名称）</w:t>
      </w:r>
      <w:r>
        <w:rPr>
          <w:rFonts w:hint="eastAsia" w:ascii="宋体" w:hAnsi="宋体"/>
          <w:color w:val="auto"/>
          <w:szCs w:val="21"/>
          <w:highlight w:val="none"/>
        </w:rPr>
        <w:t>项目（项目采购编号：</w:t>
      </w:r>
      <w:r>
        <w:rPr>
          <w:rFonts w:hint="eastAsia" w:ascii="宋体" w:hAnsi="宋体"/>
          <w:color w:val="auto"/>
          <w:szCs w:val="21"/>
          <w:highlight w:val="none"/>
          <w:u w:val="single"/>
        </w:rPr>
        <w:t xml:space="preserve">    </w:t>
      </w:r>
      <w:r>
        <w:rPr>
          <w:rFonts w:hint="eastAsia" w:ascii="宋体" w:hAnsi="宋体"/>
          <w:color w:val="auto"/>
          <w:szCs w:val="21"/>
          <w:highlight w:val="none"/>
        </w:rPr>
        <w:t>）的投标（或报价）活动，现有以下几个内容（或条款）存在疑问（或无法理解），特提出询问。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w:t>
      </w:r>
      <w:r>
        <w:rPr>
          <w:rFonts w:ascii="宋体" w:hAnsi="宋体"/>
          <w:color w:val="auto"/>
          <w:szCs w:val="21"/>
          <w:highlight w:val="none"/>
        </w:rPr>
        <w:t>_____________________</w:t>
      </w:r>
      <w:r>
        <w:rPr>
          <w:rFonts w:hint="eastAsia" w:ascii="宋体" w:hAnsi="宋体"/>
          <w:color w:val="auto"/>
          <w:szCs w:val="21"/>
          <w:highlight w:val="none"/>
        </w:rPr>
        <w:t>（事项一）</w:t>
      </w:r>
      <w:r>
        <w:rPr>
          <w:rFonts w:ascii="宋体"/>
          <w:color w:val="auto"/>
          <w:szCs w:val="21"/>
          <w:highlight w:val="none"/>
        </w:rPr>
        <w:tab/>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（问题或条款内容）</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2</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（说明疑问或无法理解原因）</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（建议）</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rPr>
        <w:t>_____________________</w:t>
      </w:r>
      <w:r>
        <w:rPr>
          <w:rFonts w:hint="eastAsia" w:ascii="宋体" w:hAnsi="宋体"/>
          <w:color w:val="auto"/>
          <w:szCs w:val="21"/>
          <w:highlight w:val="none"/>
        </w:rPr>
        <w:t>（事项二）</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随附相关证明材料如下：（目录）。</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询问人全称（加盖公章）: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法定代表或其授权代表(签字或签章)：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地址/邮编：</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电话/传真：</w:t>
      </w:r>
    </w:p>
    <w:p>
      <w:pPr>
        <w:widowControl/>
        <w:tabs>
          <w:tab w:val="left" w:pos="6300"/>
        </w:tabs>
        <w:snapToGrid w:val="0"/>
        <w:spacing w:line="360" w:lineRule="auto"/>
        <w:ind w:firstLine="420" w:firstLineChars="200"/>
        <w:rPr>
          <w:rFonts w:ascii="宋体" w:hAnsi="宋体" w:cs="宋体"/>
          <w:bCs/>
          <w:color w:val="auto"/>
          <w:szCs w:val="21"/>
          <w:highlight w:val="none"/>
        </w:rPr>
      </w:pPr>
      <w:r>
        <w:rPr>
          <w:rFonts w:hint="eastAsia" w:ascii="宋体" w:hAnsi="宋体"/>
          <w:color w:val="auto"/>
          <w:szCs w:val="21"/>
          <w:highlight w:val="none"/>
        </w:rPr>
        <w:t xml:space="preserve">日    期：     年   月  </w:t>
      </w:r>
      <w:r>
        <w:rPr>
          <w:rFonts w:hint="eastAsia" w:ascii="宋体" w:hAnsi="宋体" w:cs="宋体"/>
          <w:bCs/>
          <w:color w:val="auto"/>
          <w:szCs w:val="21"/>
          <w:highlight w:val="none"/>
        </w:rPr>
        <w:t xml:space="preserve"> 日</w:t>
      </w:r>
    </w:p>
    <w:p>
      <w:pPr>
        <w:snapToGrid w:val="0"/>
        <w:spacing w:line="360" w:lineRule="auto"/>
        <w:ind w:firstLine="422" w:firstLineChars="201"/>
        <w:rPr>
          <w:rFonts w:ascii="宋体"/>
          <w:color w:val="auto"/>
          <w:szCs w:val="21"/>
          <w:highlight w:val="none"/>
        </w:rPr>
      </w:pPr>
    </w:p>
    <w:p>
      <w:pPr>
        <w:spacing w:line="440" w:lineRule="exact"/>
        <w:jc w:val="center"/>
        <w:rPr>
          <w:rFonts w:ascii="宋体"/>
          <w:b/>
          <w:bCs/>
          <w:color w:val="auto"/>
          <w:sz w:val="28"/>
          <w:szCs w:val="28"/>
          <w:highlight w:val="none"/>
        </w:rPr>
      </w:pPr>
      <w:r>
        <w:rPr>
          <w:rFonts w:hint="eastAsia" w:ascii="宋体" w:hAnsi="宋体"/>
          <w:b/>
          <w:bCs/>
          <w:color w:val="auto"/>
          <w:sz w:val="28"/>
          <w:szCs w:val="28"/>
          <w:highlight w:val="none"/>
        </w:rPr>
        <w:t>质  疑  函</w:t>
      </w:r>
    </w:p>
    <w:p>
      <w:pPr>
        <w:widowControl/>
        <w:spacing w:line="360" w:lineRule="auto"/>
        <w:jc w:val="center"/>
        <w:rPr>
          <w:rFonts w:ascii="宋体" w:cs="Tahoma"/>
          <w:b/>
          <w:bCs/>
          <w:color w:val="auto"/>
          <w:spacing w:val="10"/>
          <w:szCs w:val="21"/>
          <w:highlight w:val="none"/>
        </w:rPr>
      </w:pPr>
      <w:r>
        <w:rPr>
          <w:rFonts w:ascii="宋体" w:hAnsi="宋体" w:cs="Tahoma"/>
          <w:color w:val="auto"/>
          <w:spacing w:val="10"/>
          <w:szCs w:val="21"/>
          <w:highlight w:val="none"/>
        </w:rPr>
        <w:t xml:space="preserve"> (</w:t>
      </w:r>
      <w:r>
        <w:rPr>
          <w:rFonts w:hint="eastAsia" w:ascii="宋体" w:hAnsi="宋体" w:cs="Tahoma"/>
          <w:color w:val="auto"/>
          <w:spacing w:val="10"/>
          <w:szCs w:val="21"/>
          <w:highlight w:val="none"/>
        </w:rPr>
        <w:t>可根据质疑内容增加或删减</w:t>
      </w:r>
      <w:r>
        <w:rPr>
          <w:rFonts w:ascii="宋体" w:hAnsi="宋体" w:cs="Tahoma"/>
          <w:color w:val="auto"/>
          <w:spacing w:val="10"/>
          <w:szCs w:val="21"/>
          <w:highlight w:val="none"/>
        </w:rPr>
        <w:t>)</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我公司依法参与了</w:t>
      </w:r>
      <w:r>
        <w:rPr>
          <w:rFonts w:hint="eastAsia" w:ascii="宋体" w:hAnsi="宋体"/>
          <w:color w:val="auto"/>
          <w:szCs w:val="21"/>
          <w:highlight w:val="none"/>
          <w:u w:val="single"/>
        </w:rPr>
        <w:t>（采购代理机构或采购人）</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日组织的政府采购活动。根据《政府采购法》和《政府采购供应商投诉处理办法》等规定，我公司认为</w:t>
      </w:r>
      <w:r>
        <w:rPr>
          <w:rFonts w:ascii="宋体" w:hAnsi="宋体"/>
          <w:color w:val="auto"/>
          <w:szCs w:val="21"/>
          <w:highlight w:val="none"/>
          <w:u w:val="single"/>
        </w:rPr>
        <w:t xml:space="preserve"> </w:t>
      </w:r>
      <w:r>
        <w:rPr>
          <w:rFonts w:hint="eastAsia" w:ascii="宋体" w:hAnsi="宋体"/>
          <w:color w:val="auto"/>
          <w:szCs w:val="21"/>
          <w:highlight w:val="none"/>
          <w:u w:val="single"/>
        </w:rPr>
        <w:t>（采购项目名称）（采购项目编号：</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项目的采购活动中，</w:t>
      </w:r>
      <w:r>
        <w:rPr>
          <w:rFonts w:hint="eastAsia" w:ascii="宋体" w:hAnsi="宋体"/>
          <w:color w:val="auto"/>
          <w:szCs w:val="21"/>
          <w:highlight w:val="none"/>
          <w:u w:val="single"/>
        </w:rPr>
        <w:t>（采购文件、采购过程、中标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ascii="宋体" w:hAnsi="宋体"/>
          <w:color w:val="auto"/>
          <w:szCs w:val="21"/>
          <w:highlight w:val="none"/>
          <w:u w:val="single"/>
        </w:rPr>
        <w:t xml:space="preserve"> </w:t>
      </w:r>
      <w:r>
        <w:rPr>
          <w:rFonts w:hint="eastAsia" w:ascii="宋体" w:hAnsi="宋体"/>
          <w:color w:val="auto"/>
          <w:szCs w:val="21"/>
          <w:highlight w:val="none"/>
        </w:rPr>
        <w:t>损害了我公司权益，特提出质疑。</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一、我公司认为项目的</w:t>
      </w:r>
      <w:r>
        <w:rPr>
          <w:rFonts w:hint="eastAsia" w:ascii="宋体" w:hAnsi="宋体"/>
          <w:color w:val="auto"/>
          <w:szCs w:val="21"/>
          <w:highlight w:val="none"/>
          <w:u w:val="single"/>
        </w:rPr>
        <w:t>（采购文件、采购过程、中标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hint="eastAsia" w:ascii="宋体" w:hAnsi="宋体"/>
          <w:color w:val="auto"/>
          <w:szCs w:val="21"/>
          <w:highlight w:val="none"/>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质疑采购文件</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．质疑内容采购文件页，内容“</w:t>
      </w:r>
      <w:r>
        <w:rPr>
          <w:rFonts w:ascii="宋体" w:hAnsi="宋体"/>
          <w:color w:val="auto"/>
          <w:szCs w:val="21"/>
          <w:highlight w:val="none"/>
        </w:rPr>
        <w:t xml:space="preserve">  </w:t>
      </w:r>
      <w:r>
        <w:rPr>
          <w:rFonts w:hint="eastAsia" w:ascii="宋体" w:hAnsi="宋体"/>
          <w:color w:val="auto"/>
          <w:szCs w:val="21"/>
          <w:highlight w:val="none"/>
        </w:rPr>
        <w:t>”</w:t>
      </w:r>
      <w:r>
        <w:rPr>
          <w:rFonts w:ascii="宋体" w:hAnsi="宋体"/>
          <w:color w:val="auto"/>
          <w:szCs w:val="21"/>
          <w:highlight w:val="none"/>
        </w:rPr>
        <w:t xml:space="preserve"> </w:t>
      </w:r>
      <w:r>
        <w:rPr>
          <w:rFonts w:hint="eastAsia" w:ascii="宋体" w:hAnsi="宋体"/>
          <w:color w:val="auto"/>
          <w:szCs w:val="21"/>
          <w:highlight w:val="none"/>
        </w:rPr>
        <w:t>损害了我公司权益，</w:t>
      </w:r>
    </w:p>
    <w:p>
      <w:pPr>
        <w:widowControl/>
        <w:snapToGrid w:val="0"/>
        <w:spacing w:line="360" w:lineRule="auto"/>
        <w:ind w:firstLine="735" w:firstLineChars="350"/>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我方请求采购文件做如下修改：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我方对采购文件其他内容无质疑。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质疑采购过程</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日，在进行的（收取采购文件（样品）、开标、谈判）过程，发生损害了我公司权益的事项，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我方对其他采购过程无质疑。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质疑采购结果</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日公布的中标（成交）结果，发生损害了我公司权益的事项，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我方对中标（成交）结果公告其他内容无质疑。</w:t>
      </w:r>
    </w:p>
    <w:p>
      <w:pPr>
        <w:widowControl/>
        <w:snapToGrid w:val="0"/>
        <w:spacing w:line="360" w:lineRule="auto"/>
        <w:ind w:firstLine="420" w:firstLineChars="200"/>
        <w:rPr>
          <w:rFonts w:ascii="宋体"/>
          <w:color w:val="auto"/>
          <w:szCs w:val="21"/>
          <w:highlight w:val="none"/>
        </w:rPr>
      </w:pP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质疑供应商</w:t>
      </w:r>
      <w:r>
        <w:rPr>
          <w:rFonts w:hint="eastAsia" w:ascii="宋体" w:hAnsi="宋体"/>
          <w:color w:val="auto"/>
          <w:szCs w:val="21"/>
          <w:highlight w:val="none"/>
          <w:u w:val="single"/>
        </w:rPr>
        <w:t>：</w:t>
      </w:r>
      <w:r>
        <w:rPr>
          <w:rFonts w:ascii="宋体" w:hAnsi="宋体"/>
          <w:color w:val="auto"/>
          <w:szCs w:val="21"/>
          <w:highlight w:val="none"/>
          <w:u w:val="single"/>
        </w:rPr>
        <w:t xml:space="preserve"> </w:t>
      </w:r>
      <w:r>
        <w:rPr>
          <w:rFonts w:hint="eastAsia" w:ascii="宋体" w:hAnsi="宋体"/>
          <w:color w:val="auto"/>
          <w:szCs w:val="21"/>
          <w:highlight w:val="none"/>
          <w:u w:val="single"/>
        </w:rPr>
        <w:t>（签章）</w:t>
      </w:r>
      <w:r>
        <w:rPr>
          <w:rFonts w:ascii="宋体" w:hAnsi="宋体"/>
          <w:color w:val="auto"/>
          <w:szCs w:val="21"/>
          <w:highlight w:val="none"/>
          <w:u w:val="single"/>
        </w:rPr>
        <w:t xml:space="preserve">  </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主要负责人</w:t>
      </w:r>
      <w:r>
        <w:rPr>
          <w:rFonts w:ascii="宋体" w:hAnsi="宋体"/>
          <w:color w:val="auto"/>
          <w:szCs w:val="21"/>
          <w:highlight w:val="none"/>
        </w:rPr>
        <w:t xml:space="preserve"> </w:t>
      </w:r>
      <w:r>
        <w:rPr>
          <w:rFonts w:hint="eastAsia" w:ascii="宋体" w:hAnsi="宋体"/>
          <w:color w:val="auto"/>
          <w:szCs w:val="21"/>
          <w:highlight w:val="none"/>
        </w:rPr>
        <w:t>：（签署本人姓名或印盖本人姓名章）</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项目联系人：</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地址：</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法定代表人：（签署本人姓名或印盖本人姓名章）</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职位：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电话（手机</w:t>
      </w:r>
      <w:r>
        <w:rPr>
          <w:rFonts w:ascii="宋体" w:hAnsi="宋体"/>
          <w:color w:val="auto"/>
          <w:szCs w:val="21"/>
          <w:highlight w:val="none"/>
        </w:rPr>
        <w:t>/</w:t>
      </w:r>
      <w:r>
        <w:rPr>
          <w:rFonts w:hint="eastAsia" w:ascii="宋体" w:hAnsi="宋体"/>
          <w:color w:val="auto"/>
          <w:szCs w:val="21"/>
          <w:highlight w:val="none"/>
        </w:rPr>
        <w:t>座机）：</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邮编：</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电子邮箱：</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传真：</w:t>
      </w:r>
    </w:p>
    <w:p>
      <w:pPr>
        <w:widowControl/>
        <w:snapToGrid w:val="0"/>
        <w:spacing w:line="360" w:lineRule="auto"/>
        <w:ind w:firstLine="420" w:firstLineChars="200"/>
        <w:jc w:val="left"/>
        <w:rPr>
          <w:rFonts w:ascii="宋体"/>
          <w:color w:val="auto"/>
          <w:szCs w:val="21"/>
          <w:highlight w:val="none"/>
        </w:rPr>
      </w:pPr>
      <w:r>
        <w:rPr>
          <w:rFonts w:hint="eastAsia" w:ascii="宋体" w:hAnsi="宋体"/>
          <w:color w:val="auto"/>
          <w:szCs w:val="21"/>
          <w:highlight w:val="none"/>
        </w:rPr>
        <w:t xml:space="preserve">日期：     年   月  </w:t>
      </w:r>
      <w:r>
        <w:rPr>
          <w:rFonts w:hint="eastAsia" w:ascii="宋体" w:hAnsi="宋体" w:cs="宋体"/>
          <w:bCs/>
          <w:color w:val="auto"/>
          <w:szCs w:val="21"/>
          <w:highlight w:val="none"/>
        </w:rPr>
        <w:t xml:space="preserve"> 日</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备注：</w:t>
      </w:r>
    </w:p>
    <w:p>
      <w:pPr>
        <w:widowControl/>
        <w:numPr>
          <w:ilvl w:val="0"/>
          <w:numId w:val="8"/>
        </w:numPr>
        <w:snapToGrid w:val="0"/>
        <w:spacing w:line="360" w:lineRule="auto"/>
        <w:rPr>
          <w:rFonts w:ascii="宋体"/>
          <w:color w:val="auto"/>
          <w:szCs w:val="21"/>
          <w:highlight w:val="none"/>
        </w:rPr>
      </w:pPr>
      <w:r>
        <w:rPr>
          <w:rFonts w:hint="eastAsia" w:ascii="宋体" w:hAnsi="宋体"/>
          <w:color w:val="auto"/>
          <w:szCs w:val="21"/>
          <w:highlight w:val="none"/>
        </w:rPr>
        <w:t>每个质疑事项应有与之相对应的证据予以支持。质疑事项属于涉密的，应提供信息来源或有效证据。</w:t>
      </w:r>
    </w:p>
    <w:p>
      <w:pPr>
        <w:widowControl/>
        <w:numPr>
          <w:ilvl w:val="0"/>
          <w:numId w:val="8"/>
        </w:numPr>
        <w:snapToGrid w:val="0"/>
        <w:spacing w:line="360" w:lineRule="auto"/>
        <w:rPr>
          <w:rFonts w:ascii="宋体"/>
          <w:color w:val="auto"/>
          <w:szCs w:val="21"/>
          <w:highlight w:val="none"/>
        </w:rPr>
      </w:pPr>
      <w:r>
        <w:rPr>
          <w:rFonts w:hint="eastAsia" w:ascii="宋体" w:hAnsi="宋体"/>
          <w:color w:val="auto"/>
          <w:szCs w:val="21"/>
          <w:highlight w:val="none"/>
        </w:rPr>
        <w:t>供应商质疑、投诉应当有明确的请求和必要的证明材料</w:t>
      </w:r>
      <w:r>
        <w:rPr>
          <w:rFonts w:ascii="宋体" w:hAnsi="宋体"/>
          <w:color w:val="auto"/>
          <w:szCs w:val="21"/>
          <w:highlight w:val="none"/>
        </w:rPr>
        <w:t>(</w:t>
      </w:r>
      <w:r>
        <w:rPr>
          <w:rFonts w:hint="eastAsia" w:ascii="宋体" w:hAnsi="宋体"/>
          <w:color w:val="auto"/>
          <w:szCs w:val="21"/>
          <w:highlight w:val="none"/>
        </w:rPr>
        <w:t>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w:t>
      </w:r>
      <w:r>
        <w:rPr>
          <w:rFonts w:ascii="宋体" w:hAnsi="宋体"/>
          <w:color w:val="auto"/>
          <w:szCs w:val="21"/>
          <w:highlight w:val="none"/>
        </w:rPr>
        <w:t>1</w:t>
      </w:r>
      <w:r>
        <w:rPr>
          <w:rFonts w:hint="eastAsia" w:ascii="宋体" w:hAnsi="宋体"/>
          <w:color w:val="auto"/>
          <w:szCs w:val="21"/>
          <w:highlight w:val="none"/>
        </w:rPr>
        <w:t>至</w:t>
      </w:r>
      <w:r>
        <w:rPr>
          <w:rFonts w:ascii="宋体" w:hAnsi="宋体"/>
          <w:color w:val="auto"/>
          <w:szCs w:val="21"/>
          <w:highlight w:val="none"/>
        </w:rPr>
        <w:t>3</w:t>
      </w:r>
      <w:r>
        <w:rPr>
          <w:rFonts w:hint="eastAsia" w:ascii="宋体" w:hAnsi="宋体"/>
          <w:color w:val="auto"/>
          <w:szCs w:val="21"/>
          <w:highlight w:val="none"/>
        </w:rPr>
        <w:t>年内参加政府采购活动</w:t>
      </w:r>
      <w:r>
        <w:rPr>
          <w:rFonts w:ascii="宋体" w:hAnsi="宋体"/>
          <w:color w:val="auto"/>
          <w:szCs w:val="21"/>
          <w:highlight w:val="none"/>
        </w:rPr>
        <w:t>)</w:t>
      </w:r>
      <w:r>
        <w:rPr>
          <w:rFonts w:hint="eastAsia" w:ascii="宋体" w:hAnsi="宋体"/>
          <w:color w:val="auto"/>
          <w:szCs w:val="21"/>
          <w:highlight w:val="none"/>
        </w:rPr>
        <w:t>。</w:t>
      </w:r>
    </w:p>
    <w:p>
      <w:pPr>
        <w:widowControl/>
        <w:numPr>
          <w:ilvl w:val="0"/>
          <w:numId w:val="8"/>
        </w:numPr>
        <w:snapToGrid w:val="0"/>
        <w:spacing w:line="360" w:lineRule="auto"/>
        <w:rPr>
          <w:rFonts w:ascii="宋体"/>
          <w:color w:val="auto"/>
          <w:szCs w:val="21"/>
          <w:highlight w:val="none"/>
        </w:rPr>
      </w:pPr>
      <w:r>
        <w:rPr>
          <w:rFonts w:hint="eastAsia" w:ascii="宋体" w:hAnsi="宋体"/>
          <w:color w:val="auto"/>
          <w:szCs w:val="21"/>
          <w:highlight w:val="none"/>
        </w:rPr>
        <w:t>质疑函应当署名。质疑人为自然人的，应当有本人签名；质疑人为法人或者其他组织的，应当由法定代表人或者主要负责人</w:t>
      </w:r>
      <w:r>
        <w:rPr>
          <w:rFonts w:hint="eastAsia" w:ascii="宋体" w:hAnsi="宋体" w:cs="宋体"/>
          <w:color w:val="auto"/>
          <w:szCs w:val="21"/>
          <w:highlight w:val="none"/>
          <w:lang w:eastAsia="zh-TW"/>
        </w:rPr>
        <w:t>签署本人姓名（或印盖本人姓名章）</w:t>
      </w:r>
      <w:r>
        <w:rPr>
          <w:rFonts w:hint="eastAsia" w:ascii="宋体" w:hAnsi="宋体"/>
          <w:color w:val="auto"/>
          <w:szCs w:val="21"/>
          <w:highlight w:val="none"/>
        </w:rPr>
        <w:t>并加盖公章。</w:t>
      </w:r>
    </w:p>
    <w:p>
      <w:pPr>
        <w:autoSpaceDE w:val="0"/>
        <w:autoSpaceDN w:val="0"/>
        <w:adjustRightInd w:val="0"/>
        <w:snapToGrid w:val="0"/>
        <w:spacing w:line="360" w:lineRule="auto"/>
        <w:outlineLvl w:val="0"/>
        <w:rPr>
          <w:rFonts w:ascii="宋体" w:hAnsi="宋体" w:cs="宋体"/>
          <w:color w:val="auto"/>
          <w:szCs w:val="21"/>
          <w:highlight w:val="none"/>
        </w:rPr>
      </w:pPr>
      <w:r>
        <w:rPr>
          <w:rFonts w:ascii="宋体" w:hAnsi="宋体" w:cs="宋体"/>
          <w:color w:val="auto"/>
          <w:szCs w:val="21"/>
          <w:highlight w:val="none"/>
        </w:rPr>
        <w:br w:type="page"/>
      </w:r>
    </w:p>
    <w:p>
      <w:pPr>
        <w:spacing w:line="360" w:lineRule="auto"/>
        <w:rPr>
          <w:rFonts w:ascii="宋体" w:hAnsi="宋体"/>
          <w:color w:val="auto"/>
          <w:sz w:val="44"/>
          <w:highlight w:val="none"/>
        </w:rPr>
      </w:pPr>
      <w:bookmarkStart w:id="245" w:name="_Toc320515055"/>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pStyle w:val="5"/>
        <w:autoSpaceDE w:val="0"/>
        <w:rPr>
          <w:color w:val="auto"/>
          <w:sz w:val="44"/>
          <w:highlight w:val="none"/>
        </w:rPr>
      </w:pPr>
      <w:bookmarkStart w:id="246" w:name="_Toc475104521"/>
      <w:r>
        <w:rPr>
          <w:rFonts w:cs="ZWAdobeF"/>
          <w:b w:val="0"/>
          <w:color w:val="auto"/>
          <w:sz w:val="2"/>
          <w:szCs w:val="2"/>
          <w:highlight w:val="none"/>
        </w:rPr>
        <w:t>2B2B</w:t>
      </w:r>
      <w:r>
        <w:rPr>
          <w:rFonts w:hint="eastAsia"/>
          <w:color w:val="auto"/>
          <w:sz w:val="44"/>
          <w:highlight w:val="none"/>
        </w:rPr>
        <w:t>第三章</w:t>
      </w:r>
      <w:bookmarkStart w:id="247" w:name="_Toc10525517"/>
      <w:r>
        <w:rPr>
          <w:rFonts w:hint="eastAsia"/>
          <w:color w:val="auto"/>
          <w:sz w:val="44"/>
          <w:highlight w:val="none"/>
        </w:rPr>
        <w:t xml:space="preserve"> 采购人需求书</w:t>
      </w:r>
      <w:bookmarkEnd w:id="225"/>
      <w:bookmarkEnd w:id="226"/>
      <w:bookmarkEnd w:id="245"/>
      <w:bookmarkEnd w:id="246"/>
      <w:bookmarkEnd w:id="247"/>
    </w:p>
    <w:p>
      <w:pPr>
        <w:spacing w:line="360" w:lineRule="auto"/>
        <w:rPr>
          <w:rFonts w:ascii="宋体" w:hAnsi="宋体"/>
          <w:color w:val="auto"/>
          <w:highlight w:val="none"/>
        </w:rPr>
      </w:pPr>
      <w:bookmarkStart w:id="248" w:name="_Toc28489480"/>
      <w:bookmarkStart w:id="249" w:name="_Toc14450822"/>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adjustRightInd w:val="0"/>
        <w:snapToGrid w:val="0"/>
        <w:spacing w:line="360" w:lineRule="auto"/>
        <w:rPr>
          <w:rFonts w:ascii="宋体" w:hAnsi="宋体"/>
          <w:b/>
          <w:color w:val="auto"/>
          <w:sz w:val="24"/>
          <w:highlight w:val="none"/>
        </w:rPr>
      </w:pPr>
      <w:bookmarkStart w:id="250" w:name="_Toc321815819"/>
      <w:bookmarkEnd w:id="250"/>
      <w:bookmarkStart w:id="251" w:name="_Toc321815820"/>
      <w:bookmarkEnd w:id="251"/>
      <w:bookmarkStart w:id="252" w:name="_Toc321815805"/>
      <w:bookmarkEnd w:id="252"/>
      <w:bookmarkStart w:id="253" w:name="_Toc321815801"/>
      <w:bookmarkEnd w:id="253"/>
      <w:bookmarkStart w:id="254" w:name="_Toc321815816"/>
      <w:bookmarkEnd w:id="254"/>
      <w:bookmarkStart w:id="255" w:name="_Toc321815802"/>
      <w:bookmarkEnd w:id="255"/>
      <w:bookmarkStart w:id="256" w:name="_Toc321815817"/>
      <w:bookmarkEnd w:id="256"/>
      <w:bookmarkStart w:id="257" w:name="_Toc321815814"/>
      <w:bookmarkEnd w:id="257"/>
      <w:bookmarkStart w:id="258" w:name="_Toc321815818"/>
      <w:bookmarkEnd w:id="258"/>
      <w:bookmarkStart w:id="259" w:name="_Toc321815804"/>
      <w:bookmarkEnd w:id="259"/>
      <w:bookmarkStart w:id="260" w:name="_Toc321815812"/>
      <w:bookmarkEnd w:id="260"/>
      <w:bookmarkStart w:id="261" w:name="_Toc321815813"/>
      <w:bookmarkEnd w:id="261"/>
      <w:bookmarkStart w:id="262" w:name="_Toc321815811"/>
      <w:bookmarkEnd w:id="262"/>
      <w:bookmarkStart w:id="263" w:name="_Toc321815821"/>
      <w:bookmarkEnd w:id="263"/>
      <w:bookmarkStart w:id="264" w:name="_Toc321815822"/>
      <w:bookmarkEnd w:id="264"/>
      <w:bookmarkStart w:id="265" w:name="_Toc321815806"/>
      <w:bookmarkEnd w:id="265"/>
      <w:bookmarkStart w:id="266" w:name="_Toc321815807"/>
      <w:bookmarkEnd w:id="266"/>
      <w:bookmarkStart w:id="267" w:name="_Toc321815808"/>
      <w:bookmarkEnd w:id="267"/>
      <w:bookmarkStart w:id="268" w:name="_Toc321815809"/>
      <w:bookmarkEnd w:id="268"/>
      <w:bookmarkStart w:id="269" w:name="_Toc321815810"/>
      <w:bookmarkEnd w:id="269"/>
      <w:bookmarkStart w:id="270" w:name="_Toc321815823"/>
      <w:bookmarkEnd w:id="270"/>
      <w:bookmarkStart w:id="271" w:name="_Toc321815824"/>
      <w:bookmarkEnd w:id="271"/>
      <w:bookmarkStart w:id="272" w:name="_Toc321815815"/>
      <w:bookmarkEnd w:id="272"/>
      <w:bookmarkStart w:id="273" w:name="_Toc321815825"/>
      <w:bookmarkEnd w:id="273"/>
      <w:bookmarkStart w:id="274" w:name="_Toc321815826"/>
      <w:bookmarkEnd w:id="274"/>
      <w:bookmarkStart w:id="275" w:name="_Toc320515056"/>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p>
    <w:p>
      <w:pPr>
        <w:autoSpaceDE w:val="0"/>
        <w:autoSpaceDN w:val="0"/>
        <w:adjustRightInd w:val="0"/>
        <w:snapToGrid w:val="0"/>
        <w:spacing w:line="360" w:lineRule="auto"/>
        <w:jc w:val="center"/>
        <w:outlineLvl w:val="0"/>
        <w:rPr>
          <w:rFonts w:hint="eastAsia" w:ascii="宋体" w:hAnsi="宋体"/>
          <w:b/>
          <w:bCs/>
          <w:color w:val="auto"/>
          <w:sz w:val="28"/>
          <w:szCs w:val="28"/>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r>
        <w:rPr>
          <w:rFonts w:hint="eastAsia" w:ascii="宋体" w:hAnsi="宋体"/>
          <w:b/>
          <w:bCs/>
          <w:color w:val="auto"/>
          <w:sz w:val="28"/>
          <w:szCs w:val="28"/>
          <w:highlight w:val="none"/>
        </w:rPr>
        <w:t>采购人需求</w:t>
      </w:r>
    </w:p>
    <w:bookmarkEnd w:id="248"/>
    <w:bookmarkEnd w:id="249"/>
    <w:bookmarkEnd w:id="275"/>
    <w:p>
      <w:pPr>
        <w:widowControl w:val="0"/>
        <w:spacing w:line="360" w:lineRule="auto"/>
        <w:jc w:val="both"/>
        <w:rPr>
          <w:rFonts w:hint="eastAsia" w:asciiTheme="minorEastAsia" w:hAnsiTheme="minorEastAsia" w:eastAsiaTheme="minorEastAsia" w:cstheme="minorEastAsia"/>
          <w:b/>
          <w:bCs/>
          <w:color w:val="auto"/>
          <w:sz w:val="21"/>
          <w:szCs w:val="21"/>
          <w:highlight w:val="none"/>
        </w:rPr>
      </w:pPr>
      <w:r>
        <w:rPr>
          <w:rFonts w:hint="eastAsia" w:asciiTheme="minorEastAsia" w:hAnsiTheme="minorEastAsia" w:eastAsiaTheme="minorEastAsia" w:cstheme="minorEastAsia"/>
          <w:b/>
          <w:bCs/>
          <w:color w:val="auto"/>
          <w:sz w:val="21"/>
          <w:szCs w:val="21"/>
          <w:highlight w:val="none"/>
        </w:rPr>
        <w:t>说明：</w:t>
      </w:r>
    </w:p>
    <w:p>
      <w:pPr>
        <w:widowControl w:val="0"/>
        <w:numPr>
          <w:ilvl w:val="0"/>
          <w:numId w:val="9"/>
        </w:numPr>
        <w:snapToGrid w:val="0"/>
        <w:spacing w:line="360" w:lineRule="auto"/>
        <w:ind w:left="0" w:firstLine="422" w:firstLineChars="200"/>
        <w:jc w:val="both"/>
        <w:rPr>
          <w:rFonts w:hint="eastAsia" w:asciiTheme="minorEastAsia" w:hAnsiTheme="minorEastAsia" w:eastAsiaTheme="minorEastAsia" w:cstheme="minorEastAsia"/>
          <w:b/>
          <w:bCs/>
          <w:color w:val="auto"/>
          <w:sz w:val="21"/>
          <w:szCs w:val="21"/>
          <w:highlight w:val="none"/>
        </w:rPr>
      </w:pPr>
      <w:r>
        <w:rPr>
          <w:rFonts w:hint="eastAsia" w:asciiTheme="minorEastAsia" w:hAnsiTheme="minorEastAsia" w:eastAsiaTheme="minorEastAsia" w:cstheme="minorEastAsia"/>
          <w:b/>
          <w:bCs/>
          <w:color w:val="auto"/>
          <w:sz w:val="21"/>
          <w:szCs w:val="21"/>
          <w:highlight w:val="none"/>
        </w:rPr>
        <w:t>供应商须对本项目为单位的货物及服务进行整体投标，任何只对其中一部分内容进行的投标都被视为无效投标。</w:t>
      </w:r>
    </w:p>
    <w:p>
      <w:pPr>
        <w:widowControl w:val="0"/>
        <w:numPr>
          <w:ilvl w:val="0"/>
          <w:numId w:val="9"/>
        </w:numPr>
        <w:snapToGrid w:val="0"/>
        <w:spacing w:line="360" w:lineRule="auto"/>
        <w:ind w:left="0" w:firstLine="422" w:firstLineChars="200"/>
        <w:jc w:val="both"/>
        <w:rPr>
          <w:rFonts w:hint="eastAsia" w:asciiTheme="minorEastAsia" w:hAnsiTheme="minorEastAsia" w:eastAsiaTheme="minorEastAsia" w:cstheme="minorEastAsia"/>
          <w:b/>
          <w:bCs/>
          <w:color w:val="auto"/>
          <w:sz w:val="21"/>
          <w:szCs w:val="21"/>
          <w:highlight w:val="none"/>
        </w:rPr>
      </w:pPr>
      <w:r>
        <w:rPr>
          <w:rFonts w:hint="eastAsia" w:asciiTheme="minorEastAsia" w:hAnsiTheme="minorEastAsia" w:eastAsiaTheme="minorEastAsia" w:cstheme="minorEastAsia"/>
          <w:b/>
          <w:bCs/>
          <w:color w:val="auto"/>
          <w:sz w:val="21"/>
          <w:szCs w:val="21"/>
          <w:highlight w:val="none"/>
        </w:rPr>
        <w:t>凡标有“★”的地方均为须实质响应条款，供应商若有一项带“★”的条款未响应或不满足，将按无效响应处理。</w:t>
      </w:r>
    </w:p>
    <w:p>
      <w:pPr>
        <w:widowControl w:val="0"/>
        <w:numPr>
          <w:ilvl w:val="0"/>
          <w:numId w:val="9"/>
        </w:numPr>
        <w:snapToGrid w:val="0"/>
        <w:spacing w:line="360" w:lineRule="auto"/>
        <w:ind w:left="0" w:firstLine="422" w:firstLineChars="200"/>
        <w:jc w:val="both"/>
        <w:rPr>
          <w:rFonts w:hint="eastAsia" w:asciiTheme="minorEastAsia" w:hAnsiTheme="minorEastAsia" w:eastAsiaTheme="minorEastAsia" w:cstheme="minorEastAsia"/>
          <w:b/>
          <w:bCs/>
          <w:color w:val="auto"/>
          <w:sz w:val="21"/>
          <w:szCs w:val="21"/>
          <w:highlight w:val="none"/>
        </w:rPr>
      </w:pPr>
      <w:r>
        <w:rPr>
          <w:rFonts w:hint="eastAsia" w:asciiTheme="minorEastAsia" w:hAnsiTheme="minorEastAsia" w:eastAsiaTheme="minorEastAsia" w:cstheme="minorEastAsia"/>
          <w:b/>
          <w:bCs/>
          <w:color w:val="auto"/>
          <w:sz w:val="21"/>
          <w:szCs w:val="21"/>
          <w:highlight w:val="none"/>
        </w:rPr>
        <w:t>凡标有“▲”的地方为比较重要的商务、技术指标，将考虑供应商对其的响应情况进行评审打分，但不会导致废标。</w:t>
      </w: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p>
    <w:p>
      <w:pPr>
        <w:widowControl w:val="0"/>
        <w:spacing w:line="360" w:lineRule="auto"/>
        <w:outlineLvl w:val="1"/>
        <w:rPr>
          <w:rFonts w:hint="eastAsia" w:asciiTheme="minorEastAsia" w:hAnsiTheme="minorEastAsia" w:eastAsiaTheme="minorEastAsia" w:cstheme="minorEastAsia"/>
          <w:b/>
          <w:bCs/>
          <w:color w:val="auto"/>
          <w:sz w:val="21"/>
          <w:szCs w:val="21"/>
          <w:highlight w:val="none"/>
        </w:rPr>
      </w:pPr>
      <w:r>
        <w:rPr>
          <w:rFonts w:hint="eastAsia" w:asciiTheme="minorEastAsia" w:hAnsiTheme="minorEastAsia" w:eastAsiaTheme="minorEastAsia" w:cstheme="minorEastAsia"/>
          <w:b/>
          <w:bCs/>
          <w:color w:val="auto"/>
          <w:sz w:val="21"/>
          <w:szCs w:val="21"/>
          <w:highlight w:val="none"/>
        </w:rPr>
        <w:t>一、采购项目</w:t>
      </w:r>
    </w:p>
    <w:p>
      <w:pPr>
        <w:pStyle w:val="2"/>
        <w:spacing w:line="360" w:lineRule="auto"/>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本项目为交钥匙项目，</w:t>
      </w:r>
      <w:r>
        <w:rPr>
          <w:rFonts w:hint="eastAsia" w:asciiTheme="minorEastAsia" w:hAnsiTheme="minorEastAsia" w:eastAsiaTheme="minorEastAsia" w:cstheme="minorEastAsia"/>
          <w:color w:val="auto"/>
          <w:sz w:val="21"/>
          <w:szCs w:val="21"/>
          <w:highlight w:val="none"/>
          <w:lang w:eastAsia="zh-CN"/>
        </w:rPr>
        <w:t>项目共两层，一楼为前处理实验室，二楼为洁净实验室，洁净实验室含洁净通风系统和控制系统（含控制软件），</w:t>
      </w:r>
      <w:r>
        <w:rPr>
          <w:rFonts w:hint="eastAsia" w:asciiTheme="minorEastAsia" w:hAnsiTheme="minorEastAsia" w:eastAsiaTheme="minorEastAsia" w:cstheme="minorEastAsia"/>
          <w:color w:val="auto"/>
          <w:sz w:val="21"/>
          <w:szCs w:val="21"/>
          <w:highlight w:val="none"/>
        </w:rPr>
        <w:t>要求包深化设计、包工、包料、包机械、包工期、包质量、包安全生产、包文明施工、包劳保、包验收、包保修等。</w:t>
      </w:r>
    </w:p>
    <w:p>
      <w:pPr>
        <w:pStyle w:val="3"/>
        <w:rPr>
          <w:rFonts w:hint="eastAsia" w:asciiTheme="minorEastAsia" w:hAnsiTheme="minorEastAsia" w:eastAsiaTheme="minorEastAsia" w:cstheme="minorEastAsia"/>
          <w:color w:val="auto"/>
          <w:kern w:val="2"/>
          <w:sz w:val="21"/>
          <w:szCs w:val="21"/>
          <w:highlight w:val="none"/>
        </w:rPr>
      </w:pPr>
      <w:r>
        <w:rPr>
          <w:rFonts w:hint="eastAsia" w:asciiTheme="minorEastAsia" w:hAnsiTheme="minorEastAsia" w:eastAsiaTheme="minorEastAsia" w:cstheme="minorEastAsia"/>
          <w:color w:val="auto"/>
          <w:sz w:val="21"/>
          <w:szCs w:val="21"/>
          <w:highlight w:val="none"/>
        </w:rPr>
        <w:t xml:space="preserve">   </w:t>
      </w:r>
      <w:r>
        <w:rPr>
          <w:rFonts w:hint="eastAsia" w:asciiTheme="minorEastAsia" w:hAnsiTheme="minorEastAsia" w:eastAsiaTheme="minorEastAsia" w:cstheme="minorEastAsia"/>
          <w:color w:val="auto"/>
          <w:kern w:val="2"/>
          <w:sz w:val="21"/>
          <w:szCs w:val="21"/>
          <w:highlight w:val="none"/>
        </w:rPr>
        <w:t>本项目为总价包干，项目在改建过程中发生的不可控的增减工程量，甲方不再追加预算。</w:t>
      </w:r>
    </w:p>
    <w:p>
      <w:pPr>
        <w:pStyle w:val="3"/>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2"/>
          <w:sz w:val="21"/>
          <w:szCs w:val="21"/>
          <w:highlight w:val="none"/>
        </w:rPr>
        <w:t xml:space="preserve"> </w:t>
      </w:r>
    </w:p>
    <w:tbl>
      <w:tblPr>
        <w:tblStyle w:val="89"/>
        <w:tblW w:w="0" w:type="auto"/>
        <w:jc w:val="center"/>
        <w:tblLayout w:type="fixed"/>
        <w:tblCellMar>
          <w:top w:w="0" w:type="dxa"/>
          <w:left w:w="108" w:type="dxa"/>
          <w:bottom w:w="0" w:type="dxa"/>
          <w:right w:w="108" w:type="dxa"/>
        </w:tblCellMar>
      </w:tblPr>
      <w:tblGrid>
        <w:gridCol w:w="3128"/>
        <w:gridCol w:w="1562"/>
        <w:gridCol w:w="1924"/>
        <w:gridCol w:w="1275"/>
      </w:tblGrid>
      <w:tr>
        <w:tblPrEx>
          <w:tblCellMar>
            <w:top w:w="0" w:type="dxa"/>
            <w:left w:w="108" w:type="dxa"/>
            <w:bottom w:w="0" w:type="dxa"/>
            <w:right w:w="108" w:type="dxa"/>
          </w:tblCellMar>
        </w:tblPrEx>
        <w:trPr>
          <w:trHeight w:val="583" w:hRule="atLeast"/>
          <w:jc w:val="center"/>
        </w:trPr>
        <w:tc>
          <w:tcPr>
            <w:tcW w:w="3128" w:type="dxa"/>
            <w:tcBorders>
              <w:top w:val="single" w:color="auto" w:sz="12" w:space="0"/>
              <w:left w:val="single" w:color="auto" w:sz="12" w:space="0"/>
              <w:bottom w:val="single" w:color="auto" w:sz="6" w:space="0"/>
              <w:right w:val="single" w:color="auto" w:sz="6" w:space="0"/>
            </w:tcBorders>
            <w:noWrap w:val="0"/>
            <w:vAlign w:val="center"/>
          </w:tcPr>
          <w:p>
            <w:pPr>
              <w:spacing w:line="360" w:lineRule="auto"/>
              <w:jc w:val="center"/>
              <w:rPr>
                <w:rFonts w:hint="eastAsia" w:asciiTheme="minorEastAsia" w:hAnsiTheme="minorEastAsia" w:eastAsiaTheme="minorEastAsia" w:cstheme="minorEastAsia"/>
                <w:b/>
                <w:bCs/>
                <w:color w:val="auto"/>
                <w:sz w:val="21"/>
                <w:szCs w:val="21"/>
                <w:highlight w:val="none"/>
              </w:rPr>
            </w:pPr>
            <w:r>
              <w:rPr>
                <w:rFonts w:hint="eastAsia" w:asciiTheme="minorEastAsia" w:hAnsiTheme="minorEastAsia" w:eastAsiaTheme="minorEastAsia" w:cstheme="minorEastAsia"/>
                <w:b/>
                <w:bCs/>
                <w:color w:val="auto"/>
                <w:sz w:val="21"/>
                <w:szCs w:val="21"/>
                <w:highlight w:val="none"/>
              </w:rPr>
              <w:t>采购内容</w:t>
            </w:r>
          </w:p>
        </w:tc>
        <w:tc>
          <w:tcPr>
            <w:tcW w:w="1562" w:type="dxa"/>
            <w:tcBorders>
              <w:top w:val="single" w:color="auto" w:sz="12" w:space="0"/>
              <w:left w:val="single" w:color="auto" w:sz="6" w:space="0"/>
              <w:bottom w:val="single" w:color="auto" w:sz="6" w:space="0"/>
              <w:right w:val="single" w:color="auto" w:sz="6" w:space="0"/>
            </w:tcBorders>
            <w:noWrap w:val="0"/>
            <w:vAlign w:val="center"/>
          </w:tcPr>
          <w:p>
            <w:pPr>
              <w:spacing w:line="360" w:lineRule="auto"/>
              <w:jc w:val="center"/>
              <w:rPr>
                <w:rFonts w:hint="eastAsia" w:asciiTheme="minorEastAsia" w:hAnsiTheme="minorEastAsia" w:eastAsiaTheme="minorEastAsia" w:cstheme="minorEastAsia"/>
                <w:b/>
                <w:bCs/>
                <w:color w:val="auto"/>
                <w:sz w:val="21"/>
                <w:szCs w:val="21"/>
                <w:highlight w:val="none"/>
              </w:rPr>
            </w:pPr>
            <w:r>
              <w:rPr>
                <w:rFonts w:hint="eastAsia" w:asciiTheme="minorEastAsia" w:hAnsiTheme="minorEastAsia" w:eastAsiaTheme="minorEastAsia" w:cstheme="minorEastAsia"/>
                <w:b/>
                <w:bCs/>
                <w:color w:val="auto"/>
                <w:sz w:val="21"/>
                <w:szCs w:val="21"/>
                <w:highlight w:val="none"/>
              </w:rPr>
              <w:t>供货期限</w:t>
            </w:r>
          </w:p>
        </w:tc>
        <w:tc>
          <w:tcPr>
            <w:tcW w:w="1924" w:type="dxa"/>
            <w:tcBorders>
              <w:top w:val="single" w:color="auto" w:sz="12" w:space="0"/>
              <w:left w:val="single" w:color="auto" w:sz="6" w:space="0"/>
              <w:bottom w:val="single" w:color="auto" w:sz="6" w:space="0"/>
              <w:right w:val="single" w:color="auto" w:sz="6" w:space="0"/>
            </w:tcBorders>
            <w:noWrap w:val="0"/>
            <w:vAlign w:val="center"/>
          </w:tcPr>
          <w:p>
            <w:pPr>
              <w:spacing w:line="360" w:lineRule="auto"/>
              <w:jc w:val="center"/>
              <w:rPr>
                <w:rFonts w:hint="eastAsia" w:asciiTheme="minorEastAsia" w:hAnsiTheme="minorEastAsia" w:eastAsiaTheme="minorEastAsia" w:cstheme="minorEastAsia"/>
                <w:b/>
                <w:bCs/>
                <w:color w:val="auto"/>
                <w:sz w:val="21"/>
                <w:szCs w:val="21"/>
                <w:highlight w:val="none"/>
              </w:rPr>
            </w:pPr>
            <w:r>
              <w:rPr>
                <w:rFonts w:hint="eastAsia" w:asciiTheme="minorEastAsia" w:hAnsiTheme="minorEastAsia" w:eastAsiaTheme="minorEastAsia" w:cstheme="minorEastAsia"/>
                <w:b/>
                <w:bCs/>
                <w:color w:val="auto"/>
                <w:sz w:val="21"/>
                <w:szCs w:val="21"/>
                <w:highlight w:val="none"/>
              </w:rPr>
              <w:t>采购预算金额</w:t>
            </w:r>
          </w:p>
        </w:tc>
        <w:tc>
          <w:tcPr>
            <w:tcW w:w="1275" w:type="dxa"/>
            <w:tcBorders>
              <w:top w:val="single" w:color="auto" w:sz="12" w:space="0"/>
              <w:left w:val="single" w:color="auto" w:sz="6" w:space="0"/>
              <w:bottom w:val="single" w:color="auto" w:sz="6" w:space="0"/>
              <w:right w:val="single" w:color="auto" w:sz="12" w:space="0"/>
            </w:tcBorders>
            <w:noWrap w:val="0"/>
            <w:vAlign w:val="center"/>
          </w:tcPr>
          <w:p>
            <w:pPr>
              <w:spacing w:line="360" w:lineRule="auto"/>
              <w:jc w:val="center"/>
              <w:rPr>
                <w:rFonts w:hint="eastAsia" w:asciiTheme="minorEastAsia" w:hAnsiTheme="minorEastAsia" w:eastAsiaTheme="minorEastAsia" w:cstheme="minorEastAsia"/>
                <w:b/>
                <w:bCs/>
                <w:color w:val="auto"/>
                <w:sz w:val="21"/>
                <w:szCs w:val="21"/>
                <w:highlight w:val="none"/>
              </w:rPr>
            </w:pPr>
            <w:r>
              <w:rPr>
                <w:rFonts w:hint="eastAsia" w:asciiTheme="minorEastAsia" w:hAnsiTheme="minorEastAsia" w:eastAsiaTheme="minorEastAsia" w:cstheme="minorEastAsia"/>
                <w:b/>
                <w:bCs/>
                <w:color w:val="auto"/>
                <w:sz w:val="21"/>
                <w:szCs w:val="21"/>
                <w:highlight w:val="none"/>
              </w:rPr>
              <w:t>中标人数量</w:t>
            </w:r>
          </w:p>
        </w:tc>
      </w:tr>
      <w:tr>
        <w:tblPrEx>
          <w:tblCellMar>
            <w:top w:w="0" w:type="dxa"/>
            <w:left w:w="108" w:type="dxa"/>
            <w:bottom w:w="0" w:type="dxa"/>
            <w:right w:w="108" w:type="dxa"/>
          </w:tblCellMar>
        </w:tblPrEx>
        <w:trPr>
          <w:trHeight w:val="739" w:hRule="atLeast"/>
          <w:jc w:val="center"/>
        </w:trPr>
        <w:tc>
          <w:tcPr>
            <w:tcW w:w="3128" w:type="dxa"/>
            <w:tcBorders>
              <w:top w:val="single" w:color="auto" w:sz="6" w:space="0"/>
              <w:left w:val="single" w:color="auto" w:sz="12" w:space="0"/>
              <w:bottom w:val="single" w:color="auto" w:sz="6" w:space="0"/>
              <w:right w:val="single" w:color="auto" w:sz="6" w:space="0"/>
            </w:tcBorders>
            <w:noWrap w:val="0"/>
            <w:vAlign w:val="center"/>
          </w:tcPr>
          <w:p>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广东省农业科学院动物卫生研究所细胞实验室建设项目</w:t>
            </w:r>
          </w:p>
        </w:tc>
        <w:tc>
          <w:tcPr>
            <w:tcW w:w="1562"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60个日历日</w:t>
            </w:r>
          </w:p>
        </w:tc>
        <w:tc>
          <w:tcPr>
            <w:tcW w:w="1924"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spacing w:line="360" w:lineRule="auto"/>
              <w:ind w:left="-2" w:leftChars="-1" w:firstLine="2" w:firstLineChars="1"/>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48万</w:t>
            </w:r>
          </w:p>
        </w:tc>
        <w:tc>
          <w:tcPr>
            <w:tcW w:w="1275" w:type="dxa"/>
            <w:tcBorders>
              <w:top w:val="single" w:color="auto" w:sz="6" w:space="0"/>
              <w:left w:val="single" w:color="auto" w:sz="6" w:space="0"/>
              <w:bottom w:val="single" w:color="auto" w:sz="6" w:space="0"/>
              <w:right w:val="single" w:color="auto" w:sz="12" w:space="0"/>
            </w:tcBorders>
            <w:noWrap w:val="0"/>
            <w:vAlign w:val="center"/>
          </w:tcPr>
          <w:p>
            <w:pPr>
              <w:adjustRightInd w:val="0"/>
              <w:snapToGrid w:val="0"/>
              <w:spacing w:line="360" w:lineRule="auto"/>
              <w:ind w:left="-2" w:leftChars="-1" w:firstLine="2" w:firstLineChars="1"/>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1家</w:t>
            </w:r>
          </w:p>
        </w:tc>
      </w:tr>
    </w:tbl>
    <w:p>
      <w:pPr>
        <w:widowControl w:val="0"/>
        <w:spacing w:line="360" w:lineRule="auto"/>
        <w:outlineLvl w:val="1"/>
        <w:rPr>
          <w:rFonts w:hint="eastAsia" w:asciiTheme="minorEastAsia" w:hAnsiTheme="minorEastAsia" w:eastAsiaTheme="minorEastAsia" w:cstheme="minorEastAsia"/>
          <w:b/>
          <w:bCs/>
          <w:color w:val="auto"/>
          <w:sz w:val="21"/>
          <w:szCs w:val="21"/>
          <w:highlight w:val="none"/>
        </w:rPr>
      </w:pPr>
      <w:r>
        <w:rPr>
          <w:rFonts w:hint="eastAsia" w:asciiTheme="minorEastAsia" w:hAnsiTheme="minorEastAsia" w:eastAsiaTheme="minorEastAsia" w:cstheme="minorEastAsia"/>
          <w:b/>
          <w:bCs/>
          <w:color w:val="auto"/>
          <w:sz w:val="21"/>
          <w:szCs w:val="21"/>
          <w:highlight w:val="none"/>
        </w:rPr>
        <w:t>二、采购清单</w:t>
      </w:r>
    </w:p>
    <w:tbl>
      <w:tblPr>
        <w:tblStyle w:val="89"/>
        <w:tblW w:w="9254" w:type="dxa"/>
        <w:jc w:val="center"/>
        <w:tblLayout w:type="autofit"/>
        <w:tblCellMar>
          <w:top w:w="0" w:type="dxa"/>
          <w:left w:w="0" w:type="dxa"/>
          <w:bottom w:w="0" w:type="dxa"/>
          <w:right w:w="0" w:type="dxa"/>
        </w:tblCellMar>
      </w:tblPr>
      <w:tblGrid>
        <w:gridCol w:w="874"/>
        <w:gridCol w:w="1733"/>
        <w:gridCol w:w="4271"/>
        <w:gridCol w:w="1089"/>
        <w:gridCol w:w="23"/>
        <w:gridCol w:w="1264"/>
      </w:tblGrid>
      <w:tr>
        <w:tblPrEx>
          <w:tblCellMar>
            <w:top w:w="0" w:type="dxa"/>
            <w:left w:w="0" w:type="dxa"/>
            <w:bottom w:w="0" w:type="dxa"/>
            <w:right w:w="0" w:type="dxa"/>
          </w:tblCellMar>
        </w:tblPrEx>
        <w:trPr>
          <w:trHeight w:val="522" w:hRule="atLeast"/>
          <w:tblHeader/>
          <w:jc w:val="center"/>
        </w:trPr>
        <w:tc>
          <w:tcPr>
            <w:tcW w:w="874" w:type="dxa"/>
            <w:tcBorders>
              <w:top w:val="single" w:color="000000" w:sz="8"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eastAsia" w:asciiTheme="minorEastAsia" w:hAnsiTheme="minorEastAsia" w:eastAsiaTheme="minorEastAsia" w:cstheme="minorEastAsia"/>
                <w:i w:val="0"/>
                <w:color w:val="auto"/>
                <w:sz w:val="21"/>
                <w:szCs w:val="21"/>
                <w:highlight w:val="none"/>
                <w:u w:val="none"/>
                <w:lang w:eastAsia="zh-CN"/>
              </w:rPr>
            </w:pPr>
            <w:r>
              <w:rPr>
                <w:rFonts w:hint="eastAsia" w:asciiTheme="minorEastAsia" w:hAnsiTheme="minorEastAsia" w:eastAsiaTheme="minorEastAsia" w:cstheme="minorEastAsia"/>
                <w:i w:val="0"/>
                <w:color w:val="auto"/>
                <w:sz w:val="21"/>
                <w:szCs w:val="21"/>
                <w:highlight w:val="none"/>
                <w:u w:val="none"/>
                <w:lang w:eastAsia="zh-CN"/>
              </w:rPr>
              <w:t>序号</w:t>
            </w:r>
          </w:p>
        </w:tc>
        <w:tc>
          <w:tcPr>
            <w:tcW w:w="1733" w:type="dxa"/>
            <w:tcBorders>
              <w:top w:val="single" w:color="000000" w:sz="8"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eastAsia" w:asciiTheme="minorEastAsia" w:hAnsiTheme="minorEastAsia" w:eastAsiaTheme="minorEastAsia" w:cstheme="minorEastAsia"/>
                <w:i w:val="0"/>
                <w:color w:val="auto"/>
                <w:sz w:val="21"/>
                <w:szCs w:val="21"/>
                <w:highlight w:val="none"/>
                <w:u w:val="none"/>
                <w:lang w:eastAsia="zh-CN"/>
              </w:rPr>
            </w:pPr>
            <w:r>
              <w:rPr>
                <w:rFonts w:hint="eastAsia" w:asciiTheme="minorEastAsia" w:hAnsiTheme="minorEastAsia" w:eastAsiaTheme="minorEastAsia" w:cstheme="minorEastAsia"/>
                <w:i w:val="0"/>
                <w:color w:val="auto"/>
                <w:sz w:val="21"/>
                <w:szCs w:val="21"/>
                <w:highlight w:val="none"/>
                <w:u w:val="none"/>
                <w:lang w:eastAsia="zh-CN"/>
              </w:rPr>
              <w:t>项目名称</w:t>
            </w:r>
          </w:p>
        </w:tc>
        <w:tc>
          <w:tcPr>
            <w:tcW w:w="4271" w:type="dxa"/>
            <w:tcBorders>
              <w:top w:val="single" w:color="000000" w:sz="8"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eastAsia" w:asciiTheme="minorEastAsia" w:hAnsiTheme="minorEastAsia" w:eastAsiaTheme="minorEastAsia" w:cstheme="minorEastAsia"/>
                <w:i w:val="0"/>
                <w:color w:val="auto"/>
                <w:sz w:val="21"/>
                <w:szCs w:val="21"/>
                <w:highlight w:val="none"/>
                <w:u w:val="none"/>
                <w:lang w:eastAsia="zh-CN"/>
              </w:rPr>
            </w:pPr>
            <w:r>
              <w:rPr>
                <w:rFonts w:hint="eastAsia" w:asciiTheme="minorEastAsia" w:hAnsiTheme="minorEastAsia" w:eastAsiaTheme="minorEastAsia" w:cstheme="minorEastAsia"/>
                <w:i w:val="0"/>
                <w:color w:val="auto"/>
                <w:sz w:val="21"/>
                <w:szCs w:val="21"/>
                <w:highlight w:val="none"/>
                <w:u w:val="none"/>
                <w:lang w:eastAsia="zh-CN"/>
              </w:rPr>
              <w:t>项目特征描述</w:t>
            </w:r>
          </w:p>
        </w:tc>
        <w:tc>
          <w:tcPr>
            <w:tcW w:w="1089" w:type="dxa"/>
            <w:tcBorders>
              <w:top w:val="single" w:color="000000" w:sz="8"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eastAsia" w:asciiTheme="minorEastAsia" w:hAnsiTheme="minorEastAsia" w:eastAsiaTheme="minorEastAsia" w:cstheme="minorEastAsia"/>
                <w:i w:val="0"/>
                <w:color w:val="auto"/>
                <w:sz w:val="21"/>
                <w:szCs w:val="21"/>
                <w:highlight w:val="none"/>
                <w:u w:val="none"/>
                <w:lang w:eastAsia="zh-CN"/>
              </w:rPr>
            </w:pPr>
            <w:r>
              <w:rPr>
                <w:rFonts w:hint="eastAsia" w:asciiTheme="minorEastAsia" w:hAnsiTheme="minorEastAsia" w:eastAsiaTheme="minorEastAsia" w:cstheme="minorEastAsia"/>
                <w:i w:val="0"/>
                <w:color w:val="auto"/>
                <w:sz w:val="21"/>
                <w:szCs w:val="21"/>
                <w:highlight w:val="none"/>
                <w:u w:val="none"/>
                <w:lang w:eastAsia="zh-CN"/>
              </w:rPr>
              <w:t>计量单位</w:t>
            </w:r>
          </w:p>
        </w:tc>
        <w:tc>
          <w:tcPr>
            <w:tcW w:w="1287" w:type="dxa"/>
            <w:gridSpan w:val="2"/>
            <w:tcBorders>
              <w:top w:val="single" w:color="000000" w:sz="8"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eastAsia" w:asciiTheme="minorEastAsia" w:hAnsiTheme="minorEastAsia" w:eastAsiaTheme="minorEastAsia" w:cstheme="minorEastAsia"/>
                <w:i w:val="0"/>
                <w:color w:val="auto"/>
                <w:sz w:val="21"/>
                <w:szCs w:val="21"/>
                <w:highlight w:val="none"/>
                <w:u w:val="none"/>
                <w:lang w:eastAsia="zh-CN"/>
              </w:rPr>
            </w:pPr>
            <w:r>
              <w:rPr>
                <w:rFonts w:hint="eastAsia" w:asciiTheme="minorEastAsia" w:hAnsiTheme="minorEastAsia" w:eastAsiaTheme="minorEastAsia" w:cstheme="minorEastAsia"/>
                <w:i w:val="0"/>
                <w:color w:val="auto"/>
                <w:sz w:val="21"/>
                <w:szCs w:val="21"/>
                <w:highlight w:val="none"/>
                <w:u w:val="none"/>
                <w:lang w:eastAsia="zh-CN"/>
              </w:rPr>
              <w:t>工程量</w:t>
            </w:r>
          </w:p>
        </w:tc>
      </w:tr>
      <w:tr>
        <w:tblPrEx>
          <w:tblCellMar>
            <w:top w:w="0" w:type="dxa"/>
            <w:left w:w="0" w:type="dxa"/>
            <w:bottom w:w="0" w:type="dxa"/>
            <w:right w:w="0" w:type="dxa"/>
          </w:tblCellMar>
        </w:tblPrEx>
        <w:trPr>
          <w:trHeight w:val="524"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kern w:val="0"/>
                <w:sz w:val="21"/>
                <w:szCs w:val="21"/>
                <w:highlight w:val="none"/>
                <w:u w:val="none"/>
                <w:lang w:val="en-US" w:eastAsia="zh-CN" w:bidi="ar"/>
              </w:rPr>
            </w:pPr>
          </w:p>
        </w:tc>
        <w:tc>
          <w:tcPr>
            <w:tcW w:w="8380" w:type="dxa"/>
            <w:gridSpan w:val="5"/>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kern w:val="0"/>
                <w:sz w:val="21"/>
                <w:szCs w:val="21"/>
                <w:highlight w:val="none"/>
                <w:u w:val="none"/>
                <w:lang w:val="en-US" w:eastAsia="zh-CN" w:bidi="ar"/>
              </w:rPr>
            </w:pPr>
            <w:r>
              <w:rPr>
                <w:rFonts w:hint="eastAsia" w:asciiTheme="minorEastAsia" w:hAnsiTheme="minorEastAsia" w:eastAsiaTheme="minorEastAsia" w:cstheme="minorEastAsia"/>
                <w:b/>
                <w:bCs/>
                <w:i w:val="0"/>
                <w:color w:val="auto"/>
                <w:kern w:val="0"/>
                <w:sz w:val="21"/>
                <w:szCs w:val="21"/>
                <w:highlight w:val="none"/>
                <w:u w:val="none"/>
                <w:lang w:val="en-US" w:eastAsia="zh-CN" w:bidi="ar"/>
              </w:rPr>
              <w:t>装饰工程部分</w:t>
            </w:r>
          </w:p>
        </w:tc>
      </w:tr>
      <w:tr>
        <w:tblPrEx>
          <w:tblCellMar>
            <w:top w:w="0" w:type="dxa"/>
            <w:left w:w="0" w:type="dxa"/>
            <w:bottom w:w="0" w:type="dxa"/>
            <w:right w:w="0" w:type="dxa"/>
          </w:tblCellMar>
        </w:tblPrEx>
        <w:trPr>
          <w:trHeight w:val="524"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kern w:val="0"/>
                <w:sz w:val="21"/>
                <w:szCs w:val="21"/>
                <w:highlight w:val="none"/>
                <w:u w:val="none"/>
                <w:lang w:val="en-US" w:eastAsia="zh-CN" w:bidi="ar"/>
              </w:rPr>
            </w:pPr>
          </w:p>
        </w:tc>
        <w:tc>
          <w:tcPr>
            <w:tcW w:w="8380" w:type="dxa"/>
            <w:gridSpan w:val="5"/>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b/>
                <w:bCs/>
                <w:i w:val="0"/>
                <w:color w:val="auto"/>
                <w:kern w:val="0"/>
                <w:sz w:val="21"/>
                <w:szCs w:val="21"/>
                <w:highlight w:val="none"/>
                <w:u w:val="none"/>
                <w:lang w:val="en-US" w:eastAsia="zh-CN" w:bidi="ar"/>
              </w:rPr>
            </w:pPr>
            <w:r>
              <w:rPr>
                <w:rFonts w:hint="eastAsia" w:asciiTheme="minorEastAsia" w:hAnsiTheme="minorEastAsia" w:eastAsiaTheme="minorEastAsia" w:cstheme="minorEastAsia"/>
                <w:b/>
                <w:bCs/>
                <w:i w:val="0"/>
                <w:color w:val="auto"/>
                <w:kern w:val="0"/>
                <w:sz w:val="21"/>
                <w:szCs w:val="21"/>
                <w:highlight w:val="none"/>
                <w:u w:val="none"/>
                <w:lang w:val="en-US" w:eastAsia="zh-CN" w:bidi="ar"/>
              </w:rPr>
              <w:t>天花工程</w:t>
            </w:r>
          </w:p>
        </w:tc>
      </w:tr>
      <w:tr>
        <w:tblPrEx>
          <w:tblCellMar>
            <w:top w:w="0" w:type="dxa"/>
            <w:left w:w="0" w:type="dxa"/>
            <w:bottom w:w="0" w:type="dxa"/>
            <w:right w:w="0" w:type="dxa"/>
          </w:tblCellMar>
        </w:tblPrEx>
        <w:trPr>
          <w:trHeight w:val="524"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吊顶天棚</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1.吊顶形式:不上人型，平面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2.龙骨材料种类、规格、中距:U型轻钢龙骨</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3.面层材料品种、规格、品牌、颜 色:600*600*1.0铝合金扣板吊顶</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m2</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32</w:t>
            </w:r>
          </w:p>
        </w:tc>
      </w:tr>
      <w:tr>
        <w:tblPrEx>
          <w:tblCellMar>
            <w:top w:w="0" w:type="dxa"/>
            <w:left w:w="0" w:type="dxa"/>
            <w:bottom w:w="0" w:type="dxa"/>
            <w:right w:w="0" w:type="dxa"/>
          </w:tblCellMar>
        </w:tblPrEx>
        <w:trPr>
          <w:trHeight w:val="572"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吊顶天棚</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1.吊顶形式:不上人型，彩钢板天花</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2.龙骨材料种类、规格、中距:10 号镀锌铁丝连接，50mm×70mm大木龙 骨，中距1200mm，50mm×50mm小木龙骨， 中距600mm，木龙骨刷防火涂料两遍， 在龙骨层填50mm厚超细玻璃棉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3.面层材料品种、规格、品牌、颜 色:2400mm×1200mm×5mm玻镁夹芯彩钢板</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m2</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95</w:t>
            </w:r>
          </w:p>
        </w:tc>
      </w:tr>
      <w:tr>
        <w:tblPrEx>
          <w:tblCellMar>
            <w:top w:w="0" w:type="dxa"/>
            <w:left w:w="0" w:type="dxa"/>
            <w:bottom w:w="0" w:type="dxa"/>
            <w:right w:w="0" w:type="dxa"/>
          </w:tblCellMar>
        </w:tblPrEx>
        <w:trPr>
          <w:trHeight w:val="325"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天棚抹灰</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1.基层类型:现浇混凝土板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2.抹灰厚度、材料种类、两遍腻子，两遍乳胶漆</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m2</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9.5</w:t>
            </w:r>
          </w:p>
        </w:tc>
      </w:tr>
      <w:tr>
        <w:tblPrEx>
          <w:tblCellMar>
            <w:top w:w="0" w:type="dxa"/>
            <w:left w:w="0" w:type="dxa"/>
            <w:bottom w:w="0" w:type="dxa"/>
            <w:right w:w="0" w:type="dxa"/>
          </w:tblCellMar>
        </w:tblPrEx>
        <w:trPr>
          <w:trHeight w:val="458"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木窗帘盒</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1.窗帘盒材质:15mm难燃夹板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2.防护材料种类:防火涂料两遍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3.油漆种类、刷漆遍数:刮原子灰腻子两遍，调和漆两遍</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3.6</w:t>
            </w:r>
          </w:p>
        </w:tc>
      </w:tr>
      <w:tr>
        <w:tblPrEx>
          <w:tblCellMar>
            <w:top w:w="0" w:type="dxa"/>
            <w:left w:w="0" w:type="dxa"/>
            <w:bottom w:w="0" w:type="dxa"/>
            <w:right w:w="0" w:type="dxa"/>
          </w:tblCellMar>
        </w:tblPrEx>
        <w:trPr>
          <w:trHeight w:val="234"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检修口</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1.规格:600*600</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2.特征:彩钢夹芯板</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w:t>
            </w:r>
          </w:p>
        </w:tc>
      </w:tr>
      <w:tr>
        <w:tblPrEx>
          <w:tblCellMar>
            <w:top w:w="0" w:type="dxa"/>
            <w:left w:w="0" w:type="dxa"/>
            <w:bottom w:w="0" w:type="dxa"/>
            <w:right w:w="0" w:type="dxa"/>
          </w:tblCellMar>
        </w:tblPrEx>
        <w:trPr>
          <w:trHeight w:val="36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eastAsia" w:asciiTheme="minorEastAsia" w:hAnsiTheme="minorEastAsia" w:eastAsiaTheme="minorEastAsia" w:cstheme="minorEastAsia"/>
                <w:i w:val="0"/>
                <w:color w:val="auto"/>
                <w:sz w:val="21"/>
                <w:szCs w:val="21"/>
                <w:highlight w:val="none"/>
                <w:u w:val="none"/>
              </w:rPr>
            </w:pPr>
          </w:p>
        </w:tc>
        <w:tc>
          <w:tcPr>
            <w:tcW w:w="8380" w:type="dxa"/>
            <w:gridSpan w:val="5"/>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left"/>
              <w:rPr>
                <w:rFonts w:hint="eastAsia" w:asciiTheme="minorEastAsia" w:hAnsiTheme="minorEastAsia" w:eastAsiaTheme="minorEastAsia" w:cstheme="minorEastAsia"/>
                <w:b/>
                <w:bCs/>
                <w:i w:val="0"/>
                <w:color w:val="auto"/>
                <w:sz w:val="21"/>
                <w:szCs w:val="21"/>
                <w:highlight w:val="none"/>
                <w:u w:val="none"/>
              </w:rPr>
            </w:pPr>
            <w:r>
              <w:rPr>
                <w:rFonts w:hint="eastAsia" w:asciiTheme="minorEastAsia" w:hAnsiTheme="minorEastAsia" w:eastAsiaTheme="minorEastAsia" w:cstheme="minorEastAsia"/>
                <w:b/>
                <w:bCs/>
                <w:i w:val="0"/>
                <w:color w:val="auto"/>
                <w:kern w:val="0"/>
                <w:sz w:val="21"/>
                <w:szCs w:val="21"/>
                <w:highlight w:val="none"/>
                <w:u w:val="none"/>
                <w:lang w:val="en-US" w:eastAsia="zh-CN" w:bidi="ar"/>
              </w:rPr>
              <w:t>建筑工程</w:t>
            </w:r>
          </w:p>
        </w:tc>
      </w:tr>
      <w:tr>
        <w:tblPrEx>
          <w:tblCellMar>
            <w:top w:w="0" w:type="dxa"/>
            <w:left w:w="0" w:type="dxa"/>
            <w:bottom w:w="0" w:type="dxa"/>
            <w:right w:w="0" w:type="dxa"/>
          </w:tblCellMar>
        </w:tblPrEx>
        <w:trPr>
          <w:trHeight w:val="908"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6</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防静电同质透心PVC卷材</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1.找平层厚度、砂浆配合比:20厚1：2水泥砂浆找平层</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2.结合层：涂刷水泥自流坪漆</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3.面层材料品种、规格、颜色:地面铺PVC地板胶，2.0mm厚度，耐磨层0.7mmUV处理层；耐污、抗菌、耐磨、抗压、环保</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5.其它：符合设计要求</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m2</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88.84</w:t>
            </w:r>
          </w:p>
        </w:tc>
      </w:tr>
      <w:tr>
        <w:tblPrEx>
          <w:tblCellMar>
            <w:top w:w="0" w:type="dxa"/>
            <w:left w:w="0" w:type="dxa"/>
            <w:bottom w:w="0" w:type="dxa"/>
            <w:right w:w="0" w:type="dxa"/>
          </w:tblCellMar>
        </w:tblPrEx>
        <w:trPr>
          <w:trHeight w:val="57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7</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水泥砂浆楼地面</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1.找平层砂浆配合比、厚度:1:3水泥砂浆50mm厚</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m2</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119.34</w:t>
            </w:r>
          </w:p>
        </w:tc>
      </w:tr>
      <w:tr>
        <w:tblPrEx>
          <w:tblCellMar>
            <w:top w:w="0" w:type="dxa"/>
            <w:left w:w="0" w:type="dxa"/>
            <w:bottom w:w="0" w:type="dxa"/>
            <w:right w:w="0" w:type="dxa"/>
          </w:tblCellMar>
        </w:tblPrEx>
        <w:trPr>
          <w:trHeight w:val="9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8</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块料楼地面</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1.20mm厚釉面地砖，基层面涂胶粘合剂，5mm水泥砂浆1:2粘结层，水泥砂浆一道（内掺建筑胶）</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m2</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30.5</w:t>
            </w:r>
          </w:p>
        </w:tc>
      </w:tr>
      <w:tr>
        <w:tblPrEx>
          <w:tblCellMar>
            <w:top w:w="0" w:type="dxa"/>
            <w:left w:w="0" w:type="dxa"/>
            <w:bottom w:w="0" w:type="dxa"/>
            <w:right w:w="0" w:type="dxa"/>
          </w:tblCellMar>
        </w:tblPrEx>
        <w:trPr>
          <w:trHeight w:val="57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9</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自流坪楼地面</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1.位置：机房地面</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2.水泥自流平找平</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m2</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7</w:t>
            </w:r>
          </w:p>
        </w:tc>
      </w:tr>
      <w:tr>
        <w:tblPrEx>
          <w:tblCellMar>
            <w:top w:w="0" w:type="dxa"/>
            <w:left w:w="0" w:type="dxa"/>
            <w:bottom w:w="0" w:type="dxa"/>
            <w:right w:w="0" w:type="dxa"/>
          </w:tblCellMar>
        </w:tblPrEx>
        <w:trPr>
          <w:trHeight w:val="1324"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10</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塑料板踢脚线</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1.踢脚板高度:100mm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2.底层厚度、砂浆配合比:25mm厚1:2.5水泥砂浆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3．粘结层材料种类:粘得牢粘结剂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4.面层材料种类、规格、颜色:1.2mm厚灰色块状塑料板</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m2</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w:t>
            </w:r>
          </w:p>
        </w:tc>
      </w:tr>
      <w:tr>
        <w:tblPrEx>
          <w:tblCellMar>
            <w:top w:w="0" w:type="dxa"/>
            <w:left w:w="0" w:type="dxa"/>
            <w:bottom w:w="0" w:type="dxa"/>
            <w:right w:w="0" w:type="dxa"/>
          </w:tblCellMar>
        </w:tblPrEx>
        <w:trPr>
          <w:trHeight w:val="36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eastAsia" w:asciiTheme="minorEastAsia" w:hAnsiTheme="minorEastAsia" w:eastAsiaTheme="minorEastAsia" w:cstheme="minorEastAsia"/>
                <w:i w:val="0"/>
                <w:color w:val="auto"/>
                <w:sz w:val="21"/>
                <w:szCs w:val="21"/>
                <w:highlight w:val="none"/>
                <w:u w:val="none"/>
              </w:rPr>
            </w:pPr>
          </w:p>
        </w:tc>
        <w:tc>
          <w:tcPr>
            <w:tcW w:w="8380" w:type="dxa"/>
            <w:gridSpan w:val="5"/>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left"/>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b/>
                <w:bCs/>
                <w:i w:val="0"/>
                <w:color w:val="auto"/>
                <w:kern w:val="0"/>
                <w:sz w:val="21"/>
                <w:szCs w:val="21"/>
                <w:highlight w:val="none"/>
                <w:u w:val="none"/>
                <w:lang w:val="en-US" w:eastAsia="zh-CN" w:bidi="ar"/>
              </w:rPr>
              <w:t>墙面工程</w:t>
            </w:r>
          </w:p>
        </w:tc>
      </w:tr>
      <w:tr>
        <w:tblPrEx>
          <w:tblCellMar>
            <w:top w:w="0" w:type="dxa"/>
            <w:left w:w="0" w:type="dxa"/>
            <w:bottom w:w="0" w:type="dxa"/>
            <w:right w:w="0" w:type="dxa"/>
          </w:tblCellMar>
        </w:tblPrEx>
        <w:trPr>
          <w:trHeight w:val="948"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11</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彩钢板隔墙</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1.骨架、边框材料种类、规格:L50国标镀锌角钢吊梁</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2.隔板材料品种、规格、品牌、颜 色:50mm玻镁夹芯彩钢板</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3.压条材料种类:R50内外圆弧收边</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m2</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251</w:t>
            </w:r>
          </w:p>
        </w:tc>
      </w:tr>
      <w:tr>
        <w:tblPrEx>
          <w:tblCellMar>
            <w:top w:w="0" w:type="dxa"/>
            <w:left w:w="0" w:type="dxa"/>
            <w:bottom w:w="0" w:type="dxa"/>
            <w:right w:w="0" w:type="dxa"/>
          </w:tblCellMar>
        </w:tblPrEx>
        <w:trPr>
          <w:trHeight w:val="194"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12</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抹灰面油漆</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1.基层类型:墙面一般抹灰面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2.腻子种类:成品腻子粉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3.刮腻子要求:清理基层，修补，砂纸打磨:满刮腻子一遍，找补两遍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4.油漆品种、刷漆遍数:抗碱底漆一遍，真石漆底漆一遍，面漆两遍</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m2</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49.998</w:t>
            </w:r>
          </w:p>
        </w:tc>
      </w:tr>
      <w:tr>
        <w:tblPrEx>
          <w:tblCellMar>
            <w:top w:w="0" w:type="dxa"/>
            <w:left w:w="0" w:type="dxa"/>
            <w:bottom w:w="0" w:type="dxa"/>
            <w:right w:w="0" w:type="dxa"/>
          </w:tblCellMar>
        </w:tblPrEx>
        <w:trPr>
          <w:trHeight w:val="36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eastAsia" w:asciiTheme="minorEastAsia" w:hAnsiTheme="minorEastAsia" w:eastAsiaTheme="minorEastAsia" w:cstheme="minorEastAsia"/>
                <w:i w:val="0"/>
                <w:color w:val="auto"/>
                <w:sz w:val="21"/>
                <w:szCs w:val="21"/>
                <w:highlight w:val="none"/>
                <w:u w:val="none"/>
              </w:rPr>
            </w:pPr>
          </w:p>
        </w:tc>
        <w:tc>
          <w:tcPr>
            <w:tcW w:w="8380" w:type="dxa"/>
            <w:gridSpan w:val="5"/>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left"/>
              <w:rPr>
                <w:rFonts w:hint="eastAsia" w:asciiTheme="minorEastAsia" w:hAnsiTheme="minorEastAsia" w:eastAsiaTheme="minorEastAsia" w:cstheme="minorEastAsia"/>
                <w:b/>
                <w:bCs/>
                <w:i w:val="0"/>
                <w:color w:val="auto"/>
                <w:sz w:val="21"/>
                <w:szCs w:val="21"/>
                <w:highlight w:val="none"/>
                <w:u w:val="none"/>
              </w:rPr>
            </w:pPr>
            <w:r>
              <w:rPr>
                <w:rFonts w:hint="eastAsia" w:asciiTheme="minorEastAsia" w:hAnsiTheme="minorEastAsia" w:eastAsiaTheme="minorEastAsia" w:cstheme="minorEastAsia"/>
                <w:b/>
                <w:bCs/>
                <w:i w:val="0"/>
                <w:color w:val="auto"/>
                <w:kern w:val="0"/>
                <w:sz w:val="21"/>
                <w:szCs w:val="21"/>
                <w:highlight w:val="none"/>
                <w:u w:val="none"/>
                <w:lang w:val="en-US" w:eastAsia="zh-CN" w:bidi="ar"/>
              </w:rPr>
              <w:t>门窗工程</w:t>
            </w:r>
          </w:p>
        </w:tc>
      </w:tr>
      <w:tr>
        <w:tblPrEx>
          <w:tblCellMar>
            <w:top w:w="0" w:type="dxa"/>
            <w:left w:w="0" w:type="dxa"/>
            <w:bottom w:w="0" w:type="dxa"/>
            <w:right w:w="0" w:type="dxa"/>
          </w:tblCellMar>
        </w:tblPrEx>
        <w:trPr>
          <w:trHeight w:val="9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13</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双开不锈钢防盗门</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1.门类型:钢质防盗门M1527</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2.防护材料种类:红丹防锈漆两遍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3.油漆品种、刷漆遍数:调和漆两遍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4.五金材料:球形执手锁、防盗门扣、门眼</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樘</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r>
      <w:tr>
        <w:tblPrEx>
          <w:tblCellMar>
            <w:top w:w="0" w:type="dxa"/>
            <w:left w:w="0" w:type="dxa"/>
            <w:bottom w:w="0" w:type="dxa"/>
            <w:right w:w="0" w:type="dxa"/>
          </w:tblCellMar>
        </w:tblPrEx>
        <w:trPr>
          <w:trHeight w:val="469"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14</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木质门带套</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1.门类型:单开实木门M0921</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2.材料种类:彩色涂层钢板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3.五金材料:管子拉手、门锁</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m2</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1.89</w:t>
            </w:r>
          </w:p>
        </w:tc>
      </w:tr>
      <w:tr>
        <w:tblPrEx>
          <w:tblCellMar>
            <w:top w:w="0" w:type="dxa"/>
            <w:left w:w="0" w:type="dxa"/>
            <w:bottom w:w="0" w:type="dxa"/>
            <w:right w:w="0" w:type="dxa"/>
          </w:tblCellMar>
        </w:tblPrEx>
        <w:trPr>
          <w:trHeight w:val="373"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15</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玻镁彩钢板洁净单开门</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right="-178" w:rightChars="-85"/>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1.门类型:彩板门M0921</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2.材料种类:彩色涂层钢板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3.五金材料:管子拉手、门锁</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樘</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6</w:t>
            </w:r>
          </w:p>
        </w:tc>
      </w:tr>
      <w:tr>
        <w:tblPrEx>
          <w:tblCellMar>
            <w:top w:w="0" w:type="dxa"/>
            <w:left w:w="0" w:type="dxa"/>
            <w:bottom w:w="0" w:type="dxa"/>
            <w:right w:w="0" w:type="dxa"/>
          </w:tblCellMar>
        </w:tblPrEx>
        <w:trPr>
          <w:trHeight w:val="343"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16</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玻镁彩钢板洁净子母门</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1.门类型:彩板门M1221</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2.材料种类:彩色涂层钢板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3.五金材料:管子拉手、门锁</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樘</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w:t>
            </w:r>
          </w:p>
        </w:tc>
      </w:tr>
      <w:tr>
        <w:tblPrEx>
          <w:tblCellMar>
            <w:top w:w="0" w:type="dxa"/>
            <w:left w:w="0" w:type="dxa"/>
            <w:bottom w:w="0" w:type="dxa"/>
            <w:right w:w="0" w:type="dxa"/>
          </w:tblCellMar>
        </w:tblPrEx>
        <w:trPr>
          <w:trHeight w:val="341"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17</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安全门</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1.门类型:安全门2021*2100 （带玻璃）</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2.材料种类:彩色涂层钢板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3.五金材料:管子拉手、门锁</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樘</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r>
      <w:tr>
        <w:tblPrEx>
          <w:tblCellMar>
            <w:top w:w="0" w:type="dxa"/>
            <w:left w:w="0" w:type="dxa"/>
            <w:bottom w:w="0" w:type="dxa"/>
            <w:right w:w="0" w:type="dxa"/>
          </w:tblCellMar>
        </w:tblPrEx>
        <w:trPr>
          <w:trHeight w:val="9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18</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中空洁净密闭窗</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1.窗类型: 5+5中空洁净密闭窗</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2.窗洞尺寸:1800*1200</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3.材质:双层5mm钢化玻璃</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w:t>
            </w:r>
          </w:p>
        </w:tc>
      </w:tr>
      <w:tr>
        <w:tblPrEx>
          <w:tblCellMar>
            <w:top w:w="0" w:type="dxa"/>
            <w:left w:w="0" w:type="dxa"/>
            <w:bottom w:w="0" w:type="dxa"/>
            <w:right w:w="0" w:type="dxa"/>
          </w:tblCellMar>
        </w:tblPrEx>
        <w:trPr>
          <w:trHeight w:val="233"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19</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中空洁净密闭窗</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1.窗类型: 5+5中空洁净密闭窗</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2.窗洞尺寸:1300*1200</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3.材质:双层5mm钢化玻璃</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r>
      <w:tr>
        <w:tblPrEx>
          <w:tblCellMar>
            <w:top w:w="0" w:type="dxa"/>
            <w:left w:w="0" w:type="dxa"/>
            <w:bottom w:w="0" w:type="dxa"/>
            <w:right w:w="0" w:type="dxa"/>
          </w:tblCellMar>
        </w:tblPrEx>
        <w:trPr>
          <w:trHeight w:val="169"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20</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中空洁净密闭窗</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1.窗类型: 5+5中空洁净密闭窗</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2.窗洞尺寸:1500*1200</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3.材质:双层5mm钢化玻璃</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r>
      <w:tr>
        <w:tblPrEx>
          <w:tblCellMar>
            <w:top w:w="0" w:type="dxa"/>
            <w:left w:w="0" w:type="dxa"/>
            <w:bottom w:w="0" w:type="dxa"/>
            <w:right w:w="0" w:type="dxa"/>
          </w:tblCellMar>
        </w:tblPrEx>
        <w:trPr>
          <w:trHeight w:val="9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21</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灭菌传递窗</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1.名称：传递窗</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2.材质：304不锈钢</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3.规格：600*600</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r>
      <w:tr>
        <w:tblPrEx>
          <w:tblCellMar>
            <w:top w:w="0" w:type="dxa"/>
            <w:left w:w="0" w:type="dxa"/>
            <w:bottom w:w="0" w:type="dxa"/>
            <w:right w:w="0" w:type="dxa"/>
          </w:tblCellMar>
        </w:tblPrEx>
        <w:trPr>
          <w:trHeight w:val="360" w:hRule="atLeast"/>
          <w:jc w:val="center"/>
        </w:trPr>
        <w:tc>
          <w:tcPr>
            <w:tcW w:w="9254" w:type="dxa"/>
            <w:gridSpan w:val="6"/>
            <w:tcBorders>
              <w:top w:val="single" w:color="000000" w:sz="8"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bCs/>
                <w:i w:val="0"/>
                <w:color w:val="auto"/>
                <w:kern w:val="0"/>
                <w:sz w:val="21"/>
                <w:szCs w:val="21"/>
                <w:highlight w:val="none"/>
                <w:u w:val="none"/>
                <w:lang w:val="en-US" w:eastAsia="zh-CN" w:bidi="ar"/>
              </w:rPr>
            </w:pPr>
            <w:r>
              <w:rPr>
                <w:rFonts w:hint="eastAsia" w:asciiTheme="minorEastAsia" w:hAnsiTheme="minorEastAsia" w:eastAsiaTheme="minorEastAsia" w:cstheme="minorEastAsia"/>
                <w:b/>
                <w:bCs/>
                <w:i w:val="0"/>
                <w:color w:val="auto"/>
                <w:kern w:val="0"/>
                <w:sz w:val="21"/>
                <w:szCs w:val="21"/>
                <w:highlight w:val="none"/>
                <w:u w:val="none"/>
                <w:lang w:val="en-US" w:eastAsia="zh-CN" w:bidi="ar"/>
              </w:rPr>
              <w:t>给排水部分</w:t>
            </w:r>
          </w:p>
        </w:tc>
      </w:tr>
      <w:tr>
        <w:tblPrEx>
          <w:tblCellMar>
            <w:top w:w="0" w:type="dxa"/>
            <w:left w:w="0" w:type="dxa"/>
            <w:bottom w:w="0" w:type="dxa"/>
            <w:right w:w="0" w:type="dxa"/>
          </w:tblCellMar>
        </w:tblPrEx>
        <w:trPr>
          <w:trHeight w:val="36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jc w:val="center"/>
              <w:rPr>
                <w:rFonts w:hint="eastAsia" w:asciiTheme="minorEastAsia" w:hAnsiTheme="minorEastAsia" w:eastAsiaTheme="minorEastAsia" w:cstheme="minorEastAsia"/>
                <w:i w:val="0"/>
                <w:color w:val="auto"/>
                <w:sz w:val="21"/>
                <w:szCs w:val="21"/>
                <w:highlight w:val="none"/>
                <w:u w:val="none"/>
              </w:rPr>
            </w:pPr>
          </w:p>
        </w:tc>
        <w:tc>
          <w:tcPr>
            <w:tcW w:w="8380" w:type="dxa"/>
            <w:gridSpan w:val="5"/>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jc w:val="left"/>
              <w:rPr>
                <w:rFonts w:hint="eastAsia" w:asciiTheme="minorEastAsia" w:hAnsiTheme="minorEastAsia" w:eastAsiaTheme="minorEastAsia" w:cstheme="minorEastAsia"/>
                <w:b/>
                <w:bCs/>
                <w:i w:val="0"/>
                <w:color w:val="auto"/>
                <w:sz w:val="21"/>
                <w:szCs w:val="21"/>
                <w:highlight w:val="none"/>
                <w:u w:val="none"/>
              </w:rPr>
            </w:pPr>
            <w:r>
              <w:rPr>
                <w:rFonts w:hint="eastAsia" w:asciiTheme="minorEastAsia" w:hAnsiTheme="minorEastAsia" w:eastAsiaTheme="minorEastAsia" w:cstheme="minorEastAsia"/>
                <w:b/>
                <w:bCs/>
                <w:i w:val="0"/>
                <w:color w:val="auto"/>
                <w:kern w:val="0"/>
                <w:sz w:val="21"/>
                <w:szCs w:val="21"/>
                <w:highlight w:val="none"/>
                <w:u w:val="none"/>
                <w:lang w:val="en-US" w:eastAsia="zh-CN" w:bidi="ar"/>
              </w:rPr>
              <w:t>给水系统</w:t>
            </w:r>
          </w:p>
        </w:tc>
      </w:tr>
      <w:tr>
        <w:tblPrEx>
          <w:tblCellMar>
            <w:top w:w="0" w:type="dxa"/>
            <w:left w:w="0" w:type="dxa"/>
            <w:bottom w:w="0" w:type="dxa"/>
            <w:right w:w="0" w:type="dxa"/>
          </w:tblCellMar>
        </w:tblPrEx>
        <w:trPr>
          <w:trHeight w:val="1335"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塑料管</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1.安装部位；室内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2.输送介质:给水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3.材质:PE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4.型号、规格:DN25mm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5.连接方式:热熔对接</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10.94</w:t>
            </w:r>
          </w:p>
        </w:tc>
      </w:tr>
      <w:tr>
        <w:tblPrEx>
          <w:tblCellMar>
            <w:top w:w="0" w:type="dxa"/>
            <w:left w:w="0" w:type="dxa"/>
            <w:bottom w:w="0" w:type="dxa"/>
            <w:right w:w="0" w:type="dxa"/>
          </w:tblCellMar>
        </w:tblPrEx>
        <w:trPr>
          <w:trHeight w:val="1335"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塑料管</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1.安装部位；室内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2.输送介质:给水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3.材质:PE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4.型号、规格:DN32mm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5.连接方式:热熔对接</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14.34</w:t>
            </w:r>
          </w:p>
        </w:tc>
      </w:tr>
      <w:tr>
        <w:tblPrEx>
          <w:tblCellMar>
            <w:top w:w="0" w:type="dxa"/>
            <w:left w:w="0" w:type="dxa"/>
            <w:bottom w:w="0" w:type="dxa"/>
            <w:right w:w="0" w:type="dxa"/>
          </w:tblCellMar>
        </w:tblPrEx>
        <w:trPr>
          <w:trHeight w:val="29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塑料管</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1.安装部位；室内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2.输送介质:给水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3.材质:PE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4.型号、规格:DN40mm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5.连接方式:热熔对接</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CellMar>
            <w:top w:w="0" w:type="dxa"/>
            <w:left w:w="0" w:type="dxa"/>
            <w:bottom w:w="0" w:type="dxa"/>
            <w:right w:w="0" w:type="dxa"/>
          </w:tblCellMar>
        </w:tblPrEx>
        <w:trPr>
          <w:trHeight w:val="1335"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塑料管</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1.安装部位；室内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2.输送介质:给水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3.材质:PE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4.型号、规格:DN50mm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5.连接方式:热熔对接</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1.4</w:t>
            </w:r>
          </w:p>
        </w:tc>
      </w:tr>
      <w:tr>
        <w:tblPrEx>
          <w:tblCellMar>
            <w:top w:w="0" w:type="dxa"/>
            <w:left w:w="0" w:type="dxa"/>
            <w:bottom w:w="0" w:type="dxa"/>
            <w:right w:w="0" w:type="dxa"/>
          </w:tblCellMar>
        </w:tblPrEx>
        <w:trPr>
          <w:trHeight w:val="825"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水表</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1.材质:碳钢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2.型号、规格:LXS-25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3.连接方式:螺纹连接</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组</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r>
      <w:tr>
        <w:tblPrEx>
          <w:tblCellMar>
            <w:top w:w="0" w:type="dxa"/>
            <w:left w:w="0" w:type="dxa"/>
            <w:bottom w:w="0" w:type="dxa"/>
            <w:right w:w="0" w:type="dxa"/>
          </w:tblCellMar>
        </w:tblPrEx>
        <w:trPr>
          <w:trHeight w:val="825"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6</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截止阀</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 类型:螺纹截止阀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2.型号、规格:DN32 PN1.0MPa</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r>
      <w:tr>
        <w:tblPrEx>
          <w:tblCellMar>
            <w:top w:w="0" w:type="dxa"/>
            <w:left w:w="0" w:type="dxa"/>
            <w:bottom w:w="0" w:type="dxa"/>
            <w:right w:w="0" w:type="dxa"/>
          </w:tblCellMar>
        </w:tblPrEx>
        <w:trPr>
          <w:trHeight w:val="825"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7</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截止阀</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 类型:螺纹截止阀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2.型号、规格:DN50 PN1.0MPa</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r>
      <w:tr>
        <w:tblPrEx>
          <w:tblCellMar>
            <w:top w:w="0" w:type="dxa"/>
            <w:left w:w="0" w:type="dxa"/>
            <w:bottom w:w="0" w:type="dxa"/>
            <w:right w:w="0" w:type="dxa"/>
          </w:tblCellMar>
        </w:tblPrEx>
        <w:trPr>
          <w:trHeight w:val="825"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8</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角阀</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 类型:角阀</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2.型号、规格:DN20 PN1.0MPa</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w:t>
            </w:r>
          </w:p>
        </w:tc>
      </w:tr>
      <w:tr>
        <w:tblPrEx>
          <w:tblCellMar>
            <w:top w:w="0" w:type="dxa"/>
            <w:left w:w="0" w:type="dxa"/>
            <w:bottom w:w="0" w:type="dxa"/>
            <w:right w:w="0" w:type="dxa"/>
          </w:tblCellMar>
        </w:tblPrEx>
        <w:trPr>
          <w:trHeight w:val="57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9</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不锈钢地漏</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 类型:不锈钢地漏</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2.型号、规格:DN50</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r>
      <w:tr>
        <w:tblPrEx>
          <w:tblCellMar>
            <w:top w:w="0" w:type="dxa"/>
            <w:left w:w="0" w:type="dxa"/>
            <w:bottom w:w="0" w:type="dxa"/>
            <w:right w:w="0" w:type="dxa"/>
          </w:tblCellMar>
        </w:tblPrEx>
        <w:trPr>
          <w:trHeight w:val="36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jc w:val="center"/>
              <w:rPr>
                <w:rFonts w:hint="eastAsia" w:asciiTheme="minorEastAsia" w:hAnsiTheme="minorEastAsia" w:eastAsiaTheme="minorEastAsia" w:cstheme="minorEastAsia"/>
                <w:i w:val="0"/>
                <w:color w:val="auto"/>
                <w:sz w:val="21"/>
                <w:szCs w:val="21"/>
                <w:highlight w:val="none"/>
                <w:u w:val="none"/>
              </w:rPr>
            </w:pPr>
          </w:p>
        </w:tc>
        <w:tc>
          <w:tcPr>
            <w:tcW w:w="8380" w:type="dxa"/>
            <w:gridSpan w:val="5"/>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jc w:val="left"/>
              <w:rPr>
                <w:rFonts w:hint="eastAsia" w:asciiTheme="minorEastAsia" w:hAnsiTheme="minorEastAsia" w:eastAsiaTheme="minorEastAsia" w:cstheme="minorEastAsia"/>
                <w:b/>
                <w:bCs/>
                <w:i w:val="0"/>
                <w:color w:val="auto"/>
                <w:sz w:val="21"/>
                <w:szCs w:val="21"/>
                <w:highlight w:val="none"/>
                <w:u w:val="none"/>
              </w:rPr>
            </w:pPr>
            <w:r>
              <w:rPr>
                <w:rFonts w:hint="eastAsia" w:asciiTheme="minorEastAsia" w:hAnsiTheme="minorEastAsia" w:eastAsiaTheme="minorEastAsia" w:cstheme="minorEastAsia"/>
                <w:b/>
                <w:bCs/>
                <w:i w:val="0"/>
                <w:color w:val="auto"/>
                <w:kern w:val="0"/>
                <w:sz w:val="21"/>
                <w:szCs w:val="21"/>
                <w:highlight w:val="none"/>
                <w:u w:val="none"/>
                <w:lang w:val="en-US" w:eastAsia="zh-CN" w:bidi="ar"/>
              </w:rPr>
              <w:t>排水系统</w:t>
            </w:r>
          </w:p>
        </w:tc>
      </w:tr>
      <w:tr>
        <w:tblPrEx>
          <w:tblCellMar>
            <w:top w:w="0" w:type="dxa"/>
            <w:left w:w="0" w:type="dxa"/>
            <w:bottom w:w="0" w:type="dxa"/>
            <w:right w:w="0" w:type="dxa"/>
          </w:tblCellMar>
        </w:tblPrEx>
        <w:trPr>
          <w:trHeight w:val="159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10</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塑料管</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1.安装部位:室内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2.输送介质:排水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3.材质:UPVC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4.型号、规格:De50mm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5.连接方式:粘接连接</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6.含存水弯</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13.5</w:t>
            </w:r>
          </w:p>
        </w:tc>
      </w:tr>
      <w:tr>
        <w:tblPrEx>
          <w:tblCellMar>
            <w:top w:w="0" w:type="dxa"/>
            <w:left w:w="0" w:type="dxa"/>
            <w:bottom w:w="0" w:type="dxa"/>
            <w:right w:w="0" w:type="dxa"/>
          </w:tblCellMar>
        </w:tblPrEx>
        <w:trPr>
          <w:trHeight w:val="1335"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11</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塑料管</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1.安装部位:室内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2.输送介质:排水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3.材质:UPVC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4.型号、规格:De75mm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5.连接方式:粘接连接</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6.97</w:t>
            </w:r>
          </w:p>
        </w:tc>
      </w:tr>
      <w:tr>
        <w:tblPrEx>
          <w:tblCellMar>
            <w:top w:w="0" w:type="dxa"/>
            <w:left w:w="0" w:type="dxa"/>
            <w:bottom w:w="0" w:type="dxa"/>
            <w:right w:w="0" w:type="dxa"/>
          </w:tblCellMar>
        </w:tblPrEx>
        <w:trPr>
          <w:trHeight w:val="1335"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12</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塑料管</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1.安装部位:室内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2.输送介质:排水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3.材质:UPVC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4.型号、规格:De110mm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5.连接方式:粘接连接</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3.27</w:t>
            </w:r>
          </w:p>
        </w:tc>
      </w:tr>
      <w:tr>
        <w:tblPrEx>
          <w:tblCellMar>
            <w:top w:w="0" w:type="dxa"/>
            <w:left w:w="0" w:type="dxa"/>
            <w:bottom w:w="0" w:type="dxa"/>
            <w:right w:w="0" w:type="dxa"/>
          </w:tblCellMar>
        </w:tblPrEx>
        <w:trPr>
          <w:trHeight w:val="57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13</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S型存水弯</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1.名称、材质:S型存水弯</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2.型号、规格:De50</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CellMar>
            <w:top w:w="0" w:type="dxa"/>
            <w:left w:w="0" w:type="dxa"/>
            <w:bottom w:w="0" w:type="dxa"/>
            <w:right w:w="0" w:type="dxa"/>
          </w:tblCellMar>
        </w:tblPrEx>
        <w:trPr>
          <w:trHeight w:val="57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14</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S型存水弯</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1.名称、材质:S型存水弯</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2.型号、规格:De110</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CellMar>
            <w:top w:w="0" w:type="dxa"/>
            <w:left w:w="0" w:type="dxa"/>
            <w:bottom w:w="0" w:type="dxa"/>
            <w:right w:w="0" w:type="dxa"/>
          </w:tblCellMar>
        </w:tblPrEx>
        <w:trPr>
          <w:trHeight w:val="825"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15</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地漏（洁净型）</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1.名称、材质:地漏（洁净型）</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2.型号、规格:De50</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r>
      <w:tr>
        <w:tblPrEx>
          <w:tblCellMar>
            <w:top w:w="0" w:type="dxa"/>
            <w:left w:w="0" w:type="dxa"/>
            <w:bottom w:w="0" w:type="dxa"/>
            <w:right w:w="0" w:type="dxa"/>
          </w:tblCellMar>
        </w:tblPrEx>
        <w:trPr>
          <w:trHeight w:val="57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16</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清扫口</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1.名称、材质:清扫口</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2.型号、规格:De110</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CellMar>
            <w:top w:w="0" w:type="dxa"/>
            <w:left w:w="0" w:type="dxa"/>
            <w:bottom w:w="0" w:type="dxa"/>
            <w:right w:w="0" w:type="dxa"/>
          </w:tblCellMar>
        </w:tblPrEx>
        <w:trPr>
          <w:trHeight w:val="57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17</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检查口</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1.名称、材质:检查口</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2.型号、规格:De50</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jc w:val="right"/>
              <w:rPr>
                <w:rFonts w:hint="eastAsia" w:asciiTheme="minorEastAsia" w:hAnsiTheme="minorEastAsia" w:eastAsiaTheme="minorEastAsia" w:cstheme="minorEastAsia"/>
                <w:i w:val="0"/>
                <w:color w:val="auto"/>
                <w:sz w:val="21"/>
                <w:szCs w:val="21"/>
                <w:highlight w:val="none"/>
                <w:u w:val="none"/>
              </w:rPr>
            </w:pPr>
          </w:p>
        </w:tc>
      </w:tr>
      <w:tr>
        <w:tblPrEx>
          <w:tblCellMar>
            <w:top w:w="0" w:type="dxa"/>
            <w:left w:w="0" w:type="dxa"/>
            <w:bottom w:w="0" w:type="dxa"/>
            <w:right w:w="0" w:type="dxa"/>
          </w:tblCellMar>
        </w:tblPrEx>
        <w:trPr>
          <w:trHeight w:val="57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18</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检查口</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1.名称、材质:检查口</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2.型号、规格:De110</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jc w:val="right"/>
              <w:rPr>
                <w:rFonts w:hint="eastAsia" w:asciiTheme="minorEastAsia" w:hAnsiTheme="minorEastAsia" w:eastAsiaTheme="minorEastAsia" w:cstheme="minorEastAsia"/>
                <w:i w:val="0"/>
                <w:color w:val="auto"/>
                <w:sz w:val="21"/>
                <w:szCs w:val="21"/>
                <w:highlight w:val="none"/>
                <w:u w:val="none"/>
              </w:rPr>
            </w:pPr>
          </w:p>
        </w:tc>
      </w:tr>
      <w:tr>
        <w:tblPrEx>
          <w:tblCellMar>
            <w:top w:w="0" w:type="dxa"/>
            <w:left w:w="0" w:type="dxa"/>
            <w:bottom w:w="0" w:type="dxa"/>
            <w:right w:w="0" w:type="dxa"/>
          </w:tblCellMar>
        </w:tblPrEx>
        <w:trPr>
          <w:trHeight w:val="312" w:hRule="atLeast"/>
          <w:jc w:val="center"/>
        </w:trPr>
        <w:tc>
          <w:tcPr>
            <w:tcW w:w="9254" w:type="dxa"/>
            <w:gridSpan w:val="6"/>
            <w:tcBorders>
              <w:top w:val="single" w:color="000000" w:sz="8"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jc w:val="center"/>
              <w:rPr>
                <w:rFonts w:hint="eastAsia" w:asciiTheme="minorEastAsia" w:hAnsiTheme="minorEastAsia" w:eastAsiaTheme="minorEastAsia" w:cstheme="minorEastAsia"/>
                <w:i w:val="0"/>
                <w:color w:val="auto"/>
                <w:sz w:val="21"/>
                <w:szCs w:val="21"/>
                <w:highlight w:val="none"/>
                <w:u w:val="none"/>
                <w:lang w:eastAsia="zh-CN"/>
              </w:rPr>
            </w:pPr>
            <w:r>
              <w:rPr>
                <w:rFonts w:hint="eastAsia" w:asciiTheme="minorEastAsia" w:hAnsiTheme="minorEastAsia" w:eastAsiaTheme="minorEastAsia" w:cstheme="minorEastAsia"/>
                <w:b/>
                <w:bCs/>
                <w:i w:val="0"/>
                <w:color w:val="auto"/>
                <w:sz w:val="21"/>
                <w:szCs w:val="21"/>
                <w:highlight w:val="none"/>
                <w:u w:val="none"/>
                <w:lang w:eastAsia="zh-CN"/>
              </w:rPr>
              <w:t>电气部分</w:t>
            </w:r>
          </w:p>
        </w:tc>
      </w:tr>
      <w:tr>
        <w:tblPrEx>
          <w:tblCellMar>
            <w:top w:w="0" w:type="dxa"/>
            <w:left w:w="0" w:type="dxa"/>
            <w:bottom w:w="0" w:type="dxa"/>
            <w:right w:w="0" w:type="dxa"/>
          </w:tblCellMar>
        </w:tblPrEx>
        <w:trPr>
          <w:trHeight w:val="9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配电箱</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1.名称:Ap11动力配电箱</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2.规格:1600*600*400</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3.安装方式:悬挂式</w:t>
            </w:r>
          </w:p>
        </w:tc>
        <w:tc>
          <w:tcPr>
            <w:tcW w:w="1112"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台</w:t>
            </w:r>
          </w:p>
        </w:tc>
        <w:tc>
          <w:tcPr>
            <w:tcW w:w="1264"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r>
      <w:tr>
        <w:tblPrEx>
          <w:tblCellMar>
            <w:top w:w="0" w:type="dxa"/>
            <w:left w:w="0" w:type="dxa"/>
            <w:bottom w:w="0" w:type="dxa"/>
            <w:right w:w="0" w:type="dxa"/>
          </w:tblCellMar>
        </w:tblPrEx>
        <w:trPr>
          <w:trHeight w:val="295"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洁净空调净化机组控制配电箱</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1.名称:AP21洁净空调净化机组控制配电箱</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2.规格:1600*600*400</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3.安装方式:悬挂式</w:t>
            </w:r>
          </w:p>
        </w:tc>
        <w:tc>
          <w:tcPr>
            <w:tcW w:w="1112"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台</w:t>
            </w:r>
          </w:p>
        </w:tc>
        <w:tc>
          <w:tcPr>
            <w:tcW w:w="1264"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r>
      <w:tr>
        <w:tblPrEx>
          <w:tblCellMar>
            <w:top w:w="0" w:type="dxa"/>
            <w:left w:w="0" w:type="dxa"/>
            <w:bottom w:w="0" w:type="dxa"/>
            <w:right w:w="0" w:type="dxa"/>
          </w:tblCellMar>
        </w:tblPrEx>
        <w:trPr>
          <w:trHeight w:val="199"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配电箱</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1.名称:AL11照明配电箱</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2.规格:750*600*200</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3.安装方式:悬挂式</w:t>
            </w:r>
          </w:p>
        </w:tc>
        <w:tc>
          <w:tcPr>
            <w:tcW w:w="1112"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台</w:t>
            </w:r>
          </w:p>
        </w:tc>
        <w:tc>
          <w:tcPr>
            <w:tcW w:w="1264"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r>
      <w:tr>
        <w:tblPrEx>
          <w:tblCellMar>
            <w:top w:w="0" w:type="dxa"/>
            <w:left w:w="0" w:type="dxa"/>
            <w:bottom w:w="0" w:type="dxa"/>
            <w:right w:w="0" w:type="dxa"/>
          </w:tblCellMar>
        </w:tblPrEx>
        <w:trPr>
          <w:trHeight w:val="9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配电箱</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1.名称:AL21照明配电箱</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2.规格:750*600*200</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3.安装方式:悬挂式</w:t>
            </w:r>
          </w:p>
        </w:tc>
        <w:tc>
          <w:tcPr>
            <w:tcW w:w="1112"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台</w:t>
            </w:r>
          </w:p>
        </w:tc>
        <w:tc>
          <w:tcPr>
            <w:tcW w:w="1264"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r>
      <w:tr>
        <w:tblPrEx>
          <w:tblCellMar>
            <w:top w:w="0" w:type="dxa"/>
            <w:left w:w="0" w:type="dxa"/>
            <w:bottom w:w="0" w:type="dxa"/>
            <w:right w:w="0" w:type="dxa"/>
          </w:tblCellMar>
        </w:tblPrEx>
        <w:trPr>
          <w:trHeight w:val="825"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配电箱</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1.名称:SYS-AP风机控制箱</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2.规格:750*600*200</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3.安装方式:悬挂式</w:t>
            </w:r>
          </w:p>
        </w:tc>
        <w:tc>
          <w:tcPr>
            <w:tcW w:w="1112"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台</w:t>
            </w:r>
          </w:p>
        </w:tc>
        <w:tc>
          <w:tcPr>
            <w:tcW w:w="1264"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r>
      <w:tr>
        <w:tblPrEx>
          <w:tblCellMar>
            <w:top w:w="0" w:type="dxa"/>
            <w:left w:w="0" w:type="dxa"/>
            <w:bottom w:w="0" w:type="dxa"/>
            <w:right w:w="0" w:type="dxa"/>
          </w:tblCellMar>
        </w:tblPrEx>
        <w:trPr>
          <w:trHeight w:val="57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6</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控制器</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1.名称、型号:时间控制器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2.规格:TMP-C</w:t>
            </w:r>
          </w:p>
        </w:tc>
        <w:tc>
          <w:tcPr>
            <w:tcW w:w="1112"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台</w:t>
            </w:r>
          </w:p>
        </w:tc>
        <w:tc>
          <w:tcPr>
            <w:tcW w:w="1264"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CellMar>
            <w:top w:w="0" w:type="dxa"/>
            <w:left w:w="0" w:type="dxa"/>
            <w:bottom w:w="0" w:type="dxa"/>
            <w:right w:w="0" w:type="dxa"/>
          </w:tblCellMar>
        </w:tblPrEx>
        <w:trPr>
          <w:trHeight w:val="57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7</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线槽</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1.材质:金属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2.规格:150*75*1.5</w:t>
            </w:r>
          </w:p>
        </w:tc>
        <w:tc>
          <w:tcPr>
            <w:tcW w:w="1112"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1264"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54.52</w:t>
            </w:r>
          </w:p>
        </w:tc>
      </w:tr>
      <w:tr>
        <w:tblPrEx>
          <w:tblCellMar>
            <w:top w:w="0" w:type="dxa"/>
            <w:left w:w="0" w:type="dxa"/>
            <w:bottom w:w="0" w:type="dxa"/>
            <w:right w:w="0" w:type="dxa"/>
          </w:tblCellMar>
        </w:tblPrEx>
        <w:trPr>
          <w:trHeight w:val="483"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8</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电力电缆</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1.型号: 阻燃铜芯交联电缆</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 ZRYJV-1kV-4x2.5</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3.敷设方式:电缆敷设</w:t>
            </w:r>
          </w:p>
        </w:tc>
        <w:tc>
          <w:tcPr>
            <w:tcW w:w="1112"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1264"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13.6</w:t>
            </w:r>
          </w:p>
        </w:tc>
      </w:tr>
      <w:tr>
        <w:tblPrEx>
          <w:tblCellMar>
            <w:top w:w="0" w:type="dxa"/>
            <w:left w:w="0" w:type="dxa"/>
            <w:bottom w:w="0" w:type="dxa"/>
            <w:right w:w="0" w:type="dxa"/>
          </w:tblCellMar>
        </w:tblPrEx>
        <w:trPr>
          <w:trHeight w:val="825"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9</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电力电缆</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1.型号: 阻燃铜芯交联电缆</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 ZRYJV-1kV-5x4</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3.敷设方式:电缆敷设</w:t>
            </w:r>
          </w:p>
        </w:tc>
        <w:tc>
          <w:tcPr>
            <w:tcW w:w="1112"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1264"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19.04</w:t>
            </w:r>
          </w:p>
        </w:tc>
      </w:tr>
      <w:tr>
        <w:tblPrEx>
          <w:tblCellMar>
            <w:top w:w="0" w:type="dxa"/>
            <w:left w:w="0" w:type="dxa"/>
            <w:bottom w:w="0" w:type="dxa"/>
            <w:right w:w="0" w:type="dxa"/>
          </w:tblCellMar>
        </w:tblPrEx>
        <w:trPr>
          <w:trHeight w:val="825"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10</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电力电缆</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1.型号: 阻燃铜芯交联电缆</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 ZRYJV-1kV-5x6</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3.敷设方式:电缆敷设</w:t>
            </w:r>
          </w:p>
        </w:tc>
        <w:tc>
          <w:tcPr>
            <w:tcW w:w="1112"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1264"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15.51</w:t>
            </w:r>
          </w:p>
        </w:tc>
      </w:tr>
      <w:tr>
        <w:tblPrEx>
          <w:tblCellMar>
            <w:top w:w="0" w:type="dxa"/>
            <w:left w:w="0" w:type="dxa"/>
            <w:bottom w:w="0" w:type="dxa"/>
            <w:right w:w="0" w:type="dxa"/>
          </w:tblCellMar>
        </w:tblPrEx>
        <w:trPr>
          <w:trHeight w:val="825"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11</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电力电缆</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1.型号: 阻燃铜芯交联电缆</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  ZRYJV-1kV-5x10</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3.敷设方式:电缆敷设</w:t>
            </w:r>
          </w:p>
        </w:tc>
        <w:tc>
          <w:tcPr>
            <w:tcW w:w="1112"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1264"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116.77</w:t>
            </w:r>
          </w:p>
        </w:tc>
      </w:tr>
      <w:tr>
        <w:tblPrEx>
          <w:tblCellMar>
            <w:top w:w="0" w:type="dxa"/>
            <w:left w:w="0" w:type="dxa"/>
            <w:bottom w:w="0" w:type="dxa"/>
            <w:right w:w="0" w:type="dxa"/>
          </w:tblCellMar>
        </w:tblPrEx>
        <w:trPr>
          <w:trHeight w:val="825"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12</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电力电缆</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1.型号: 阻燃铜芯交联电缆</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 ZRYJV-1kV-5x16</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3.敷设方式:电缆敷设</w:t>
            </w:r>
          </w:p>
        </w:tc>
        <w:tc>
          <w:tcPr>
            <w:tcW w:w="1112"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1264"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16.13</w:t>
            </w:r>
          </w:p>
        </w:tc>
      </w:tr>
      <w:tr>
        <w:tblPrEx>
          <w:tblCellMar>
            <w:top w:w="0" w:type="dxa"/>
            <w:left w:w="0" w:type="dxa"/>
            <w:bottom w:w="0" w:type="dxa"/>
            <w:right w:w="0" w:type="dxa"/>
          </w:tblCellMar>
        </w:tblPrEx>
        <w:trPr>
          <w:trHeight w:val="327"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13</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电力电缆</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1.型号: 阻燃铜芯交联电缆</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 ZRYJV-1kV-3x25+2x16</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3.敷设方式:电缆敷设</w:t>
            </w:r>
          </w:p>
        </w:tc>
        <w:tc>
          <w:tcPr>
            <w:tcW w:w="1112"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1264"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10.17</w:t>
            </w:r>
          </w:p>
        </w:tc>
      </w:tr>
      <w:tr>
        <w:tblPrEx>
          <w:tblCellMar>
            <w:top w:w="0" w:type="dxa"/>
            <w:left w:w="0" w:type="dxa"/>
            <w:bottom w:w="0" w:type="dxa"/>
            <w:right w:w="0" w:type="dxa"/>
          </w:tblCellMar>
        </w:tblPrEx>
        <w:trPr>
          <w:trHeight w:val="201"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14</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电力电缆</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1.型号: 阻燃铜芯交联电缆</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   ZRYJV-1kV-3x50+2x25</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3.敷设方式:电缆敷设</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47</w:t>
            </w:r>
          </w:p>
        </w:tc>
      </w:tr>
      <w:tr>
        <w:tblPrEx>
          <w:tblCellMar>
            <w:top w:w="0" w:type="dxa"/>
            <w:left w:w="0" w:type="dxa"/>
            <w:bottom w:w="0" w:type="dxa"/>
            <w:right w:w="0" w:type="dxa"/>
          </w:tblCellMar>
        </w:tblPrEx>
        <w:trPr>
          <w:trHeight w:val="9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15</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配线</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1.配线形式: 耐火铜芯塑料电线</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2.导线型号、材质、规格:  NHBVV-0.5kV-2.5</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3.敷设部位或线制:砖、混凝土结构三线</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131.88</w:t>
            </w:r>
          </w:p>
        </w:tc>
      </w:tr>
      <w:tr>
        <w:tblPrEx>
          <w:tblCellMar>
            <w:top w:w="0" w:type="dxa"/>
            <w:left w:w="0" w:type="dxa"/>
            <w:bottom w:w="0" w:type="dxa"/>
            <w:right w:w="0" w:type="dxa"/>
          </w:tblCellMar>
        </w:tblPrEx>
        <w:trPr>
          <w:trHeight w:val="30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16</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配线</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1.配线形式:  阻燃铜芯塑料电线</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2.导线型号、材质、规格:   ZRBVV-0.5kV-2.5</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3.敷设部位或线制:砖、混凝土结构三线</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579.4</w:t>
            </w:r>
          </w:p>
        </w:tc>
      </w:tr>
      <w:tr>
        <w:tblPrEx>
          <w:tblCellMar>
            <w:top w:w="0" w:type="dxa"/>
            <w:left w:w="0" w:type="dxa"/>
            <w:bottom w:w="0" w:type="dxa"/>
            <w:right w:w="0" w:type="dxa"/>
          </w:tblCellMar>
        </w:tblPrEx>
        <w:trPr>
          <w:trHeight w:val="9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17</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配线</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1.配线形式:  阻燃铜芯塑料电线</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2.导线型号、材质、规格:    ZRBVV-0.5kV-4</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3.敷设部位或线制:砖、混凝土结构三线</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1199.46</w:t>
            </w:r>
          </w:p>
        </w:tc>
      </w:tr>
      <w:tr>
        <w:tblPrEx>
          <w:tblCellMar>
            <w:top w:w="0" w:type="dxa"/>
            <w:left w:w="0" w:type="dxa"/>
            <w:bottom w:w="0" w:type="dxa"/>
            <w:right w:w="0" w:type="dxa"/>
          </w:tblCellMar>
        </w:tblPrEx>
        <w:trPr>
          <w:trHeight w:val="9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18</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电话线</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1.配线形式:  电话线</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2.导线型号、材质、规格:    四芯</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220.34</w:t>
            </w:r>
          </w:p>
        </w:tc>
      </w:tr>
      <w:tr>
        <w:tblPrEx>
          <w:tblCellMar>
            <w:top w:w="0" w:type="dxa"/>
            <w:left w:w="0" w:type="dxa"/>
            <w:bottom w:w="0" w:type="dxa"/>
            <w:right w:w="0" w:type="dxa"/>
          </w:tblCellMar>
        </w:tblPrEx>
        <w:trPr>
          <w:trHeight w:val="9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19</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双绞线缆</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1.配线形式:  电话线</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2.导线型号、材质、规格:    六类网络线</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220.34</w:t>
            </w:r>
          </w:p>
        </w:tc>
      </w:tr>
      <w:tr>
        <w:tblPrEx>
          <w:tblCellMar>
            <w:top w:w="0" w:type="dxa"/>
            <w:left w:w="0" w:type="dxa"/>
            <w:bottom w:w="0" w:type="dxa"/>
            <w:right w:w="0" w:type="dxa"/>
          </w:tblCellMar>
        </w:tblPrEx>
        <w:trPr>
          <w:trHeight w:val="693"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20</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配管</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1.名称:电线管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2.材质:镀锌线管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3.规格:DN20mm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4.配置形式及部位:砖、混凝土结构暗配</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208.4</w:t>
            </w:r>
          </w:p>
        </w:tc>
      </w:tr>
      <w:tr>
        <w:tblPrEx>
          <w:tblCellMar>
            <w:top w:w="0" w:type="dxa"/>
            <w:left w:w="0" w:type="dxa"/>
            <w:bottom w:w="0" w:type="dxa"/>
            <w:right w:w="0" w:type="dxa"/>
          </w:tblCellMar>
        </w:tblPrEx>
        <w:trPr>
          <w:trHeight w:val="188"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21</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配管</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1.名称:电线管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2.材质:镀锌线管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3.规格:DN25mm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4.配置形式及部位:砖、混凝土结构暗配</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40</w:t>
            </w:r>
          </w:p>
        </w:tc>
      </w:tr>
      <w:tr>
        <w:tblPrEx>
          <w:tblCellMar>
            <w:top w:w="0" w:type="dxa"/>
            <w:left w:w="0" w:type="dxa"/>
            <w:bottom w:w="0" w:type="dxa"/>
            <w:right w:w="0" w:type="dxa"/>
          </w:tblCellMar>
        </w:tblPrEx>
        <w:trPr>
          <w:trHeight w:val="9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22</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配管</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1.名称:电线管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2.材质:镀锌线管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3.规格:DN40mm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4.配置形式及部位:砖、混凝土结构暗配</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6.7</w:t>
            </w:r>
          </w:p>
        </w:tc>
      </w:tr>
      <w:tr>
        <w:tblPrEx>
          <w:tblCellMar>
            <w:top w:w="0" w:type="dxa"/>
            <w:left w:w="0" w:type="dxa"/>
            <w:bottom w:w="0" w:type="dxa"/>
            <w:right w:w="0" w:type="dxa"/>
          </w:tblCellMar>
        </w:tblPrEx>
        <w:trPr>
          <w:trHeight w:val="33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23</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配管</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1.名称:电线管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2.材质:镀锌线管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3.规格:DN50mm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4.配置形式及部位:砖、混凝土结构暗配</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2.54</w:t>
            </w:r>
          </w:p>
        </w:tc>
      </w:tr>
      <w:tr>
        <w:tblPrEx>
          <w:tblCellMar>
            <w:top w:w="0" w:type="dxa"/>
            <w:left w:w="0" w:type="dxa"/>
            <w:bottom w:w="0" w:type="dxa"/>
            <w:right w:w="0" w:type="dxa"/>
          </w:tblCellMar>
        </w:tblPrEx>
        <w:trPr>
          <w:trHeight w:val="825"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24</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照明开关</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1.名称:双联双控开关</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2.规格:250V  10A</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3.安装方式:暗装</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r>
      <w:tr>
        <w:tblPrEx>
          <w:tblCellMar>
            <w:top w:w="0" w:type="dxa"/>
            <w:left w:w="0" w:type="dxa"/>
            <w:bottom w:w="0" w:type="dxa"/>
            <w:right w:w="0" w:type="dxa"/>
          </w:tblCellMar>
        </w:tblPrEx>
        <w:trPr>
          <w:trHeight w:val="341"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25</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照明开关</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1.名称:三联单控开关</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2.规格:250V  10A</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3.安装方式:暗装</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r>
      <w:tr>
        <w:tblPrEx>
          <w:tblCellMar>
            <w:top w:w="0" w:type="dxa"/>
            <w:left w:w="0" w:type="dxa"/>
            <w:bottom w:w="0" w:type="dxa"/>
            <w:right w:w="0" w:type="dxa"/>
          </w:tblCellMar>
        </w:tblPrEx>
        <w:trPr>
          <w:trHeight w:val="825"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26</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照明开关</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1.名称:单联单控开关</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2.规格:250V  10A</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3.安装方式:暗装</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7</w:t>
            </w:r>
          </w:p>
        </w:tc>
      </w:tr>
      <w:tr>
        <w:tblPrEx>
          <w:tblCellMar>
            <w:top w:w="0" w:type="dxa"/>
            <w:left w:w="0" w:type="dxa"/>
            <w:bottom w:w="0" w:type="dxa"/>
            <w:right w:w="0" w:type="dxa"/>
          </w:tblCellMar>
        </w:tblPrEx>
        <w:trPr>
          <w:trHeight w:val="57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27</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时间控制器</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1.名称:时间控制器</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2.安装方式:暗装</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r>
      <w:tr>
        <w:tblPrEx>
          <w:tblCellMar>
            <w:top w:w="0" w:type="dxa"/>
            <w:left w:w="0" w:type="dxa"/>
            <w:bottom w:w="0" w:type="dxa"/>
            <w:right w:w="0" w:type="dxa"/>
          </w:tblCellMar>
        </w:tblPrEx>
        <w:trPr>
          <w:trHeight w:val="57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28</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门禁</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1.名称:门禁</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2.规格:双门</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台</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w:t>
            </w:r>
          </w:p>
        </w:tc>
      </w:tr>
      <w:tr>
        <w:tblPrEx>
          <w:tblCellMar>
            <w:top w:w="0" w:type="dxa"/>
            <w:left w:w="0" w:type="dxa"/>
            <w:bottom w:w="0" w:type="dxa"/>
            <w:right w:w="0" w:type="dxa"/>
          </w:tblCellMar>
        </w:tblPrEx>
        <w:trPr>
          <w:trHeight w:val="57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29</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安全出口灯</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1.名称:安全出口指示灯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2.安装形式:墙壁安装</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w:t>
            </w:r>
          </w:p>
        </w:tc>
      </w:tr>
      <w:tr>
        <w:tblPrEx>
          <w:tblCellMar>
            <w:top w:w="0" w:type="dxa"/>
            <w:left w:w="0" w:type="dxa"/>
            <w:bottom w:w="0" w:type="dxa"/>
            <w:right w:w="0" w:type="dxa"/>
          </w:tblCellMar>
        </w:tblPrEx>
        <w:trPr>
          <w:trHeight w:val="825"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30</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三相五孔插座</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1.名称:三相五孔插座</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2.规格:250V  16A</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3.安装方式:暗装</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r>
      <w:tr>
        <w:tblPrEx>
          <w:tblCellMar>
            <w:top w:w="0" w:type="dxa"/>
            <w:left w:w="0" w:type="dxa"/>
            <w:bottom w:w="0" w:type="dxa"/>
            <w:right w:w="0" w:type="dxa"/>
          </w:tblCellMar>
        </w:tblPrEx>
        <w:trPr>
          <w:trHeight w:val="825"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31</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中央台自带插座</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1.名称:中央台自带插座</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2.规格:250V  16A</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3.安装方式:暗装</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CellMar>
            <w:top w:w="0" w:type="dxa"/>
            <w:left w:w="0" w:type="dxa"/>
            <w:bottom w:w="0" w:type="dxa"/>
            <w:right w:w="0" w:type="dxa"/>
          </w:tblCellMar>
        </w:tblPrEx>
        <w:trPr>
          <w:trHeight w:val="825"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32</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单相五孔插座</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1.名称:单相五孔插座</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2.规格:250V  10A</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3.安装方式:暗装</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48</w:t>
            </w:r>
          </w:p>
        </w:tc>
      </w:tr>
      <w:tr>
        <w:tblPrEx>
          <w:tblCellMar>
            <w:top w:w="0" w:type="dxa"/>
            <w:left w:w="0" w:type="dxa"/>
            <w:bottom w:w="0" w:type="dxa"/>
            <w:right w:w="0" w:type="dxa"/>
          </w:tblCellMar>
        </w:tblPrEx>
        <w:trPr>
          <w:trHeight w:val="825"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33</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电话网络插座</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1.名称:电话网络插座</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2.规格:250V  10A</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3.安装方式:暗装</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8</w:t>
            </w:r>
          </w:p>
        </w:tc>
      </w:tr>
      <w:tr>
        <w:tblPrEx>
          <w:tblCellMar>
            <w:top w:w="0" w:type="dxa"/>
            <w:left w:w="0" w:type="dxa"/>
            <w:bottom w:w="0" w:type="dxa"/>
            <w:right w:w="0" w:type="dxa"/>
          </w:tblCellMar>
        </w:tblPrEx>
        <w:trPr>
          <w:trHeight w:val="108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34</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紫外线杀菌灯</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1.名称:紫外线杀菌灯</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2.型号:30W</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3.规格:不锈钢弯管，石英管</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4.安装形式:吸顶式</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18</w:t>
            </w:r>
          </w:p>
        </w:tc>
      </w:tr>
      <w:tr>
        <w:tblPrEx>
          <w:tblCellMar>
            <w:top w:w="0" w:type="dxa"/>
            <w:left w:w="0" w:type="dxa"/>
            <w:bottom w:w="0" w:type="dxa"/>
            <w:right w:w="0" w:type="dxa"/>
          </w:tblCellMar>
        </w:tblPrEx>
        <w:trPr>
          <w:trHeight w:val="57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35</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排气扇</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1.名称:排气扇</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2.功率:60w</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台</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r>
      <w:tr>
        <w:tblPrEx>
          <w:tblCellMar>
            <w:top w:w="0" w:type="dxa"/>
            <w:left w:w="0" w:type="dxa"/>
            <w:bottom w:w="0" w:type="dxa"/>
            <w:right w:w="0" w:type="dxa"/>
          </w:tblCellMar>
        </w:tblPrEx>
        <w:trPr>
          <w:trHeight w:val="108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36</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双管LED灯</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1.名称:双管LED灯</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2.型号:2×36W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3.规格:双管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4.安装形式:吸顶式</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r>
      <w:tr>
        <w:tblPrEx>
          <w:tblCellMar>
            <w:top w:w="0" w:type="dxa"/>
            <w:left w:w="0" w:type="dxa"/>
            <w:bottom w:w="0" w:type="dxa"/>
            <w:right w:w="0" w:type="dxa"/>
          </w:tblCellMar>
        </w:tblPrEx>
        <w:trPr>
          <w:trHeight w:val="108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37</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LED洁净平板灯</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1.名称:LED洁净平板灯</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2.型号:40W （带应急）</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3.规格:600*600</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4.安装形式:吸顶式</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w:t>
            </w:r>
          </w:p>
        </w:tc>
      </w:tr>
      <w:tr>
        <w:tblPrEx>
          <w:tblCellMar>
            <w:top w:w="0" w:type="dxa"/>
            <w:left w:w="0" w:type="dxa"/>
            <w:bottom w:w="0" w:type="dxa"/>
            <w:right w:w="0" w:type="dxa"/>
          </w:tblCellMar>
        </w:tblPrEx>
        <w:trPr>
          <w:trHeight w:val="108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38</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LED洁净平板灯</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1.名称:LED洁净平板灯</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2.型号:40W</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3.规格:600*600</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4.安装形式:吸顶式</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9</w:t>
            </w:r>
          </w:p>
        </w:tc>
      </w:tr>
      <w:tr>
        <w:tblPrEx>
          <w:tblCellMar>
            <w:top w:w="0" w:type="dxa"/>
            <w:left w:w="0" w:type="dxa"/>
            <w:bottom w:w="0" w:type="dxa"/>
            <w:right w:w="0" w:type="dxa"/>
          </w:tblCellMar>
        </w:tblPrEx>
        <w:trPr>
          <w:trHeight w:val="108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39</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LED洁净平板灯</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1.名称:LED平板灯</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2.型号:20W</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3.规格:600*600</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4.安装形式:吸顶式</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r>
      <w:tr>
        <w:tblPrEx>
          <w:tblCellMar>
            <w:top w:w="0" w:type="dxa"/>
            <w:left w:w="0" w:type="dxa"/>
            <w:bottom w:w="0" w:type="dxa"/>
            <w:right w:w="0" w:type="dxa"/>
          </w:tblCellMar>
        </w:tblPrEx>
        <w:trPr>
          <w:trHeight w:val="108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40</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LED洁净平板灯</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1.名称:LED洁净平板灯</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2.型号:20W （带应急）</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3.规格:600*600</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4.安装形式:吸顶式</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w:t>
            </w:r>
          </w:p>
        </w:tc>
      </w:tr>
      <w:tr>
        <w:tblPrEx>
          <w:tblCellMar>
            <w:top w:w="0" w:type="dxa"/>
            <w:left w:w="0" w:type="dxa"/>
            <w:bottom w:w="0" w:type="dxa"/>
            <w:right w:w="0" w:type="dxa"/>
          </w:tblCellMar>
        </w:tblPrEx>
        <w:trPr>
          <w:trHeight w:val="108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41</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嵌入式平板灯</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1.名称:嵌入式LED洁净平板灯</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2.型号:40W</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3.规格:600*600</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4.安装形式:吸顶式</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w:t>
            </w:r>
          </w:p>
        </w:tc>
      </w:tr>
      <w:tr>
        <w:tblPrEx>
          <w:tblCellMar>
            <w:top w:w="0" w:type="dxa"/>
            <w:left w:w="0" w:type="dxa"/>
            <w:bottom w:w="0" w:type="dxa"/>
            <w:right w:w="0" w:type="dxa"/>
          </w:tblCellMar>
        </w:tblPrEx>
        <w:trPr>
          <w:trHeight w:val="36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42</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接线盒</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1.接线盒</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50</w:t>
            </w:r>
          </w:p>
        </w:tc>
      </w:tr>
      <w:tr>
        <w:tblPrEx>
          <w:tblCellMar>
            <w:top w:w="0" w:type="dxa"/>
            <w:left w:w="0" w:type="dxa"/>
            <w:bottom w:w="0" w:type="dxa"/>
            <w:right w:w="0" w:type="dxa"/>
          </w:tblCellMar>
        </w:tblPrEx>
        <w:trPr>
          <w:trHeight w:val="57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43</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送配电装置系统</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1.型号:直流供电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2.电压等级:500V以下</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系统</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r>
      <w:tr>
        <w:tblPrEx>
          <w:tblCellMar>
            <w:top w:w="0" w:type="dxa"/>
            <w:left w:w="0" w:type="dxa"/>
            <w:bottom w:w="0" w:type="dxa"/>
            <w:right w:w="0" w:type="dxa"/>
          </w:tblCellMar>
        </w:tblPrEx>
        <w:trPr>
          <w:trHeight w:val="360" w:hRule="atLeast"/>
          <w:jc w:val="center"/>
        </w:trPr>
        <w:tc>
          <w:tcPr>
            <w:tcW w:w="9254" w:type="dxa"/>
            <w:gridSpan w:val="6"/>
            <w:tcBorders>
              <w:top w:val="single" w:color="000000" w:sz="8"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jc w:val="center"/>
              <w:rPr>
                <w:rFonts w:hint="eastAsia" w:asciiTheme="minorEastAsia" w:hAnsiTheme="minorEastAsia" w:eastAsiaTheme="minorEastAsia" w:cstheme="minorEastAsia"/>
                <w:b/>
                <w:bCs/>
                <w:i w:val="0"/>
                <w:color w:val="auto"/>
                <w:sz w:val="21"/>
                <w:szCs w:val="21"/>
                <w:highlight w:val="none"/>
                <w:u w:val="none"/>
                <w:lang w:eastAsia="zh-CN"/>
              </w:rPr>
            </w:pPr>
            <w:r>
              <w:rPr>
                <w:rFonts w:hint="eastAsia" w:asciiTheme="minorEastAsia" w:hAnsiTheme="minorEastAsia" w:eastAsiaTheme="minorEastAsia" w:cstheme="minorEastAsia"/>
                <w:b/>
                <w:bCs/>
                <w:i w:val="0"/>
                <w:color w:val="auto"/>
                <w:sz w:val="21"/>
                <w:szCs w:val="21"/>
                <w:highlight w:val="none"/>
                <w:u w:val="none"/>
                <w:lang w:eastAsia="zh-CN"/>
              </w:rPr>
              <w:t>暖通工程部分</w:t>
            </w:r>
          </w:p>
        </w:tc>
      </w:tr>
      <w:tr>
        <w:tblPrEx>
          <w:tblCellMar>
            <w:top w:w="0" w:type="dxa"/>
            <w:left w:w="0" w:type="dxa"/>
            <w:bottom w:w="0" w:type="dxa"/>
            <w:right w:w="0" w:type="dxa"/>
          </w:tblCellMar>
        </w:tblPrEx>
        <w:trPr>
          <w:trHeight w:val="261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组合式空气处理机组</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JK201</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1.名称：风冷直喷式循环风机组</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2.风量： 4500CMH</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3.制冷：30KW</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4.电热：18KW</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5.加湿：5kg/h(电极)</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6.机外余压：750Pa</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7.电功率：50KW</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8.机组尺寸：2800*1350*1780mm</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台</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r>
      <w:tr>
        <w:tblPrEx>
          <w:tblCellMar>
            <w:top w:w="0" w:type="dxa"/>
            <w:left w:w="0" w:type="dxa"/>
            <w:bottom w:w="0" w:type="dxa"/>
            <w:right w:w="0" w:type="dxa"/>
          </w:tblCellMar>
        </w:tblPrEx>
        <w:trPr>
          <w:trHeight w:val="825"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中效排风机</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PJ201</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1.风量：500CMH</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2.机外余压：200Pa</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3.功率：0.5KW</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台</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r>
      <w:tr>
        <w:tblPrEx>
          <w:tblCellMar>
            <w:top w:w="0" w:type="dxa"/>
            <w:left w:w="0" w:type="dxa"/>
            <w:bottom w:w="0" w:type="dxa"/>
            <w:right w:w="0" w:type="dxa"/>
          </w:tblCellMar>
        </w:tblPrEx>
        <w:trPr>
          <w:trHeight w:val="57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高效送风静压箱</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1.风量：500CMH</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r>
      <w:tr>
        <w:tblPrEx>
          <w:tblCellMar>
            <w:top w:w="0" w:type="dxa"/>
            <w:left w:w="0" w:type="dxa"/>
            <w:bottom w:w="0" w:type="dxa"/>
            <w:right w:w="0" w:type="dxa"/>
          </w:tblCellMar>
        </w:tblPrEx>
        <w:trPr>
          <w:trHeight w:val="36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空气过滤器</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1.风量：500CMH</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r>
      <w:tr>
        <w:tblPrEx>
          <w:tblCellMar>
            <w:top w:w="0" w:type="dxa"/>
            <w:left w:w="0" w:type="dxa"/>
            <w:bottom w:w="0" w:type="dxa"/>
            <w:right w:w="0" w:type="dxa"/>
          </w:tblCellMar>
        </w:tblPrEx>
        <w:trPr>
          <w:trHeight w:val="57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高效送风静压箱</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1.风量：700CMH</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r>
      <w:tr>
        <w:tblPrEx>
          <w:tblCellMar>
            <w:top w:w="0" w:type="dxa"/>
            <w:left w:w="0" w:type="dxa"/>
            <w:bottom w:w="0" w:type="dxa"/>
            <w:right w:w="0" w:type="dxa"/>
          </w:tblCellMar>
        </w:tblPrEx>
        <w:trPr>
          <w:trHeight w:val="36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6</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空气过滤器</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1.风量：700CMH</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r>
      <w:tr>
        <w:tblPrEx>
          <w:tblCellMar>
            <w:top w:w="0" w:type="dxa"/>
            <w:left w:w="0" w:type="dxa"/>
            <w:bottom w:w="0" w:type="dxa"/>
            <w:right w:w="0" w:type="dxa"/>
          </w:tblCellMar>
        </w:tblPrEx>
        <w:trPr>
          <w:trHeight w:val="57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7</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高效送风静压箱</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1.风量：1300CMH</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w:t>
            </w:r>
          </w:p>
        </w:tc>
      </w:tr>
      <w:tr>
        <w:tblPrEx>
          <w:tblCellMar>
            <w:top w:w="0" w:type="dxa"/>
            <w:left w:w="0" w:type="dxa"/>
            <w:bottom w:w="0" w:type="dxa"/>
            <w:right w:w="0" w:type="dxa"/>
          </w:tblCellMar>
        </w:tblPrEx>
        <w:trPr>
          <w:trHeight w:val="36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8</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空气过滤器</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1.风量：1300CMH</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w:t>
            </w:r>
          </w:p>
        </w:tc>
      </w:tr>
      <w:tr>
        <w:tblPrEx>
          <w:tblCellMar>
            <w:top w:w="0" w:type="dxa"/>
            <w:left w:w="0" w:type="dxa"/>
            <w:bottom w:w="0" w:type="dxa"/>
            <w:right w:w="0" w:type="dxa"/>
          </w:tblCellMar>
        </w:tblPrEx>
        <w:trPr>
          <w:trHeight w:val="57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9</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送风散流器</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1.类型:方形散流器</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2.规格:400*400</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w:t>
            </w:r>
          </w:p>
        </w:tc>
      </w:tr>
      <w:tr>
        <w:tblPrEx>
          <w:tblCellMar>
            <w:top w:w="0" w:type="dxa"/>
            <w:left w:w="0" w:type="dxa"/>
            <w:bottom w:w="0" w:type="dxa"/>
            <w:right w:w="0" w:type="dxa"/>
          </w:tblCellMar>
        </w:tblPrEx>
        <w:trPr>
          <w:trHeight w:val="57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10</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送风散流器</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1.类型:方形散流器</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2.规格:200*200</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r>
      <w:tr>
        <w:tblPrEx>
          <w:tblCellMar>
            <w:top w:w="0" w:type="dxa"/>
            <w:left w:w="0" w:type="dxa"/>
            <w:bottom w:w="0" w:type="dxa"/>
            <w:right w:w="0" w:type="dxa"/>
          </w:tblCellMar>
        </w:tblPrEx>
        <w:trPr>
          <w:trHeight w:val="36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11</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排气扇</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1.风量：300CMH</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台</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CellMar>
            <w:top w:w="0" w:type="dxa"/>
            <w:left w:w="0" w:type="dxa"/>
            <w:bottom w:w="0" w:type="dxa"/>
            <w:right w:w="0" w:type="dxa"/>
          </w:tblCellMar>
        </w:tblPrEx>
        <w:trPr>
          <w:trHeight w:val="108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12</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回风单层百叶</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1.类型:百叶风口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2.规格:250X320</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(喉口尺寸)</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3.形式:单层</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r>
      <w:tr>
        <w:tblPrEx>
          <w:tblCellMar>
            <w:top w:w="0" w:type="dxa"/>
            <w:left w:w="0" w:type="dxa"/>
            <w:bottom w:w="0" w:type="dxa"/>
            <w:right w:w="0" w:type="dxa"/>
          </w:tblCellMar>
        </w:tblPrEx>
        <w:trPr>
          <w:trHeight w:val="108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13</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回风单层百叶</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1.类型:百叶风口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2.规格:400X500</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(喉口尺寸)</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3.形式:单层</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6</w:t>
            </w:r>
          </w:p>
        </w:tc>
      </w:tr>
      <w:tr>
        <w:tblPrEx>
          <w:tblCellMar>
            <w:top w:w="0" w:type="dxa"/>
            <w:left w:w="0" w:type="dxa"/>
            <w:bottom w:w="0" w:type="dxa"/>
            <w:right w:w="0" w:type="dxa"/>
          </w:tblCellMar>
        </w:tblPrEx>
        <w:trPr>
          <w:trHeight w:val="825"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14</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防雨新风单层百叶</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1.类型:百叶风口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2.规格:250X200(喉口尺寸)</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3.形式:单层</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r>
      <w:tr>
        <w:tblPrEx>
          <w:tblCellMar>
            <w:top w:w="0" w:type="dxa"/>
            <w:left w:w="0" w:type="dxa"/>
            <w:bottom w:w="0" w:type="dxa"/>
            <w:right w:w="0" w:type="dxa"/>
          </w:tblCellMar>
        </w:tblPrEx>
        <w:trPr>
          <w:trHeight w:val="36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15</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双层帆布软接</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1.帆布软接</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1.95</w:t>
            </w:r>
          </w:p>
        </w:tc>
      </w:tr>
      <w:tr>
        <w:tblPrEx>
          <w:tblCellMar>
            <w:top w:w="0" w:type="dxa"/>
            <w:left w:w="0" w:type="dxa"/>
            <w:bottom w:w="0" w:type="dxa"/>
            <w:right w:w="0" w:type="dxa"/>
          </w:tblCellMar>
        </w:tblPrEx>
        <w:trPr>
          <w:trHeight w:val="57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16</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手动对开多叶调节阀</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1.类型:对开多叶调节阀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  500mm×320mm</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r>
      <w:tr>
        <w:tblPrEx>
          <w:tblCellMar>
            <w:top w:w="0" w:type="dxa"/>
            <w:left w:w="0" w:type="dxa"/>
            <w:bottom w:w="0" w:type="dxa"/>
            <w:right w:w="0" w:type="dxa"/>
          </w:tblCellMar>
        </w:tblPrEx>
        <w:trPr>
          <w:trHeight w:val="57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17</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手动对开多叶调节阀</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1.类型:对开多叶调节阀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  500mm×250mm</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r>
      <w:tr>
        <w:tblPrEx>
          <w:tblCellMar>
            <w:top w:w="0" w:type="dxa"/>
            <w:left w:w="0" w:type="dxa"/>
            <w:bottom w:w="0" w:type="dxa"/>
            <w:right w:w="0" w:type="dxa"/>
          </w:tblCellMar>
        </w:tblPrEx>
        <w:trPr>
          <w:trHeight w:val="57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18</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手动对开多叶调节阀</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1.类型:对开多叶调节阀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  500mm×200mm</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r>
      <w:tr>
        <w:tblPrEx>
          <w:tblCellMar>
            <w:top w:w="0" w:type="dxa"/>
            <w:left w:w="0" w:type="dxa"/>
            <w:bottom w:w="0" w:type="dxa"/>
            <w:right w:w="0" w:type="dxa"/>
          </w:tblCellMar>
        </w:tblPrEx>
        <w:trPr>
          <w:trHeight w:val="57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19</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手动对开多叶调节阀</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1.类型:对开多叶调节阀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 320mm×250mm</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w:t>
            </w:r>
          </w:p>
        </w:tc>
      </w:tr>
      <w:tr>
        <w:tblPrEx>
          <w:tblCellMar>
            <w:top w:w="0" w:type="dxa"/>
            <w:left w:w="0" w:type="dxa"/>
            <w:bottom w:w="0" w:type="dxa"/>
            <w:right w:w="0" w:type="dxa"/>
          </w:tblCellMar>
        </w:tblPrEx>
        <w:trPr>
          <w:trHeight w:val="57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20</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手动对开多叶调节阀</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1.类型:对开多叶调节阀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 320mm×200mm</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r>
      <w:tr>
        <w:tblPrEx>
          <w:tblCellMar>
            <w:top w:w="0" w:type="dxa"/>
            <w:left w:w="0" w:type="dxa"/>
            <w:bottom w:w="0" w:type="dxa"/>
            <w:right w:w="0" w:type="dxa"/>
          </w:tblCellMar>
        </w:tblPrEx>
        <w:trPr>
          <w:trHeight w:val="57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21</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手动对开多叶调节阀</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1.类型:对开多叶调节阀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 250mm×200mm</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7</w:t>
            </w:r>
          </w:p>
        </w:tc>
      </w:tr>
      <w:tr>
        <w:tblPrEx>
          <w:tblCellMar>
            <w:top w:w="0" w:type="dxa"/>
            <w:left w:w="0" w:type="dxa"/>
            <w:bottom w:w="0" w:type="dxa"/>
            <w:right w:w="0" w:type="dxa"/>
          </w:tblCellMar>
        </w:tblPrEx>
        <w:trPr>
          <w:trHeight w:val="57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22</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手动对开多叶调节阀</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1.类型:对开多叶调节阀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 200mm×200mm</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8</w:t>
            </w:r>
          </w:p>
        </w:tc>
      </w:tr>
      <w:tr>
        <w:tblPrEx>
          <w:tblCellMar>
            <w:top w:w="0" w:type="dxa"/>
            <w:left w:w="0" w:type="dxa"/>
            <w:bottom w:w="0" w:type="dxa"/>
            <w:right w:w="0" w:type="dxa"/>
          </w:tblCellMar>
        </w:tblPrEx>
        <w:trPr>
          <w:trHeight w:val="57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23</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止回阀</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1.类型:矩形风管止回阀</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 250mm×200mm</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CellMar>
            <w:top w:w="0" w:type="dxa"/>
            <w:left w:w="0" w:type="dxa"/>
            <w:bottom w:w="0" w:type="dxa"/>
            <w:right w:w="0" w:type="dxa"/>
          </w:tblCellMar>
        </w:tblPrEx>
        <w:trPr>
          <w:trHeight w:val="2355"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24</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镀锌风管</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1.材质:镀锌薄钢板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2.形状:矩形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3.周长:＜800mm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4.板材厚度:  δ=0.6mm</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5.接口形式:咬口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6.支架:过跨风管落地支架(型钢综合)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7.除锈、刷油:人工除锈、防锈漆两遍</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m2</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16.86</w:t>
            </w:r>
          </w:p>
        </w:tc>
      </w:tr>
      <w:tr>
        <w:tblPrEx>
          <w:tblCellMar>
            <w:top w:w="0" w:type="dxa"/>
            <w:left w:w="0" w:type="dxa"/>
            <w:bottom w:w="0" w:type="dxa"/>
            <w:right w:w="0" w:type="dxa"/>
          </w:tblCellMar>
        </w:tblPrEx>
        <w:trPr>
          <w:trHeight w:val="2355"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25</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镀锌风管</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1.材质:镀锌薄钢板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2.形状:矩形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3.周长:＜2000mm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4.板材厚度:δ=0.6mm</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5.接口形式:咬口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6.支架:过跨风管落地支架(型钢综合)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7.除锈、刷油:人工除锈、防锈漆两遍</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m2</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14.53</w:t>
            </w:r>
          </w:p>
        </w:tc>
      </w:tr>
      <w:tr>
        <w:tblPrEx>
          <w:tblCellMar>
            <w:top w:w="0" w:type="dxa"/>
            <w:left w:w="0" w:type="dxa"/>
            <w:bottom w:w="0" w:type="dxa"/>
            <w:right w:w="0" w:type="dxa"/>
          </w:tblCellMar>
        </w:tblPrEx>
        <w:trPr>
          <w:trHeight w:val="1388"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26</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镀锌风管</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1.材质:洁净空调用镀锌薄钢板（洁净空调用）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2.形状:矩形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3.周长:＜800mm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4.板材厚度:  δ=0.75mm</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5.接口形式:咬口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6.支架:过跨风管落地支架(型钢综合)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7.除锈、刷油:人工除锈、防锈漆两遍</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m2</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7.24</w:t>
            </w:r>
          </w:p>
        </w:tc>
      </w:tr>
      <w:tr>
        <w:tblPrEx>
          <w:tblCellMar>
            <w:top w:w="0" w:type="dxa"/>
            <w:left w:w="0" w:type="dxa"/>
            <w:bottom w:w="0" w:type="dxa"/>
            <w:right w:w="0" w:type="dxa"/>
          </w:tblCellMar>
        </w:tblPrEx>
        <w:trPr>
          <w:trHeight w:val="1101"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27</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镀锌风管</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1.材质:镀锌薄钢板（洁净空调用）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2.形状:矩形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3.周长:＜2000mm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4.板材厚度:  δ=0.75mm</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5.接口形式:咬口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6.支架:过跨风管落地支架(型钢综合)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7.除锈、刷油:人工除锈、防锈漆两遍</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m2</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48.54</w:t>
            </w:r>
          </w:p>
        </w:tc>
      </w:tr>
      <w:tr>
        <w:tblPrEx>
          <w:tblCellMar>
            <w:top w:w="0" w:type="dxa"/>
            <w:left w:w="0" w:type="dxa"/>
            <w:bottom w:w="0" w:type="dxa"/>
            <w:right w:w="0" w:type="dxa"/>
          </w:tblCellMar>
        </w:tblPrEx>
        <w:trPr>
          <w:trHeight w:val="825"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28</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通风管道绝热</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1.绝热材料品种:难燃B1级橡塑海绵保温材料</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2.绝热厚度:25mm</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m2</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87.18</w:t>
            </w:r>
          </w:p>
        </w:tc>
      </w:tr>
      <w:tr>
        <w:tblPrEx>
          <w:tblCellMar>
            <w:top w:w="0" w:type="dxa"/>
            <w:left w:w="0" w:type="dxa"/>
            <w:bottom w:w="0" w:type="dxa"/>
            <w:right w:w="0" w:type="dxa"/>
          </w:tblCellMar>
        </w:tblPrEx>
        <w:trPr>
          <w:trHeight w:val="825"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29</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铜管</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1.材质:紫铜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2.型号、规格:φ12.7 mm</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3.绝热材料：橡塑保温棉</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9.9</w:t>
            </w:r>
          </w:p>
        </w:tc>
      </w:tr>
      <w:tr>
        <w:tblPrEx>
          <w:tblCellMar>
            <w:top w:w="0" w:type="dxa"/>
            <w:left w:w="0" w:type="dxa"/>
            <w:bottom w:w="0" w:type="dxa"/>
            <w:right w:w="0" w:type="dxa"/>
          </w:tblCellMar>
        </w:tblPrEx>
        <w:trPr>
          <w:trHeight w:val="825"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30</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铜管</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1.材质:紫铜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2.型号、规格:φ28.58mm</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3.绝热材料：橡塑保温棉</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9.9</w:t>
            </w:r>
          </w:p>
        </w:tc>
      </w:tr>
      <w:tr>
        <w:tblPrEx>
          <w:tblCellMar>
            <w:top w:w="0" w:type="dxa"/>
            <w:left w:w="0" w:type="dxa"/>
            <w:bottom w:w="0" w:type="dxa"/>
            <w:right w:w="0" w:type="dxa"/>
          </w:tblCellMar>
        </w:tblPrEx>
        <w:trPr>
          <w:trHeight w:val="159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31</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PVC-U排水管（含保温）</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1.安装部位:室内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2.输送介质:排水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3.材质:UPVC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4.型号、规格:DN40mm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5.连接方式:粘接连接</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6.保温材料：橡塑保温棉</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10</w:t>
            </w:r>
          </w:p>
        </w:tc>
      </w:tr>
      <w:tr>
        <w:tblPrEx>
          <w:tblCellMar>
            <w:top w:w="0" w:type="dxa"/>
            <w:left w:w="0" w:type="dxa"/>
            <w:bottom w:w="0" w:type="dxa"/>
            <w:right w:w="0" w:type="dxa"/>
          </w:tblCellMar>
        </w:tblPrEx>
        <w:trPr>
          <w:trHeight w:val="159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32</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PVC-U排水管（含保温）</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1.安装部位:室内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2.输送介质:排水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3.材质:UPVC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4.型号、规格:DN32mm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5.连接方式:粘接连接</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6.保温材料：橡塑保温棉</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1.17</w:t>
            </w:r>
          </w:p>
        </w:tc>
      </w:tr>
      <w:tr>
        <w:tblPrEx>
          <w:tblCellMar>
            <w:top w:w="0" w:type="dxa"/>
            <w:left w:w="0" w:type="dxa"/>
            <w:bottom w:w="0" w:type="dxa"/>
            <w:right w:w="0" w:type="dxa"/>
          </w:tblCellMar>
        </w:tblPrEx>
        <w:trPr>
          <w:trHeight w:val="570" w:hRule="atLeast"/>
          <w:jc w:val="center"/>
        </w:trPr>
        <w:tc>
          <w:tcPr>
            <w:tcW w:w="874" w:type="dxa"/>
            <w:tcBorders>
              <w:top w:val="single" w:color="000000" w:sz="4"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33</w:t>
            </w:r>
          </w:p>
        </w:tc>
        <w:tc>
          <w:tcPr>
            <w:tcW w:w="1733"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机械压差表</w:t>
            </w:r>
          </w:p>
        </w:tc>
        <w:tc>
          <w:tcPr>
            <w:tcW w:w="4271"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1.类型:机械压差表</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 0-60pa</w:t>
            </w:r>
          </w:p>
        </w:tc>
        <w:tc>
          <w:tcPr>
            <w:tcW w:w="1089" w:type="dxa"/>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287"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w:t>
            </w:r>
          </w:p>
        </w:tc>
      </w:tr>
    </w:tbl>
    <w:p>
      <w:pPr>
        <w:spacing w:line="360" w:lineRule="auto"/>
        <w:rPr>
          <w:rFonts w:hint="eastAsia" w:asciiTheme="minorEastAsia" w:hAnsiTheme="minorEastAsia" w:eastAsiaTheme="minorEastAsia" w:cstheme="minorEastAsia"/>
          <w:b/>
          <w:bCs/>
          <w:color w:val="auto"/>
          <w:sz w:val="21"/>
          <w:szCs w:val="21"/>
          <w:highlight w:val="none"/>
        </w:rPr>
      </w:pPr>
    </w:p>
    <w:p>
      <w:pPr>
        <w:spacing w:line="360" w:lineRule="auto"/>
        <w:rPr>
          <w:rFonts w:hint="eastAsia" w:asciiTheme="minorEastAsia" w:hAnsiTheme="minorEastAsia" w:eastAsiaTheme="minorEastAsia" w:cstheme="minorEastAsia"/>
          <w:b/>
          <w:bCs/>
          <w:color w:val="auto"/>
          <w:sz w:val="21"/>
          <w:szCs w:val="21"/>
          <w:highlight w:val="none"/>
        </w:rPr>
      </w:pPr>
      <w:r>
        <w:rPr>
          <w:rFonts w:hint="eastAsia" w:asciiTheme="minorEastAsia" w:hAnsiTheme="minorEastAsia" w:eastAsiaTheme="minorEastAsia" w:cstheme="minorEastAsia"/>
          <w:b/>
          <w:bCs/>
          <w:color w:val="auto"/>
          <w:sz w:val="21"/>
          <w:szCs w:val="21"/>
          <w:highlight w:val="none"/>
        </w:rPr>
        <w:t>三、技术参数要求</w:t>
      </w:r>
      <w:r>
        <w:rPr>
          <w:rFonts w:hint="eastAsia" w:asciiTheme="minorEastAsia" w:hAnsiTheme="minorEastAsia" w:eastAsiaTheme="minorEastAsia" w:cstheme="minorEastAsia"/>
          <w:b/>
          <w:bCs/>
          <w:color w:val="auto"/>
          <w:sz w:val="21"/>
          <w:szCs w:val="21"/>
          <w:highlight w:val="none"/>
        </w:rPr>
        <w:br w:type="textWrapping"/>
      </w:r>
      <w:r>
        <w:rPr>
          <w:rFonts w:hint="eastAsia" w:asciiTheme="minorEastAsia" w:hAnsiTheme="minorEastAsia" w:eastAsiaTheme="minorEastAsia" w:cstheme="minorEastAsia"/>
          <w:b/>
          <w:bCs/>
          <w:color w:val="auto"/>
          <w:sz w:val="21"/>
          <w:szCs w:val="21"/>
          <w:highlight w:val="none"/>
        </w:rPr>
        <w:t>（一）装饰部分</w:t>
      </w:r>
    </w:p>
    <w:p>
      <w:pPr>
        <w:bidi w:val="0"/>
        <w:spacing w:line="360" w:lineRule="auto"/>
        <w:ind w:firstLine="422" w:firstLineChars="200"/>
        <w:rPr>
          <w:rFonts w:hint="eastAsia" w:asciiTheme="minorEastAsia" w:hAnsiTheme="minorEastAsia" w:eastAsiaTheme="minorEastAsia" w:cstheme="minorEastAsia"/>
          <w:b/>
          <w:bCs/>
          <w:color w:val="auto"/>
          <w:sz w:val="21"/>
          <w:szCs w:val="21"/>
          <w:highlight w:val="none"/>
          <w:lang w:val="en-US" w:eastAsia="zh-CN"/>
        </w:rPr>
      </w:pPr>
      <w:r>
        <w:rPr>
          <w:rFonts w:hint="eastAsia" w:asciiTheme="minorEastAsia" w:hAnsiTheme="minorEastAsia" w:eastAsiaTheme="minorEastAsia" w:cstheme="minorEastAsia"/>
          <w:b/>
          <w:bCs/>
          <w:color w:val="auto"/>
          <w:sz w:val="21"/>
          <w:szCs w:val="21"/>
          <w:highlight w:val="none"/>
          <w:lang w:val="en-US" w:eastAsia="zh-CN"/>
        </w:rPr>
        <w:t>1、</w:t>
      </w:r>
      <w:r>
        <w:rPr>
          <w:rFonts w:hint="eastAsia" w:asciiTheme="minorEastAsia" w:hAnsiTheme="minorEastAsia" w:eastAsiaTheme="minorEastAsia" w:cstheme="minorEastAsia"/>
          <w:color w:val="auto"/>
          <w:sz w:val="21"/>
          <w:szCs w:val="21"/>
          <w:highlight w:val="none"/>
          <w:lang w:val="en-US" w:eastAsia="zh-CN"/>
        </w:rPr>
        <w:t>▲</w:t>
      </w:r>
      <w:r>
        <w:rPr>
          <w:rFonts w:hint="eastAsia" w:asciiTheme="minorEastAsia" w:hAnsiTheme="minorEastAsia" w:eastAsiaTheme="minorEastAsia" w:cstheme="minorEastAsia"/>
          <w:b/>
          <w:bCs/>
          <w:color w:val="auto"/>
          <w:sz w:val="21"/>
          <w:szCs w:val="21"/>
          <w:highlight w:val="none"/>
          <w:lang w:val="en-US" w:eastAsia="zh-CN"/>
        </w:rPr>
        <w:t>PVC卷材地板</w:t>
      </w:r>
    </w:p>
    <w:p>
      <w:pPr>
        <w:adjustRightIn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1</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材料类型:PVC塑胶同质透心地板、聚氯乙烯卷材地板</w:t>
      </w:r>
    </w:p>
    <w:p>
      <w:pPr>
        <w:adjustRightInd w:val="0"/>
        <w:spacing w:line="360" w:lineRule="auto"/>
        <w:ind w:left="239" w:leftChars="114"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2</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产品总厚度：</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2mm</w:t>
      </w:r>
    </w:p>
    <w:p>
      <w:pPr>
        <w:adjustRightInd w:val="0"/>
        <w:spacing w:line="360" w:lineRule="auto"/>
        <w:ind w:left="239" w:leftChars="114"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（3）</w:t>
      </w:r>
      <w:r>
        <w:rPr>
          <w:rFonts w:hint="eastAsia" w:asciiTheme="minorEastAsia" w:hAnsiTheme="minorEastAsia" w:eastAsiaTheme="minorEastAsia" w:cstheme="minorEastAsia"/>
          <w:color w:val="auto"/>
          <w:sz w:val="21"/>
          <w:szCs w:val="21"/>
          <w:highlight w:val="none"/>
        </w:rPr>
        <w:t>耐磨性≤2.0</w:t>
      </w:r>
    </w:p>
    <w:p>
      <w:pPr>
        <w:adjustRightInd w:val="0"/>
        <w:spacing w:line="360" w:lineRule="auto"/>
        <w:ind w:left="239" w:leftChars="114"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（4）</w:t>
      </w:r>
      <w:r>
        <w:rPr>
          <w:rFonts w:hint="eastAsia" w:asciiTheme="minorEastAsia" w:hAnsiTheme="minorEastAsia" w:eastAsiaTheme="minorEastAsia" w:cstheme="minorEastAsia"/>
          <w:color w:val="auto"/>
          <w:sz w:val="21"/>
          <w:szCs w:val="21"/>
          <w:highlight w:val="none"/>
        </w:rPr>
        <w:t>残存凹陷度：≤0.</w:t>
      </w:r>
      <w:r>
        <w:rPr>
          <w:rFonts w:hint="eastAsia" w:asciiTheme="minorEastAsia" w:hAnsiTheme="minorEastAsia" w:eastAsiaTheme="minorEastAsia" w:cstheme="minorEastAsia"/>
          <w:color w:val="auto"/>
          <w:sz w:val="21"/>
          <w:szCs w:val="21"/>
          <w:highlight w:val="none"/>
          <w:lang w:val="en-US" w:eastAsia="zh-CN"/>
        </w:rPr>
        <w:t>04</w:t>
      </w:r>
      <w:r>
        <w:rPr>
          <w:rFonts w:hint="eastAsia" w:asciiTheme="minorEastAsia" w:hAnsiTheme="minorEastAsia" w:eastAsiaTheme="minorEastAsia" w:cstheme="minorEastAsia"/>
          <w:color w:val="auto"/>
          <w:sz w:val="21"/>
          <w:szCs w:val="21"/>
          <w:highlight w:val="none"/>
        </w:rPr>
        <w:t>（检测标准GB/T4085-2005）</w:t>
      </w:r>
    </w:p>
    <w:p>
      <w:pPr>
        <w:adjustRightInd w:val="0"/>
        <w:spacing w:line="360" w:lineRule="auto"/>
        <w:ind w:left="239" w:leftChars="114"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（5）</w:t>
      </w:r>
      <w:r>
        <w:rPr>
          <w:rFonts w:hint="eastAsia" w:asciiTheme="minorEastAsia" w:hAnsiTheme="minorEastAsia" w:eastAsiaTheme="minorEastAsia" w:cstheme="minorEastAsia"/>
          <w:color w:val="auto"/>
          <w:sz w:val="21"/>
          <w:szCs w:val="21"/>
          <w:highlight w:val="none"/>
        </w:rPr>
        <w:t>防火性能：国家建材中心的检测符合现行国家标准B1级</w:t>
      </w:r>
      <w:bookmarkStart w:id="276" w:name="OLE_LINK7"/>
      <w:r>
        <w:rPr>
          <w:rFonts w:hint="eastAsia" w:asciiTheme="minorEastAsia" w:hAnsiTheme="minorEastAsia" w:eastAsiaTheme="minorEastAsia" w:cstheme="minorEastAsia"/>
          <w:color w:val="auto"/>
          <w:sz w:val="21"/>
          <w:szCs w:val="21"/>
          <w:highlight w:val="none"/>
        </w:rPr>
        <w:t>（</w:t>
      </w:r>
      <w:bookmarkStart w:id="277" w:name="OLE_LINK3"/>
      <w:r>
        <w:rPr>
          <w:rFonts w:hint="eastAsia" w:asciiTheme="minorEastAsia" w:hAnsiTheme="minorEastAsia" w:eastAsiaTheme="minorEastAsia" w:cstheme="minorEastAsia"/>
          <w:color w:val="auto"/>
          <w:sz w:val="21"/>
          <w:szCs w:val="21"/>
          <w:highlight w:val="none"/>
        </w:rPr>
        <w:t>检测标准</w:t>
      </w:r>
      <w:bookmarkEnd w:id="277"/>
      <w:r>
        <w:rPr>
          <w:rFonts w:hint="eastAsia" w:asciiTheme="minorEastAsia" w:hAnsiTheme="minorEastAsia" w:eastAsiaTheme="minorEastAsia" w:cstheme="minorEastAsia"/>
          <w:color w:val="auto"/>
          <w:sz w:val="21"/>
          <w:szCs w:val="21"/>
          <w:highlight w:val="none"/>
        </w:rPr>
        <w:t>GB8624-2012）</w:t>
      </w:r>
      <w:bookmarkEnd w:id="276"/>
    </w:p>
    <w:p>
      <w:pPr>
        <w:adjustRightInd w:val="0"/>
        <w:spacing w:line="360" w:lineRule="auto"/>
        <w:ind w:left="239" w:leftChars="114" w:firstLine="210" w:firstLineChars="100"/>
        <w:rPr>
          <w:rFonts w:hint="eastAsia" w:asciiTheme="minorEastAsia" w:hAnsiTheme="minorEastAsia" w:eastAsiaTheme="minorEastAsia" w:cstheme="minorEastAsia"/>
          <w:color w:val="auto"/>
          <w:sz w:val="21"/>
          <w:szCs w:val="21"/>
          <w:highlight w:val="none"/>
          <w:vertAlign w:val="subscript"/>
          <w:lang w:val="en-US" w:eastAsia="zh-CN"/>
        </w:rPr>
      </w:pPr>
      <w:r>
        <w:rPr>
          <w:rFonts w:hint="eastAsia" w:asciiTheme="minorEastAsia" w:hAnsiTheme="minorEastAsia" w:eastAsiaTheme="minorEastAsia" w:cstheme="minorEastAsia"/>
          <w:color w:val="auto"/>
          <w:sz w:val="21"/>
          <w:szCs w:val="21"/>
          <w:highlight w:val="none"/>
          <w:lang w:val="en-US" w:eastAsia="zh-CN"/>
        </w:rPr>
        <w:t>（6）</w:t>
      </w:r>
      <w:r>
        <w:rPr>
          <w:rFonts w:hint="eastAsia" w:asciiTheme="minorEastAsia" w:hAnsiTheme="minorEastAsia" w:eastAsiaTheme="minorEastAsia" w:cstheme="minorEastAsia"/>
          <w:color w:val="auto"/>
          <w:sz w:val="21"/>
          <w:szCs w:val="21"/>
          <w:highlight w:val="none"/>
          <w:lang w:eastAsia="zh-CN"/>
        </w:rPr>
        <w:t>产烟毒性达到准安全一级</w:t>
      </w:r>
      <w:r>
        <w:rPr>
          <w:rFonts w:hint="eastAsia" w:asciiTheme="minorEastAsia" w:hAnsiTheme="minorEastAsia" w:eastAsiaTheme="minorEastAsia" w:cstheme="minorEastAsia"/>
          <w:color w:val="auto"/>
          <w:sz w:val="21"/>
          <w:szCs w:val="21"/>
          <w:highlight w:val="none"/>
          <w:lang w:val="en-US" w:eastAsia="zh-CN"/>
        </w:rPr>
        <w:t>ZA</w:t>
      </w:r>
      <w:r>
        <w:rPr>
          <w:rFonts w:hint="eastAsia" w:asciiTheme="minorEastAsia" w:hAnsiTheme="minorEastAsia" w:eastAsiaTheme="minorEastAsia" w:cstheme="minorEastAsia"/>
          <w:color w:val="auto"/>
          <w:sz w:val="21"/>
          <w:szCs w:val="21"/>
          <w:highlight w:val="none"/>
          <w:vertAlign w:val="subscript"/>
          <w:lang w:val="en-US" w:eastAsia="zh-CN"/>
        </w:rPr>
        <w:t>1</w:t>
      </w:r>
      <w:r>
        <w:rPr>
          <w:rFonts w:hint="eastAsia" w:asciiTheme="minorEastAsia" w:hAnsiTheme="minorEastAsia" w:eastAsiaTheme="minorEastAsia" w:cstheme="minorEastAsia"/>
          <w:color w:val="auto"/>
          <w:sz w:val="21"/>
          <w:szCs w:val="21"/>
          <w:highlight w:val="none"/>
          <w:vertAlign w:val="baseline"/>
          <w:lang w:val="en-US" w:eastAsia="zh-CN"/>
        </w:rPr>
        <w:t>。</w:t>
      </w:r>
    </w:p>
    <w:p>
      <w:pPr>
        <w:adjustRightInd w:val="0"/>
        <w:spacing w:line="360" w:lineRule="auto"/>
        <w:ind w:left="239" w:leftChars="114" w:firstLine="210" w:firstLineChars="100"/>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val="en-US" w:eastAsia="zh-CN"/>
        </w:rPr>
        <w:t>（7）</w:t>
      </w:r>
      <w:r>
        <w:rPr>
          <w:rFonts w:hint="eastAsia" w:asciiTheme="minorEastAsia" w:hAnsiTheme="minorEastAsia" w:eastAsiaTheme="minorEastAsia" w:cstheme="minorEastAsia"/>
          <w:color w:val="auto"/>
          <w:sz w:val="21"/>
          <w:szCs w:val="21"/>
          <w:highlight w:val="none"/>
        </w:rPr>
        <w:t>有毒有害物质检测：氯乙烯单体、可溶性重金属、挥发物检测等检测合格</w:t>
      </w:r>
      <w:r>
        <w:rPr>
          <w:rFonts w:hint="eastAsia" w:asciiTheme="minorEastAsia" w:hAnsiTheme="minorEastAsia" w:eastAsiaTheme="minorEastAsia" w:cstheme="minorEastAsia"/>
          <w:color w:val="auto"/>
          <w:sz w:val="21"/>
          <w:szCs w:val="21"/>
          <w:highlight w:val="none"/>
          <w:lang w:eastAsia="zh-CN"/>
        </w:rPr>
        <w:t>。</w:t>
      </w:r>
    </w:p>
    <w:p>
      <w:pPr>
        <w:adjustRightInd w:val="0"/>
        <w:spacing w:line="360" w:lineRule="auto"/>
        <w:ind w:left="239" w:leftChars="114" w:firstLine="210" w:firstLineChars="1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（8）色牢度≥6。</w:t>
      </w:r>
    </w:p>
    <w:p>
      <w:pPr>
        <w:bidi w:val="0"/>
        <w:spacing w:line="360" w:lineRule="auto"/>
        <w:ind w:firstLine="422" w:firstLineChars="200"/>
        <w:rPr>
          <w:rFonts w:hint="eastAsia" w:asciiTheme="minorEastAsia" w:hAnsiTheme="minorEastAsia" w:eastAsiaTheme="minorEastAsia" w:cstheme="minorEastAsia"/>
          <w:b/>
          <w:bCs/>
          <w:color w:val="auto"/>
          <w:sz w:val="21"/>
          <w:szCs w:val="21"/>
          <w:highlight w:val="none"/>
          <w:lang w:val="en-US" w:eastAsia="zh-CN"/>
        </w:rPr>
      </w:pPr>
      <w:r>
        <w:rPr>
          <w:rFonts w:hint="eastAsia" w:asciiTheme="minorEastAsia" w:hAnsiTheme="minorEastAsia" w:eastAsiaTheme="minorEastAsia" w:cstheme="minorEastAsia"/>
          <w:b/>
          <w:bCs/>
          <w:color w:val="auto"/>
          <w:sz w:val="21"/>
          <w:szCs w:val="21"/>
          <w:highlight w:val="none"/>
          <w:lang w:val="en-US" w:eastAsia="zh-CN"/>
        </w:rPr>
        <w:t>2、彩钢板隔墙</w:t>
      </w:r>
    </w:p>
    <w:p>
      <w:pPr>
        <w:snapToGrid w:val="0"/>
        <w:spacing w:line="360" w:lineRule="auto"/>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 xml:space="preserve">（1）彩钢板采用特殊生产工艺加工而成，具有防火、防水、无味、无毒、不冻、不腐、不裂、不变、不燃、高强质轻、安装方便、使用寿命长等特点，要求厚度 </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50mm，钢板厚度常用为</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0.426mm。</w:t>
      </w:r>
    </w:p>
    <w:p>
      <w:pPr>
        <w:snapToGrid w:val="0"/>
        <w:spacing w:line="360" w:lineRule="auto"/>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（2）玻镁彩钢板：上下两面净化，灰白（避免眩光），覆膜钢板，上下两面各</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5mm 玻镁面板，芯材由11条</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12mm 玻镁龙骨框架，机制板两侧钢带为0.38-0.4MM厚扣骨，手工板四周 0.68-0.70MM 龙骨架封边；</w:t>
      </w:r>
    </w:p>
    <w:p>
      <w:pPr>
        <w:snapToGrid w:val="0"/>
        <w:spacing w:line="360" w:lineRule="auto"/>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（3） ▲玻镁板氯离子含量≤0.01%。</w:t>
      </w:r>
    </w:p>
    <w:p>
      <w:pPr>
        <w:snapToGrid w:val="0"/>
        <w:spacing w:line="360" w:lineRule="auto"/>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（4） ▲玻镁板不腐蚀钢板及铝合金。</w:t>
      </w:r>
    </w:p>
    <w:p>
      <w:pPr>
        <w:snapToGrid w:val="0"/>
        <w:spacing w:line="360" w:lineRule="auto"/>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（5） ▲耐火极限不小于 60 分钟。</w:t>
      </w:r>
    </w:p>
    <w:p>
      <w:pPr>
        <w:snapToGrid w:val="0"/>
        <w:spacing w:line="360" w:lineRule="auto"/>
        <w:ind w:firstLine="422" w:firstLineChars="200"/>
        <w:rPr>
          <w:rFonts w:hint="eastAsia" w:asciiTheme="minorEastAsia" w:hAnsiTheme="minorEastAsia" w:eastAsiaTheme="minorEastAsia" w:cstheme="minorEastAsia"/>
          <w:b/>
          <w:bCs/>
          <w:color w:val="auto"/>
          <w:sz w:val="21"/>
          <w:szCs w:val="21"/>
          <w:highlight w:val="none"/>
        </w:rPr>
      </w:pPr>
      <w:r>
        <w:rPr>
          <w:rFonts w:hint="eastAsia" w:asciiTheme="minorEastAsia" w:hAnsiTheme="minorEastAsia" w:eastAsiaTheme="minorEastAsia" w:cstheme="minorEastAsia"/>
          <w:b/>
          <w:bCs/>
          <w:color w:val="auto"/>
          <w:sz w:val="21"/>
          <w:szCs w:val="21"/>
          <w:highlight w:val="none"/>
        </w:rPr>
        <w:t>3、天花</w:t>
      </w:r>
    </w:p>
    <w:p>
      <w:pPr>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1.吊顶工程所用材料的品种、规格、颜色以及基层构造、固定方法应符合设计要求。</w:t>
      </w:r>
    </w:p>
    <w:p>
      <w:pPr>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2.吊顶形式为不上人型，平面，采用U型轻钢龙骨，轻钢龙架的吊杆，龙骨安装必须位置正确，连接牢固，无松动。</w:t>
      </w:r>
    </w:p>
    <w:p>
      <w:pPr>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3.面层采用</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600*600*1.0铝合金扣板吊顶。</w:t>
      </w:r>
    </w:p>
    <w:p>
      <w:pPr>
        <w:snapToGrid w:val="0"/>
        <w:spacing w:line="360" w:lineRule="auto"/>
        <w:ind w:firstLine="422" w:firstLineChars="200"/>
        <w:rPr>
          <w:rFonts w:hint="eastAsia" w:asciiTheme="minorEastAsia" w:hAnsiTheme="minorEastAsia" w:eastAsiaTheme="minorEastAsia" w:cstheme="minorEastAsia"/>
          <w:b/>
          <w:bCs/>
          <w:color w:val="auto"/>
          <w:sz w:val="21"/>
          <w:szCs w:val="21"/>
          <w:highlight w:val="none"/>
        </w:rPr>
      </w:pPr>
      <w:r>
        <w:rPr>
          <w:rFonts w:hint="eastAsia" w:asciiTheme="minorEastAsia" w:hAnsiTheme="minorEastAsia" w:eastAsiaTheme="minorEastAsia" w:cstheme="minorEastAsia"/>
          <w:b/>
          <w:bCs/>
          <w:color w:val="auto"/>
          <w:sz w:val="21"/>
          <w:szCs w:val="21"/>
          <w:highlight w:val="none"/>
          <w:lang w:val="en-US" w:eastAsia="zh-CN"/>
        </w:rPr>
        <w:t>4</w:t>
      </w:r>
      <w:r>
        <w:rPr>
          <w:rFonts w:hint="eastAsia" w:asciiTheme="minorEastAsia" w:hAnsiTheme="minorEastAsia" w:eastAsiaTheme="minorEastAsia" w:cstheme="minorEastAsia"/>
          <w:b/>
          <w:bCs/>
          <w:color w:val="auto"/>
          <w:sz w:val="21"/>
          <w:szCs w:val="21"/>
          <w:highlight w:val="none"/>
        </w:rPr>
        <w:t>、墙面粉刷</w:t>
      </w:r>
    </w:p>
    <w:p>
      <w:pPr>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①2底2面</w:t>
      </w:r>
    </w:p>
    <w:p>
      <w:pPr>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②环保无机涂料</w:t>
      </w:r>
    </w:p>
    <w:p>
      <w:pPr>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挥发性有机物含量（VOC）低于20g/L。</w:t>
      </w:r>
    </w:p>
    <w:p>
      <w:pPr>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▲不得检出苯、甲苯、乙苯、二甲苯。</w:t>
      </w:r>
    </w:p>
    <w:p>
      <w:pPr>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可溶性金属：铅、镉、汞检测合格。</w:t>
      </w:r>
    </w:p>
    <w:p>
      <w:pPr>
        <w:bidi w:val="0"/>
        <w:spacing w:line="360" w:lineRule="auto"/>
        <w:rPr>
          <w:rFonts w:hint="eastAsia" w:asciiTheme="minorEastAsia" w:hAnsiTheme="minorEastAsia" w:eastAsiaTheme="minorEastAsia" w:cstheme="minorEastAsia"/>
          <w:b/>
          <w:bCs/>
          <w:color w:val="auto"/>
          <w:sz w:val="21"/>
          <w:szCs w:val="21"/>
          <w:highlight w:val="none"/>
          <w:lang w:val="en-US" w:eastAsia="zh-CN"/>
        </w:rPr>
      </w:pPr>
      <w:r>
        <w:rPr>
          <w:rFonts w:hint="eastAsia" w:asciiTheme="minorEastAsia" w:hAnsiTheme="minorEastAsia" w:eastAsiaTheme="minorEastAsia" w:cstheme="minorEastAsia"/>
          <w:b/>
          <w:bCs/>
          <w:color w:val="auto"/>
          <w:sz w:val="21"/>
          <w:szCs w:val="21"/>
          <w:highlight w:val="none"/>
          <w:lang w:val="en-US" w:eastAsia="zh-CN"/>
        </w:rPr>
        <w:t>（二）电气部分</w:t>
      </w:r>
    </w:p>
    <w:p>
      <w:pPr>
        <w:spacing w:line="360" w:lineRule="auto"/>
        <w:ind w:firstLine="422" w:firstLineChars="200"/>
        <w:rPr>
          <w:rFonts w:hint="eastAsia" w:asciiTheme="minorEastAsia" w:hAnsiTheme="minorEastAsia" w:eastAsiaTheme="minorEastAsia" w:cstheme="minorEastAsia"/>
          <w:b/>
          <w:bCs/>
          <w:color w:val="auto"/>
          <w:sz w:val="21"/>
          <w:szCs w:val="21"/>
          <w:highlight w:val="none"/>
          <w:lang w:val="en-US" w:eastAsia="zh-CN"/>
        </w:rPr>
      </w:pPr>
      <w:r>
        <w:rPr>
          <w:rFonts w:hint="eastAsia" w:asciiTheme="minorEastAsia" w:hAnsiTheme="minorEastAsia" w:eastAsiaTheme="minorEastAsia" w:cstheme="minorEastAsia"/>
          <w:b/>
          <w:bCs/>
          <w:color w:val="auto"/>
          <w:sz w:val="21"/>
          <w:szCs w:val="21"/>
          <w:highlight w:val="none"/>
          <w:lang w:val="en-US" w:eastAsia="zh-CN"/>
        </w:rPr>
        <w:t>1、紫外线杀菌灯</w:t>
      </w:r>
    </w:p>
    <w:p>
      <w:pPr>
        <w:bidi w:val="0"/>
        <w:spacing w:line="360" w:lineRule="auto"/>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1）检验依据：《紫外线杀菌灯》GB19258-2012；</w:t>
      </w:r>
    </w:p>
    <w:p>
      <w:pPr>
        <w:spacing w:line="360" w:lineRule="auto"/>
        <w:ind w:firstLine="422" w:firstLineChars="200"/>
        <w:rPr>
          <w:rFonts w:hint="eastAsia" w:asciiTheme="minorEastAsia" w:hAnsiTheme="minorEastAsia" w:eastAsiaTheme="minorEastAsia" w:cstheme="minorEastAsia"/>
          <w:b/>
          <w:bCs/>
          <w:color w:val="auto"/>
          <w:sz w:val="21"/>
          <w:szCs w:val="21"/>
          <w:highlight w:val="none"/>
          <w:lang w:val="en-US" w:eastAsia="zh-CN"/>
        </w:rPr>
      </w:pPr>
      <w:r>
        <w:rPr>
          <w:rFonts w:hint="eastAsia" w:asciiTheme="minorEastAsia" w:hAnsiTheme="minorEastAsia" w:eastAsiaTheme="minorEastAsia" w:cstheme="minorEastAsia"/>
          <w:b/>
          <w:bCs/>
          <w:color w:val="auto"/>
          <w:sz w:val="21"/>
          <w:szCs w:val="21"/>
          <w:highlight w:val="none"/>
          <w:lang w:val="en-US" w:eastAsia="zh-CN"/>
        </w:rPr>
        <w:t>2、电气、给排水部分：</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1</w:t>
      </w:r>
      <w:r>
        <w:rPr>
          <w:rFonts w:hint="eastAsia" w:asciiTheme="minorEastAsia" w:hAnsiTheme="minorEastAsia" w:eastAsiaTheme="minorEastAsia" w:cstheme="minorEastAsia"/>
          <w:color w:val="auto"/>
          <w:sz w:val="21"/>
          <w:szCs w:val="21"/>
          <w:highlight w:val="none"/>
          <w:lang w:eastAsia="zh-CN"/>
        </w:rPr>
        <w:t>）电线电缆</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①符合GB/T12706、GB 12666等中国国家标准。</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②电线电缆应有国家认可的质量检测机构的检验合格报告和3C认证。</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③阻燃、耐火电线电缆应通过国家级相关质量监督检验机构的型式认可检验。</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④电缆盘上应表明电缆型号、规格、电压等级、长度及出厂日期，并与产品合格证相符。电缆盘应完好无损。</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宋体" w:hAnsi="宋体" w:eastAsia="宋体" w:cs="宋体"/>
          <w:color w:val="auto"/>
          <w:sz w:val="21"/>
          <w:szCs w:val="21"/>
          <w:highlight w:val="none"/>
        </w:rPr>
        <w:t>⑤</w:t>
      </w:r>
      <w:r>
        <w:rPr>
          <w:rFonts w:hint="eastAsia" w:asciiTheme="minorEastAsia" w:hAnsiTheme="minorEastAsia" w:eastAsiaTheme="minorEastAsia" w:cstheme="minorEastAsia"/>
          <w:color w:val="auto"/>
          <w:sz w:val="21"/>
          <w:szCs w:val="21"/>
          <w:highlight w:val="none"/>
        </w:rPr>
        <w:t>所选用的原材料必须是国家认可的合格、优质原材料，铜材必须是由国家规定的正规渠道采购的优质电解铜，铜材纯度达到99.9%或以上；其他绝缘材料、护套材料、填充物等必须使用国家认可的优质产品。</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宋体" w:hAnsi="宋体" w:eastAsia="宋体" w:cs="宋体"/>
          <w:color w:val="auto"/>
          <w:sz w:val="21"/>
          <w:szCs w:val="21"/>
          <w:highlight w:val="none"/>
        </w:rPr>
        <w:t>⑥</w:t>
      </w:r>
      <w:r>
        <w:rPr>
          <w:rFonts w:hint="eastAsia" w:asciiTheme="minorEastAsia" w:hAnsiTheme="minorEastAsia" w:eastAsiaTheme="minorEastAsia" w:cstheme="minorEastAsia"/>
          <w:color w:val="auto"/>
          <w:sz w:val="21"/>
          <w:szCs w:val="21"/>
          <w:highlight w:val="none"/>
        </w:rPr>
        <w:t>成品电缆护套上应有制造厂厂名，产品型号及额定电压的连续标志，绞合的主干电缆护套上应有相序标志。标识字迹清晰，容易辨认，耐擦。</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lang w:val="en-US" w:eastAsia="zh-CN"/>
        </w:rPr>
        <w:t>2</w:t>
      </w:r>
      <w:r>
        <w:rPr>
          <w:rFonts w:hint="eastAsia" w:asciiTheme="minorEastAsia" w:hAnsiTheme="minorEastAsia" w:eastAsiaTheme="minorEastAsia" w:cstheme="minorEastAsia"/>
          <w:color w:val="auto"/>
          <w:sz w:val="21"/>
          <w:szCs w:val="21"/>
          <w:highlight w:val="none"/>
        </w:rPr>
        <w:t>）开关、插座：</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①面板材 PC料或ABS料、必须阻燃</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②底壳材料 PC料或尼龙料（ABS）或尿素树脂必须阻燃</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③额定电压 250V </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④定电流 10A、16A </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⑤开关寿命≥40000次</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lang w:val="en-US" w:eastAsia="zh-CN"/>
        </w:rPr>
        <w:t>3</w:t>
      </w:r>
      <w:r>
        <w:rPr>
          <w:rFonts w:hint="eastAsia" w:asciiTheme="minorEastAsia" w:hAnsiTheme="minorEastAsia" w:eastAsiaTheme="minorEastAsia" w:cstheme="minorEastAsia"/>
          <w:color w:val="auto"/>
          <w:sz w:val="21"/>
          <w:szCs w:val="21"/>
          <w:highlight w:val="none"/>
        </w:rPr>
        <w:t>）照明灯具、消防灯具：</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A、照明灯具：</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①色温一致性好，色容差小于5，显色指数达80，还原物体本质色彩。</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②优质LED芯片、先进制造工艺确保整灯光效达到80Lm/W，比传统T8系统节能50%。</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③科学配光，面板式结构设计的PC透光罩，透光率高，透出光线均匀柔和，保护视力。</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④整灯采用一体化的设计，具有一定的密封性，后期维护更方便，节省维护费用。</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⑤关键元器件采用进口材料，参数稳定，具有开路、短线、过压等保护功能，可在180V-240V的宽输入电压环境下正常工作。</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B、应急电源：</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①采用优质镍镉电池，电池容量大，应急时间长，可连续充放电500-1000次，寿命更长；</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②集成电路控制，有完善的过充电、过放电保护电路，延长电池寿命；</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③采用开关电源电路设计，性能稳定，产品能适用宽松电压环境；</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④光源采用氪气卤素灯珠，亮度高、寿命长，灯头的反面镀铬、反射率高，投光效率好；</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⑤采用不燃材料，消防安全有保障；不能完成应急功能或灯具放电时间不够的灯具将会自动发出报警。</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lang w:val="en-US" w:eastAsia="zh-CN"/>
        </w:rPr>
        <w:t>4</w:t>
      </w:r>
      <w:r>
        <w:rPr>
          <w:rFonts w:hint="eastAsia" w:asciiTheme="minorEastAsia" w:hAnsiTheme="minorEastAsia" w:eastAsiaTheme="minorEastAsia" w:cstheme="minorEastAsia"/>
          <w:color w:val="auto"/>
          <w:sz w:val="21"/>
          <w:szCs w:val="21"/>
          <w:highlight w:val="none"/>
        </w:rPr>
        <w:t>）动力配电箱、照明配电箱：</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①符合BG7521、JB/T9666等中国国家标准及国际标准；</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②箱设备内元器件应有“3C”认证；</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③箱内二次元器件及导线须采用优质名牌；</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④箱体材料采用优质冷轧钢板，箱体板材厚度不小于1.5mm，落地柜板材厚度不小于2.0mm，箱体表面经过除油、除锈、磷化处理、喷粉烘烤或喷塑处理。</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lang w:val="en-US" w:eastAsia="zh-CN"/>
        </w:rPr>
        <w:t>5</w:t>
      </w:r>
      <w:r>
        <w:rPr>
          <w:rFonts w:hint="eastAsia" w:asciiTheme="minorEastAsia" w:hAnsiTheme="minorEastAsia" w:eastAsiaTheme="minorEastAsia" w:cstheme="minorEastAsia"/>
          <w:color w:val="auto"/>
          <w:sz w:val="21"/>
          <w:szCs w:val="21"/>
          <w:highlight w:val="none"/>
        </w:rPr>
        <w:t>）PPR水管、PVC线管以及配件技术要求：</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①管材和管件的内外壁应光滑平整，无气泡、裂纹、脱皮和明显的痕纹、凹陷，色泽应基本一致。</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②管材的端面应垂直于管材的轴线。管件应完整、无缺损、无变形。</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③管材、管件的物理、力学性能、管材尺寸、外径、壁厚公差与管材公差应符合相关规范标准要求。</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lang w:val="en-US" w:eastAsia="zh-CN"/>
        </w:rPr>
        <w:t>6</w:t>
      </w:r>
      <w:r>
        <w:rPr>
          <w:rFonts w:hint="eastAsia" w:asciiTheme="minorEastAsia" w:hAnsiTheme="minorEastAsia" w:eastAsiaTheme="minorEastAsia" w:cstheme="minorEastAsia"/>
          <w:color w:val="auto"/>
          <w:sz w:val="21"/>
          <w:szCs w:val="21"/>
          <w:highlight w:val="none"/>
        </w:rPr>
        <w:t>）给水：</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①生活给水管道上的阀门，DN≤50时用截止阀，DN＞50时用闸阀或碟阀。</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②管材选用PP-R给水管（管材压力等级：1.6 MPa）；采用热熔焊接连接；</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lang w:val="en-US" w:eastAsia="zh-CN"/>
        </w:rPr>
        <w:t>7</w:t>
      </w:r>
      <w:r>
        <w:rPr>
          <w:rFonts w:hint="eastAsia" w:asciiTheme="minorEastAsia" w:hAnsiTheme="minorEastAsia" w:eastAsiaTheme="minorEastAsia" w:cstheme="minorEastAsia"/>
          <w:color w:val="auto"/>
          <w:sz w:val="21"/>
          <w:szCs w:val="21"/>
          <w:highlight w:val="none"/>
        </w:rPr>
        <w:t>）排水</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①排水立管与排水管端部连接，宜采用45°斜三通或45°斜四通和顺水三通或顺水四通。排水立管与排出管端部的连接宜采用两个45°弯头或弯曲半径不小于4倍管径的90°弯头。</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②化验水盆排水管与排水横管垂直连接，应采用90°斜三通。</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③有化验水盆的房间应设置地漏，所有水盆（包括地漏）需自带或配备存水弯，其水封深度不少于50毫米。</w:t>
      </w:r>
    </w:p>
    <w:p>
      <w:pPr>
        <w:tabs>
          <w:tab w:val="left" w:pos="567"/>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④管材选用：硬质聚氯乙烯管。</w:t>
      </w:r>
    </w:p>
    <w:p>
      <w:pPr>
        <w:pStyle w:val="210"/>
        <w:spacing w:line="360" w:lineRule="auto"/>
        <w:rPr>
          <w:rFonts w:hint="eastAsia" w:asciiTheme="minorEastAsia" w:hAnsiTheme="minorEastAsia" w:eastAsiaTheme="minorEastAsia" w:cstheme="minorEastAsia"/>
          <w:b/>
          <w:bCs w:val="0"/>
          <w:color w:val="auto"/>
          <w:sz w:val="21"/>
          <w:szCs w:val="21"/>
          <w:highlight w:val="none"/>
          <w:lang w:eastAsia="zh-CN"/>
        </w:rPr>
      </w:pPr>
      <w:r>
        <w:rPr>
          <w:rFonts w:hint="eastAsia" w:asciiTheme="minorEastAsia" w:hAnsiTheme="minorEastAsia" w:eastAsiaTheme="minorEastAsia" w:cstheme="minorEastAsia"/>
          <w:b/>
          <w:bCs w:val="0"/>
          <w:color w:val="auto"/>
          <w:sz w:val="21"/>
          <w:szCs w:val="21"/>
          <w:highlight w:val="none"/>
          <w:lang w:eastAsia="zh-CN"/>
        </w:rPr>
        <w:t>（三）暖通部分</w:t>
      </w:r>
    </w:p>
    <w:p>
      <w:pPr>
        <w:snapToGrid w:val="0"/>
        <w:spacing w:line="360" w:lineRule="auto"/>
        <w:ind w:firstLine="420" w:firstLineChars="200"/>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空调、通风系统安装必须满足以下有关规范、标准要求：</w:t>
      </w:r>
    </w:p>
    <w:p>
      <w:pPr>
        <w:snapToGrid w:val="0"/>
        <w:spacing w:line="360" w:lineRule="auto"/>
        <w:ind w:firstLine="420" w:firstLineChars="200"/>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中华人民共和国工程建设标准强制性条文(房屋建筑部分)</w:t>
      </w:r>
    </w:p>
    <w:p>
      <w:pPr>
        <w:snapToGrid w:val="0"/>
        <w:spacing w:line="360" w:lineRule="auto"/>
        <w:ind w:firstLine="420" w:firstLineChars="200"/>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通风与空调工程施工质量验收规范 GB 50243-2016</w:t>
      </w:r>
    </w:p>
    <w:p>
      <w:pPr>
        <w:snapToGrid w:val="0"/>
        <w:spacing w:line="360" w:lineRule="auto"/>
        <w:ind w:firstLine="420" w:firstLineChars="200"/>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建筑给水排水及采暖工程施工质量验收规范 GB 50242-2002</w:t>
      </w:r>
    </w:p>
    <w:p>
      <w:pPr>
        <w:snapToGrid w:val="0"/>
        <w:spacing w:line="360" w:lineRule="auto"/>
        <w:ind w:firstLine="420" w:firstLineChars="200"/>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制冷设备、空气分离设备安装工程施工及验收规范 GB 50274-2010</w:t>
      </w:r>
    </w:p>
    <w:p>
      <w:pPr>
        <w:snapToGrid w:val="0"/>
        <w:spacing w:line="360" w:lineRule="auto"/>
        <w:ind w:firstLine="420" w:firstLineChars="200"/>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风机、压缩机、泵安装工程施工及验收规范 GB 50275-2010</w:t>
      </w:r>
    </w:p>
    <w:p>
      <w:pPr>
        <w:snapToGrid w:val="0"/>
        <w:spacing w:line="360" w:lineRule="auto"/>
        <w:ind w:firstLine="420" w:firstLineChars="200"/>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a、空调、新风工程所用的材料、成品或半成品进场，必须有产品合格证，并按设计要求验收签证。</w:t>
      </w:r>
    </w:p>
    <w:p>
      <w:pPr>
        <w:snapToGrid w:val="0"/>
        <w:spacing w:line="360" w:lineRule="auto"/>
        <w:ind w:firstLine="420" w:firstLineChars="200"/>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b、空调、新风工程中的隐蔽工程在隐蔽前必须按有关验收规范及设计要求验收签证。</w:t>
      </w:r>
    </w:p>
    <w:p>
      <w:pPr>
        <w:snapToGrid w:val="0"/>
        <w:spacing w:line="360" w:lineRule="auto"/>
        <w:ind w:firstLine="420" w:firstLineChars="200"/>
        <w:rPr>
          <w:rFonts w:hint="eastAsia" w:asciiTheme="minorEastAsia" w:hAnsiTheme="minorEastAsia" w:eastAsiaTheme="minorEastAsia" w:cstheme="minorEastAsia"/>
          <w:b/>
          <w:bCs w:val="0"/>
          <w:color w:val="auto"/>
          <w:sz w:val="21"/>
          <w:szCs w:val="21"/>
          <w:highlight w:val="none"/>
          <w:lang w:eastAsia="zh-CN"/>
        </w:rPr>
      </w:pPr>
      <w:r>
        <w:rPr>
          <w:rFonts w:hint="eastAsia" w:asciiTheme="minorEastAsia" w:hAnsiTheme="minorEastAsia" w:eastAsiaTheme="minorEastAsia" w:cstheme="minorEastAsia"/>
          <w:bCs/>
          <w:color w:val="auto"/>
          <w:sz w:val="21"/>
          <w:szCs w:val="21"/>
          <w:highlight w:val="none"/>
        </w:rPr>
        <w:t>c、空调、新风工程安装应与土建及装饰工程密切配合，在土建和暖通施工前，认真核对、协调处理安装所需的土建基础、预埋件和预留孔洞。</w:t>
      </w:r>
    </w:p>
    <w:p>
      <w:pPr>
        <w:pStyle w:val="210"/>
        <w:spacing w:line="360" w:lineRule="auto"/>
        <w:ind w:firstLine="462" w:firstLineChars="200"/>
        <w:rPr>
          <w:rFonts w:hint="eastAsia" w:asciiTheme="minorEastAsia" w:hAnsiTheme="minorEastAsia" w:eastAsiaTheme="minorEastAsia" w:cstheme="minorEastAsia"/>
          <w:b/>
          <w:bCs w:val="0"/>
          <w:color w:val="auto"/>
          <w:sz w:val="21"/>
          <w:szCs w:val="21"/>
          <w:highlight w:val="none"/>
          <w:lang w:val="en-US" w:eastAsia="zh-CN"/>
        </w:rPr>
      </w:pPr>
      <w:r>
        <w:rPr>
          <w:rFonts w:hint="eastAsia" w:asciiTheme="minorEastAsia" w:hAnsiTheme="minorEastAsia" w:eastAsiaTheme="minorEastAsia" w:cstheme="minorEastAsia"/>
          <w:b/>
          <w:bCs w:val="0"/>
          <w:color w:val="auto"/>
          <w:sz w:val="21"/>
          <w:szCs w:val="21"/>
          <w:highlight w:val="none"/>
          <w:lang w:val="en-US" w:eastAsia="zh-CN"/>
        </w:rPr>
        <w:t>1、组合式空气处理机组</w:t>
      </w:r>
    </w:p>
    <w:p>
      <w:pPr>
        <w:pStyle w:val="210"/>
        <w:spacing w:line="360" w:lineRule="auto"/>
        <w:ind w:firstLine="46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（1）</w:t>
      </w:r>
      <w:r>
        <w:rPr>
          <w:rFonts w:hint="eastAsia" w:asciiTheme="minorEastAsia" w:hAnsiTheme="minorEastAsia" w:eastAsiaTheme="minorEastAsia" w:cstheme="minorEastAsia"/>
          <w:bCs/>
          <w:color w:val="auto"/>
          <w:sz w:val="21"/>
          <w:szCs w:val="21"/>
          <w:highlight w:val="none"/>
          <w:lang w:val="en-US" w:eastAsia="zh-CN"/>
        </w:rPr>
        <w:t>空调箱体外形美观大方，采用铝质型材框架结构，铝型材与面板通过高压聚氨酯发泡形成一个整体，铝型材带凹凸槽，安装后形成榫头互扣连接，通过螺栓螺母的连接方式，形成了严密的迷宫式密封</w:t>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lang w:val="en-US" w:eastAsia="zh-CN"/>
        </w:rPr>
        <w:t>面板与面板之间以</w:t>
      </w:r>
      <w:r>
        <w:rPr>
          <w:rFonts w:hint="eastAsia" w:asciiTheme="minorEastAsia" w:hAnsiTheme="minorEastAsia" w:eastAsiaTheme="minorEastAsia" w:cstheme="minorEastAsia"/>
          <w:bCs/>
          <w:color w:val="auto"/>
          <w:sz w:val="21"/>
          <w:szCs w:val="21"/>
          <w:highlight w:val="none"/>
          <w:lang w:val="en-US" w:eastAsia="zh-CN"/>
        </w:rPr>
        <w:t>铝质型材框架互扣</w:t>
      </w:r>
      <w:r>
        <w:rPr>
          <w:rFonts w:hint="eastAsia" w:asciiTheme="minorEastAsia" w:hAnsiTheme="minorEastAsia" w:eastAsiaTheme="minorEastAsia" w:cstheme="minorEastAsia"/>
          <w:color w:val="auto"/>
          <w:sz w:val="21"/>
          <w:szCs w:val="21"/>
          <w:highlight w:val="none"/>
          <w:lang w:val="en-US" w:eastAsia="zh-CN"/>
        </w:rPr>
        <w:t>连接，内部还有暗藏方钢内框架，使箱体在组装后的每个拼接处都形成内外两道加强，性能优于普通框架式结构。为了确保机组正负压段不漏风及便于箱板拆卸，机组面板与面板间必须采用螺栓螺母紧固。</w:t>
      </w:r>
    </w:p>
    <w:p>
      <w:pPr>
        <w:pStyle w:val="210"/>
        <w:spacing w:line="360" w:lineRule="auto"/>
        <w:ind w:firstLine="46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2</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面板要求采用双面保温箱板结构保温层厚度不小于50mm，内充填聚氨脂发泡保温（密度≥</w:t>
      </w:r>
      <w:r>
        <w:rPr>
          <w:rFonts w:hint="eastAsia" w:asciiTheme="minorEastAsia" w:hAnsiTheme="minorEastAsia" w:eastAsiaTheme="minorEastAsia" w:cstheme="minorEastAsia"/>
          <w:color w:val="auto"/>
          <w:sz w:val="21"/>
          <w:szCs w:val="21"/>
          <w:highlight w:val="none"/>
          <w:lang w:val="en-US" w:eastAsia="zh-CN"/>
        </w:rPr>
        <w:t>50</w:t>
      </w:r>
      <w:r>
        <w:rPr>
          <w:rFonts w:hint="eastAsia" w:asciiTheme="minorEastAsia" w:hAnsiTheme="minorEastAsia" w:eastAsiaTheme="minorEastAsia" w:cstheme="minorEastAsia"/>
          <w:color w:val="auto"/>
          <w:sz w:val="21"/>
          <w:szCs w:val="21"/>
          <w:highlight w:val="none"/>
        </w:rPr>
        <w:t>kg/m3）。外板采用彩色镀锌钢板，箱体面板外板采用覆膜彩钢板，板厚不得低于0.5mm,内板采用镀锌钢板或不锈钢板，板厚不得低于0.5mm，内外板之间应具有防冷桥措施，不得直接接触。</w:t>
      </w:r>
    </w:p>
    <w:p>
      <w:pPr>
        <w:pStyle w:val="210"/>
        <w:spacing w:line="360" w:lineRule="auto"/>
        <w:ind w:firstLine="460" w:firstLineChars="200"/>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3</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机组热绝缘性能保证应不低于 T2 级。</w:t>
      </w:r>
    </w:p>
    <w:p>
      <w:pPr>
        <w:pStyle w:val="210"/>
        <w:spacing w:line="360" w:lineRule="auto"/>
        <w:ind w:firstLine="46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4</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同时通过美标AHRI和欧标Eurovent认证</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（须在投标书中提供</w:t>
      </w:r>
      <w:r>
        <w:rPr>
          <w:rFonts w:hint="eastAsia" w:asciiTheme="minorEastAsia" w:hAnsiTheme="minorEastAsia" w:eastAsiaTheme="minorEastAsia" w:cstheme="minorEastAsia"/>
          <w:color w:val="auto"/>
          <w:sz w:val="21"/>
          <w:szCs w:val="21"/>
          <w:highlight w:val="none"/>
          <w:lang w:eastAsia="zh-CN"/>
        </w:rPr>
        <w:t>认证</w:t>
      </w:r>
      <w:r>
        <w:rPr>
          <w:rFonts w:hint="eastAsia" w:asciiTheme="minorEastAsia" w:hAnsiTheme="minorEastAsia" w:eastAsiaTheme="minorEastAsia" w:cstheme="minorEastAsia"/>
          <w:color w:val="auto"/>
          <w:sz w:val="21"/>
          <w:szCs w:val="21"/>
          <w:highlight w:val="none"/>
        </w:rPr>
        <w:t>复印件）</w:t>
      </w:r>
    </w:p>
    <w:p>
      <w:pPr>
        <w:pStyle w:val="210"/>
        <w:spacing w:line="360" w:lineRule="auto"/>
        <w:ind w:firstLine="462" w:firstLineChars="200"/>
        <w:rPr>
          <w:rFonts w:hint="eastAsia" w:asciiTheme="minorEastAsia" w:hAnsiTheme="minorEastAsia" w:eastAsiaTheme="minorEastAsia" w:cstheme="minorEastAsia"/>
          <w:b/>
          <w:bCs w:val="0"/>
          <w:color w:val="auto"/>
          <w:sz w:val="21"/>
          <w:szCs w:val="21"/>
          <w:highlight w:val="none"/>
          <w:lang w:eastAsia="zh-CN"/>
        </w:rPr>
      </w:pPr>
      <w:r>
        <w:rPr>
          <w:rFonts w:hint="eastAsia" w:asciiTheme="minorEastAsia" w:hAnsiTheme="minorEastAsia" w:eastAsiaTheme="minorEastAsia" w:cstheme="minorEastAsia"/>
          <w:b/>
          <w:bCs w:val="0"/>
          <w:color w:val="auto"/>
          <w:sz w:val="21"/>
          <w:szCs w:val="21"/>
          <w:highlight w:val="none"/>
          <w:lang w:val="en-US" w:eastAsia="zh-CN"/>
        </w:rPr>
        <w:t>2、</w:t>
      </w:r>
      <w:r>
        <w:rPr>
          <w:rFonts w:hint="eastAsia" w:asciiTheme="minorEastAsia" w:hAnsiTheme="minorEastAsia" w:eastAsiaTheme="minorEastAsia" w:cstheme="minorEastAsia"/>
          <w:b/>
          <w:bCs w:val="0"/>
          <w:color w:val="auto"/>
          <w:sz w:val="21"/>
          <w:szCs w:val="21"/>
          <w:highlight w:val="none"/>
          <w:lang w:eastAsia="zh-CN"/>
        </w:rPr>
        <w:t>空气过滤器</w:t>
      </w:r>
    </w:p>
    <w:p>
      <w:pPr>
        <w:pStyle w:val="210"/>
        <w:spacing w:line="360" w:lineRule="auto"/>
        <w:ind w:firstLine="46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1</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B类有隔板高效过滤器，在额定风量下的钠焰法效率应不低于99.99%；</w:t>
      </w:r>
    </w:p>
    <w:p>
      <w:pPr>
        <w:pStyle w:val="210"/>
        <w:spacing w:line="360" w:lineRule="auto"/>
        <w:ind w:firstLine="46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（2）B类有隔板高效过滤器，在额定风量下初阻力不高于220Pa。</w:t>
      </w:r>
    </w:p>
    <w:p>
      <w:pPr>
        <w:snapToGrid w:val="0"/>
        <w:spacing w:line="360" w:lineRule="auto"/>
        <w:ind w:firstLine="422" w:firstLineChars="200"/>
        <w:rPr>
          <w:rFonts w:hint="eastAsia" w:asciiTheme="minorEastAsia" w:hAnsiTheme="minorEastAsia" w:eastAsiaTheme="minorEastAsia" w:cstheme="minorEastAsia"/>
          <w:b/>
          <w:bCs/>
          <w:color w:val="auto"/>
          <w:sz w:val="21"/>
          <w:szCs w:val="21"/>
          <w:highlight w:val="none"/>
        </w:rPr>
      </w:pPr>
      <w:r>
        <w:rPr>
          <w:rFonts w:hint="eastAsia" w:asciiTheme="minorEastAsia" w:hAnsiTheme="minorEastAsia" w:eastAsiaTheme="minorEastAsia" w:cstheme="minorEastAsia"/>
          <w:b/>
          <w:bCs/>
          <w:color w:val="auto"/>
          <w:sz w:val="21"/>
          <w:szCs w:val="21"/>
          <w:highlight w:val="none"/>
          <w:lang w:val="en-US" w:eastAsia="zh-CN"/>
        </w:rPr>
        <w:t>3</w:t>
      </w:r>
      <w:r>
        <w:rPr>
          <w:rFonts w:hint="eastAsia" w:asciiTheme="minorEastAsia" w:hAnsiTheme="minorEastAsia" w:eastAsiaTheme="minorEastAsia" w:cstheme="minorEastAsia"/>
          <w:b/>
          <w:bCs/>
          <w:color w:val="auto"/>
          <w:sz w:val="21"/>
          <w:szCs w:val="21"/>
          <w:highlight w:val="none"/>
        </w:rPr>
        <w:t>、通风管道</w:t>
      </w:r>
    </w:p>
    <w:p>
      <w:pPr>
        <w:tabs>
          <w:tab w:val="left" w:pos="993"/>
        </w:tabs>
        <w:adjustRightInd w:val="0"/>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（1）风管制作使用的材料品种、规格、性能与厚度等应符合设计和现行国家产品标准的规定。</w:t>
      </w:r>
    </w:p>
    <w:p>
      <w:pPr>
        <w:numPr>
          <w:ilvl w:val="0"/>
          <w:numId w:val="10"/>
        </w:numPr>
        <w:tabs>
          <w:tab w:val="left" w:pos="993"/>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风管采用</w:t>
      </w:r>
      <w:r>
        <w:rPr>
          <w:rFonts w:hint="eastAsia" w:asciiTheme="minorEastAsia" w:hAnsiTheme="minorEastAsia" w:eastAsiaTheme="minorEastAsia" w:cstheme="minorEastAsia"/>
          <w:color w:val="auto"/>
          <w:sz w:val="21"/>
          <w:szCs w:val="21"/>
          <w:highlight w:val="none"/>
          <w:lang w:eastAsia="zh-CN"/>
        </w:rPr>
        <w:t>镀锌风管</w:t>
      </w:r>
      <w:r>
        <w:rPr>
          <w:rFonts w:hint="eastAsia" w:asciiTheme="minorEastAsia" w:hAnsiTheme="minorEastAsia" w:eastAsiaTheme="minorEastAsia" w:cstheme="minorEastAsia"/>
          <w:color w:val="auto"/>
          <w:sz w:val="21"/>
          <w:szCs w:val="21"/>
          <w:highlight w:val="none"/>
        </w:rPr>
        <w:t>。</w:t>
      </w:r>
    </w:p>
    <w:p>
      <w:pPr>
        <w:numPr>
          <w:ilvl w:val="0"/>
          <w:numId w:val="10"/>
        </w:numPr>
        <w:tabs>
          <w:tab w:val="left" w:pos="993"/>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根据设计要求及现场条件焊接组装，现场安装应尽量减少三通、弯头，以降低风阻。</w:t>
      </w:r>
    </w:p>
    <w:p>
      <w:pPr>
        <w:tabs>
          <w:tab w:val="left" w:pos="993"/>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（4）风管制作使用的材料品种、规格、性能与厚度等应符合设计和现行国家产品标准的规定。</w:t>
      </w:r>
    </w:p>
    <w:p>
      <w:pPr>
        <w:tabs>
          <w:tab w:val="left" w:pos="993"/>
        </w:tabs>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①风管的外观质量应表面平整，凹凸不大于5mm，圆弧均匀，拼缝处无凹凸，两端平行，无扭曲和翘角，焊缝饱满，焊条排列整齐。</w:t>
      </w:r>
    </w:p>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②风管加固应牢固可靠，整齐美观。风管与法兰连接处的三角支撑间距适宜，均匀对称。风管制作偏差符合下表的规定。</w:t>
      </w:r>
    </w:p>
    <w:p>
      <w:pPr>
        <w:tabs>
          <w:tab w:val="left" w:pos="840"/>
        </w:tabs>
        <w:spacing w:line="440" w:lineRule="exact"/>
        <w:rPr>
          <w:rFonts w:hint="eastAsia" w:ascii="宋体" w:hAnsi="宋体" w:cs="Times New Roman"/>
          <w:b/>
          <w:color w:val="auto"/>
          <w:highlight w:val="none"/>
          <w:lang w:val="zh-CN"/>
        </w:rPr>
      </w:pPr>
      <w:r>
        <w:rPr>
          <w:rFonts w:hint="eastAsia" w:ascii="宋体" w:hAnsi="宋体" w:cs="Times New Roman"/>
          <w:b/>
          <w:color w:val="auto"/>
          <w:highlight w:val="none"/>
          <w:lang w:val="zh-CN"/>
        </w:rPr>
        <w:t>三、检测报告</w:t>
      </w:r>
    </w:p>
    <w:p>
      <w:pPr>
        <w:spacing w:line="440" w:lineRule="exact"/>
        <w:ind w:firstLine="420" w:firstLineChars="200"/>
        <w:rPr>
          <w:rFonts w:hint="eastAsia" w:ascii="宋体" w:hAnsi="宋体" w:cs="Times New Roman"/>
          <w:color w:val="auto"/>
          <w:highlight w:val="none"/>
          <w:lang w:val="zh-CN"/>
        </w:rPr>
      </w:pPr>
      <w:r>
        <w:rPr>
          <w:rFonts w:hint="eastAsia" w:ascii="宋体" w:hAnsi="宋体" w:cs="Times New Roman"/>
          <w:color w:val="auto"/>
          <w:highlight w:val="none"/>
          <w:lang w:val="zh-CN"/>
        </w:rPr>
        <w:t>检测报告：投标人投标时提供所投产品在</w:t>
      </w:r>
      <w:r>
        <w:rPr>
          <w:rFonts w:hint="eastAsia" w:ascii="宋体" w:hAnsi="宋体" w:cs="Times New Roman"/>
          <w:color w:val="auto"/>
          <w:highlight w:val="none"/>
          <w:lang w:val="en-US" w:eastAsia="zh-CN"/>
        </w:rPr>
        <w:t>第三方检测机构</w:t>
      </w:r>
      <w:r>
        <w:rPr>
          <w:rFonts w:hint="eastAsia" w:ascii="宋体" w:hAnsi="宋体" w:cs="Times New Roman"/>
          <w:color w:val="auto"/>
          <w:highlight w:val="none"/>
          <w:lang w:val="zh-CN"/>
        </w:rPr>
        <w:t>出具的检测报告复印件（检测报告应出具检测室官方查伪电话和网站），检测报告书需包括具体检测结果数据，报告包含但不限于以下内容：</w:t>
      </w:r>
    </w:p>
    <w:p>
      <w:pPr>
        <w:numPr>
          <w:ilvl w:val="0"/>
          <w:numId w:val="11"/>
        </w:numPr>
        <w:spacing w:line="440" w:lineRule="exact"/>
        <w:ind w:firstLine="420" w:firstLineChars="200"/>
        <w:rPr>
          <w:rFonts w:hint="eastAsia" w:ascii="宋体" w:hAnsi="宋体" w:cs="Times New Roman"/>
          <w:color w:val="auto"/>
          <w:highlight w:val="none"/>
          <w:lang w:val="zh-CN"/>
        </w:rPr>
      </w:pPr>
      <w:r>
        <w:rPr>
          <w:rFonts w:hint="eastAsia" w:ascii="宋体" w:hAnsi="宋体" w:cs="Times New Roman"/>
          <w:color w:val="auto"/>
          <w:highlight w:val="none"/>
          <w:lang w:val="zh-CN"/>
        </w:rPr>
        <w:t>检测报告体现PVC卷材地板的</w:t>
      </w:r>
      <w:r>
        <w:rPr>
          <w:rFonts w:hint="default" w:ascii="宋体" w:hAnsi="宋体" w:cs="Times New Roman"/>
          <w:color w:val="auto"/>
          <w:highlight w:val="none"/>
          <w:lang w:val="zh-CN"/>
        </w:rPr>
        <w:t>①</w:t>
      </w:r>
      <w:r>
        <w:rPr>
          <w:rFonts w:hint="eastAsia" w:ascii="宋体" w:hAnsi="宋体" w:cs="Times New Roman"/>
          <w:color w:val="auto"/>
          <w:highlight w:val="none"/>
          <w:lang w:val="zh-CN"/>
        </w:rPr>
        <w:t>材料类型:PVC塑胶同质透心地板、聚氯乙烯卷材地板；</w:t>
      </w:r>
      <w:r>
        <w:rPr>
          <w:rFonts w:hint="default" w:ascii="宋体" w:hAnsi="宋体" w:cs="Times New Roman"/>
          <w:color w:val="auto"/>
          <w:highlight w:val="none"/>
          <w:lang w:val="zh-CN"/>
        </w:rPr>
        <w:t>②</w:t>
      </w:r>
      <w:r>
        <w:rPr>
          <w:rFonts w:hint="eastAsia" w:ascii="宋体" w:hAnsi="宋体" w:cs="Times New Roman"/>
          <w:color w:val="auto"/>
          <w:highlight w:val="none"/>
          <w:lang w:val="zh-CN"/>
        </w:rPr>
        <w:t>产品总厚度：≥2mm；</w:t>
      </w:r>
      <w:r>
        <w:rPr>
          <w:rFonts w:hint="default" w:ascii="宋体" w:hAnsi="宋体" w:cs="Times New Roman"/>
          <w:color w:val="auto"/>
          <w:highlight w:val="none"/>
          <w:lang w:val="zh-CN"/>
        </w:rPr>
        <w:t>③</w:t>
      </w:r>
      <w:r>
        <w:rPr>
          <w:rFonts w:hint="eastAsia" w:ascii="宋体" w:hAnsi="宋体" w:cs="Times New Roman"/>
          <w:color w:val="auto"/>
          <w:highlight w:val="none"/>
          <w:lang w:val="zh-CN"/>
        </w:rPr>
        <w:t>耐磨性≤2.0；④残存凹陷度：≤0.04（检测标准GB/T4085-2005）；⑤防火性能：国家建材中心的检测符合现行国家标准B1级（检测标准GB8624-2012）；⑥产烟毒性达到准安全一级ZA1；⑦有毒有害物质检测：氯乙烯单体、可溶性重金属、挥发物检测等检测合格；⑧色牢度≥6。</w:t>
      </w:r>
    </w:p>
    <w:p>
      <w:pPr>
        <w:numPr>
          <w:ilvl w:val="0"/>
          <w:numId w:val="11"/>
        </w:numPr>
        <w:spacing w:line="440" w:lineRule="exact"/>
        <w:ind w:firstLine="420" w:firstLineChars="200"/>
        <w:rPr>
          <w:rFonts w:hint="eastAsia" w:ascii="宋体" w:hAnsi="宋体" w:cs="Times New Roman"/>
          <w:color w:val="auto"/>
          <w:highlight w:val="none"/>
          <w:lang w:val="zh-CN"/>
        </w:rPr>
      </w:pPr>
      <w:r>
        <w:rPr>
          <w:rFonts w:hint="eastAsia" w:ascii="宋体" w:hAnsi="宋体" w:cs="Times New Roman"/>
          <w:color w:val="auto"/>
          <w:highlight w:val="none"/>
          <w:lang w:val="zh-CN"/>
        </w:rPr>
        <w:t>检测报告体现彩钢板隔墙的</w:t>
      </w:r>
      <w:r>
        <w:rPr>
          <w:rFonts w:hint="eastAsia" w:asciiTheme="minorEastAsia" w:hAnsiTheme="minorEastAsia" w:eastAsiaTheme="minorEastAsia" w:cstheme="minorEastAsia"/>
          <w:color w:val="auto"/>
          <w:sz w:val="21"/>
          <w:szCs w:val="21"/>
          <w:highlight w:val="none"/>
          <w:lang w:val="en-US" w:eastAsia="zh-CN"/>
        </w:rPr>
        <w:t>玻镁板氯离子含量≤0.01%</w:t>
      </w:r>
      <w:r>
        <w:rPr>
          <w:rFonts w:hint="eastAsia" w:ascii="宋体" w:hAnsi="宋体" w:cs="Times New Roman"/>
          <w:color w:val="auto"/>
          <w:highlight w:val="none"/>
          <w:lang w:val="zh-CN"/>
        </w:rPr>
        <w:t>；</w:t>
      </w:r>
    </w:p>
    <w:p>
      <w:pPr>
        <w:numPr>
          <w:ilvl w:val="0"/>
          <w:numId w:val="11"/>
        </w:numPr>
        <w:spacing w:line="440" w:lineRule="exact"/>
        <w:ind w:firstLine="420" w:firstLineChars="200"/>
        <w:rPr>
          <w:rFonts w:hint="eastAsia" w:ascii="宋体" w:hAnsi="宋体" w:cs="Times New Roman"/>
          <w:color w:val="auto"/>
          <w:highlight w:val="none"/>
          <w:lang w:val="zh-CN"/>
        </w:rPr>
      </w:pPr>
      <w:r>
        <w:rPr>
          <w:rFonts w:hint="eastAsia" w:ascii="宋体" w:hAnsi="宋体" w:cs="Times New Roman"/>
          <w:color w:val="auto"/>
          <w:highlight w:val="none"/>
          <w:lang w:val="zh-CN"/>
        </w:rPr>
        <w:t>检测报告体现彩钢板隔墙的</w:t>
      </w:r>
      <w:r>
        <w:rPr>
          <w:rFonts w:hint="eastAsia" w:ascii="宋体" w:hAnsi="宋体" w:cs="Times New Roman"/>
          <w:color w:val="auto"/>
          <w:highlight w:val="none"/>
          <w:lang w:val="en-US" w:eastAsia="zh-CN"/>
        </w:rPr>
        <w:t>玻镁板不腐蚀钢板及铝合金；</w:t>
      </w:r>
    </w:p>
    <w:p>
      <w:pPr>
        <w:numPr>
          <w:ilvl w:val="0"/>
          <w:numId w:val="11"/>
        </w:numPr>
        <w:spacing w:line="440" w:lineRule="exact"/>
        <w:ind w:firstLine="420" w:firstLineChars="200"/>
        <w:rPr>
          <w:rFonts w:hint="eastAsia" w:ascii="宋体" w:hAnsi="宋体" w:cs="Times New Roman"/>
          <w:color w:val="auto"/>
          <w:highlight w:val="none"/>
          <w:lang w:val="zh-CN"/>
        </w:rPr>
      </w:pPr>
      <w:r>
        <w:rPr>
          <w:rFonts w:hint="eastAsia" w:ascii="宋体" w:hAnsi="宋体" w:cs="Times New Roman"/>
          <w:color w:val="auto"/>
          <w:highlight w:val="none"/>
          <w:lang w:val="zh-CN"/>
        </w:rPr>
        <w:t>检测报告体现彩钢板隔墙的</w:t>
      </w:r>
      <w:r>
        <w:rPr>
          <w:rFonts w:hint="eastAsia" w:ascii="宋体" w:hAnsi="宋体" w:cs="Times New Roman"/>
          <w:color w:val="auto"/>
          <w:highlight w:val="none"/>
          <w:lang w:val="en-US" w:eastAsia="zh-CN"/>
        </w:rPr>
        <w:t>耐火极限不小于 60 分钟</w:t>
      </w:r>
      <w:r>
        <w:rPr>
          <w:rFonts w:hint="eastAsia" w:ascii="宋体" w:hAnsi="宋体" w:cs="Times New Roman"/>
          <w:color w:val="auto"/>
          <w:highlight w:val="none"/>
          <w:lang w:val="zh-CN"/>
        </w:rPr>
        <w:t>；</w:t>
      </w:r>
    </w:p>
    <w:p>
      <w:pPr>
        <w:numPr>
          <w:ilvl w:val="0"/>
          <w:numId w:val="11"/>
        </w:numPr>
        <w:spacing w:line="440" w:lineRule="exact"/>
        <w:ind w:firstLine="420" w:firstLineChars="200"/>
        <w:rPr>
          <w:rFonts w:hint="eastAsia" w:ascii="宋体" w:hAnsi="宋体" w:cs="Times New Roman"/>
          <w:color w:val="auto"/>
          <w:highlight w:val="none"/>
          <w:lang w:val="zh-CN"/>
        </w:rPr>
      </w:pPr>
      <w:r>
        <w:rPr>
          <w:rFonts w:hint="eastAsia" w:ascii="宋体" w:hAnsi="宋体" w:cs="Times New Roman"/>
          <w:color w:val="auto"/>
          <w:highlight w:val="none"/>
          <w:lang w:val="zh-CN"/>
        </w:rPr>
        <w:t>检测报告体现墙面粉刷没有检出苯、甲苯、</w:t>
      </w:r>
      <w:r>
        <w:rPr>
          <w:rFonts w:hint="eastAsia" w:asciiTheme="minorEastAsia" w:hAnsiTheme="minorEastAsia" w:eastAsiaTheme="minorEastAsia" w:cstheme="minorEastAsia"/>
          <w:color w:val="auto"/>
          <w:sz w:val="21"/>
          <w:szCs w:val="21"/>
          <w:highlight w:val="none"/>
        </w:rPr>
        <w:t>乙苯、二甲苯</w:t>
      </w:r>
      <w:r>
        <w:rPr>
          <w:rFonts w:hint="eastAsia" w:ascii="宋体" w:hAnsi="宋体" w:cs="Times New Roman"/>
          <w:color w:val="auto"/>
          <w:highlight w:val="none"/>
          <w:lang w:val="zh-CN"/>
        </w:rPr>
        <w:t>；</w:t>
      </w:r>
    </w:p>
    <w:p>
      <w:pPr>
        <w:numPr>
          <w:ilvl w:val="0"/>
          <w:numId w:val="11"/>
        </w:num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检测报告体现组合式空气处理机组的面板要求采用双面保温箱板结构保温层厚度不小于50mm，内充填聚氨脂发泡保温（密度≥50kg/m3）。外板采用彩色镀锌钢板，箱体面板外板采用覆膜彩钢板，板厚不得低于0.5mm,内板采用镀锌钢板或不锈钢板，板厚不得低于0.5mm，内外板之间应具有防冷桥措施，不得直接接触；</w:t>
      </w:r>
    </w:p>
    <w:p>
      <w:pPr>
        <w:tabs>
          <w:tab w:val="left" w:pos="840"/>
        </w:tabs>
        <w:spacing w:line="440" w:lineRule="exact"/>
        <w:rPr>
          <w:rFonts w:hint="eastAsia" w:ascii="宋体" w:hAnsi="宋体" w:cs="Times New Roman"/>
          <w:b/>
          <w:color w:val="auto"/>
          <w:highlight w:val="none"/>
          <w:lang w:val="zh-CN"/>
        </w:rPr>
      </w:pPr>
      <w:r>
        <w:rPr>
          <w:rFonts w:hint="eastAsia" w:ascii="宋体" w:hAnsi="宋体" w:cs="Times New Roman"/>
          <w:b/>
          <w:color w:val="auto"/>
          <w:highlight w:val="none"/>
          <w:lang w:val="zh-CN" w:eastAsia="zh-CN"/>
        </w:rPr>
        <w:t>四</w:t>
      </w:r>
      <w:r>
        <w:rPr>
          <w:rFonts w:hint="eastAsia" w:ascii="宋体" w:hAnsi="宋体" w:cs="Times New Roman"/>
          <w:b/>
          <w:color w:val="auto"/>
          <w:highlight w:val="none"/>
          <w:lang w:val="zh-CN"/>
        </w:rPr>
        <w:t>、相关图纸（另册）</w:t>
      </w:r>
    </w:p>
    <w:p>
      <w:pPr>
        <w:spacing w:line="440" w:lineRule="exact"/>
        <w:ind w:firstLine="420" w:firstLineChars="200"/>
        <w:rPr>
          <w:rFonts w:hint="eastAsia" w:ascii="宋体" w:hAnsi="宋体"/>
          <w:color w:val="auto"/>
          <w:highlight w:val="none"/>
          <w:lang w:val="zh-CN"/>
        </w:rPr>
      </w:pPr>
      <w:r>
        <w:rPr>
          <w:rFonts w:hint="eastAsia" w:ascii="宋体" w:hAnsi="宋体"/>
          <w:color w:val="auto"/>
          <w:highlight w:val="none"/>
          <w:lang w:val="en-US" w:eastAsia="zh-CN"/>
        </w:rPr>
        <w:t>1.</w:t>
      </w:r>
      <w:r>
        <w:rPr>
          <w:rFonts w:hint="eastAsia" w:ascii="宋体" w:hAnsi="宋体"/>
          <w:color w:val="auto"/>
          <w:highlight w:val="none"/>
          <w:lang w:val="zh-CN"/>
        </w:rPr>
        <w:t>相关图纸（另册）：图纸等资料每本售价500元/套（人民币）；</w:t>
      </w:r>
    </w:p>
    <w:p>
      <w:pPr>
        <w:tabs>
          <w:tab w:val="left" w:pos="840"/>
        </w:tabs>
        <w:spacing w:line="440" w:lineRule="exact"/>
        <w:rPr>
          <w:rFonts w:ascii="宋体" w:hAnsi="宋体"/>
          <w:b/>
          <w:color w:val="auto"/>
          <w:highlight w:val="none"/>
          <w:lang w:val="zh-CN"/>
        </w:rPr>
      </w:pPr>
      <w:r>
        <w:rPr>
          <w:rFonts w:hint="eastAsia" w:ascii="宋体" w:hAnsi="宋体"/>
          <w:b/>
          <w:color w:val="auto"/>
          <w:highlight w:val="none"/>
          <w:lang w:val="zh-CN"/>
        </w:rPr>
        <w:t>五、质量保修期及售后服务要求</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1.质量保修期不低于2年，质量保修期内中标人对所供项目内容实行包修、包换、包维护保养。</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2.</w:t>
      </w:r>
      <w:r>
        <w:rPr>
          <w:rFonts w:hint="eastAsia" w:ascii="宋体" w:hAnsi="宋体" w:cs="宋体"/>
          <w:color w:val="auto"/>
          <w:szCs w:val="21"/>
          <w:highlight w:val="none"/>
        </w:rPr>
        <w:t>项目完成后，中标人向采购人提交结算价5%的质量保证金，在两年质保期满后15个工作日内由采购人无息退还给中标人若承包人在质量保证期内未完全履行缺陷保修义务的，发包人有权扣除质量保证金，并保留进一步索赔的权利。</w:t>
      </w:r>
    </w:p>
    <w:p>
      <w:pPr>
        <w:tabs>
          <w:tab w:val="left" w:pos="840"/>
        </w:tabs>
        <w:spacing w:line="440" w:lineRule="exact"/>
        <w:rPr>
          <w:rFonts w:ascii="宋体" w:hAnsi="宋体"/>
          <w:b/>
          <w:color w:val="auto"/>
          <w:highlight w:val="none"/>
          <w:lang w:val="zh-CN"/>
        </w:rPr>
      </w:pPr>
      <w:bookmarkStart w:id="278" w:name="_Toc317609046"/>
      <w:r>
        <w:rPr>
          <w:rFonts w:hint="eastAsia" w:ascii="宋体" w:hAnsi="宋体"/>
          <w:b/>
          <w:color w:val="auto"/>
          <w:highlight w:val="none"/>
          <w:lang w:val="zh-CN"/>
        </w:rPr>
        <w:t>六、采购项目商务要求</w:t>
      </w:r>
      <w:bookmarkEnd w:id="278"/>
    </w:p>
    <w:p>
      <w:pPr>
        <w:spacing w:line="440" w:lineRule="exact"/>
        <w:ind w:firstLine="420" w:firstLineChars="200"/>
        <w:rPr>
          <w:rFonts w:ascii="宋体" w:hAnsi="宋体"/>
          <w:color w:val="auto"/>
          <w:highlight w:val="none"/>
          <w:lang w:val="zh-CN"/>
        </w:rPr>
      </w:pPr>
      <w:bookmarkStart w:id="279" w:name="_Toc317609047"/>
      <w:r>
        <w:rPr>
          <w:rFonts w:hint="eastAsia" w:ascii="宋体" w:hAnsi="宋体"/>
          <w:color w:val="auto"/>
          <w:highlight w:val="none"/>
          <w:lang w:val="zh-CN"/>
        </w:rPr>
        <w:t>1.工期：</w:t>
      </w:r>
      <w:r>
        <w:rPr>
          <w:rFonts w:hint="eastAsia" w:ascii="宋体" w:hAnsi="宋体"/>
          <w:color w:val="auto"/>
          <w:highlight w:val="none"/>
          <w:lang w:val="en-US" w:eastAsia="zh-CN"/>
        </w:rPr>
        <w:t>60个</w:t>
      </w:r>
      <w:r>
        <w:rPr>
          <w:rFonts w:hint="eastAsia" w:ascii="宋体" w:hAnsi="宋体"/>
          <w:color w:val="auto"/>
          <w:highlight w:val="none"/>
          <w:lang w:val="zh-CN"/>
        </w:rPr>
        <w:t>日历日。</w:t>
      </w:r>
      <w:bookmarkEnd w:id="279"/>
    </w:p>
    <w:p>
      <w:pPr>
        <w:spacing w:line="440" w:lineRule="exact"/>
        <w:ind w:firstLine="420" w:firstLineChars="200"/>
        <w:rPr>
          <w:rFonts w:ascii="宋体" w:hAnsi="宋体"/>
          <w:color w:val="auto"/>
          <w:highlight w:val="none"/>
          <w:lang w:val="zh-CN"/>
        </w:rPr>
      </w:pPr>
      <w:bookmarkStart w:id="280" w:name="_Toc317609048"/>
      <w:r>
        <w:rPr>
          <w:rFonts w:hint="eastAsia" w:ascii="宋体" w:hAnsi="宋体"/>
          <w:color w:val="auto"/>
          <w:highlight w:val="none"/>
          <w:lang w:val="zh-CN"/>
        </w:rPr>
        <w:t>2.质量要求：按国家相关规范规程一次性验收达到合格标准。</w:t>
      </w:r>
      <w:bookmarkEnd w:id="280"/>
    </w:p>
    <w:p>
      <w:pPr>
        <w:spacing w:line="440" w:lineRule="exact"/>
        <w:ind w:firstLine="420" w:firstLineChars="200"/>
        <w:rPr>
          <w:rFonts w:ascii="宋体" w:hAnsi="宋体"/>
          <w:color w:val="auto"/>
          <w:highlight w:val="none"/>
          <w:lang w:val="zh-CN"/>
        </w:rPr>
      </w:pPr>
      <w:bookmarkStart w:id="281" w:name="_Toc317609049"/>
      <w:r>
        <w:rPr>
          <w:rFonts w:hint="eastAsia" w:ascii="宋体" w:hAnsi="宋体"/>
          <w:color w:val="auto"/>
          <w:highlight w:val="none"/>
          <w:lang w:val="zh-CN"/>
        </w:rPr>
        <w:t>3.安全文明安装要求：按广州市的相关规定执行。</w:t>
      </w:r>
      <w:bookmarkEnd w:id="281"/>
    </w:p>
    <w:p>
      <w:pPr>
        <w:tabs>
          <w:tab w:val="left" w:pos="840"/>
        </w:tabs>
        <w:spacing w:line="440" w:lineRule="exact"/>
        <w:rPr>
          <w:rFonts w:ascii="宋体" w:hAnsi="宋体"/>
          <w:b/>
          <w:color w:val="auto"/>
          <w:highlight w:val="none"/>
          <w:lang w:val="zh-CN"/>
        </w:rPr>
      </w:pPr>
      <w:r>
        <w:rPr>
          <w:rFonts w:hint="eastAsia" w:ascii="宋体" w:hAnsi="宋体"/>
          <w:b/>
          <w:color w:val="auto"/>
          <w:highlight w:val="none"/>
          <w:lang w:val="zh-CN"/>
        </w:rPr>
        <w:t>七、其他</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1.本次报价包括以上清单中所有内容，供应商必须给出清单所有项目的综合单价（综合单价须有明细内容）和合价，若有缺项漏项，应视为均摊在其他费用中。</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2.若本项目有增加工作量部分，则按原清单中单价计价，若清单中无该项目则按相关规范按实际发生工作量结算。</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3.各供应商必须给出产品的详细资料，包括技术标准、产品配置、尺寸等，以便采购人综合进行评定。</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4.供应商必须保证：报价所列内容使得整个工程在功能上的完整性，并正常运行，验收合格。</w:t>
      </w:r>
    </w:p>
    <w:p>
      <w:pPr>
        <w:spacing w:line="440" w:lineRule="exact"/>
        <w:ind w:firstLine="420" w:firstLineChars="200"/>
        <w:rPr>
          <w:rFonts w:ascii="宋体" w:hAnsi="宋体"/>
          <w:color w:val="auto"/>
          <w:highlight w:val="none"/>
        </w:rPr>
      </w:pPr>
      <w:r>
        <w:rPr>
          <w:rFonts w:hint="eastAsia" w:ascii="宋体" w:hAnsi="宋体"/>
          <w:color w:val="auto"/>
          <w:highlight w:val="none"/>
        </w:rPr>
        <w:t>5.中标人责任:中标人在施工过程中需要负责处理好与周边的关系及经济问题，发生任何纠纷以及产生所有费用均由中标人自行承担。</w:t>
      </w:r>
    </w:p>
    <w:p>
      <w:pPr>
        <w:tabs>
          <w:tab w:val="left" w:pos="840"/>
        </w:tabs>
        <w:spacing w:line="440" w:lineRule="exact"/>
        <w:rPr>
          <w:rFonts w:ascii="宋体" w:hAnsi="宋体"/>
          <w:b/>
          <w:color w:val="auto"/>
          <w:highlight w:val="none"/>
        </w:rPr>
      </w:pPr>
      <w:r>
        <w:rPr>
          <w:rFonts w:hint="eastAsia" w:ascii="宋体" w:hAnsi="宋体"/>
          <w:b/>
          <w:color w:val="auto"/>
          <w:highlight w:val="none"/>
          <w:lang w:val="zh-CN"/>
        </w:rPr>
        <w:t>八、支付方式</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1.支付方式：</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lang w:eastAsia="zh-CN"/>
        </w:rPr>
        <w:t>采购人</w:t>
      </w:r>
      <w:r>
        <w:rPr>
          <w:rFonts w:hint="eastAsia" w:ascii="宋体" w:hAnsi="宋体"/>
          <w:color w:val="auto"/>
          <w:szCs w:val="21"/>
          <w:highlight w:val="none"/>
        </w:rPr>
        <w:t>按下述进度以转账方式支付相应款项。</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2.支付进度：</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（一）付款采用 分期付款 方式；</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（二）具体付款方式：</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（1）</w:t>
      </w:r>
      <w:r>
        <w:rPr>
          <w:rFonts w:hint="eastAsia" w:ascii="宋体" w:hAnsi="宋体"/>
          <w:color w:val="auto"/>
          <w:szCs w:val="21"/>
          <w:highlight w:val="none"/>
        </w:rPr>
        <w:t>合同签订生效后，</w:t>
      </w:r>
      <w:r>
        <w:rPr>
          <w:rFonts w:hint="eastAsia" w:ascii="宋体" w:hAnsi="宋体"/>
          <w:color w:val="auto"/>
          <w:szCs w:val="21"/>
          <w:highlight w:val="none"/>
          <w:lang w:eastAsia="zh-CN"/>
        </w:rPr>
        <w:t>采购人</w:t>
      </w:r>
      <w:r>
        <w:rPr>
          <w:rFonts w:hint="eastAsia" w:ascii="宋体" w:hAnsi="宋体"/>
          <w:color w:val="auto"/>
          <w:szCs w:val="21"/>
          <w:highlight w:val="none"/>
        </w:rPr>
        <w:t>支付</w:t>
      </w:r>
      <w:r>
        <w:rPr>
          <w:rFonts w:hint="eastAsia" w:ascii="宋体" w:hAnsi="宋体"/>
          <w:color w:val="auto"/>
          <w:szCs w:val="21"/>
          <w:highlight w:val="none"/>
          <w:lang w:eastAsia="zh-CN"/>
        </w:rPr>
        <w:t>中标人</w:t>
      </w:r>
      <w:r>
        <w:rPr>
          <w:rFonts w:hint="eastAsia" w:ascii="宋体" w:hAnsi="宋体"/>
          <w:color w:val="auto"/>
          <w:szCs w:val="21"/>
          <w:highlight w:val="none"/>
        </w:rPr>
        <w:t>合同金额30%预付款</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（2）项目</w:t>
      </w:r>
      <w:r>
        <w:rPr>
          <w:rFonts w:hint="eastAsia" w:ascii="宋体" w:hAnsi="宋体"/>
          <w:color w:val="auto"/>
          <w:szCs w:val="21"/>
          <w:highlight w:val="none"/>
        </w:rPr>
        <w:t>完成合同金额60%的工作量并经</w:t>
      </w:r>
      <w:r>
        <w:rPr>
          <w:rFonts w:hint="eastAsia" w:ascii="宋体" w:hAnsi="宋体"/>
          <w:color w:val="auto"/>
          <w:szCs w:val="21"/>
          <w:highlight w:val="none"/>
          <w:lang w:eastAsia="zh-CN"/>
        </w:rPr>
        <w:t>采购人</w:t>
      </w:r>
      <w:r>
        <w:rPr>
          <w:rFonts w:hint="eastAsia" w:ascii="宋体" w:hAnsi="宋体"/>
          <w:color w:val="auto"/>
          <w:szCs w:val="21"/>
          <w:highlight w:val="none"/>
        </w:rPr>
        <w:t>确认，</w:t>
      </w:r>
      <w:r>
        <w:rPr>
          <w:rFonts w:hint="eastAsia" w:ascii="宋体" w:hAnsi="宋体"/>
          <w:color w:val="auto"/>
          <w:szCs w:val="21"/>
          <w:highlight w:val="none"/>
          <w:lang w:eastAsia="zh-CN"/>
        </w:rPr>
        <w:t>采购人</w:t>
      </w:r>
      <w:r>
        <w:rPr>
          <w:rFonts w:hint="eastAsia" w:ascii="宋体" w:hAnsi="宋体"/>
          <w:color w:val="auto"/>
          <w:szCs w:val="21"/>
          <w:highlight w:val="none"/>
        </w:rPr>
        <w:t>按合同金额向</w:t>
      </w:r>
      <w:r>
        <w:rPr>
          <w:rFonts w:hint="eastAsia" w:ascii="宋体" w:hAnsi="宋体"/>
          <w:color w:val="auto"/>
          <w:szCs w:val="21"/>
          <w:highlight w:val="none"/>
          <w:lang w:eastAsia="zh-CN"/>
        </w:rPr>
        <w:t>中标人</w:t>
      </w:r>
      <w:r>
        <w:rPr>
          <w:rFonts w:hint="eastAsia" w:ascii="宋体" w:hAnsi="宋体"/>
          <w:color w:val="auto"/>
          <w:szCs w:val="21"/>
          <w:highlight w:val="none"/>
        </w:rPr>
        <w:t>支付至50%的款项；</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（3）</w:t>
      </w:r>
      <w:r>
        <w:rPr>
          <w:rFonts w:hint="eastAsia" w:ascii="宋体" w:hAnsi="宋体"/>
          <w:color w:val="auto"/>
          <w:szCs w:val="21"/>
          <w:highlight w:val="none"/>
        </w:rPr>
        <w:t>项目完工并经</w:t>
      </w:r>
      <w:r>
        <w:rPr>
          <w:rFonts w:hint="eastAsia" w:ascii="宋体" w:hAnsi="宋体"/>
          <w:color w:val="auto"/>
          <w:szCs w:val="21"/>
          <w:highlight w:val="none"/>
          <w:lang w:eastAsia="zh-CN"/>
        </w:rPr>
        <w:t>采购人</w:t>
      </w:r>
      <w:r>
        <w:rPr>
          <w:rFonts w:hint="eastAsia" w:ascii="宋体" w:hAnsi="宋体"/>
          <w:color w:val="auto"/>
          <w:szCs w:val="21"/>
          <w:highlight w:val="none"/>
        </w:rPr>
        <w:t>及上级主管部门验收合格，</w:t>
      </w:r>
      <w:r>
        <w:rPr>
          <w:rFonts w:hint="eastAsia" w:ascii="宋体" w:hAnsi="宋体"/>
          <w:color w:val="auto"/>
          <w:szCs w:val="21"/>
          <w:highlight w:val="none"/>
          <w:lang w:eastAsia="zh-CN"/>
        </w:rPr>
        <w:t>采购人</w:t>
      </w:r>
      <w:r>
        <w:rPr>
          <w:rFonts w:hint="eastAsia" w:ascii="宋体" w:hAnsi="宋体"/>
          <w:color w:val="auto"/>
          <w:szCs w:val="21"/>
          <w:highlight w:val="none"/>
        </w:rPr>
        <w:t>按合同金额向</w:t>
      </w:r>
      <w:r>
        <w:rPr>
          <w:rFonts w:hint="eastAsia" w:ascii="宋体" w:hAnsi="宋体"/>
          <w:color w:val="auto"/>
          <w:szCs w:val="21"/>
          <w:highlight w:val="none"/>
          <w:lang w:eastAsia="zh-CN"/>
        </w:rPr>
        <w:t>中标人</w:t>
      </w:r>
      <w:r>
        <w:rPr>
          <w:rFonts w:hint="eastAsia" w:ascii="宋体" w:hAnsi="宋体"/>
          <w:color w:val="auto"/>
          <w:szCs w:val="21"/>
          <w:highlight w:val="none"/>
        </w:rPr>
        <w:t>支付至85%的款项；</w:t>
      </w:r>
    </w:p>
    <w:p>
      <w:pPr>
        <w:spacing w:line="440" w:lineRule="exact"/>
        <w:ind w:firstLine="420" w:firstLineChars="200"/>
        <w:rPr>
          <w:rFonts w:ascii="宋体" w:hAnsi="宋体"/>
          <w:color w:val="auto"/>
          <w:szCs w:val="21"/>
          <w:highlight w:val="none"/>
        </w:rPr>
      </w:pPr>
      <w:r>
        <w:rPr>
          <w:rFonts w:hint="eastAsia" w:ascii="宋体" w:hAnsi="宋体" w:cs="宋体"/>
          <w:color w:val="auto"/>
          <w:szCs w:val="21"/>
          <w:highlight w:val="none"/>
        </w:rPr>
        <w:t>（4）项目完成结算确认手续后10个工作日内，支付至结算金额</w:t>
      </w:r>
      <w:r>
        <w:rPr>
          <w:rFonts w:hint="eastAsia" w:ascii="宋体" w:hAnsi="宋体"/>
          <w:color w:val="auto"/>
          <w:szCs w:val="21"/>
          <w:highlight w:val="none"/>
        </w:rPr>
        <w:t>的95%，余下5%作为本项目质保金，质保期到期后无责免息支付给</w:t>
      </w:r>
      <w:r>
        <w:rPr>
          <w:rFonts w:hint="eastAsia" w:ascii="宋体" w:hAnsi="宋体"/>
          <w:color w:val="auto"/>
          <w:szCs w:val="21"/>
          <w:highlight w:val="none"/>
          <w:lang w:eastAsia="zh-CN"/>
        </w:rPr>
        <w:t>中标人</w:t>
      </w:r>
      <w:r>
        <w:rPr>
          <w:rFonts w:hint="eastAsia" w:ascii="宋体" w:hAnsi="宋体"/>
          <w:color w:val="auto"/>
          <w:szCs w:val="21"/>
          <w:highlight w:val="none"/>
        </w:rPr>
        <w:t>。</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（三）</w:t>
      </w:r>
      <w:r>
        <w:rPr>
          <w:rFonts w:hint="eastAsia" w:ascii="宋体" w:hAnsi="宋体"/>
          <w:color w:val="auto"/>
          <w:szCs w:val="21"/>
          <w:highlight w:val="none"/>
          <w:lang w:eastAsia="zh-CN"/>
        </w:rPr>
        <w:t>中标人</w:t>
      </w:r>
      <w:r>
        <w:rPr>
          <w:rFonts w:hint="eastAsia" w:ascii="宋体" w:hAnsi="宋体"/>
          <w:color w:val="auto"/>
          <w:szCs w:val="21"/>
          <w:highlight w:val="none"/>
        </w:rPr>
        <w:t>向</w:t>
      </w:r>
      <w:r>
        <w:rPr>
          <w:rFonts w:hint="eastAsia" w:ascii="宋体" w:hAnsi="宋体"/>
          <w:color w:val="auto"/>
          <w:szCs w:val="21"/>
          <w:highlight w:val="none"/>
          <w:lang w:eastAsia="zh-CN"/>
        </w:rPr>
        <w:t>采购人</w:t>
      </w:r>
      <w:r>
        <w:rPr>
          <w:rFonts w:hint="eastAsia" w:ascii="宋体" w:hAnsi="宋体"/>
          <w:color w:val="auto"/>
          <w:szCs w:val="21"/>
          <w:highlight w:val="none"/>
        </w:rPr>
        <w:t>申请支付货款时需提供：</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（1）合同；</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eastAsia="zh-CN"/>
        </w:rPr>
        <w:t>中标人</w:t>
      </w:r>
      <w:r>
        <w:rPr>
          <w:rFonts w:hint="eastAsia" w:ascii="宋体" w:hAnsi="宋体"/>
          <w:color w:val="auto"/>
          <w:szCs w:val="21"/>
          <w:highlight w:val="none"/>
        </w:rPr>
        <w:t>开具正式全额发票；</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（3）验收调试报告加盖</w:t>
      </w:r>
      <w:r>
        <w:rPr>
          <w:rFonts w:hint="eastAsia" w:ascii="宋体" w:hAnsi="宋体"/>
          <w:color w:val="auto"/>
          <w:szCs w:val="21"/>
          <w:highlight w:val="none"/>
          <w:lang w:eastAsia="zh-CN"/>
        </w:rPr>
        <w:t>采购人</w:t>
      </w:r>
      <w:r>
        <w:rPr>
          <w:rFonts w:hint="eastAsia" w:ascii="宋体" w:hAnsi="宋体"/>
          <w:color w:val="auto"/>
          <w:szCs w:val="21"/>
          <w:highlight w:val="none"/>
        </w:rPr>
        <w:t>公章；</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（4）中标通知书。</w:t>
      </w:r>
    </w:p>
    <w:p>
      <w:pPr>
        <w:pStyle w:val="5"/>
        <w:autoSpaceDE w:val="0"/>
        <w:rPr>
          <w:color w:val="auto"/>
          <w:sz w:val="44"/>
          <w:highlight w:val="none"/>
        </w:rPr>
      </w:pPr>
      <w:r>
        <w:rPr>
          <w:color w:val="auto"/>
          <w:sz w:val="44"/>
          <w:highlight w:val="none"/>
        </w:rPr>
        <w:br w:type="page"/>
      </w:r>
    </w:p>
    <w:p>
      <w:pPr>
        <w:pStyle w:val="5"/>
        <w:autoSpaceDE w:val="0"/>
        <w:rPr>
          <w:color w:val="auto"/>
          <w:sz w:val="44"/>
          <w:highlight w:val="none"/>
        </w:rPr>
      </w:pPr>
    </w:p>
    <w:p>
      <w:pPr>
        <w:pStyle w:val="5"/>
        <w:autoSpaceDE w:val="0"/>
        <w:rPr>
          <w:color w:val="auto"/>
          <w:sz w:val="44"/>
          <w:highlight w:val="none"/>
        </w:rPr>
      </w:pPr>
    </w:p>
    <w:p>
      <w:pPr>
        <w:pStyle w:val="5"/>
        <w:autoSpaceDE w:val="0"/>
        <w:rPr>
          <w:color w:val="auto"/>
          <w:sz w:val="44"/>
          <w:highlight w:val="none"/>
        </w:rPr>
      </w:pPr>
    </w:p>
    <w:p>
      <w:pPr>
        <w:rPr>
          <w:color w:val="auto"/>
          <w:sz w:val="44"/>
          <w:highlight w:val="none"/>
        </w:rPr>
      </w:pPr>
    </w:p>
    <w:p>
      <w:pPr>
        <w:pStyle w:val="96"/>
        <w:rPr>
          <w:color w:val="auto"/>
          <w:sz w:val="44"/>
          <w:highlight w:val="none"/>
        </w:rPr>
      </w:pPr>
    </w:p>
    <w:p>
      <w:pPr>
        <w:pStyle w:val="96"/>
        <w:rPr>
          <w:color w:val="auto"/>
          <w:sz w:val="44"/>
          <w:highlight w:val="none"/>
        </w:rPr>
      </w:pPr>
    </w:p>
    <w:p>
      <w:pPr>
        <w:pStyle w:val="5"/>
        <w:autoSpaceDE w:val="0"/>
        <w:rPr>
          <w:color w:val="auto"/>
          <w:sz w:val="44"/>
          <w:highlight w:val="none"/>
        </w:rPr>
      </w:pPr>
    </w:p>
    <w:p>
      <w:pPr>
        <w:pStyle w:val="5"/>
        <w:autoSpaceDE w:val="0"/>
        <w:rPr>
          <w:color w:val="auto"/>
          <w:sz w:val="44"/>
          <w:highlight w:val="none"/>
        </w:rPr>
      </w:pPr>
      <w:r>
        <w:rPr>
          <w:rFonts w:hint="eastAsia"/>
          <w:color w:val="auto"/>
          <w:sz w:val="44"/>
          <w:highlight w:val="none"/>
        </w:rPr>
        <w:t>第四章</w:t>
      </w:r>
      <w:r>
        <w:rPr>
          <w:color w:val="auto"/>
          <w:sz w:val="44"/>
          <w:highlight w:val="none"/>
        </w:rPr>
        <w:tab/>
      </w:r>
      <w:r>
        <w:rPr>
          <w:rFonts w:hint="eastAsia"/>
          <w:color w:val="auto"/>
          <w:sz w:val="44"/>
          <w:highlight w:val="none"/>
        </w:rPr>
        <w:t>政府采购合同（样本）</w:t>
      </w:r>
    </w:p>
    <w:p>
      <w:pPr>
        <w:spacing w:line="360" w:lineRule="auto"/>
        <w:jc w:val="center"/>
        <w:rPr>
          <w:rFonts w:hAnsi="宋体"/>
          <w:color w:val="auto"/>
          <w:highlight w:val="none"/>
        </w:rPr>
      </w:pPr>
      <w:r>
        <w:rPr>
          <w:rFonts w:hint="eastAsia" w:hAnsi="宋体"/>
          <w:bCs/>
          <w:color w:val="auto"/>
          <w:kern w:val="44"/>
          <w:highlight w:val="none"/>
          <w:lang w:val="zh-CN"/>
        </w:rPr>
        <w:t>（仅供参考，最终以甲、乙双方签订的合同为准）</w:t>
      </w:r>
    </w:p>
    <w:p>
      <w:pPr>
        <w:tabs>
          <w:tab w:val="center" w:pos="4252"/>
          <w:tab w:val="left" w:pos="5517"/>
        </w:tabs>
        <w:spacing w:line="360" w:lineRule="auto"/>
        <w:rPr>
          <w:rFonts w:ascii="宋体" w:hAnsi="宋体"/>
          <w:b/>
          <w:color w:val="auto"/>
          <w:sz w:val="28"/>
          <w:szCs w:val="28"/>
          <w:highlight w:val="none"/>
        </w:rPr>
      </w:pPr>
    </w:p>
    <w:p>
      <w:pPr>
        <w:spacing w:line="360" w:lineRule="auto"/>
        <w:rPr>
          <w:rFonts w:ascii="宋体" w:hAnsi="宋体"/>
          <w:b/>
          <w:color w:val="auto"/>
          <w:sz w:val="24"/>
          <w:highlight w:val="none"/>
        </w:rPr>
      </w:pPr>
    </w:p>
    <w:p>
      <w:pPr>
        <w:tabs>
          <w:tab w:val="center" w:pos="4252"/>
          <w:tab w:val="left" w:pos="5517"/>
        </w:tabs>
        <w:spacing w:line="360" w:lineRule="auto"/>
        <w:rPr>
          <w:rFonts w:ascii="宋体" w:hAnsi="宋体"/>
          <w:color w:val="auto"/>
          <w:highlight w:val="none"/>
        </w:rPr>
      </w:pPr>
      <w:r>
        <w:rPr>
          <w:rFonts w:hint="eastAsia" w:ascii="宋体" w:hAnsi="宋体"/>
          <w:color w:val="auto"/>
          <w:highlight w:val="none"/>
        </w:rPr>
        <w:t xml:space="preserve"> </w:t>
      </w:r>
    </w:p>
    <w:p>
      <w:pPr>
        <w:spacing w:line="360" w:lineRule="auto"/>
        <w:ind w:firstLine="420" w:firstLineChars="200"/>
        <w:jc w:val="left"/>
        <w:rPr>
          <w:rFonts w:ascii="宋体" w:hAnsi="宋体" w:cs="宋体"/>
          <w:color w:val="auto"/>
          <w:szCs w:val="21"/>
          <w:highlight w:val="none"/>
          <w:u w:val="single"/>
        </w:rPr>
      </w:pPr>
      <w:r>
        <w:rPr>
          <w:rFonts w:hint="eastAsia" w:ascii="宋体" w:hAnsi="宋体"/>
          <w:color w:val="auto"/>
          <w:highlight w:val="none"/>
        </w:rPr>
        <w:br w:type="page"/>
      </w:r>
    </w:p>
    <w:p>
      <w:pPr>
        <w:tabs>
          <w:tab w:val="center" w:pos="4252"/>
          <w:tab w:val="left" w:pos="5517"/>
        </w:tabs>
        <w:spacing w:line="360" w:lineRule="auto"/>
        <w:rPr>
          <w:rFonts w:hint="eastAsia" w:ascii="宋体" w:hAnsi="宋体"/>
          <w:b/>
          <w:color w:val="auto"/>
          <w:sz w:val="28"/>
          <w:szCs w:val="28"/>
          <w:highlight w:val="none"/>
        </w:rPr>
      </w:pPr>
      <w:bookmarkStart w:id="282" w:name="_Toc293341641"/>
      <w:bookmarkStart w:id="283" w:name="_Toc303110406"/>
      <w:r>
        <w:rPr>
          <w:rFonts w:hint="eastAsia" w:ascii="宋体" w:hAnsi="宋体"/>
          <w:color w:val="auto"/>
          <w:szCs w:val="21"/>
          <w:highlight w:val="none"/>
        </w:rPr>
        <w:t>注：本合同条款仅供参考，甲乙双方可根据实际情况进行补充，但不得对采购文件作实质性修改。</w:t>
      </w:r>
    </w:p>
    <w:p>
      <w:pPr>
        <w:spacing w:line="360" w:lineRule="auto"/>
        <w:rPr>
          <w:rFonts w:hint="eastAsia" w:ascii="宋体" w:hAnsi="宋体"/>
          <w:b/>
          <w:color w:val="auto"/>
          <w:sz w:val="24"/>
          <w:highlight w:val="none"/>
        </w:rPr>
      </w:pPr>
    </w:p>
    <w:p>
      <w:pPr>
        <w:jc w:val="center"/>
        <w:rPr>
          <w:rFonts w:hint="eastAsia" w:ascii="宋体" w:hAnsi="宋体"/>
          <w:b/>
          <w:color w:val="auto"/>
          <w:sz w:val="52"/>
          <w:szCs w:val="52"/>
          <w:highlight w:val="none"/>
        </w:rPr>
      </w:pPr>
      <w:r>
        <w:rPr>
          <w:rFonts w:hint="eastAsia" w:ascii="宋体" w:hAnsi="宋体"/>
          <w:b/>
          <w:color w:val="auto"/>
          <w:sz w:val="52"/>
          <w:szCs w:val="52"/>
          <w:highlight w:val="none"/>
        </w:rPr>
        <w:t>采 购 合 同</w:t>
      </w:r>
    </w:p>
    <w:p>
      <w:pPr>
        <w:jc w:val="right"/>
        <w:rPr>
          <w:rFonts w:hint="eastAsia" w:ascii="宋体" w:hAnsi="宋体"/>
          <w:color w:val="auto"/>
          <w:sz w:val="28"/>
          <w:highlight w:val="none"/>
        </w:rPr>
      </w:pPr>
    </w:p>
    <w:p>
      <w:pPr>
        <w:spacing w:line="360" w:lineRule="auto"/>
        <w:rPr>
          <w:rFonts w:ascii="宋体" w:hAnsi="宋体"/>
          <w:b/>
          <w:color w:val="auto"/>
          <w:highlight w:val="none"/>
        </w:rPr>
      </w:pPr>
      <w:r>
        <w:rPr>
          <w:rFonts w:hint="eastAsia" w:ascii="宋体" w:hAnsi="宋体"/>
          <w:b/>
          <w:color w:val="auto"/>
          <w:highlight w:val="none"/>
        </w:rPr>
        <w:t>甲  方：</w:t>
      </w:r>
      <w:r>
        <w:rPr>
          <w:rFonts w:ascii="宋体" w:hAnsi="宋体"/>
          <w:b/>
          <w:color w:val="auto"/>
          <w:highlight w:val="none"/>
        </w:rPr>
        <w:t>(</w:t>
      </w:r>
      <w:r>
        <w:rPr>
          <w:rFonts w:hint="eastAsia" w:ascii="宋体" w:hAnsi="宋体"/>
          <w:b/>
          <w:color w:val="auto"/>
          <w:highlight w:val="none"/>
        </w:rPr>
        <w:t>招标人</w:t>
      </w:r>
      <w:r>
        <w:rPr>
          <w:rFonts w:ascii="宋体" w:hAnsi="宋体"/>
          <w:b/>
          <w:color w:val="auto"/>
          <w:highlight w:val="none"/>
        </w:rPr>
        <w:t>)</w:t>
      </w:r>
    </w:p>
    <w:p>
      <w:pPr>
        <w:spacing w:line="360" w:lineRule="auto"/>
        <w:rPr>
          <w:rFonts w:hint="eastAsia" w:ascii="宋体" w:hAnsi="宋体"/>
          <w:b/>
          <w:color w:val="auto"/>
          <w:highlight w:val="none"/>
        </w:rPr>
      </w:pPr>
      <w:r>
        <w:rPr>
          <w:rFonts w:hint="eastAsia" w:ascii="宋体" w:hAnsi="宋体"/>
          <w:b/>
          <w:color w:val="auto"/>
          <w:highlight w:val="none"/>
        </w:rPr>
        <w:t>乙  方：</w:t>
      </w:r>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根据《中华人民共和国采购法》、《中华人民共和国合同法》及</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rPr>
        <w:t>年</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rPr>
        <w:t>月</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rPr>
        <w:t>日招标文件（招标编号：</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rPr>
        <w:t>，采购代理机构：</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lang w:val="en-US" w:eastAsia="zh-CN"/>
        </w:rPr>
        <w:t xml:space="preserve"> </w:t>
      </w:r>
      <w:r>
        <w:rPr>
          <w:rFonts w:hint="eastAsia" w:ascii="宋体" w:hAnsi="宋体"/>
          <w:color w:val="auto"/>
          <w:szCs w:val="21"/>
          <w:highlight w:val="none"/>
        </w:rPr>
        <w:t>）、投标文件的要求，经双方协商一致，签订本合同。具体条款如下：</w:t>
      </w:r>
    </w:p>
    <w:p>
      <w:pPr>
        <w:rPr>
          <w:rFonts w:hint="eastAsia" w:ascii="宋体" w:hAnsi="宋体"/>
          <w:color w:val="auto"/>
          <w:highlight w:val="none"/>
        </w:rPr>
      </w:pPr>
    </w:p>
    <w:p>
      <w:pPr>
        <w:spacing w:line="360" w:lineRule="auto"/>
        <w:rPr>
          <w:rFonts w:hint="eastAsia" w:ascii="宋体" w:hAnsi="宋体"/>
          <w:b/>
          <w:bCs/>
          <w:color w:val="auto"/>
          <w:sz w:val="24"/>
          <w:highlight w:val="none"/>
        </w:rPr>
      </w:pPr>
      <w:r>
        <w:rPr>
          <w:rFonts w:hint="eastAsia" w:ascii="宋体" w:hAnsi="宋体"/>
          <w:b/>
          <w:bCs/>
          <w:color w:val="auto"/>
          <w:sz w:val="24"/>
          <w:highlight w:val="none"/>
        </w:rPr>
        <w:t>1. 合同设备</w:t>
      </w:r>
    </w:p>
    <w:p>
      <w:pPr>
        <w:ind w:firstLine="480"/>
        <w:rPr>
          <w:rFonts w:hint="eastAsia" w:ascii="宋体" w:hAnsi="宋体"/>
          <w:color w:val="auto"/>
          <w:highlight w:val="none"/>
        </w:rPr>
      </w:pPr>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乙方负责向甲方提供下表中所列</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rPr>
        <w:t>采购项目和相关的安装调试服务。</w:t>
      </w:r>
    </w:p>
    <w:p>
      <w:pPr>
        <w:ind w:left="840"/>
        <w:rPr>
          <w:rFonts w:hint="eastAsia" w:ascii="宋体" w:hAnsi="宋体"/>
          <w:color w:val="auto"/>
          <w:highlight w:val="none"/>
        </w:rPr>
      </w:pPr>
    </w:p>
    <w:tbl>
      <w:tblPr>
        <w:tblStyle w:val="89"/>
        <w:tblW w:w="0" w:type="auto"/>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260"/>
        <w:gridCol w:w="1260"/>
        <w:gridCol w:w="787"/>
        <w:gridCol w:w="788"/>
        <w:gridCol w:w="751"/>
        <w:gridCol w:w="1034"/>
        <w:gridCol w:w="735"/>
        <w:gridCol w:w="751"/>
        <w:gridCol w:w="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noWrap w:val="0"/>
            <w:vAlign w:val="top"/>
          </w:tcPr>
          <w:p>
            <w:pPr>
              <w:ind w:left="-2" w:firstLine="2"/>
              <w:jc w:val="center"/>
              <w:rPr>
                <w:rFonts w:hint="eastAsia" w:ascii="宋体" w:hAnsi="宋体"/>
                <w:color w:val="auto"/>
                <w:highlight w:val="none"/>
              </w:rPr>
            </w:pPr>
            <w:r>
              <w:rPr>
                <w:rFonts w:hint="eastAsia" w:ascii="宋体" w:hAnsi="宋体"/>
                <w:color w:val="auto"/>
                <w:highlight w:val="none"/>
              </w:rPr>
              <w:t>品名</w:t>
            </w:r>
          </w:p>
        </w:tc>
        <w:tc>
          <w:tcPr>
            <w:tcW w:w="1260" w:type="dxa"/>
            <w:noWrap w:val="0"/>
            <w:vAlign w:val="top"/>
          </w:tcPr>
          <w:p>
            <w:pPr>
              <w:jc w:val="center"/>
              <w:rPr>
                <w:rFonts w:hint="eastAsia" w:ascii="宋体" w:hAnsi="宋体"/>
                <w:color w:val="auto"/>
                <w:highlight w:val="none"/>
              </w:rPr>
            </w:pPr>
            <w:r>
              <w:rPr>
                <w:rFonts w:hint="eastAsia" w:ascii="宋体" w:hAnsi="宋体"/>
                <w:color w:val="auto"/>
                <w:highlight w:val="none"/>
              </w:rPr>
              <w:t>规格型号</w:t>
            </w:r>
          </w:p>
        </w:tc>
        <w:tc>
          <w:tcPr>
            <w:tcW w:w="1260" w:type="dxa"/>
            <w:noWrap w:val="0"/>
            <w:vAlign w:val="top"/>
          </w:tcPr>
          <w:p>
            <w:pPr>
              <w:jc w:val="center"/>
              <w:rPr>
                <w:rFonts w:hint="eastAsia" w:ascii="宋体" w:hAnsi="宋体"/>
                <w:color w:val="auto"/>
                <w:highlight w:val="none"/>
              </w:rPr>
            </w:pPr>
            <w:r>
              <w:rPr>
                <w:rFonts w:hint="eastAsia" w:ascii="宋体" w:hAnsi="宋体"/>
                <w:color w:val="auto"/>
                <w:highlight w:val="none"/>
              </w:rPr>
              <w:t>产地厂家</w:t>
            </w:r>
          </w:p>
        </w:tc>
        <w:tc>
          <w:tcPr>
            <w:tcW w:w="787" w:type="dxa"/>
            <w:noWrap w:val="0"/>
            <w:vAlign w:val="top"/>
          </w:tcPr>
          <w:p>
            <w:pPr>
              <w:jc w:val="center"/>
              <w:rPr>
                <w:rFonts w:hint="eastAsia" w:ascii="宋体" w:hAnsi="宋体"/>
                <w:color w:val="auto"/>
                <w:highlight w:val="none"/>
              </w:rPr>
            </w:pPr>
            <w:r>
              <w:rPr>
                <w:rFonts w:hint="eastAsia" w:ascii="宋体" w:hAnsi="宋体"/>
                <w:color w:val="auto"/>
                <w:highlight w:val="none"/>
              </w:rPr>
              <w:t>单位</w:t>
            </w:r>
          </w:p>
        </w:tc>
        <w:tc>
          <w:tcPr>
            <w:tcW w:w="788" w:type="dxa"/>
            <w:noWrap w:val="0"/>
            <w:vAlign w:val="top"/>
          </w:tcPr>
          <w:p>
            <w:pPr>
              <w:jc w:val="center"/>
              <w:rPr>
                <w:rFonts w:hint="eastAsia" w:ascii="宋体" w:hAnsi="宋体"/>
                <w:color w:val="auto"/>
                <w:highlight w:val="none"/>
              </w:rPr>
            </w:pPr>
            <w:r>
              <w:rPr>
                <w:rFonts w:hint="eastAsia" w:ascii="宋体" w:hAnsi="宋体"/>
                <w:color w:val="auto"/>
                <w:highlight w:val="none"/>
              </w:rPr>
              <w:t>数量</w:t>
            </w:r>
          </w:p>
        </w:tc>
        <w:tc>
          <w:tcPr>
            <w:tcW w:w="751" w:type="dxa"/>
            <w:noWrap w:val="0"/>
            <w:vAlign w:val="top"/>
          </w:tcPr>
          <w:p>
            <w:pPr>
              <w:jc w:val="center"/>
              <w:rPr>
                <w:rFonts w:ascii="宋体" w:hAnsi="宋体"/>
                <w:color w:val="auto"/>
                <w:highlight w:val="none"/>
              </w:rPr>
            </w:pPr>
            <w:r>
              <w:rPr>
                <w:rFonts w:hint="eastAsia" w:ascii="宋体" w:hAnsi="宋体"/>
                <w:color w:val="auto"/>
                <w:highlight w:val="none"/>
              </w:rPr>
              <w:t>单价</w:t>
            </w:r>
          </w:p>
        </w:tc>
        <w:tc>
          <w:tcPr>
            <w:tcW w:w="1034" w:type="dxa"/>
            <w:noWrap w:val="0"/>
            <w:vAlign w:val="top"/>
          </w:tcPr>
          <w:p>
            <w:pPr>
              <w:jc w:val="center"/>
              <w:rPr>
                <w:rFonts w:ascii="宋体" w:hAnsi="宋体"/>
                <w:color w:val="auto"/>
                <w:highlight w:val="none"/>
              </w:rPr>
            </w:pPr>
            <w:r>
              <w:rPr>
                <w:rFonts w:hint="eastAsia" w:ascii="宋体" w:hAnsi="宋体"/>
                <w:color w:val="auto"/>
                <w:highlight w:val="none"/>
              </w:rPr>
              <w:t>总价</w:t>
            </w:r>
          </w:p>
        </w:tc>
        <w:tc>
          <w:tcPr>
            <w:tcW w:w="735" w:type="dxa"/>
            <w:noWrap w:val="0"/>
            <w:vAlign w:val="top"/>
          </w:tcPr>
          <w:p>
            <w:pPr>
              <w:jc w:val="center"/>
              <w:rPr>
                <w:rFonts w:ascii="宋体" w:hAnsi="宋体"/>
                <w:color w:val="auto"/>
                <w:highlight w:val="none"/>
              </w:rPr>
            </w:pPr>
            <w:r>
              <w:rPr>
                <w:rFonts w:hint="eastAsia" w:ascii="宋体" w:hAnsi="宋体"/>
                <w:color w:val="auto"/>
                <w:highlight w:val="none"/>
              </w:rPr>
              <w:t>随机配件</w:t>
            </w:r>
          </w:p>
        </w:tc>
        <w:tc>
          <w:tcPr>
            <w:tcW w:w="751" w:type="dxa"/>
            <w:noWrap w:val="0"/>
            <w:vAlign w:val="top"/>
          </w:tcPr>
          <w:p>
            <w:pPr>
              <w:jc w:val="center"/>
              <w:rPr>
                <w:rFonts w:ascii="宋体" w:hAnsi="宋体"/>
                <w:color w:val="auto"/>
                <w:highlight w:val="none"/>
              </w:rPr>
            </w:pPr>
            <w:r>
              <w:rPr>
                <w:rFonts w:hint="eastAsia" w:ascii="宋体" w:hAnsi="宋体"/>
                <w:color w:val="auto"/>
                <w:highlight w:val="none"/>
              </w:rPr>
              <w:t>交货地点</w:t>
            </w:r>
          </w:p>
        </w:tc>
        <w:tc>
          <w:tcPr>
            <w:tcW w:w="824" w:type="dxa"/>
            <w:noWrap w:val="0"/>
            <w:vAlign w:val="top"/>
          </w:tcPr>
          <w:p>
            <w:pPr>
              <w:jc w:val="center"/>
              <w:rPr>
                <w:rFonts w:ascii="宋体" w:hAnsi="宋体"/>
                <w:color w:val="auto"/>
                <w:highlight w:val="none"/>
              </w:rPr>
            </w:pPr>
            <w:r>
              <w:rPr>
                <w:rFonts w:hint="eastAsia" w:ascii="宋体" w:hAnsi="宋体"/>
                <w:color w:val="auto"/>
                <w:highlight w:val="none"/>
              </w:rPr>
              <w:t>交货时间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noWrap w:val="0"/>
            <w:vAlign w:val="top"/>
          </w:tcPr>
          <w:p>
            <w:pPr>
              <w:rPr>
                <w:rFonts w:hint="eastAsia" w:ascii="宋体" w:hAnsi="宋体"/>
                <w:color w:val="auto"/>
                <w:highlight w:val="none"/>
              </w:rPr>
            </w:pPr>
          </w:p>
        </w:tc>
        <w:tc>
          <w:tcPr>
            <w:tcW w:w="1260" w:type="dxa"/>
            <w:noWrap w:val="0"/>
            <w:vAlign w:val="top"/>
          </w:tcPr>
          <w:p>
            <w:pPr>
              <w:rPr>
                <w:rFonts w:hint="eastAsia" w:ascii="宋体" w:hAnsi="宋体"/>
                <w:color w:val="auto"/>
                <w:highlight w:val="none"/>
              </w:rPr>
            </w:pPr>
          </w:p>
        </w:tc>
        <w:tc>
          <w:tcPr>
            <w:tcW w:w="1260" w:type="dxa"/>
            <w:noWrap w:val="0"/>
            <w:vAlign w:val="top"/>
          </w:tcPr>
          <w:p>
            <w:pPr>
              <w:rPr>
                <w:rFonts w:hint="eastAsia" w:ascii="宋体" w:hAnsi="宋体"/>
                <w:color w:val="auto"/>
                <w:highlight w:val="none"/>
              </w:rPr>
            </w:pPr>
          </w:p>
        </w:tc>
        <w:tc>
          <w:tcPr>
            <w:tcW w:w="787" w:type="dxa"/>
            <w:noWrap w:val="0"/>
            <w:vAlign w:val="top"/>
          </w:tcPr>
          <w:p>
            <w:pPr>
              <w:rPr>
                <w:rFonts w:hint="eastAsia" w:ascii="宋体" w:hAnsi="宋体"/>
                <w:color w:val="auto"/>
                <w:highlight w:val="none"/>
              </w:rPr>
            </w:pPr>
          </w:p>
        </w:tc>
        <w:tc>
          <w:tcPr>
            <w:tcW w:w="788" w:type="dxa"/>
            <w:noWrap w:val="0"/>
            <w:vAlign w:val="top"/>
          </w:tcPr>
          <w:p>
            <w:pPr>
              <w:rPr>
                <w:rFonts w:hint="eastAsia" w:ascii="宋体" w:hAnsi="宋体"/>
                <w:color w:val="auto"/>
                <w:highlight w:val="none"/>
              </w:rPr>
            </w:pPr>
          </w:p>
        </w:tc>
        <w:tc>
          <w:tcPr>
            <w:tcW w:w="751" w:type="dxa"/>
            <w:noWrap w:val="0"/>
            <w:vAlign w:val="top"/>
          </w:tcPr>
          <w:p>
            <w:pPr>
              <w:rPr>
                <w:rFonts w:hint="eastAsia" w:ascii="宋体" w:hAnsi="宋体"/>
                <w:color w:val="auto"/>
                <w:highlight w:val="none"/>
              </w:rPr>
            </w:pPr>
          </w:p>
        </w:tc>
        <w:tc>
          <w:tcPr>
            <w:tcW w:w="1034" w:type="dxa"/>
            <w:noWrap w:val="0"/>
            <w:vAlign w:val="top"/>
          </w:tcPr>
          <w:p>
            <w:pPr>
              <w:rPr>
                <w:rFonts w:hint="eastAsia" w:ascii="宋体" w:hAnsi="宋体"/>
                <w:color w:val="auto"/>
                <w:highlight w:val="none"/>
              </w:rPr>
            </w:pPr>
          </w:p>
        </w:tc>
        <w:tc>
          <w:tcPr>
            <w:tcW w:w="735" w:type="dxa"/>
            <w:noWrap w:val="0"/>
            <w:vAlign w:val="top"/>
          </w:tcPr>
          <w:p>
            <w:pPr>
              <w:rPr>
                <w:rFonts w:hint="eastAsia" w:ascii="宋体" w:hAnsi="宋体"/>
                <w:color w:val="auto"/>
                <w:highlight w:val="none"/>
              </w:rPr>
            </w:pPr>
          </w:p>
        </w:tc>
        <w:tc>
          <w:tcPr>
            <w:tcW w:w="751" w:type="dxa"/>
            <w:noWrap w:val="0"/>
            <w:vAlign w:val="top"/>
          </w:tcPr>
          <w:p>
            <w:pPr>
              <w:rPr>
                <w:rFonts w:hint="eastAsia" w:ascii="宋体" w:hAnsi="宋体"/>
                <w:color w:val="auto"/>
                <w:highlight w:val="none"/>
              </w:rPr>
            </w:pPr>
          </w:p>
        </w:tc>
        <w:tc>
          <w:tcPr>
            <w:tcW w:w="824" w:type="dxa"/>
            <w:noWrap w:val="0"/>
            <w:vAlign w:val="top"/>
          </w:tcPr>
          <w:p>
            <w:pPr>
              <w:rPr>
                <w:rFonts w:hint="eastAsia" w:ascii="宋体" w:hAnsi="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noWrap w:val="0"/>
            <w:vAlign w:val="top"/>
          </w:tcPr>
          <w:p>
            <w:pPr>
              <w:rPr>
                <w:rFonts w:hint="eastAsia" w:ascii="宋体" w:hAnsi="宋体"/>
                <w:color w:val="auto"/>
                <w:highlight w:val="none"/>
              </w:rPr>
            </w:pPr>
          </w:p>
        </w:tc>
        <w:tc>
          <w:tcPr>
            <w:tcW w:w="1260" w:type="dxa"/>
            <w:noWrap w:val="0"/>
            <w:vAlign w:val="top"/>
          </w:tcPr>
          <w:p>
            <w:pPr>
              <w:rPr>
                <w:rFonts w:hint="eastAsia" w:ascii="宋体" w:hAnsi="宋体"/>
                <w:color w:val="auto"/>
                <w:highlight w:val="none"/>
              </w:rPr>
            </w:pPr>
          </w:p>
        </w:tc>
        <w:tc>
          <w:tcPr>
            <w:tcW w:w="1260" w:type="dxa"/>
            <w:noWrap w:val="0"/>
            <w:vAlign w:val="top"/>
          </w:tcPr>
          <w:p>
            <w:pPr>
              <w:rPr>
                <w:rFonts w:hint="eastAsia" w:ascii="宋体" w:hAnsi="宋体"/>
                <w:color w:val="auto"/>
                <w:highlight w:val="none"/>
              </w:rPr>
            </w:pPr>
          </w:p>
        </w:tc>
        <w:tc>
          <w:tcPr>
            <w:tcW w:w="787" w:type="dxa"/>
            <w:noWrap w:val="0"/>
            <w:vAlign w:val="top"/>
          </w:tcPr>
          <w:p>
            <w:pPr>
              <w:rPr>
                <w:rFonts w:hint="eastAsia" w:ascii="宋体" w:hAnsi="宋体"/>
                <w:color w:val="auto"/>
                <w:highlight w:val="none"/>
              </w:rPr>
            </w:pPr>
          </w:p>
        </w:tc>
        <w:tc>
          <w:tcPr>
            <w:tcW w:w="788" w:type="dxa"/>
            <w:noWrap w:val="0"/>
            <w:vAlign w:val="top"/>
          </w:tcPr>
          <w:p>
            <w:pPr>
              <w:rPr>
                <w:rFonts w:hint="eastAsia" w:ascii="宋体" w:hAnsi="宋体"/>
                <w:color w:val="auto"/>
                <w:highlight w:val="none"/>
              </w:rPr>
            </w:pPr>
          </w:p>
        </w:tc>
        <w:tc>
          <w:tcPr>
            <w:tcW w:w="751" w:type="dxa"/>
            <w:noWrap w:val="0"/>
            <w:vAlign w:val="top"/>
          </w:tcPr>
          <w:p>
            <w:pPr>
              <w:rPr>
                <w:rFonts w:hint="eastAsia" w:ascii="宋体" w:hAnsi="宋体"/>
                <w:color w:val="auto"/>
                <w:highlight w:val="none"/>
              </w:rPr>
            </w:pPr>
          </w:p>
        </w:tc>
        <w:tc>
          <w:tcPr>
            <w:tcW w:w="1034" w:type="dxa"/>
            <w:noWrap w:val="0"/>
            <w:vAlign w:val="top"/>
          </w:tcPr>
          <w:p>
            <w:pPr>
              <w:rPr>
                <w:rFonts w:hint="eastAsia" w:ascii="宋体" w:hAnsi="宋体"/>
                <w:color w:val="auto"/>
                <w:highlight w:val="none"/>
              </w:rPr>
            </w:pPr>
          </w:p>
        </w:tc>
        <w:tc>
          <w:tcPr>
            <w:tcW w:w="735" w:type="dxa"/>
            <w:noWrap w:val="0"/>
            <w:vAlign w:val="top"/>
          </w:tcPr>
          <w:p>
            <w:pPr>
              <w:rPr>
                <w:rFonts w:hint="eastAsia" w:ascii="宋体" w:hAnsi="宋体"/>
                <w:color w:val="auto"/>
                <w:highlight w:val="none"/>
              </w:rPr>
            </w:pPr>
          </w:p>
        </w:tc>
        <w:tc>
          <w:tcPr>
            <w:tcW w:w="751" w:type="dxa"/>
            <w:noWrap w:val="0"/>
            <w:vAlign w:val="top"/>
          </w:tcPr>
          <w:p>
            <w:pPr>
              <w:rPr>
                <w:rFonts w:hint="eastAsia" w:ascii="宋体" w:hAnsi="宋体"/>
                <w:color w:val="auto"/>
                <w:highlight w:val="none"/>
              </w:rPr>
            </w:pPr>
          </w:p>
        </w:tc>
        <w:tc>
          <w:tcPr>
            <w:tcW w:w="824" w:type="dxa"/>
            <w:noWrap w:val="0"/>
            <w:vAlign w:val="top"/>
          </w:tcPr>
          <w:p>
            <w:pPr>
              <w:rPr>
                <w:rFonts w:hint="eastAsia" w:ascii="宋体" w:hAnsi="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noWrap w:val="0"/>
            <w:vAlign w:val="top"/>
          </w:tcPr>
          <w:p>
            <w:pPr>
              <w:rPr>
                <w:rFonts w:hint="eastAsia" w:ascii="宋体" w:hAnsi="宋体"/>
                <w:color w:val="auto"/>
                <w:highlight w:val="none"/>
              </w:rPr>
            </w:pPr>
          </w:p>
        </w:tc>
        <w:tc>
          <w:tcPr>
            <w:tcW w:w="1260" w:type="dxa"/>
            <w:noWrap w:val="0"/>
            <w:vAlign w:val="top"/>
          </w:tcPr>
          <w:p>
            <w:pPr>
              <w:rPr>
                <w:rFonts w:hint="eastAsia" w:ascii="宋体" w:hAnsi="宋体"/>
                <w:color w:val="auto"/>
                <w:highlight w:val="none"/>
              </w:rPr>
            </w:pPr>
          </w:p>
        </w:tc>
        <w:tc>
          <w:tcPr>
            <w:tcW w:w="1260" w:type="dxa"/>
            <w:noWrap w:val="0"/>
            <w:vAlign w:val="top"/>
          </w:tcPr>
          <w:p>
            <w:pPr>
              <w:rPr>
                <w:rFonts w:hint="eastAsia" w:ascii="宋体" w:hAnsi="宋体"/>
                <w:color w:val="auto"/>
                <w:highlight w:val="none"/>
              </w:rPr>
            </w:pPr>
          </w:p>
        </w:tc>
        <w:tc>
          <w:tcPr>
            <w:tcW w:w="787" w:type="dxa"/>
            <w:noWrap w:val="0"/>
            <w:vAlign w:val="top"/>
          </w:tcPr>
          <w:p>
            <w:pPr>
              <w:rPr>
                <w:rFonts w:hint="eastAsia" w:ascii="宋体" w:hAnsi="宋体"/>
                <w:color w:val="auto"/>
                <w:highlight w:val="none"/>
              </w:rPr>
            </w:pPr>
          </w:p>
        </w:tc>
        <w:tc>
          <w:tcPr>
            <w:tcW w:w="788" w:type="dxa"/>
            <w:noWrap w:val="0"/>
            <w:vAlign w:val="top"/>
          </w:tcPr>
          <w:p>
            <w:pPr>
              <w:rPr>
                <w:rFonts w:hint="eastAsia" w:ascii="宋体" w:hAnsi="宋体"/>
                <w:color w:val="auto"/>
                <w:highlight w:val="none"/>
              </w:rPr>
            </w:pPr>
          </w:p>
        </w:tc>
        <w:tc>
          <w:tcPr>
            <w:tcW w:w="751" w:type="dxa"/>
            <w:noWrap w:val="0"/>
            <w:vAlign w:val="top"/>
          </w:tcPr>
          <w:p>
            <w:pPr>
              <w:rPr>
                <w:rFonts w:hint="eastAsia" w:ascii="宋体" w:hAnsi="宋体"/>
                <w:color w:val="auto"/>
                <w:highlight w:val="none"/>
              </w:rPr>
            </w:pPr>
          </w:p>
        </w:tc>
        <w:tc>
          <w:tcPr>
            <w:tcW w:w="1034" w:type="dxa"/>
            <w:noWrap w:val="0"/>
            <w:vAlign w:val="top"/>
          </w:tcPr>
          <w:p>
            <w:pPr>
              <w:rPr>
                <w:rFonts w:hint="eastAsia" w:ascii="宋体" w:hAnsi="宋体"/>
                <w:color w:val="auto"/>
                <w:highlight w:val="none"/>
              </w:rPr>
            </w:pPr>
          </w:p>
        </w:tc>
        <w:tc>
          <w:tcPr>
            <w:tcW w:w="735" w:type="dxa"/>
            <w:noWrap w:val="0"/>
            <w:vAlign w:val="top"/>
          </w:tcPr>
          <w:p>
            <w:pPr>
              <w:rPr>
                <w:rFonts w:hint="eastAsia" w:ascii="宋体" w:hAnsi="宋体"/>
                <w:color w:val="auto"/>
                <w:highlight w:val="none"/>
              </w:rPr>
            </w:pPr>
          </w:p>
        </w:tc>
        <w:tc>
          <w:tcPr>
            <w:tcW w:w="751" w:type="dxa"/>
            <w:noWrap w:val="0"/>
            <w:vAlign w:val="top"/>
          </w:tcPr>
          <w:p>
            <w:pPr>
              <w:rPr>
                <w:rFonts w:hint="eastAsia" w:ascii="宋体" w:hAnsi="宋体"/>
                <w:color w:val="auto"/>
                <w:highlight w:val="none"/>
              </w:rPr>
            </w:pPr>
          </w:p>
        </w:tc>
        <w:tc>
          <w:tcPr>
            <w:tcW w:w="824" w:type="dxa"/>
            <w:noWrap w:val="0"/>
            <w:vAlign w:val="top"/>
          </w:tcPr>
          <w:p>
            <w:pPr>
              <w:rPr>
                <w:rFonts w:hint="eastAsia" w:ascii="宋体" w:hAnsi="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noWrap w:val="0"/>
            <w:vAlign w:val="top"/>
          </w:tcPr>
          <w:p>
            <w:pPr>
              <w:rPr>
                <w:rFonts w:hint="eastAsia" w:ascii="宋体" w:hAnsi="宋体"/>
                <w:color w:val="auto"/>
                <w:highlight w:val="none"/>
              </w:rPr>
            </w:pPr>
          </w:p>
        </w:tc>
        <w:tc>
          <w:tcPr>
            <w:tcW w:w="1260" w:type="dxa"/>
            <w:noWrap w:val="0"/>
            <w:vAlign w:val="top"/>
          </w:tcPr>
          <w:p>
            <w:pPr>
              <w:rPr>
                <w:rFonts w:hint="eastAsia" w:ascii="宋体" w:hAnsi="宋体"/>
                <w:color w:val="auto"/>
                <w:highlight w:val="none"/>
              </w:rPr>
            </w:pPr>
          </w:p>
        </w:tc>
        <w:tc>
          <w:tcPr>
            <w:tcW w:w="1260" w:type="dxa"/>
            <w:noWrap w:val="0"/>
            <w:vAlign w:val="top"/>
          </w:tcPr>
          <w:p>
            <w:pPr>
              <w:rPr>
                <w:rFonts w:hint="eastAsia" w:ascii="宋体" w:hAnsi="宋体"/>
                <w:color w:val="auto"/>
                <w:highlight w:val="none"/>
              </w:rPr>
            </w:pPr>
          </w:p>
        </w:tc>
        <w:tc>
          <w:tcPr>
            <w:tcW w:w="787" w:type="dxa"/>
            <w:noWrap w:val="0"/>
            <w:vAlign w:val="top"/>
          </w:tcPr>
          <w:p>
            <w:pPr>
              <w:rPr>
                <w:rFonts w:hint="eastAsia" w:ascii="宋体" w:hAnsi="宋体"/>
                <w:color w:val="auto"/>
                <w:highlight w:val="none"/>
              </w:rPr>
            </w:pPr>
          </w:p>
        </w:tc>
        <w:tc>
          <w:tcPr>
            <w:tcW w:w="788" w:type="dxa"/>
            <w:noWrap w:val="0"/>
            <w:vAlign w:val="top"/>
          </w:tcPr>
          <w:p>
            <w:pPr>
              <w:rPr>
                <w:rFonts w:hint="eastAsia" w:ascii="宋体" w:hAnsi="宋体"/>
                <w:color w:val="auto"/>
                <w:highlight w:val="none"/>
              </w:rPr>
            </w:pPr>
          </w:p>
        </w:tc>
        <w:tc>
          <w:tcPr>
            <w:tcW w:w="751" w:type="dxa"/>
            <w:noWrap w:val="0"/>
            <w:vAlign w:val="top"/>
          </w:tcPr>
          <w:p>
            <w:pPr>
              <w:rPr>
                <w:rFonts w:hint="eastAsia" w:ascii="宋体" w:hAnsi="宋体"/>
                <w:color w:val="auto"/>
                <w:highlight w:val="none"/>
              </w:rPr>
            </w:pPr>
          </w:p>
        </w:tc>
        <w:tc>
          <w:tcPr>
            <w:tcW w:w="1034" w:type="dxa"/>
            <w:noWrap w:val="0"/>
            <w:vAlign w:val="top"/>
          </w:tcPr>
          <w:p>
            <w:pPr>
              <w:rPr>
                <w:rFonts w:hint="eastAsia" w:ascii="宋体" w:hAnsi="宋体"/>
                <w:color w:val="auto"/>
                <w:highlight w:val="none"/>
              </w:rPr>
            </w:pPr>
          </w:p>
        </w:tc>
        <w:tc>
          <w:tcPr>
            <w:tcW w:w="735" w:type="dxa"/>
            <w:noWrap w:val="0"/>
            <w:vAlign w:val="top"/>
          </w:tcPr>
          <w:p>
            <w:pPr>
              <w:rPr>
                <w:rFonts w:hint="eastAsia" w:ascii="宋体" w:hAnsi="宋体"/>
                <w:color w:val="auto"/>
                <w:highlight w:val="none"/>
              </w:rPr>
            </w:pPr>
          </w:p>
        </w:tc>
        <w:tc>
          <w:tcPr>
            <w:tcW w:w="751" w:type="dxa"/>
            <w:noWrap w:val="0"/>
            <w:vAlign w:val="top"/>
          </w:tcPr>
          <w:p>
            <w:pPr>
              <w:rPr>
                <w:rFonts w:hint="eastAsia" w:ascii="宋体" w:hAnsi="宋体"/>
                <w:color w:val="auto"/>
                <w:highlight w:val="none"/>
              </w:rPr>
            </w:pPr>
          </w:p>
        </w:tc>
        <w:tc>
          <w:tcPr>
            <w:tcW w:w="824" w:type="dxa"/>
            <w:noWrap w:val="0"/>
            <w:vAlign w:val="top"/>
          </w:tcPr>
          <w:p>
            <w:pPr>
              <w:rPr>
                <w:rFonts w:hint="eastAsia" w:ascii="宋体" w:hAnsi="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40" w:type="dxa"/>
            <w:noWrap w:val="0"/>
            <w:vAlign w:val="top"/>
          </w:tcPr>
          <w:p>
            <w:pPr>
              <w:rPr>
                <w:rFonts w:hint="eastAsia" w:ascii="宋体" w:hAnsi="宋体"/>
                <w:color w:val="auto"/>
                <w:highlight w:val="none"/>
              </w:rPr>
            </w:pPr>
          </w:p>
        </w:tc>
        <w:tc>
          <w:tcPr>
            <w:tcW w:w="1260" w:type="dxa"/>
            <w:noWrap w:val="0"/>
            <w:vAlign w:val="top"/>
          </w:tcPr>
          <w:p>
            <w:pPr>
              <w:rPr>
                <w:rFonts w:hint="eastAsia" w:ascii="宋体" w:hAnsi="宋体"/>
                <w:color w:val="auto"/>
                <w:highlight w:val="none"/>
              </w:rPr>
            </w:pPr>
          </w:p>
        </w:tc>
        <w:tc>
          <w:tcPr>
            <w:tcW w:w="1260" w:type="dxa"/>
            <w:noWrap w:val="0"/>
            <w:vAlign w:val="top"/>
          </w:tcPr>
          <w:p>
            <w:pPr>
              <w:rPr>
                <w:rFonts w:hint="eastAsia" w:ascii="宋体" w:hAnsi="宋体"/>
                <w:color w:val="auto"/>
                <w:highlight w:val="none"/>
              </w:rPr>
            </w:pPr>
          </w:p>
        </w:tc>
        <w:tc>
          <w:tcPr>
            <w:tcW w:w="787" w:type="dxa"/>
            <w:noWrap w:val="0"/>
            <w:vAlign w:val="top"/>
          </w:tcPr>
          <w:p>
            <w:pPr>
              <w:rPr>
                <w:rFonts w:hint="eastAsia" w:ascii="宋体" w:hAnsi="宋体"/>
                <w:color w:val="auto"/>
                <w:highlight w:val="none"/>
              </w:rPr>
            </w:pPr>
          </w:p>
        </w:tc>
        <w:tc>
          <w:tcPr>
            <w:tcW w:w="788" w:type="dxa"/>
            <w:noWrap w:val="0"/>
            <w:vAlign w:val="top"/>
          </w:tcPr>
          <w:p>
            <w:pPr>
              <w:rPr>
                <w:rFonts w:hint="eastAsia" w:ascii="宋体" w:hAnsi="宋体"/>
                <w:color w:val="auto"/>
                <w:highlight w:val="none"/>
              </w:rPr>
            </w:pPr>
          </w:p>
        </w:tc>
        <w:tc>
          <w:tcPr>
            <w:tcW w:w="751" w:type="dxa"/>
            <w:noWrap w:val="0"/>
            <w:vAlign w:val="top"/>
          </w:tcPr>
          <w:p>
            <w:pPr>
              <w:rPr>
                <w:rFonts w:hint="eastAsia" w:ascii="宋体" w:hAnsi="宋体"/>
                <w:color w:val="auto"/>
                <w:highlight w:val="none"/>
              </w:rPr>
            </w:pPr>
          </w:p>
        </w:tc>
        <w:tc>
          <w:tcPr>
            <w:tcW w:w="1034" w:type="dxa"/>
            <w:noWrap w:val="0"/>
            <w:vAlign w:val="top"/>
          </w:tcPr>
          <w:p>
            <w:pPr>
              <w:rPr>
                <w:rFonts w:hint="eastAsia" w:ascii="宋体" w:hAnsi="宋体"/>
                <w:color w:val="auto"/>
                <w:highlight w:val="none"/>
              </w:rPr>
            </w:pPr>
          </w:p>
        </w:tc>
        <w:tc>
          <w:tcPr>
            <w:tcW w:w="735" w:type="dxa"/>
            <w:noWrap w:val="0"/>
            <w:vAlign w:val="top"/>
          </w:tcPr>
          <w:p>
            <w:pPr>
              <w:rPr>
                <w:rFonts w:hint="eastAsia" w:ascii="宋体" w:hAnsi="宋体"/>
                <w:color w:val="auto"/>
                <w:highlight w:val="none"/>
              </w:rPr>
            </w:pPr>
          </w:p>
        </w:tc>
        <w:tc>
          <w:tcPr>
            <w:tcW w:w="751" w:type="dxa"/>
            <w:noWrap w:val="0"/>
            <w:vAlign w:val="top"/>
          </w:tcPr>
          <w:p>
            <w:pPr>
              <w:rPr>
                <w:rFonts w:hint="eastAsia" w:ascii="宋体" w:hAnsi="宋体"/>
                <w:color w:val="auto"/>
                <w:highlight w:val="none"/>
              </w:rPr>
            </w:pPr>
          </w:p>
        </w:tc>
        <w:tc>
          <w:tcPr>
            <w:tcW w:w="824" w:type="dxa"/>
            <w:noWrap w:val="0"/>
            <w:vAlign w:val="top"/>
          </w:tcPr>
          <w:p>
            <w:pPr>
              <w:rPr>
                <w:rFonts w:hint="eastAsia" w:ascii="宋体" w:hAnsi="宋体"/>
                <w:color w:val="auto"/>
                <w:highlight w:val="none"/>
              </w:rPr>
            </w:pPr>
          </w:p>
        </w:tc>
      </w:tr>
    </w:tbl>
    <w:p>
      <w:pPr>
        <w:ind w:firstLine="420" w:firstLineChars="200"/>
        <w:rPr>
          <w:rFonts w:hint="eastAsia" w:ascii="宋体" w:hAnsi="宋体"/>
          <w:color w:val="auto"/>
          <w:highlight w:val="none"/>
        </w:rPr>
      </w:pPr>
    </w:p>
    <w:p>
      <w:pPr>
        <w:spacing w:line="360" w:lineRule="auto"/>
        <w:rPr>
          <w:rFonts w:hint="eastAsia" w:ascii="宋体" w:hAnsi="宋体"/>
          <w:b/>
          <w:bCs/>
          <w:color w:val="auto"/>
          <w:sz w:val="24"/>
          <w:highlight w:val="none"/>
        </w:rPr>
      </w:pPr>
      <w:r>
        <w:rPr>
          <w:rFonts w:ascii="宋体" w:hAnsi="宋体"/>
          <w:b/>
          <w:bCs/>
          <w:color w:val="auto"/>
          <w:sz w:val="24"/>
          <w:highlight w:val="none"/>
        </w:rPr>
        <w:t xml:space="preserve"> </w:t>
      </w:r>
      <w:r>
        <w:rPr>
          <w:rFonts w:hint="eastAsia" w:ascii="宋体" w:hAnsi="宋体"/>
          <w:b/>
          <w:bCs/>
          <w:color w:val="auto"/>
          <w:sz w:val="24"/>
          <w:highlight w:val="none"/>
        </w:rPr>
        <w:t>2. 合同总价</w:t>
      </w:r>
    </w:p>
    <w:p>
      <w:pPr>
        <w:spacing w:line="360" w:lineRule="auto"/>
        <w:ind w:left="315" w:leftChars="150"/>
        <w:rPr>
          <w:rFonts w:hint="eastAsia" w:ascii="宋体" w:hAnsi="宋体"/>
          <w:color w:val="auto"/>
          <w:highlight w:val="none"/>
        </w:rPr>
      </w:pPr>
      <w:r>
        <w:rPr>
          <w:rFonts w:hint="eastAsia" w:ascii="宋体" w:hAnsi="宋体"/>
          <w:color w:val="auto"/>
          <w:highlight w:val="none"/>
        </w:rPr>
        <w:t>总价为：</w:t>
      </w:r>
      <w:r>
        <w:rPr>
          <w:rFonts w:hint="eastAsia" w:ascii="宋体" w:hAnsi="宋体"/>
          <w:color w:val="auto"/>
          <w:highlight w:val="none"/>
          <w:u w:val="single"/>
        </w:rPr>
        <w:t xml:space="preserve">           </w:t>
      </w:r>
      <w:r>
        <w:rPr>
          <w:rFonts w:hint="eastAsia" w:ascii="宋体" w:hAnsi="宋体"/>
          <w:color w:val="auto"/>
          <w:highlight w:val="none"/>
        </w:rPr>
        <w:t>（大写） ，即RMB￥</w:t>
      </w:r>
      <w:r>
        <w:rPr>
          <w:rFonts w:hint="eastAsia" w:ascii="宋体" w:hAnsi="宋体"/>
          <w:color w:val="auto"/>
          <w:highlight w:val="none"/>
          <w:u w:val="single"/>
        </w:rPr>
        <w:t xml:space="preserve">     </w:t>
      </w:r>
      <w:r>
        <w:rPr>
          <w:rFonts w:hint="eastAsia" w:ascii="宋体" w:hAnsi="宋体"/>
          <w:color w:val="auto"/>
          <w:highlight w:val="none"/>
        </w:rPr>
        <w:t>元，该合同总金额是设计、设备制造、包装、仓储、运输、安装及验收合格之前及保修期与备品备件发生的所有含税费用。本合同执行期间合同总金额不变。</w:t>
      </w:r>
    </w:p>
    <w:p>
      <w:pPr>
        <w:spacing w:line="360" w:lineRule="auto"/>
        <w:rPr>
          <w:rFonts w:hint="eastAsia" w:ascii="宋体" w:hAnsi="宋体"/>
          <w:b/>
          <w:bCs/>
          <w:color w:val="auto"/>
          <w:sz w:val="24"/>
          <w:highlight w:val="none"/>
        </w:rPr>
      </w:pPr>
      <w:r>
        <w:rPr>
          <w:rFonts w:hint="eastAsia" w:ascii="宋体" w:hAnsi="宋体"/>
          <w:b/>
          <w:bCs/>
          <w:color w:val="auto"/>
          <w:sz w:val="24"/>
          <w:highlight w:val="none"/>
        </w:rPr>
        <w:t>3、结算方式</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1.支付方式：</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甲方按下述进度以转账方式支付相应款项。</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2.支付进度：</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（一）付款采用 分期付款 方式；</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（二）具体付款方式：</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（1）</w:t>
      </w:r>
      <w:r>
        <w:rPr>
          <w:rFonts w:hint="eastAsia" w:ascii="宋体" w:hAnsi="宋体"/>
          <w:color w:val="auto"/>
          <w:szCs w:val="21"/>
          <w:highlight w:val="none"/>
        </w:rPr>
        <w:t>合同签订生效后，甲方支付乙方合同金额30%预付款</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（2）项目</w:t>
      </w:r>
      <w:r>
        <w:rPr>
          <w:rFonts w:hint="eastAsia" w:ascii="宋体" w:hAnsi="宋体"/>
          <w:color w:val="auto"/>
          <w:szCs w:val="21"/>
          <w:highlight w:val="none"/>
        </w:rPr>
        <w:t>完成合同金额60%的工作量并经甲方确认，甲方按合同金额向乙方支付至50%的款项；</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（3）</w:t>
      </w:r>
      <w:r>
        <w:rPr>
          <w:rFonts w:hint="eastAsia" w:ascii="宋体" w:hAnsi="宋体"/>
          <w:color w:val="auto"/>
          <w:szCs w:val="21"/>
          <w:highlight w:val="none"/>
        </w:rPr>
        <w:t>项目完工并经甲方及上级主管部门验收合格，甲方按合同金额向乙方支付至85%的款项；</w:t>
      </w:r>
    </w:p>
    <w:p>
      <w:pPr>
        <w:spacing w:line="440" w:lineRule="exact"/>
        <w:ind w:firstLine="420" w:firstLineChars="200"/>
        <w:rPr>
          <w:rFonts w:ascii="宋体" w:hAnsi="宋体"/>
          <w:color w:val="auto"/>
          <w:szCs w:val="21"/>
          <w:highlight w:val="none"/>
        </w:rPr>
      </w:pPr>
      <w:r>
        <w:rPr>
          <w:rFonts w:hint="eastAsia" w:ascii="宋体" w:hAnsi="宋体" w:cs="宋体"/>
          <w:color w:val="auto"/>
          <w:szCs w:val="21"/>
          <w:highlight w:val="none"/>
        </w:rPr>
        <w:t>（4）项目完成结算确认手续后10个工作日内，支付至结算金额</w:t>
      </w:r>
      <w:r>
        <w:rPr>
          <w:rFonts w:hint="eastAsia" w:ascii="宋体" w:hAnsi="宋体"/>
          <w:color w:val="auto"/>
          <w:szCs w:val="21"/>
          <w:highlight w:val="none"/>
        </w:rPr>
        <w:t>的95%，余下5%作为本项目质保金，质保期到期后无责免息支付给乙方。</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（三）乙方向甲方申请支付货款时需提供：</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（1）合同；</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（2）乙方开具正式全额发票；</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（3）验收调试报告加盖甲方公章；</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t>（4）中标通知书。</w:t>
      </w:r>
    </w:p>
    <w:p>
      <w:pPr>
        <w:spacing w:line="360" w:lineRule="auto"/>
        <w:rPr>
          <w:rFonts w:hint="eastAsia" w:ascii="宋体" w:hAnsi="宋体"/>
          <w:b/>
          <w:bCs/>
          <w:color w:val="auto"/>
          <w:sz w:val="24"/>
          <w:highlight w:val="none"/>
        </w:rPr>
      </w:pPr>
      <w:r>
        <w:rPr>
          <w:rFonts w:hint="eastAsia" w:ascii="宋体" w:hAnsi="宋体"/>
          <w:b/>
          <w:bCs/>
          <w:color w:val="auto"/>
          <w:sz w:val="24"/>
          <w:highlight w:val="none"/>
        </w:rPr>
        <w:t>4. 合同组成</w:t>
      </w:r>
    </w:p>
    <w:p>
      <w:pPr>
        <w:spacing w:line="360" w:lineRule="auto"/>
        <w:ind w:left="420" w:leftChars="200"/>
        <w:rPr>
          <w:rFonts w:hint="eastAsia" w:ascii="宋体" w:hAnsi="宋体"/>
          <w:color w:val="auto"/>
          <w:highlight w:val="none"/>
        </w:rPr>
      </w:pPr>
      <w:r>
        <w:rPr>
          <w:rFonts w:hint="eastAsia" w:ascii="宋体" w:hAnsi="宋体"/>
          <w:color w:val="auto"/>
          <w:highlight w:val="none"/>
        </w:rPr>
        <w:t>详细价格、技术说明及其它有关合同设备的特定信息由合同附件说明。所有附件及本项目的招投标文件、会议纪要、协议等均为本合同不可分割之一部分。</w:t>
      </w:r>
    </w:p>
    <w:p>
      <w:pPr>
        <w:spacing w:line="360" w:lineRule="auto"/>
        <w:rPr>
          <w:rFonts w:hint="eastAsia" w:ascii="宋体" w:hAnsi="宋体"/>
          <w:b/>
          <w:bCs/>
          <w:color w:val="auto"/>
          <w:sz w:val="24"/>
          <w:highlight w:val="none"/>
        </w:rPr>
      </w:pPr>
      <w:r>
        <w:rPr>
          <w:rFonts w:hint="eastAsia" w:ascii="宋体" w:hAnsi="宋体"/>
          <w:b/>
          <w:bCs/>
          <w:color w:val="auto"/>
          <w:sz w:val="24"/>
          <w:highlight w:val="none"/>
        </w:rPr>
        <w:t>5. 技术要求</w:t>
      </w:r>
    </w:p>
    <w:p>
      <w:pPr>
        <w:spacing w:line="360" w:lineRule="auto"/>
        <w:ind w:left="315" w:leftChars="150"/>
        <w:rPr>
          <w:rFonts w:hint="eastAsia" w:ascii="宋体" w:hAnsi="宋体"/>
          <w:color w:val="auto"/>
          <w:highlight w:val="none"/>
        </w:rPr>
      </w:pPr>
      <w:r>
        <w:rPr>
          <w:rFonts w:hint="eastAsia" w:ascii="宋体" w:hAnsi="宋体"/>
          <w:color w:val="auto"/>
          <w:highlight w:val="none"/>
        </w:rPr>
        <w:t>乙方所提供设备，必须符合国家有关规范和环保要求及甲方的技术要求，并提供设备的厂试测验报告。</w:t>
      </w:r>
    </w:p>
    <w:p>
      <w:pPr>
        <w:spacing w:line="360" w:lineRule="auto"/>
        <w:rPr>
          <w:rFonts w:hint="eastAsia" w:ascii="宋体" w:hAnsi="宋体"/>
          <w:b/>
          <w:bCs/>
          <w:color w:val="auto"/>
          <w:sz w:val="24"/>
          <w:highlight w:val="none"/>
        </w:rPr>
      </w:pPr>
      <w:r>
        <w:rPr>
          <w:rFonts w:hint="eastAsia" w:ascii="宋体" w:hAnsi="宋体"/>
          <w:b/>
          <w:bCs/>
          <w:color w:val="auto"/>
          <w:sz w:val="24"/>
          <w:highlight w:val="none"/>
        </w:rPr>
        <w:t>6、 设备包装、交货、安装、调试及验收</w:t>
      </w:r>
    </w:p>
    <w:p>
      <w:pPr>
        <w:spacing w:line="360" w:lineRule="auto"/>
        <w:rPr>
          <w:rFonts w:hint="eastAsia" w:ascii="宋体" w:hAnsi="宋体"/>
          <w:color w:val="auto"/>
          <w:szCs w:val="21"/>
          <w:highlight w:val="none"/>
        </w:rPr>
      </w:pPr>
      <w:r>
        <w:rPr>
          <w:rFonts w:hint="eastAsia" w:ascii="宋体" w:hAnsi="宋体"/>
          <w:color w:val="auto"/>
          <w:szCs w:val="21"/>
          <w:highlight w:val="none"/>
        </w:rPr>
        <w:t>6</w:t>
      </w:r>
      <w:r>
        <w:rPr>
          <w:rFonts w:ascii="宋体" w:hAnsi="宋体"/>
          <w:color w:val="auto"/>
          <w:szCs w:val="21"/>
          <w:highlight w:val="none"/>
        </w:rPr>
        <w:t xml:space="preserve">.1 </w:t>
      </w:r>
      <w:r>
        <w:rPr>
          <w:rFonts w:hint="eastAsia" w:ascii="宋体" w:hAnsi="宋体"/>
          <w:color w:val="auto"/>
          <w:szCs w:val="21"/>
          <w:highlight w:val="none"/>
        </w:rPr>
        <w:t xml:space="preserve"> 合同设备的包装：</w:t>
      </w:r>
    </w:p>
    <w:p>
      <w:pPr>
        <w:spacing w:line="360" w:lineRule="auto"/>
        <w:ind w:left="630" w:leftChars="300" w:firstLine="2"/>
        <w:rPr>
          <w:rFonts w:hint="eastAsia" w:ascii="宋体" w:hAnsi="宋体"/>
          <w:color w:val="auto"/>
          <w:szCs w:val="21"/>
          <w:highlight w:val="none"/>
        </w:rPr>
      </w:pPr>
      <w:r>
        <w:rPr>
          <w:rFonts w:hint="eastAsia" w:ascii="宋体" w:hAnsi="宋体"/>
          <w:color w:val="auto"/>
          <w:szCs w:val="21"/>
          <w:highlight w:val="none"/>
        </w:rPr>
        <w:t>设备的包装均应有良好的防湿、防锈、防潮、防雨、防腐及防碰撞的措施。凡由于包装不良造成的损失和由此产生的费用均由乙方承担。</w:t>
      </w:r>
    </w:p>
    <w:p>
      <w:pPr>
        <w:spacing w:line="360" w:lineRule="auto"/>
        <w:rPr>
          <w:rFonts w:hint="eastAsia" w:ascii="宋体" w:hAnsi="宋体"/>
          <w:color w:val="auto"/>
          <w:szCs w:val="21"/>
          <w:highlight w:val="none"/>
        </w:rPr>
      </w:pPr>
      <w:r>
        <w:rPr>
          <w:rFonts w:hint="eastAsia" w:ascii="宋体" w:hAnsi="宋体"/>
          <w:color w:val="auto"/>
          <w:szCs w:val="21"/>
          <w:highlight w:val="none"/>
        </w:rPr>
        <w:t>6</w:t>
      </w:r>
      <w:r>
        <w:rPr>
          <w:rFonts w:ascii="宋体" w:hAnsi="宋体"/>
          <w:color w:val="auto"/>
          <w:szCs w:val="21"/>
          <w:highlight w:val="none"/>
        </w:rPr>
        <w:t xml:space="preserve">.2 </w:t>
      </w:r>
      <w:r>
        <w:rPr>
          <w:rFonts w:hint="eastAsia" w:ascii="宋体" w:hAnsi="宋体"/>
          <w:color w:val="auto"/>
          <w:szCs w:val="21"/>
          <w:highlight w:val="none"/>
        </w:rPr>
        <w:t xml:space="preserve"> 设备的交货：</w:t>
      </w:r>
    </w:p>
    <w:p>
      <w:pPr>
        <w:numPr>
          <w:ilvl w:val="0"/>
          <w:numId w:val="12"/>
        </w:numPr>
        <w:tabs>
          <w:tab w:val="left" w:pos="945"/>
          <w:tab w:val="clear" w:pos="1352"/>
        </w:tabs>
        <w:spacing w:line="360" w:lineRule="auto"/>
        <w:ind w:left="945"/>
        <w:rPr>
          <w:rFonts w:ascii="宋体" w:hAnsi="宋体"/>
          <w:color w:val="auto"/>
          <w:szCs w:val="21"/>
          <w:highlight w:val="none"/>
        </w:rPr>
      </w:pPr>
      <w:r>
        <w:rPr>
          <w:rFonts w:hint="eastAsia" w:ascii="宋体" w:hAnsi="宋体"/>
          <w:color w:val="auto"/>
          <w:szCs w:val="21"/>
          <w:highlight w:val="none"/>
        </w:rPr>
        <w:t>乙方交付使用时间：中标</w:t>
      </w:r>
      <w:r>
        <w:rPr>
          <w:rFonts w:ascii="宋体" w:hAnsi="宋体"/>
          <w:color w:val="auto"/>
          <w:szCs w:val="21"/>
          <w:highlight w:val="none"/>
        </w:rPr>
        <w:t>人签订合同后起</w:t>
      </w:r>
      <w:r>
        <w:rPr>
          <w:rFonts w:hint="eastAsia" w:ascii="宋体" w:hAnsi="宋体"/>
          <w:color w:val="auto"/>
          <w:szCs w:val="21"/>
          <w:highlight w:val="none"/>
        </w:rPr>
        <w:t>30</w:t>
      </w:r>
      <w:r>
        <w:rPr>
          <w:rFonts w:ascii="宋体" w:hAnsi="宋体"/>
          <w:color w:val="auto"/>
          <w:szCs w:val="21"/>
          <w:highlight w:val="none"/>
        </w:rPr>
        <w:t>天内完成全部货物的安装、调试和验收</w:t>
      </w:r>
      <w:r>
        <w:rPr>
          <w:rFonts w:hint="eastAsia" w:ascii="宋体" w:hAnsi="宋体"/>
          <w:color w:val="auto"/>
          <w:szCs w:val="21"/>
          <w:highlight w:val="none"/>
        </w:rPr>
        <w:t>。</w:t>
      </w:r>
    </w:p>
    <w:p>
      <w:pPr>
        <w:numPr>
          <w:ilvl w:val="0"/>
          <w:numId w:val="12"/>
        </w:numPr>
        <w:tabs>
          <w:tab w:val="left" w:pos="945"/>
          <w:tab w:val="clear" w:pos="1352"/>
        </w:tabs>
        <w:spacing w:line="360" w:lineRule="auto"/>
        <w:ind w:hanging="827"/>
        <w:rPr>
          <w:rFonts w:hint="eastAsia" w:ascii="宋体" w:hAnsi="宋体"/>
          <w:color w:val="auto"/>
          <w:szCs w:val="21"/>
          <w:highlight w:val="none"/>
          <w:u w:val="single"/>
        </w:rPr>
      </w:pPr>
      <w:r>
        <w:rPr>
          <w:rFonts w:hint="eastAsia" w:ascii="宋体" w:hAnsi="宋体"/>
          <w:color w:val="auto"/>
          <w:szCs w:val="21"/>
          <w:highlight w:val="none"/>
        </w:rPr>
        <w:t>乙方交货地点：广州市内用户指定地点。</w:t>
      </w:r>
    </w:p>
    <w:p>
      <w:pPr>
        <w:spacing w:line="360" w:lineRule="auto"/>
        <w:rPr>
          <w:rFonts w:hint="eastAsia" w:ascii="宋体" w:hAnsi="宋体"/>
          <w:color w:val="auto"/>
          <w:szCs w:val="21"/>
          <w:highlight w:val="none"/>
        </w:rPr>
      </w:pPr>
      <w:r>
        <w:rPr>
          <w:rFonts w:hint="eastAsia" w:ascii="宋体" w:hAnsi="宋体"/>
          <w:color w:val="auto"/>
          <w:szCs w:val="21"/>
          <w:highlight w:val="none"/>
        </w:rPr>
        <w:t>6</w:t>
      </w:r>
      <w:r>
        <w:rPr>
          <w:rFonts w:ascii="宋体" w:hAnsi="宋体"/>
          <w:color w:val="auto"/>
          <w:szCs w:val="21"/>
          <w:highlight w:val="none"/>
        </w:rPr>
        <w:t xml:space="preserve">.3 </w:t>
      </w:r>
      <w:r>
        <w:rPr>
          <w:rFonts w:hint="eastAsia" w:ascii="宋体" w:hAnsi="宋体"/>
          <w:color w:val="auto"/>
          <w:szCs w:val="21"/>
          <w:highlight w:val="none"/>
        </w:rPr>
        <w:t>合同设备的安装调试：</w:t>
      </w:r>
    </w:p>
    <w:p>
      <w:pPr>
        <w:numPr>
          <w:ilvl w:val="0"/>
          <w:numId w:val="13"/>
        </w:numPr>
        <w:tabs>
          <w:tab w:val="left" w:pos="945"/>
          <w:tab w:val="clear" w:pos="1215"/>
        </w:tabs>
        <w:spacing w:line="360" w:lineRule="auto"/>
        <w:ind w:hanging="690"/>
        <w:rPr>
          <w:rFonts w:hint="eastAsia" w:ascii="宋体" w:hAnsi="宋体"/>
          <w:color w:val="auto"/>
          <w:szCs w:val="21"/>
          <w:highlight w:val="none"/>
        </w:rPr>
      </w:pPr>
      <w:r>
        <w:rPr>
          <w:rFonts w:hint="eastAsia" w:ascii="宋体" w:hAnsi="宋体"/>
          <w:color w:val="auto"/>
          <w:szCs w:val="21"/>
          <w:highlight w:val="none"/>
        </w:rPr>
        <w:t>乙方负责合同项下的安装调试，一切费用由乙方负责。</w:t>
      </w:r>
    </w:p>
    <w:p>
      <w:pPr>
        <w:numPr>
          <w:ilvl w:val="0"/>
          <w:numId w:val="13"/>
        </w:numPr>
        <w:tabs>
          <w:tab w:val="left" w:pos="945"/>
          <w:tab w:val="clear" w:pos="1215"/>
        </w:tabs>
        <w:spacing w:line="360" w:lineRule="auto"/>
        <w:ind w:hanging="690"/>
        <w:rPr>
          <w:rFonts w:hint="eastAsia" w:ascii="宋体" w:hAnsi="宋体"/>
          <w:color w:val="auto"/>
          <w:szCs w:val="21"/>
          <w:highlight w:val="none"/>
        </w:rPr>
      </w:pPr>
      <w:r>
        <w:rPr>
          <w:rFonts w:hint="eastAsia" w:ascii="宋体" w:hAnsi="宋体"/>
          <w:color w:val="auto"/>
          <w:szCs w:val="21"/>
          <w:highlight w:val="none"/>
        </w:rPr>
        <w:t>乙方安装时须对各安装场地内的其它设备、设施有良好保护措施。</w:t>
      </w:r>
    </w:p>
    <w:p>
      <w:pPr>
        <w:spacing w:line="360" w:lineRule="auto"/>
        <w:rPr>
          <w:rFonts w:hint="eastAsia" w:ascii="宋体" w:hAnsi="宋体"/>
          <w:color w:val="auto"/>
          <w:szCs w:val="21"/>
          <w:highlight w:val="none"/>
        </w:rPr>
      </w:pPr>
      <w:r>
        <w:rPr>
          <w:rFonts w:hint="eastAsia" w:ascii="宋体" w:hAnsi="宋体"/>
          <w:color w:val="auto"/>
          <w:szCs w:val="21"/>
          <w:highlight w:val="none"/>
        </w:rPr>
        <w:t>6</w:t>
      </w:r>
      <w:r>
        <w:rPr>
          <w:rFonts w:ascii="宋体" w:hAnsi="宋体"/>
          <w:color w:val="auto"/>
          <w:szCs w:val="21"/>
          <w:highlight w:val="none"/>
        </w:rPr>
        <w:t xml:space="preserve">.4 </w:t>
      </w:r>
      <w:r>
        <w:rPr>
          <w:rFonts w:hint="eastAsia" w:ascii="宋体" w:hAnsi="宋体"/>
          <w:color w:val="auto"/>
          <w:szCs w:val="21"/>
          <w:highlight w:val="none"/>
        </w:rPr>
        <w:t>设备的验收：</w:t>
      </w:r>
    </w:p>
    <w:p>
      <w:pPr>
        <w:numPr>
          <w:ilvl w:val="0"/>
          <w:numId w:val="14"/>
        </w:numPr>
        <w:tabs>
          <w:tab w:val="left" w:pos="945"/>
          <w:tab w:val="clear" w:pos="1215"/>
        </w:tabs>
        <w:spacing w:line="360" w:lineRule="auto"/>
        <w:ind w:left="945" w:right="-420" w:rightChars="-200"/>
        <w:rPr>
          <w:rFonts w:hint="eastAsia" w:ascii="宋体" w:hAnsi="宋体"/>
          <w:color w:val="auto"/>
          <w:szCs w:val="21"/>
          <w:highlight w:val="none"/>
        </w:rPr>
      </w:pPr>
      <w:r>
        <w:rPr>
          <w:rFonts w:hint="eastAsia" w:ascii="宋体" w:hAnsi="宋体"/>
          <w:color w:val="auto"/>
          <w:szCs w:val="21"/>
          <w:highlight w:val="none"/>
        </w:rPr>
        <w:t>合同设备安装调试完成正常工作15个工作日，验收应在甲乙双方共同参加下进行。</w:t>
      </w:r>
    </w:p>
    <w:p>
      <w:pPr>
        <w:numPr>
          <w:ilvl w:val="0"/>
          <w:numId w:val="14"/>
        </w:numPr>
        <w:tabs>
          <w:tab w:val="left" w:pos="945"/>
          <w:tab w:val="clear" w:pos="1215"/>
        </w:tabs>
        <w:spacing w:line="360" w:lineRule="auto"/>
        <w:ind w:left="945" w:right="-420" w:rightChars="-200"/>
        <w:rPr>
          <w:rFonts w:hint="eastAsia" w:ascii="宋体" w:hAnsi="宋体"/>
          <w:color w:val="auto"/>
          <w:szCs w:val="21"/>
          <w:highlight w:val="none"/>
        </w:rPr>
      </w:pPr>
      <w:r>
        <w:rPr>
          <w:rFonts w:hint="eastAsia" w:ascii="宋体" w:hAnsi="宋体"/>
          <w:color w:val="auto"/>
          <w:szCs w:val="21"/>
          <w:highlight w:val="none"/>
        </w:rPr>
        <w:t>验收按国家有关的规定、规范进行。验收时如发现所交付的设备有短装、次品、损坏或其它不符合本合同规定之情形者，甲方应做出详尽的现场记录，或由甲乙双方签署备忘录。此现场记录或备忘录可用作补充、缺失和更换损坏部件的有效证据。由此产生的有关费用由乙方承担。</w:t>
      </w:r>
    </w:p>
    <w:p>
      <w:pPr>
        <w:numPr>
          <w:ilvl w:val="0"/>
          <w:numId w:val="14"/>
        </w:numPr>
        <w:tabs>
          <w:tab w:val="left" w:pos="945"/>
          <w:tab w:val="clear" w:pos="1215"/>
        </w:tabs>
        <w:spacing w:line="360" w:lineRule="auto"/>
        <w:ind w:left="945"/>
        <w:rPr>
          <w:rFonts w:ascii="宋体" w:hAnsi="宋体"/>
          <w:color w:val="auto"/>
          <w:szCs w:val="21"/>
          <w:highlight w:val="none"/>
        </w:rPr>
      </w:pPr>
      <w:r>
        <w:rPr>
          <w:rFonts w:hint="eastAsia" w:ascii="宋体" w:hAnsi="宋体"/>
          <w:color w:val="auto"/>
          <w:szCs w:val="21"/>
          <w:highlight w:val="none"/>
        </w:rPr>
        <w:t>如果合同设备运输和安装调试过程中因事故造成货物短缺、损坏，乙方应及时安排换装，以保证合同设备安装调试的成功完成。换货的相关费用由乙方承担。</w:t>
      </w:r>
    </w:p>
    <w:p>
      <w:pPr>
        <w:numPr>
          <w:ilvl w:val="0"/>
          <w:numId w:val="14"/>
        </w:numPr>
        <w:tabs>
          <w:tab w:val="left" w:pos="945"/>
          <w:tab w:val="clear" w:pos="1215"/>
        </w:tabs>
        <w:spacing w:line="360" w:lineRule="auto"/>
        <w:ind w:left="945"/>
        <w:rPr>
          <w:rFonts w:hint="eastAsia" w:ascii="宋体" w:hAnsi="宋体"/>
          <w:color w:val="auto"/>
          <w:szCs w:val="21"/>
          <w:highlight w:val="none"/>
        </w:rPr>
      </w:pPr>
      <w:r>
        <w:rPr>
          <w:rFonts w:hint="eastAsia" w:ascii="宋体" w:hAnsi="宋体"/>
          <w:color w:val="auto"/>
          <w:szCs w:val="21"/>
          <w:highlight w:val="none"/>
        </w:rPr>
        <w:t>国内产品或合资厂的产品必须具备出厂合格证。</w:t>
      </w:r>
    </w:p>
    <w:p>
      <w:pPr>
        <w:numPr>
          <w:ilvl w:val="0"/>
          <w:numId w:val="14"/>
        </w:numPr>
        <w:tabs>
          <w:tab w:val="left" w:pos="945"/>
          <w:tab w:val="clear" w:pos="1215"/>
        </w:tabs>
        <w:spacing w:line="360" w:lineRule="auto"/>
        <w:ind w:left="945"/>
        <w:rPr>
          <w:rFonts w:hint="eastAsia" w:ascii="宋体" w:hAnsi="宋体"/>
          <w:color w:val="auto"/>
          <w:szCs w:val="21"/>
          <w:highlight w:val="none"/>
        </w:rPr>
      </w:pPr>
      <w:r>
        <w:rPr>
          <w:rFonts w:hint="eastAsia" w:ascii="宋体" w:hAnsi="宋体"/>
          <w:color w:val="auto"/>
          <w:szCs w:val="21"/>
          <w:highlight w:val="none"/>
        </w:rPr>
        <w:t>进口产品必须具备省级（或相当于省级）商检部门的检验证明。</w:t>
      </w:r>
    </w:p>
    <w:p>
      <w:pPr>
        <w:spacing w:line="360" w:lineRule="auto"/>
        <w:ind w:left="458" w:hanging="457" w:hangingChars="218"/>
        <w:rPr>
          <w:rFonts w:hint="eastAsia" w:ascii="宋体" w:hAnsi="宋体"/>
          <w:color w:val="auto"/>
          <w:szCs w:val="21"/>
          <w:highlight w:val="none"/>
        </w:rPr>
      </w:pPr>
      <w:r>
        <w:rPr>
          <w:rFonts w:hint="eastAsia" w:ascii="宋体" w:hAnsi="宋体"/>
          <w:color w:val="auto"/>
          <w:szCs w:val="21"/>
          <w:highlight w:val="none"/>
        </w:rPr>
        <w:t>6</w:t>
      </w:r>
      <w:r>
        <w:rPr>
          <w:rFonts w:ascii="宋体" w:hAnsi="宋体"/>
          <w:color w:val="auto"/>
          <w:szCs w:val="21"/>
          <w:highlight w:val="none"/>
        </w:rPr>
        <w:t xml:space="preserve">.5 </w:t>
      </w:r>
      <w:r>
        <w:rPr>
          <w:rFonts w:hint="eastAsia" w:ascii="宋体" w:hAnsi="宋体"/>
          <w:color w:val="auto"/>
          <w:szCs w:val="21"/>
          <w:highlight w:val="none"/>
        </w:rPr>
        <w:t xml:space="preserve"> 乙方保证合同项下提供的设备不侵犯任何第三方的专利、商标或版权。否则，乙方须承担对第三方的专利或版权的侵权责任并承担因此而发生的所有费用。</w:t>
      </w:r>
    </w:p>
    <w:p>
      <w:pPr>
        <w:spacing w:line="360" w:lineRule="auto"/>
        <w:rPr>
          <w:rFonts w:hint="eastAsia" w:ascii="宋体" w:hAnsi="宋体"/>
          <w:b/>
          <w:bCs/>
          <w:color w:val="auto"/>
          <w:sz w:val="24"/>
          <w:highlight w:val="none"/>
        </w:rPr>
      </w:pPr>
      <w:r>
        <w:rPr>
          <w:rFonts w:hint="eastAsia" w:ascii="宋体" w:hAnsi="宋体"/>
          <w:b/>
          <w:bCs/>
          <w:color w:val="auto"/>
          <w:sz w:val="24"/>
          <w:highlight w:val="none"/>
        </w:rPr>
        <w:t>7. 质量保证及售后服务</w:t>
      </w:r>
    </w:p>
    <w:p>
      <w:pPr>
        <w:numPr>
          <w:ilvl w:val="0"/>
          <w:numId w:val="15"/>
        </w:numPr>
        <w:tabs>
          <w:tab w:val="left" w:pos="540"/>
          <w:tab w:val="clear" w:pos="720"/>
        </w:tabs>
        <w:spacing w:line="360" w:lineRule="auto"/>
        <w:ind w:left="540" w:hanging="540"/>
        <w:rPr>
          <w:rFonts w:hint="eastAsia" w:ascii="宋体" w:hAnsi="宋体"/>
          <w:color w:val="auto"/>
          <w:highlight w:val="none"/>
        </w:rPr>
      </w:pPr>
      <w:r>
        <w:rPr>
          <w:rFonts w:hint="eastAsia" w:ascii="宋体" w:hAnsi="宋体"/>
          <w:color w:val="auto"/>
          <w:highlight w:val="none"/>
        </w:rPr>
        <w:t>乙方保证合同设备是全新、未曾使用过的，其质量、规格及技术特征符合合同附件的要求。保证备品配件在同机型设备停产后3年以上的供应。</w:t>
      </w:r>
    </w:p>
    <w:p>
      <w:pPr>
        <w:numPr>
          <w:ilvl w:val="0"/>
          <w:numId w:val="15"/>
        </w:numPr>
        <w:tabs>
          <w:tab w:val="left" w:pos="540"/>
          <w:tab w:val="left" w:pos="1320"/>
          <w:tab w:val="clear" w:pos="720"/>
        </w:tabs>
        <w:spacing w:line="360" w:lineRule="auto"/>
        <w:rPr>
          <w:rFonts w:hint="eastAsia" w:ascii="宋体" w:hAnsi="宋体"/>
          <w:color w:val="auto"/>
          <w:highlight w:val="none"/>
        </w:rPr>
      </w:pPr>
      <w:r>
        <w:rPr>
          <w:rFonts w:hint="eastAsia" w:ascii="宋体" w:hAnsi="宋体"/>
          <w:color w:val="auto"/>
          <w:highlight w:val="none"/>
        </w:rPr>
        <w:t>合同设备保质保用期为设备最终验收合格并经本项目有关部门验收签字之日起不少于12个月。</w:t>
      </w:r>
    </w:p>
    <w:p>
      <w:pPr>
        <w:numPr>
          <w:ilvl w:val="0"/>
          <w:numId w:val="15"/>
        </w:numPr>
        <w:tabs>
          <w:tab w:val="left" w:pos="540"/>
          <w:tab w:val="clear" w:pos="720"/>
        </w:tabs>
        <w:spacing w:line="360" w:lineRule="auto"/>
        <w:ind w:left="540" w:hanging="540"/>
        <w:rPr>
          <w:rFonts w:hint="eastAsia" w:ascii="宋体" w:hAnsi="宋体"/>
          <w:color w:val="auto"/>
          <w:highlight w:val="none"/>
        </w:rPr>
      </w:pPr>
      <w:r>
        <w:rPr>
          <w:rFonts w:hint="eastAsia" w:ascii="宋体" w:hAnsi="宋体"/>
          <w:color w:val="auto"/>
          <w:highlight w:val="none"/>
        </w:rPr>
        <w:t>保质保用期内出现产品质量及安装问题，由乙方负责包修、包换或包退，并承担因此而产生的一切费用。乙方应在收到甲方通知后24小时内派员到现场免费维修</w:t>
      </w:r>
      <w:r>
        <w:rPr>
          <w:rFonts w:ascii="宋体" w:hAnsi="宋体"/>
          <w:color w:val="auto"/>
          <w:highlight w:val="none"/>
        </w:rPr>
        <w:t>(</w:t>
      </w:r>
      <w:r>
        <w:rPr>
          <w:rFonts w:hint="eastAsia" w:ascii="宋体" w:hAnsi="宋体"/>
          <w:color w:val="auto"/>
          <w:highlight w:val="none"/>
        </w:rPr>
        <w:t>技术要求另有规定除外)。</w:t>
      </w:r>
    </w:p>
    <w:p>
      <w:pPr>
        <w:numPr>
          <w:ilvl w:val="0"/>
          <w:numId w:val="15"/>
        </w:numPr>
        <w:tabs>
          <w:tab w:val="left" w:pos="540"/>
          <w:tab w:val="clear" w:pos="720"/>
        </w:tabs>
        <w:spacing w:line="360" w:lineRule="auto"/>
        <w:ind w:left="540" w:hanging="540"/>
        <w:rPr>
          <w:rFonts w:hint="eastAsia" w:ascii="宋体" w:hAnsi="宋体"/>
          <w:color w:val="auto"/>
          <w:highlight w:val="none"/>
        </w:rPr>
      </w:pPr>
      <w:r>
        <w:rPr>
          <w:rFonts w:hint="eastAsia" w:ascii="宋体" w:hAnsi="宋体"/>
          <w:color w:val="auto"/>
          <w:highlight w:val="none"/>
        </w:rPr>
        <w:t>因设备的质量问题而发生争议，由广东省或广州市质检部门进行质量鉴定。设备符合质量标准的，鉴定费用由甲方承担；设备不符合质量标准的，鉴定费用由乙方承担。</w:t>
      </w:r>
    </w:p>
    <w:p>
      <w:pPr>
        <w:spacing w:line="360" w:lineRule="auto"/>
        <w:rPr>
          <w:rFonts w:hint="eastAsia" w:ascii="宋体" w:hAnsi="宋体"/>
          <w:b/>
          <w:bCs/>
          <w:color w:val="auto"/>
          <w:sz w:val="24"/>
          <w:highlight w:val="none"/>
        </w:rPr>
      </w:pPr>
      <w:r>
        <w:rPr>
          <w:rFonts w:hint="eastAsia" w:ascii="宋体" w:hAnsi="宋体"/>
          <w:b/>
          <w:bCs/>
          <w:color w:val="auto"/>
          <w:sz w:val="24"/>
          <w:highlight w:val="none"/>
        </w:rPr>
        <w:t>8、 技术服务</w:t>
      </w:r>
    </w:p>
    <w:p>
      <w:pPr>
        <w:numPr>
          <w:ilvl w:val="0"/>
          <w:numId w:val="16"/>
        </w:numPr>
        <w:tabs>
          <w:tab w:val="left" w:pos="540"/>
          <w:tab w:val="clear" w:pos="720"/>
        </w:tabs>
        <w:spacing w:line="360" w:lineRule="auto"/>
        <w:rPr>
          <w:rFonts w:hint="eastAsia" w:ascii="宋体" w:hAnsi="宋体"/>
          <w:color w:val="auto"/>
          <w:highlight w:val="none"/>
        </w:rPr>
      </w:pPr>
      <w:r>
        <w:rPr>
          <w:rFonts w:hint="eastAsia" w:ascii="宋体" w:hAnsi="宋体"/>
          <w:color w:val="auto"/>
          <w:highlight w:val="none"/>
        </w:rPr>
        <w:t>乙方应派员到甲方指定地点配合工作。</w:t>
      </w:r>
    </w:p>
    <w:p>
      <w:pPr>
        <w:numPr>
          <w:ilvl w:val="0"/>
          <w:numId w:val="16"/>
        </w:numPr>
        <w:tabs>
          <w:tab w:val="left" w:pos="540"/>
          <w:tab w:val="clear" w:pos="720"/>
        </w:tabs>
        <w:spacing w:line="360" w:lineRule="auto"/>
        <w:ind w:left="540" w:hanging="540"/>
        <w:rPr>
          <w:rFonts w:hint="eastAsia" w:ascii="宋体" w:hAnsi="宋体"/>
          <w:color w:val="auto"/>
          <w:highlight w:val="none"/>
        </w:rPr>
      </w:pPr>
      <w:r>
        <w:rPr>
          <w:rFonts w:hint="eastAsia" w:ascii="宋体" w:hAnsi="宋体"/>
          <w:color w:val="auto"/>
          <w:highlight w:val="none"/>
        </w:rPr>
        <w:t>乙方按甲方提供的合同执行进度计划，再配合甲方及有关单位，以此做好合同执行进度上的配合工作。</w:t>
      </w:r>
    </w:p>
    <w:p>
      <w:pPr>
        <w:spacing w:line="360" w:lineRule="auto"/>
        <w:rPr>
          <w:rFonts w:hint="eastAsia" w:ascii="宋体" w:hAnsi="宋体"/>
          <w:b/>
          <w:bCs/>
          <w:color w:val="auto"/>
          <w:sz w:val="24"/>
          <w:highlight w:val="none"/>
        </w:rPr>
      </w:pPr>
      <w:r>
        <w:rPr>
          <w:rFonts w:hint="eastAsia" w:ascii="宋体" w:hAnsi="宋体"/>
          <w:b/>
          <w:bCs/>
          <w:color w:val="auto"/>
          <w:sz w:val="24"/>
          <w:highlight w:val="none"/>
        </w:rPr>
        <w:t>9、 不可抗力</w:t>
      </w:r>
    </w:p>
    <w:p>
      <w:pPr>
        <w:spacing w:line="360" w:lineRule="auto"/>
        <w:ind w:right="-420" w:rightChars="-200"/>
        <w:rPr>
          <w:rFonts w:hint="eastAsia" w:ascii="宋体" w:hAnsi="宋体"/>
          <w:color w:val="auto"/>
          <w:szCs w:val="21"/>
          <w:highlight w:val="none"/>
        </w:rPr>
      </w:pPr>
      <w:r>
        <w:rPr>
          <w:rFonts w:hint="eastAsia" w:ascii="宋体" w:hAnsi="宋体"/>
          <w:color w:val="auto"/>
          <w:szCs w:val="21"/>
          <w:highlight w:val="none"/>
        </w:rPr>
        <w:t>9</w:t>
      </w:r>
      <w:r>
        <w:rPr>
          <w:rFonts w:ascii="宋体" w:hAnsi="宋体"/>
          <w:color w:val="auto"/>
          <w:szCs w:val="21"/>
          <w:highlight w:val="none"/>
        </w:rPr>
        <w:t xml:space="preserve">.1 </w:t>
      </w:r>
      <w:r>
        <w:rPr>
          <w:rFonts w:hint="eastAsia" w:ascii="宋体" w:hAnsi="宋体"/>
          <w:color w:val="auto"/>
          <w:szCs w:val="21"/>
          <w:highlight w:val="none"/>
        </w:rPr>
        <w:t>不可抗力指战争、严重火灾、洪水、台风、地震等或其它双方认定的不可抗力事件。</w:t>
      </w:r>
    </w:p>
    <w:p>
      <w:pPr>
        <w:spacing w:line="360" w:lineRule="auto"/>
        <w:ind w:left="420" w:right="-200" w:hanging="420" w:hangingChars="200"/>
        <w:rPr>
          <w:rFonts w:hint="eastAsia" w:ascii="宋体" w:hAnsi="宋体"/>
          <w:color w:val="auto"/>
          <w:szCs w:val="21"/>
          <w:highlight w:val="none"/>
        </w:rPr>
      </w:pPr>
      <w:r>
        <w:rPr>
          <w:rFonts w:hint="eastAsia" w:ascii="宋体" w:hAnsi="宋体"/>
          <w:color w:val="auto"/>
          <w:szCs w:val="21"/>
          <w:highlight w:val="none"/>
        </w:rPr>
        <w:t>9</w:t>
      </w:r>
      <w:r>
        <w:rPr>
          <w:rFonts w:ascii="宋体" w:hAnsi="宋体"/>
          <w:color w:val="auto"/>
          <w:szCs w:val="21"/>
          <w:highlight w:val="none"/>
        </w:rPr>
        <w:t xml:space="preserve">.2 </w:t>
      </w:r>
      <w:r>
        <w:rPr>
          <w:rFonts w:hint="eastAsia" w:ascii="宋体" w:hAnsi="宋体"/>
          <w:color w:val="auto"/>
          <w:szCs w:val="21"/>
          <w:highlight w:val="none"/>
        </w:rPr>
        <w:t>签约双方中任何一方由于不可抗力影响合同执行时，发生不可抗力一方应尽快将事故通知另一方。 在此情况下，乙方仍然有责任采取必要的措施加速供货，双方应通过友好协商尽快解决本合同的执行问题。</w:t>
      </w:r>
    </w:p>
    <w:p>
      <w:pPr>
        <w:spacing w:line="360" w:lineRule="auto"/>
        <w:ind w:left="528" w:leftChars="-57" w:hanging="648" w:hangingChars="269"/>
        <w:rPr>
          <w:rFonts w:hint="eastAsia" w:ascii="宋体" w:hAnsi="宋体"/>
          <w:b/>
          <w:bCs/>
          <w:color w:val="auto"/>
          <w:sz w:val="24"/>
          <w:highlight w:val="none"/>
        </w:rPr>
      </w:pPr>
      <w:r>
        <w:rPr>
          <w:rFonts w:hint="eastAsia" w:ascii="宋体" w:hAnsi="宋体"/>
          <w:b/>
          <w:bCs/>
          <w:color w:val="auto"/>
          <w:sz w:val="24"/>
          <w:highlight w:val="none"/>
        </w:rPr>
        <w:t>10、 索赔</w:t>
      </w:r>
    </w:p>
    <w:p>
      <w:pPr>
        <w:spacing w:line="360" w:lineRule="auto"/>
        <w:ind w:left="444" w:leftChars="-57" w:hanging="564" w:hangingChars="269"/>
        <w:rPr>
          <w:rFonts w:hint="eastAsia" w:ascii="宋体" w:hAnsi="宋体"/>
          <w:b/>
          <w:bCs/>
          <w:color w:val="auto"/>
          <w:sz w:val="24"/>
          <w:highlight w:val="none"/>
        </w:rPr>
      </w:pPr>
      <w:r>
        <w:rPr>
          <w:rFonts w:hint="eastAsia" w:ascii="宋体" w:hAnsi="宋体"/>
          <w:color w:val="auto"/>
          <w:szCs w:val="21"/>
          <w:highlight w:val="none"/>
        </w:rPr>
        <w:t>10</w:t>
      </w:r>
      <w:r>
        <w:rPr>
          <w:rFonts w:ascii="宋体" w:hAnsi="宋体"/>
          <w:color w:val="auto"/>
          <w:szCs w:val="21"/>
          <w:highlight w:val="none"/>
        </w:rPr>
        <w:t xml:space="preserve">.1 </w:t>
      </w:r>
      <w:r>
        <w:rPr>
          <w:rFonts w:hint="eastAsia" w:ascii="宋体" w:hAnsi="宋体"/>
          <w:color w:val="auto"/>
          <w:szCs w:val="21"/>
          <w:highlight w:val="none"/>
        </w:rPr>
        <w:t xml:space="preserve"> 如有异议，甲方有权根据有关政府部门的检验结果向乙方提出索赔。</w:t>
      </w:r>
    </w:p>
    <w:p>
      <w:pPr>
        <w:spacing w:line="360" w:lineRule="auto"/>
        <w:ind w:left="549" w:leftChars="-57" w:hanging="669" w:hangingChars="319"/>
        <w:rPr>
          <w:rFonts w:hint="eastAsia" w:ascii="宋体" w:hAnsi="宋体"/>
          <w:b/>
          <w:bCs/>
          <w:color w:val="auto"/>
          <w:sz w:val="24"/>
          <w:highlight w:val="none"/>
        </w:rPr>
      </w:pPr>
      <w:r>
        <w:rPr>
          <w:rFonts w:hint="eastAsia" w:ascii="宋体" w:hAnsi="宋体"/>
          <w:color w:val="auto"/>
          <w:szCs w:val="21"/>
          <w:highlight w:val="none"/>
        </w:rPr>
        <w:t>10</w:t>
      </w:r>
      <w:r>
        <w:rPr>
          <w:rFonts w:ascii="宋体" w:hAnsi="宋体"/>
          <w:color w:val="auto"/>
          <w:szCs w:val="21"/>
          <w:highlight w:val="none"/>
        </w:rPr>
        <w:t xml:space="preserve">.2 </w:t>
      </w:r>
      <w:r>
        <w:rPr>
          <w:rFonts w:hint="eastAsia" w:ascii="宋体" w:hAnsi="宋体"/>
          <w:color w:val="auto"/>
          <w:szCs w:val="21"/>
          <w:highlight w:val="none"/>
        </w:rPr>
        <w:t xml:space="preserve"> 在合同执行期间，如果乙方对甲方提出的索赔和差异负有责任，乙方应按照甲方同意的下列一种或多种方式解决索赔事宜：</w:t>
      </w:r>
    </w:p>
    <w:p>
      <w:pPr>
        <w:numPr>
          <w:ilvl w:val="0"/>
          <w:numId w:val="17"/>
        </w:numPr>
        <w:tabs>
          <w:tab w:val="clear" w:pos="1215"/>
        </w:tabs>
        <w:spacing w:line="360" w:lineRule="auto"/>
        <w:ind w:left="840" w:hanging="315"/>
        <w:rPr>
          <w:rFonts w:hint="eastAsia" w:ascii="宋体" w:hAnsi="宋体"/>
          <w:color w:val="auto"/>
          <w:szCs w:val="21"/>
          <w:highlight w:val="none"/>
        </w:rPr>
      </w:pPr>
      <w:r>
        <w:rPr>
          <w:rFonts w:hint="eastAsia" w:ascii="宋体" w:hAnsi="宋体"/>
          <w:color w:val="auto"/>
          <w:szCs w:val="21"/>
          <w:highlight w:val="none"/>
        </w:rPr>
        <w:t>乙方同意退货，并按合同规定的同种货币将货款退还给甲方，并承担由此发生的一切损失和费用。</w:t>
      </w:r>
    </w:p>
    <w:p>
      <w:pPr>
        <w:numPr>
          <w:ilvl w:val="0"/>
          <w:numId w:val="17"/>
        </w:numPr>
        <w:tabs>
          <w:tab w:val="clear" w:pos="1215"/>
        </w:tabs>
        <w:spacing w:line="360" w:lineRule="auto"/>
        <w:ind w:left="840" w:hanging="315"/>
        <w:rPr>
          <w:rFonts w:hint="eastAsia" w:ascii="宋体" w:hAnsi="宋体"/>
          <w:color w:val="auto"/>
          <w:szCs w:val="21"/>
          <w:highlight w:val="none"/>
        </w:rPr>
      </w:pPr>
      <w:r>
        <w:rPr>
          <w:rFonts w:hint="eastAsia" w:ascii="宋体" w:hAnsi="宋体"/>
          <w:color w:val="auto"/>
          <w:szCs w:val="21"/>
          <w:highlight w:val="none"/>
        </w:rPr>
        <w:t>根据货物低劣程度、损坏程度以及甲方所遭受损失的数额甲乙双方商定降低货物的价格。</w:t>
      </w:r>
    </w:p>
    <w:p>
      <w:pPr>
        <w:numPr>
          <w:ilvl w:val="0"/>
          <w:numId w:val="17"/>
        </w:numPr>
        <w:tabs>
          <w:tab w:val="clear" w:pos="1215"/>
        </w:tabs>
        <w:spacing w:line="360" w:lineRule="auto"/>
        <w:ind w:left="840" w:hanging="315"/>
        <w:rPr>
          <w:rFonts w:hint="eastAsia" w:ascii="宋体" w:hAnsi="宋体"/>
          <w:color w:val="auto"/>
          <w:szCs w:val="21"/>
          <w:highlight w:val="none"/>
        </w:rPr>
      </w:pPr>
      <w:r>
        <w:rPr>
          <w:rFonts w:hint="eastAsia" w:ascii="宋体" w:hAnsi="宋体"/>
          <w:color w:val="auto"/>
          <w:szCs w:val="21"/>
          <w:highlight w:val="none"/>
        </w:rPr>
        <w:t>用符合规格、质量和性能要求的新零件、部件或货物来更换有缺陷的部分或修补缺陷的部分，乙方应承担一切费用和风险并负有甲方所发生的一切直接费用。同时，相应延长质量保证期。</w:t>
      </w:r>
    </w:p>
    <w:p>
      <w:pPr>
        <w:tabs>
          <w:tab w:val="left" w:pos="540"/>
        </w:tabs>
        <w:spacing w:line="360" w:lineRule="auto"/>
        <w:ind w:left="565" w:leftChars="-85" w:hanging="743" w:hangingChars="354"/>
        <w:rPr>
          <w:rFonts w:hint="eastAsia" w:ascii="宋体" w:hAnsi="宋体"/>
          <w:color w:val="auto"/>
          <w:szCs w:val="21"/>
          <w:highlight w:val="none"/>
        </w:rPr>
      </w:pPr>
      <w:r>
        <w:rPr>
          <w:rFonts w:hint="eastAsia" w:ascii="宋体" w:hAnsi="宋体"/>
          <w:color w:val="auto"/>
          <w:szCs w:val="21"/>
          <w:highlight w:val="none"/>
        </w:rPr>
        <w:t>10</w:t>
      </w:r>
      <w:r>
        <w:rPr>
          <w:rFonts w:ascii="宋体" w:hAnsi="宋体"/>
          <w:color w:val="auto"/>
          <w:szCs w:val="21"/>
          <w:highlight w:val="none"/>
        </w:rPr>
        <w:t>.3</w:t>
      </w:r>
      <w:r>
        <w:rPr>
          <w:rFonts w:hint="eastAsia" w:ascii="宋体" w:hAnsi="宋体"/>
          <w:color w:val="auto"/>
          <w:szCs w:val="21"/>
          <w:highlight w:val="none"/>
        </w:rPr>
        <w:t xml:space="preserve">  如果在甲方发出索赔通知后</w:t>
      </w:r>
      <w:r>
        <w:rPr>
          <w:rFonts w:ascii="宋体" w:hAnsi="宋体"/>
          <w:color w:val="auto"/>
          <w:szCs w:val="21"/>
          <w:highlight w:val="none"/>
          <w:shd w:val="clear" w:color="auto" w:fill="FFFFFF"/>
        </w:rPr>
        <w:t>30</w:t>
      </w:r>
      <w:r>
        <w:rPr>
          <w:rFonts w:hint="eastAsia" w:ascii="宋体" w:hAnsi="宋体"/>
          <w:color w:val="auto"/>
          <w:szCs w:val="21"/>
          <w:highlight w:val="none"/>
        </w:rPr>
        <w:t>天内，乙方未作答复，上述索赔应视为已被乙方接受。甲方将从合同款项中扣回索赔金额。如果这些金额不足以补偿索赔金额，甲方有权向乙方提出不足部分的补偿。</w:t>
      </w:r>
    </w:p>
    <w:p>
      <w:pPr>
        <w:spacing w:line="360" w:lineRule="auto"/>
        <w:ind w:left="528" w:leftChars="-57" w:hanging="648" w:hangingChars="269"/>
        <w:rPr>
          <w:rFonts w:hint="eastAsia" w:ascii="宋体" w:hAnsi="宋体"/>
          <w:color w:val="auto"/>
          <w:sz w:val="24"/>
          <w:highlight w:val="none"/>
        </w:rPr>
      </w:pPr>
      <w:r>
        <w:rPr>
          <w:rFonts w:hint="eastAsia" w:ascii="宋体" w:hAnsi="宋体"/>
          <w:b/>
          <w:bCs/>
          <w:color w:val="auto"/>
          <w:sz w:val="24"/>
          <w:highlight w:val="none"/>
        </w:rPr>
        <w:t>11、 违约与处罚</w:t>
      </w:r>
    </w:p>
    <w:p>
      <w:pPr>
        <w:spacing w:line="360" w:lineRule="auto"/>
        <w:ind w:left="645" w:leftChars="-57" w:hanging="765" w:hangingChars="319"/>
        <w:rPr>
          <w:rFonts w:hint="eastAsia" w:ascii="宋体" w:hAnsi="宋体"/>
          <w:color w:val="auto"/>
          <w:szCs w:val="21"/>
          <w:highlight w:val="none"/>
        </w:rPr>
      </w:pPr>
      <w:r>
        <w:rPr>
          <w:rFonts w:ascii="宋体" w:hAnsi="宋体"/>
          <w:color w:val="auto"/>
          <w:sz w:val="24"/>
          <w:highlight w:val="none"/>
        </w:rPr>
        <w:t>1</w:t>
      </w:r>
      <w:r>
        <w:rPr>
          <w:rFonts w:hint="eastAsia" w:ascii="宋体" w:hAnsi="宋体"/>
          <w:color w:val="auto"/>
          <w:sz w:val="24"/>
          <w:highlight w:val="none"/>
        </w:rPr>
        <w:t>1</w:t>
      </w:r>
      <w:r>
        <w:rPr>
          <w:rFonts w:ascii="宋体" w:hAnsi="宋体"/>
          <w:color w:val="auto"/>
          <w:sz w:val="24"/>
          <w:highlight w:val="none"/>
        </w:rPr>
        <w:t>.1</w:t>
      </w:r>
      <w:r>
        <w:rPr>
          <w:rFonts w:ascii="宋体" w:hAnsi="宋体"/>
          <w:color w:val="auto"/>
          <w:szCs w:val="21"/>
          <w:highlight w:val="none"/>
        </w:rPr>
        <w:t xml:space="preserve"> </w:t>
      </w:r>
      <w:r>
        <w:rPr>
          <w:rFonts w:hint="eastAsia" w:ascii="宋体" w:hAnsi="宋体"/>
          <w:color w:val="auto"/>
          <w:szCs w:val="21"/>
          <w:highlight w:val="none"/>
        </w:rPr>
        <w:t xml:space="preserve"> 甲方应依合同规定时间内，向乙方支付货款，每拖延一天乙方可向甲方加收合同金额的</w:t>
      </w:r>
      <w:r>
        <w:rPr>
          <w:rFonts w:ascii="宋体" w:hAnsi="宋体"/>
          <w:color w:val="auto"/>
          <w:szCs w:val="21"/>
          <w:highlight w:val="none"/>
          <w:shd w:val="clear" w:color="auto" w:fill="FFFFFF"/>
        </w:rPr>
        <w:t>3</w:t>
      </w:r>
      <w:r>
        <w:rPr>
          <w:rFonts w:hint="eastAsia" w:ascii="宋体" w:hAnsi="宋体"/>
          <w:color w:val="auto"/>
          <w:szCs w:val="21"/>
          <w:highlight w:val="none"/>
          <w:shd w:val="clear" w:color="auto" w:fill="FFFFFF"/>
        </w:rPr>
        <w:t>‰</w:t>
      </w:r>
      <w:r>
        <w:rPr>
          <w:rFonts w:hint="eastAsia" w:ascii="宋体" w:hAnsi="宋体"/>
          <w:color w:val="auto"/>
          <w:szCs w:val="21"/>
          <w:highlight w:val="none"/>
        </w:rPr>
        <w:t>的违约金。</w:t>
      </w:r>
    </w:p>
    <w:p>
      <w:pPr>
        <w:spacing w:line="360" w:lineRule="auto"/>
        <w:ind w:left="444" w:leftChars="-57" w:hanging="564" w:hangingChars="269"/>
        <w:rPr>
          <w:rFonts w:hint="eastAsia"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1</w:t>
      </w:r>
      <w:r>
        <w:rPr>
          <w:rFonts w:ascii="宋体" w:hAnsi="宋体"/>
          <w:color w:val="auto"/>
          <w:szCs w:val="21"/>
          <w:highlight w:val="none"/>
        </w:rPr>
        <w:t xml:space="preserve">.2 </w:t>
      </w:r>
      <w:r>
        <w:rPr>
          <w:rFonts w:hint="eastAsia" w:ascii="宋体" w:hAnsi="宋体"/>
          <w:color w:val="auto"/>
          <w:szCs w:val="21"/>
          <w:highlight w:val="none"/>
        </w:rPr>
        <w:t xml:space="preserve"> 乙方未能按时交货，每拖延一天，须向甲方支付合同金额的</w:t>
      </w:r>
      <w:r>
        <w:rPr>
          <w:rFonts w:ascii="宋体" w:hAnsi="宋体"/>
          <w:color w:val="auto"/>
          <w:szCs w:val="21"/>
          <w:highlight w:val="none"/>
          <w:shd w:val="clear" w:color="auto" w:fill="FFFFFF"/>
        </w:rPr>
        <w:t>3</w:t>
      </w:r>
      <w:r>
        <w:rPr>
          <w:rFonts w:hint="eastAsia" w:ascii="宋体" w:hAnsi="宋体"/>
          <w:color w:val="auto"/>
          <w:szCs w:val="21"/>
          <w:highlight w:val="none"/>
          <w:shd w:val="clear" w:color="auto" w:fill="FFFFFF"/>
        </w:rPr>
        <w:t>‰</w:t>
      </w:r>
      <w:r>
        <w:rPr>
          <w:rFonts w:hint="eastAsia" w:ascii="宋体" w:hAnsi="宋体"/>
          <w:color w:val="auto"/>
          <w:szCs w:val="21"/>
          <w:highlight w:val="none"/>
        </w:rPr>
        <w:t>的违约金。</w:t>
      </w:r>
    </w:p>
    <w:p>
      <w:pPr>
        <w:spacing w:line="360" w:lineRule="auto"/>
        <w:ind w:left="549" w:leftChars="-57" w:hanging="669" w:hangingChars="319"/>
        <w:rPr>
          <w:rFonts w:hint="eastAsia"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1</w:t>
      </w:r>
      <w:r>
        <w:rPr>
          <w:rFonts w:ascii="宋体" w:hAnsi="宋体"/>
          <w:color w:val="auto"/>
          <w:szCs w:val="21"/>
          <w:highlight w:val="none"/>
        </w:rPr>
        <w:t xml:space="preserve">.3 </w:t>
      </w:r>
      <w:r>
        <w:rPr>
          <w:rFonts w:hint="eastAsia" w:ascii="宋体" w:hAnsi="宋体"/>
          <w:color w:val="auto"/>
          <w:szCs w:val="21"/>
          <w:highlight w:val="none"/>
        </w:rPr>
        <w:t xml:space="preserve"> 乙方交付的货物不符合合同规定的，甲方有权拒收，乙方向甲方支付合同金额的</w:t>
      </w:r>
      <w:r>
        <w:rPr>
          <w:rFonts w:ascii="宋体" w:hAnsi="宋体"/>
          <w:color w:val="auto"/>
          <w:szCs w:val="21"/>
          <w:highlight w:val="none"/>
          <w:shd w:val="clear" w:color="auto" w:fill="FFFFFF"/>
        </w:rPr>
        <w:t>5%</w:t>
      </w:r>
      <w:r>
        <w:rPr>
          <w:rFonts w:hint="eastAsia" w:ascii="宋体" w:hAnsi="宋体"/>
          <w:color w:val="auto"/>
          <w:szCs w:val="21"/>
          <w:highlight w:val="none"/>
        </w:rPr>
        <w:t>的违约金。</w:t>
      </w:r>
    </w:p>
    <w:p>
      <w:pPr>
        <w:spacing w:line="360" w:lineRule="auto"/>
        <w:ind w:left="444" w:leftChars="-57" w:hanging="564" w:hangingChars="269"/>
        <w:rPr>
          <w:rFonts w:hint="eastAsia"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1</w:t>
      </w:r>
      <w:r>
        <w:rPr>
          <w:rFonts w:ascii="宋体" w:hAnsi="宋体"/>
          <w:color w:val="auto"/>
          <w:szCs w:val="21"/>
          <w:highlight w:val="none"/>
        </w:rPr>
        <w:t xml:space="preserve">.4 </w:t>
      </w:r>
      <w:r>
        <w:rPr>
          <w:rFonts w:hint="eastAsia" w:ascii="宋体" w:hAnsi="宋体"/>
          <w:color w:val="auto"/>
          <w:szCs w:val="21"/>
          <w:highlight w:val="none"/>
        </w:rPr>
        <w:t xml:space="preserve"> 甲方无正当理由拒收货物的，甲方向乙方支付合同金额的</w:t>
      </w:r>
      <w:r>
        <w:rPr>
          <w:rFonts w:ascii="宋体" w:hAnsi="宋体"/>
          <w:color w:val="auto"/>
          <w:szCs w:val="21"/>
          <w:highlight w:val="none"/>
          <w:shd w:val="clear" w:color="auto" w:fill="FFFFFF"/>
        </w:rPr>
        <w:t>5%</w:t>
      </w:r>
      <w:r>
        <w:rPr>
          <w:rFonts w:hint="eastAsia" w:ascii="宋体" w:hAnsi="宋体"/>
          <w:color w:val="auto"/>
          <w:szCs w:val="21"/>
          <w:highlight w:val="none"/>
        </w:rPr>
        <w:t>的违约金。</w:t>
      </w:r>
    </w:p>
    <w:p>
      <w:pPr>
        <w:spacing w:line="360" w:lineRule="auto"/>
        <w:ind w:left="444" w:leftChars="-57" w:hanging="564" w:hangingChars="269"/>
        <w:rPr>
          <w:rFonts w:hint="eastAsia"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1</w:t>
      </w:r>
      <w:r>
        <w:rPr>
          <w:rFonts w:ascii="宋体" w:hAnsi="宋体"/>
          <w:color w:val="auto"/>
          <w:szCs w:val="21"/>
          <w:highlight w:val="none"/>
        </w:rPr>
        <w:t xml:space="preserve">.5 </w:t>
      </w:r>
      <w:r>
        <w:rPr>
          <w:rFonts w:hint="eastAsia" w:ascii="宋体" w:hAnsi="宋体"/>
          <w:color w:val="auto"/>
          <w:szCs w:val="21"/>
          <w:highlight w:val="none"/>
        </w:rPr>
        <w:t xml:space="preserve"> 乙方未能交付货物，则向甲方支付合同金额的</w:t>
      </w:r>
      <w:r>
        <w:rPr>
          <w:rFonts w:ascii="宋体" w:hAnsi="宋体"/>
          <w:color w:val="auto"/>
          <w:szCs w:val="21"/>
          <w:highlight w:val="none"/>
          <w:shd w:val="clear" w:color="auto" w:fill="FFFFFF"/>
        </w:rPr>
        <w:t>7.5%</w:t>
      </w:r>
      <w:r>
        <w:rPr>
          <w:rFonts w:hint="eastAsia" w:ascii="宋体" w:hAnsi="宋体"/>
          <w:color w:val="auto"/>
          <w:szCs w:val="21"/>
          <w:highlight w:val="none"/>
        </w:rPr>
        <w:t>的违约金。</w:t>
      </w:r>
    </w:p>
    <w:p>
      <w:pPr>
        <w:spacing w:line="360" w:lineRule="auto"/>
        <w:rPr>
          <w:rFonts w:hint="eastAsia" w:ascii="宋体" w:hAnsi="宋体"/>
          <w:b/>
          <w:bCs/>
          <w:color w:val="auto"/>
          <w:sz w:val="24"/>
          <w:highlight w:val="none"/>
        </w:rPr>
      </w:pPr>
      <w:r>
        <w:rPr>
          <w:rFonts w:ascii="宋体" w:hAnsi="宋体"/>
          <w:b/>
          <w:bCs/>
          <w:color w:val="auto"/>
          <w:sz w:val="24"/>
          <w:highlight w:val="none"/>
        </w:rPr>
        <w:t>1</w:t>
      </w:r>
      <w:r>
        <w:rPr>
          <w:rFonts w:hint="eastAsia" w:ascii="宋体" w:hAnsi="宋体"/>
          <w:b/>
          <w:bCs/>
          <w:color w:val="auto"/>
          <w:sz w:val="24"/>
          <w:highlight w:val="none"/>
        </w:rPr>
        <w:t>2、合同终止</w:t>
      </w:r>
    </w:p>
    <w:p>
      <w:pPr>
        <w:spacing w:line="360" w:lineRule="auto"/>
        <w:ind w:left="525" w:leftChars="250" w:firstLine="12" w:firstLineChars="6"/>
        <w:rPr>
          <w:rFonts w:hint="eastAsia" w:ascii="宋体" w:hAnsi="宋体"/>
          <w:color w:val="auto"/>
          <w:szCs w:val="21"/>
          <w:highlight w:val="none"/>
        </w:rPr>
      </w:pPr>
      <w:r>
        <w:rPr>
          <w:rFonts w:hint="eastAsia" w:ascii="宋体" w:hAnsi="宋体"/>
          <w:color w:val="auto"/>
          <w:szCs w:val="21"/>
          <w:highlight w:val="none"/>
        </w:rPr>
        <w:t>如果一方严重违反合同，并在收到对方违约通知书后在</w:t>
      </w:r>
      <w:r>
        <w:rPr>
          <w:rFonts w:ascii="宋体" w:hAnsi="宋体"/>
          <w:color w:val="auto"/>
          <w:szCs w:val="21"/>
          <w:highlight w:val="none"/>
          <w:shd w:val="clear" w:color="auto" w:fill="FFFFFF"/>
        </w:rPr>
        <w:t>30</w:t>
      </w:r>
      <w:r>
        <w:rPr>
          <w:rFonts w:hint="eastAsia" w:ascii="宋体" w:hAnsi="宋体"/>
          <w:color w:val="auto"/>
          <w:szCs w:val="21"/>
          <w:highlight w:val="none"/>
        </w:rPr>
        <w:t>天内仍未能改正违约的，另一方可立即终止本合同。</w:t>
      </w:r>
    </w:p>
    <w:p>
      <w:pPr>
        <w:spacing w:line="360" w:lineRule="auto"/>
        <w:rPr>
          <w:rFonts w:hint="eastAsia" w:ascii="宋体" w:hAnsi="宋体"/>
          <w:b/>
          <w:bCs/>
          <w:color w:val="auto"/>
          <w:sz w:val="24"/>
          <w:highlight w:val="none"/>
        </w:rPr>
      </w:pPr>
      <w:r>
        <w:rPr>
          <w:rFonts w:ascii="宋体" w:hAnsi="宋体"/>
          <w:b/>
          <w:bCs/>
          <w:color w:val="auto"/>
          <w:sz w:val="24"/>
          <w:highlight w:val="none"/>
        </w:rPr>
        <w:t>1</w:t>
      </w:r>
      <w:r>
        <w:rPr>
          <w:rFonts w:hint="eastAsia" w:ascii="宋体" w:hAnsi="宋体"/>
          <w:b/>
          <w:bCs/>
          <w:color w:val="auto"/>
          <w:sz w:val="24"/>
          <w:highlight w:val="none"/>
        </w:rPr>
        <w:t>3、 法律诉讼</w:t>
      </w:r>
    </w:p>
    <w:p>
      <w:pPr>
        <w:spacing w:line="360" w:lineRule="auto"/>
        <w:ind w:left="630" w:leftChars="300"/>
        <w:rPr>
          <w:rFonts w:hint="eastAsia" w:ascii="宋体" w:hAnsi="宋体"/>
          <w:color w:val="auto"/>
          <w:szCs w:val="21"/>
          <w:highlight w:val="none"/>
        </w:rPr>
      </w:pPr>
      <w:r>
        <w:rPr>
          <w:rFonts w:hint="eastAsia" w:ascii="宋体" w:hAnsi="宋体"/>
          <w:color w:val="auto"/>
          <w:szCs w:val="21"/>
          <w:highlight w:val="none"/>
        </w:rPr>
        <w:t>签约双方在履约中发生争执和分歧，双方应通过友好协商解决，若经协商不能达成协议时，则由合同签订地或招标人所在地人民法院提起诉讼。受理期间，双方应继续执行合同其余部分。</w:t>
      </w:r>
    </w:p>
    <w:p>
      <w:pPr>
        <w:spacing w:line="360" w:lineRule="auto"/>
        <w:rPr>
          <w:rFonts w:hint="eastAsia" w:ascii="宋体" w:hAnsi="宋体"/>
          <w:b/>
          <w:bCs/>
          <w:color w:val="auto"/>
          <w:sz w:val="24"/>
          <w:highlight w:val="none"/>
        </w:rPr>
      </w:pPr>
      <w:r>
        <w:rPr>
          <w:rFonts w:ascii="宋体" w:hAnsi="宋体"/>
          <w:b/>
          <w:bCs/>
          <w:color w:val="auto"/>
          <w:sz w:val="24"/>
          <w:highlight w:val="none"/>
        </w:rPr>
        <w:t>1</w:t>
      </w:r>
      <w:r>
        <w:rPr>
          <w:rFonts w:hint="eastAsia" w:ascii="宋体" w:hAnsi="宋体"/>
          <w:b/>
          <w:bCs/>
          <w:color w:val="auto"/>
          <w:sz w:val="24"/>
          <w:highlight w:val="none"/>
        </w:rPr>
        <w:t>4、 其它</w:t>
      </w:r>
    </w:p>
    <w:p>
      <w:pPr>
        <w:spacing w:line="360" w:lineRule="auto"/>
        <w:ind w:left="600" w:hanging="600" w:hangingChars="250"/>
        <w:rPr>
          <w:rFonts w:hint="eastAsia" w:ascii="宋体" w:hAnsi="宋体"/>
          <w:color w:val="auto"/>
          <w:szCs w:val="21"/>
          <w:highlight w:val="none"/>
        </w:rPr>
      </w:pPr>
      <w:r>
        <w:rPr>
          <w:rFonts w:ascii="宋体" w:hAnsi="宋体"/>
          <w:color w:val="auto"/>
          <w:sz w:val="24"/>
          <w:highlight w:val="none"/>
        </w:rPr>
        <w:t>1</w:t>
      </w:r>
      <w:r>
        <w:rPr>
          <w:rFonts w:hint="eastAsia" w:ascii="宋体" w:hAnsi="宋体"/>
          <w:color w:val="auto"/>
          <w:sz w:val="24"/>
          <w:highlight w:val="none"/>
        </w:rPr>
        <w:t>4</w:t>
      </w:r>
      <w:r>
        <w:rPr>
          <w:rFonts w:ascii="宋体" w:hAnsi="宋体"/>
          <w:color w:val="auto"/>
          <w:szCs w:val="21"/>
          <w:highlight w:val="none"/>
        </w:rPr>
        <w:t xml:space="preserve">.1 </w:t>
      </w:r>
      <w:r>
        <w:rPr>
          <w:rFonts w:hint="eastAsia" w:ascii="宋体" w:hAnsi="宋体"/>
          <w:color w:val="auto"/>
          <w:szCs w:val="21"/>
          <w:highlight w:val="none"/>
        </w:rPr>
        <w:t>本合同正本四份，具有同等法律效力，甲、乙双方各执一份，省教育装备中心一份，采购代理机构一份。合同自签字之日起即时生效。</w:t>
      </w:r>
    </w:p>
    <w:p>
      <w:pPr>
        <w:snapToGrid w:val="0"/>
        <w:spacing w:line="360" w:lineRule="auto"/>
        <w:rPr>
          <w:rFonts w:hint="eastAsia"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4</w:t>
      </w:r>
      <w:r>
        <w:rPr>
          <w:rFonts w:ascii="宋体" w:hAnsi="宋体"/>
          <w:color w:val="auto"/>
          <w:szCs w:val="21"/>
          <w:highlight w:val="none"/>
        </w:rPr>
        <w:t>.2</w:t>
      </w:r>
      <w:r>
        <w:rPr>
          <w:rFonts w:hint="eastAsia" w:ascii="宋体" w:hAnsi="宋体"/>
          <w:color w:val="auto"/>
          <w:szCs w:val="21"/>
          <w:highlight w:val="none"/>
        </w:rPr>
        <w:t xml:space="preserve"> 下列文件是本合同的一部分，并与本合同一起阅读和解释</w:t>
      </w:r>
    </w:p>
    <w:p>
      <w:pPr>
        <w:numPr>
          <w:ilvl w:val="0"/>
          <w:numId w:val="18"/>
        </w:numPr>
        <w:snapToGrid w:val="0"/>
        <w:spacing w:line="360" w:lineRule="auto"/>
        <w:rPr>
          <w:rFonts w:hint="eastAsia" w:ascii="宋体" w:hAnsi="宋体"/>
          <w:color w:val="auto"/>
          <w:szCs w:val="21"/>
          <w:highlight w:val="none"/>
        </w:rPr>
      </w:pPr>
      <w:r>
        <w:rPr>
          <w:rFonts w:hint="eastAsia" w:ascii="宋体" w:hAnsi="宋体"/>
          <w:color w:val="auto"/>
          <w:szCs w:val="21"/>
          <w:highlight w:val="none"/>
        </w:rPr>
        <w:t>中标人提交的投标函和投标一览表；</w:t>
      </w:r>
    </w:p>
    <w:p>
      <w:pPr>
        <w:numPr>
          <w:ilvl w:val="0"/>
          <w:numId w:val="18"/>
        </w:numPr>
        <w:snapToGrid w:val="0"/>
        <w:spacing w:line="360" w:lineRule="auto"/>
        <w:rPr>
          <w:rFonts w:hint="eastAsia" w:ascii="宋体" w:hAnsi="宋体"/>
          <w:color w:val="auto"/>
          <w:szCs w:val="21"/>
          <w:highlight w:val="none"/>
        </w:rPr>
      </w:pPr>
      <w:r>
        <w:rPr>
          <w:rFonts w:hint="eastAsia" w:ascii="宋体" w:hAnsi="宋体"/>
          <w:color w:val="auto"/>
          <w:szCs w:val="21"/>
          <w:highlight w:val="none"/>
        </w:rPr>
        <w:t>资格声明函；</w:t>
      </w:r>
    </w:p>
    <w:p>
      <w:pPr>
        <w:numPr>
          <w:ilvl w:val="0"/>
          <w:numId w:val="18"/>
        </w:numPr>
        <w:snapToGrid w:val="0"/>
        <w:spacing w:line="360" w:lineRule="auto"/>
        <w:rPr>
          <w:rFonts w:hint="eastAsia" w:ascii="宋体" w:hAnsi="宋体"/>
          <w:color w:val="auto"/>
          <w:szCs w:val="21"/>
          <w:highlight w:val="none"/>
        </w:rPr>
      </w:pPr>
      <w:r>
        <w:rPr>
          <w:rFonts w:hint="eastAsia" w:ascii="宋体" w:hAnsi="宋体"/>
          <w:color w:val="auto"/>
          <w:szCs w:val="21"/>
          <w:highlight w:val="none"/>
        </w:rPr>
        <w:t>中标通知书；</w:t>
      </w:r>
    </w:p>
    <w:p>
      <w:pPr>
        <w:numPr>
          <w:ilvl w:val="0"/>
          <w:numId w:val="18"/>
        </w:numPr>
        <w:snapToGrid w:val="0"/>
        <w:spacing w:line="360" w:lineRule="auto"/>
        <w:rPr>
          <w:rFonts w:hint="eastAsia" w:ascii="宋体" w:hAnsi="宋体"/>
          <w:color w:val="auto"/>
          <w:szCs w:val="21"/>
          <w:highlight w:val="none"/>
        </w:rPr>
      </w:pPr>
      <w:r>
        <w:rPr>
          <w:rFonts w:hint="eastAsia" w:ascii="宋体" w:hAnsi="宋体"/>
          <w:color w:val="auto"/>
          <w:szCs w:val="21"/>
          <w:highlight w:val="none"/>
        </w:rPr>
        <w:t>其他相关投标文件。</w:t>
      </w:r>
      <w:r>
        <w:rPr>
          <w:rFonts w:ascii="宋体" w:hAnsi="宋体"/>
          <w:color w:val="auto"/>
          <w:szCs w:val="21"/>
          <w:highlight w:val="none"/>
        </w:rPr>
        <w:t xml:space="preserve"> </w:t>
      </w:r>
    </w:p>
    <w:p>
      <w:pPr>
        <w:spacing w:line="360" w:lineRule="auto"/>
        <w:rPr>
          <w:rFonts w:hint="eastAsia" w:ascii="宋体" w:hAnsi="宋体"/>
          <w:color w:val="auto"/>
          <w:szCs w:val="21"/>
          <w:highlight w:val="none"/>
        </w:rPr>
      </w:pPr>
      <w:r>
        <w:rPr>
          <w:rFonts w:hint="eastAsia" w:ascii="宋体" w:hAnsi="宋体"/>
          <w:color w:val="auto"/>
          <w:szCs w:val="21"/>
          <w:highlight w:val="none"/>
        </w:rPr>
        <w:t>14.3  本合同未尽事宜，由双方协商处理。</w:t>
      </w:r>
    </w:p>
    <w:p>
      <w:pPr>
        <w:spacing w:line="360" w:lineRule="auto"/>
        <w:ind w:left="718" w:leftChars="342"/>
        <w:rPr>
          <w:rFonts w:hint="eastAsia" w:ascii="宋体" w:hAnsi="宋体"/>
          <w:color w:val="auto"/>
          <w:szCs w:val="21"/>
          <w:highlight w:val="none"/>
        </w:rPr>
      </w:pPr>
      <w:r>
        <w:rPr>
          <w:rFonts w:hint="eastAsia" w:ascii="宋体" w:hAnsi="宋体"/>
          <w:color w:val="auto"/>
          <w:szCs w:val="21"/>
          <w:highlight w:val="none"/>
        </w:rPr>
        <w:t xml:space="preserve">甲方：                      </w:t>
      </w:r>
      <w:r>
        <w:rPr>
          <w:rFonts w:ascii="宋体" w:hAnsi="宋体"/>
          <w:color w:val="auto"/>
          <w:szCs w:val="21"/>
          <w:highlight w:val="none"/>
        </w:rPr>
        <w:t xml:space="preserve">    </w:t>
      </w:r>
      <w:r>
        <w:rPr>
          <w:rFonts w:hint="eastAsia" w:ascii="宋体" w:hAnsi="宋体"/>
          <w:color w:val="auto"/>
          <w:szCs w:val="21"/>
          <w:highlight w:val="none"/>
        </w:rPr>
        <w:t xml:space="preserve">     </w:t>
      </w:r>
      <w:r>
        <w:rPr>
          <w:rFonts w:ascii="宋体" w:hAnsi="宋体"/>
          <w:color w:val="auto"/>
          <w:szCs w:val="21"/>
          <w:highlight w:val="none"/>
        </w:rPr>
        <w:t xml:space="preserve"> </w:t>
      </w:r>
      <w:r>
        <w:rPr>
          <w:rFonts w:hint="eastAsia" w:ascii="宋体" w:hAnsi="宋体"/>
          <w:color w:val="auto"/>
          <w:szCs w:val="21"/>
          <w:highlight w:val="none"/>
        </w:rPr>
        <w:t xml:space="preserve">  </w:t>
      </w:r>
      <w:r>
        <w:rPr>
          <w:rFonts w:ascii="宋体" w:hAnsi="宋体"/>
          <w:color w:val="auto"/>
          <w:szCs w:val="21"/>
          <w:highlight w:val="none"/>
        </w:rPr>
        <w:t xml:space="preserve"> </w:t>
      </w:r>
      <w:r>
        <w:rPr>
          <w:rFonts w:hint="eastAsia" w:ascii="宋体" w:hAnsi="宋体"/>
          <w:color w:val="auto"/>
          <w:szCs w:val="21"/>
          <w:highlight w:val="none"/>
        </w:rPr>
        <w:t xml:space="preserve"> 乙方： </w:t>
      </w:r>
    </w:p>
    <w:p>
      <w:pPr>
        <w:spacing w:line="360" w:lineRule="auto"/>
        <w:ind w:left="718" w:leftChars="342"/>
        <w:rPr>
          <w:rFonts w:hint="eastAsia" w:ascii="宋体" w:hAnsi="宋体"/>
          <w:color w:val="auto"/>
          <w:szCs w:val="21"/>
          <w:highlight w:val="none"/>
        </w:rPr>
      </w:pPr>
      <w:r>
        <w:rPr>
          <w:rFonts w:hint="eastAsia" w:ascii="宋体" w:hAnsi="宋体"/>
          <w:color w:val="auto"/>
          <w:szCs w:val="21"/>
          <w:highlight w:val="none"/>
        </w:rPr>
        <w:t>签约代表：</w:t>
      </w:r>
      <w:r>
        <w:rPr>
          <w:rFonts w:ascii="宋体" w:hAnsi="宋体"/>
          <w:color w:val="auto"/>
          <w:szCs w:val="21"/>
          <w:highlight w:val="none"/>
        </w:rPr>
        <w:t xml:space="preserve">                         </w:t>
      </w:r>
      <w:r>
        <w:rPr>
          <w:rFonts w:hint="eastAsia" w:ascii="宋体" w:hAnsi="宋体"/>
          <w:color w:val="auto"/>
          <w:szCs w:val="21"/>
          <w:highlight w:val="none"/>
        </w:rPr>
        <w:t xml:space="preserve"> </w:t>
      </w:r>
      <w:r>
        <w:rPr>
          <w:rFonts w:ascii="宋体" w:hAnsi="宋体"/>
          <w:color w:val="auto"/>
          <w:szCs w:val="21"/>
          <w:highlight w:val="none"/>
        </w:rPr>
        <w:t xml:space="preserve">  </w:t>
      </w:r>
      <w:r>
        <w:rPr>
          <w:rFonts w:hint="eastAsia" w:ascii="宋体" w:hAnsi="宋体"/>
          <w:color w:val="auto"/>
          <w:szCs w:val="21"/>
          <w:highlight w:val="none"/>
        </w:rPr>
        <w:t xml:space="preserve">    签约代表：</w:t>
      </w:r>
    </w:p>
    <w:p>
      <w:pPr>
        <w:spacing w:line="360" w:lineRule="auto"/>
        <w:ind w:left="718" w:leftChars="342"/>
        <w:rPr>
          <w:rFonts w:hint="eastAsia" w:ascii="宋体" w:hAnsi="宋体"/>
          <w:color w:val="auto"/>
          <w:szCs w:val="21"/>
          <w:highlight w:val="none"/>
        </w:rPr>
      </w:pPr>
      <w:r>
        <w:rPr>
          <w:rFonts w:hint="eastAsia" w:ascii="宋体" w:hAnsi="宋体"/>
          <w:color w:val="auto"/>
          <w:szCs w:val="21"/>
          <w:highlight w:val="none"/>
        </w:rPr>
        <w:t>地址：</w:t>
      </w:r>
      <w:r>
        <w:rPr>
          <w:rFonts w:ascii="宋体" w:hAnsi="宋体"/>
          <w:color w:val="auto"/>
          <w:szCs w:val="21"/>
          <w:highlight w:val="none"/>
        </w:rPr>
        <w:t xml:space="preserve">                                 </w:t>
      </w:r>
      <w:r>
        <w:rPr>
          <w:rFonts w:hint="eastAsia" w:ascii="宋体" w:hAnsi="宋体"/>
          <w:color w:val="auto"/>
          <w:szCs w:val="21"/>
          <w:highlight w:val="none"/>
        </w:rPr>
        <w:t xml:space="preserve">   地址：</w:t>
      </w:r>
    </w:p>
    <w:p>
      <w:pPr>
        <w:spacing w:line="360" w:lineRule="auto"/>
        <w:ind w:firstLine="420" w:firstLineChars="200"/>
        <w:jc w:val="left"/>
        <w:rPr>
          <w:rFonts w:ascii="宋体" w:hAnsi="宋体" w:cs="宋体"/>
          <w:color w:val="auto"/>
          <w:sz w:val="24"/>
          <w:highlight w:val="none"/>
        </w:rPr>
      </w:pPr>
      <w:r>
        <w:rPr>
          <w:rFonts w:hint="eastAsia" w:ascii="宋体" w:hAnsi="宋体"/>
          <w:color w:val="auto"/>
          <w:szCs w:val="21"/>
          <w:highlight w:val="none"/>
        </w:rPr>
        <w:t>日期：</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r>
        <w:rPr>
          <w:rFonts w:ascii="宋体" w:hAnsi="宋体"/>
          <w:color w:val="auto"/>
          <w:szCs w:val="21"/>
          <w:highlight w:val="none"/>
        </w:rPr>
        <w:t xml:space="preserve">             </w:t>
      </w:r>
      <w:r>
        <w:rPr>
          <w:rFonts w:hint="eastAsia" w:ascii="宋体" w:hAnsi="宋体"/>
          <w:color w:val="auto"/>
          <w:szCs w:val="21"/>
          <w:highlight w:val="none"/>
        </w:rPr>
        <w:t xml:space="preserve"> </w:t>
      </w:r>
      <w:r>
        <w:rPr>
          <w:rFonts w:ascii="宋体" w:hAnsi="宋体"/>
          <w:color w:val="auto"/>
          <w:szCs w:val="21"/>
          <w:highlight w:val="none"/>
        </w:rPr>
        <w:t xml:space="preserve"> </w:t>
      </w:r>
      <w:r>
        <w:rPr>
          <w:rFonts w:hint="eastAsia" w:ascii="宋体" w:hAnsi="宋体"/>
          <w:color w:val="auto"/>
          <w:szCs w:val="21"/>
          <w:highlight w:val="none"/>
        </w:rPr>
        <w:t xml:space="preserve">      日期：</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360" w:lineRule="auto"/>
        <w:ind w:firstLine="480" w:firstLineChars="200"/>
        <w:jc w:val="left"/>
        <w:rPr>
          <w:rFonts w:ascii="宋体" w:hAnsi="宋体" w:cs="宋体"/>
          <w:color w:val="auto"/>
          <w:sz w:val="24"/>
          <w:highlight w:val="none"/>
        </w:rPr>
      </w:pPr>
    </w:p>
    <w:p>
      <w:pPr>
        <w:spacing w:line="360" w:lineRule="auto"/>
        <w:ind w:firstLine="480" w:firstLineChars="200"/>
        <w:jc w:val="left"/>
        <w:rPr>
          <w:rFonts w:ascii="宋体" w:hAnsi="宋体" w:cs="宋体"/>
          <w:color w:val="auto"/>
          <w:sz w:val="24"/>
          <w:highlight w:val="none"/>
        </w:rPr>
      </w:pPr>
    </w:p>
    <w:bookmarkEnd w:id="282"/>
    <w:bookmarkEnd w:id="283"/>
    <w:p>
      <w:pPr>
        <w:spacing w:line="360" w:lineRule="auto"/>
        <w:ind w:firstLine="480" w:firstLineChars="200"/>
        <w:jc w:val="left"/>
        <w:rPr>
          <w:rFonts w:ascii="宋体" w:hAnsi="宋体" w:cs="宋体"/>
          <w:color w:val="auto"/>
          <w:sz w:val="24"/>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pStyle w:val="96"/>
        <w:rPr>
          <w:rFonts w:ascii="宋体" w:hAnsi="宋体" w:cs="宋体"/>
          <w:color w:val="auto"/>
          <w:kern w:val="0"/>
          <w:szCs w:val="21"/>
          <w:highlight w:val="none"/>
        </w:rPr>
      </w:pPr>
    </w:p>
    <w:p>
      <w:pPr>
        <w:pStyle w:val="96"/>
        <w:rPr>
          <w:rFonts w:ascii="宋体" w:hAnsi="宋体" w:cs="宋体"/>
          <w:color w:val="auto"/>
          <w:kern w:val="0"/>
          <w:szCs w:val="21"/>
          <w:highlight w:val="none"/>
        </w:rPr>
      </w:pPr>
    </w:p>
    <w:p>
      <w:pPr>
        <w:pStyle w:val="96"/>
        <w:rPr>
          <w:rFonts w:ascii="宋体" w:hAnsi="宋体" w:cs="宋体"/>
          <w:color w:val="auto"/>
          <w:kern w:val="0"/>
          <w:szCs w:val="21"/>
          <w:highlight w:val="none"/>
        </w:rPr>
      </w:pPr>
    </w:p>
    <w:p>
      <w:pPr>
        <w:pStyle w:val="96"/>
        <w:rPr>
          <w:rFonts w:ascii="宋体" w:hAnsi="宋体" w:cs="宋体"/>
          <w:color w:val="auto"/>
          <w:kern w:val="0"/>
          <w:szCs w:val="21"/>
          <w:highlight w:val="none"/>
        </w:rPr>
      </w:pPr>
    </w:p>
    <w:p>
      <w:pPr>
        <w:pStyle w:val="96"/>
        <w:rPr>
          <w:rFonts w:ascii="宋体" w:hAnsi="宋体" w:cs="宋体"/>
          <w:color w:val="auto"/>
          <w:kern w:val="0"/>
          <w:szCs w:val="21"/>
          <w:highlight w:val="none"/>
        </w:rPr>
      </w:pPr>
    </w:p>
    <w:p>
      <w:pPr>
        <w:pStyle w:val="96"/>
        <w:rPr>
          <w:rFonts w:ascii="宋体" w:hAnsi="宋体" w:cs="宋体"/>
          <w:color w:val="auto"/>
          <w:kern w:val="0"/>
          <w:szCs w:val="21"/>
          <w:highlight w:val="none"/>
        </w:rPr>
      </w:pPr>
    </w:p>
    <w:p>
      <w:pPr>
        <w:pStyle w:val="96"/>
        <w:rPr>
          <w:rFonts w:ascii="宋体" w:hAnsi="宋体" w:cs="宋体"/>
          <w:color w:val="auto"/>
          <w:kern w:val="0"/>
          <w:szCs w:val="21"/>
          <w:highlight w:val="none"/>
        </w:rPr>
      </w:pPr>
    </w:p>
    <w:p>
      <w:pPr>
        <w:pStyle w:val="96"/>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olor w:val="auto"/>
          <w:szCs w:val="21"/>
          <w:highlight w:val="none"/>
        </w:rPr>
      </w:pPr>
      <w:bookmarkStart w:id="284" w:name="OLE_LINK4"/>
    </w:p>
    <w:p>
      <w:pPr>
        <w:pStyle w:val="5"/>
        <w:autoSpaceDE w:val="0"/>
        <w:rPr>
          <w:b w:val="0"/>
          <w:bCs w:val="0"/>
          <w:color w:val="auto"/>
          <w:sz w:val="44"/>
          <w:highlight w:val="none"/>
        </w:rPr>
      </w:pPr>
      <w:bookmarkStart w:id="285" w:name="_Toc475104528"/>
      <w:r>
        <w:rPr>
          <w:rFonts w:hint="eastAsia"/>
          <w:color w:val="auto"/>
          <w:sz w:val="44"/>
          <w:highlight w:val="none"/>
        </w:rPr>
        <w:t>第五章 评分体系与标准</w:t>
      </w:r>
      <w:bookmarkEnd w:id="285"/>
    </w:p>
    <w:p>
      <w:pPr>
        <w:spacing w:line="360" w:lineRule="auto"/>
        <w:ind w:firstLine="2164" w:firstLineChars="490"/>
        <w:rPr>
          <w:rFonts w:ascii="宋体" w:hAnsi="宋体"/>
          <w:b/>
          <w:bCs/>
          <w:color w:val="auto"/>
          <w:sz w:val="44"/>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numPr>
          <w:ilvl w:val="0"/>
          <w:numId w:val="19"/>
        </w:numPr>
        <w:autoSpaceDE w:val="0"/>
        <w:autoSpaceDN w:val="0"/>
        <w:adjustRightInd w:val="0"/>
        <w:snapToGrid w:val="0"/>
        <w:spacing w:line="360" w:lineRule="auto"/>
        <w:outlineLvl w:val="0"/>
        <w:rPr>
          <w:rFonts w:ascii="宋体" w:hAnsi="宋体"/>
          <w:bCs/>
          <w:color w:val="auto"/>
          <w:szCs w:val="21"/>
          <w:highlight w:val="none"/>
        </w:rPr>
      </w:pPr>
      <w:bookmarkStart w:id="286" w:name="_Toc475104529"/>
      <w:bookmarkStart w:id="287" w:name="_Toc264203535"/>
      <w:bookmarkStart w:id="288" w:name="_Toc98580289"/>
      <w:bookmarkStart w:id="289" w:name="_Toc42394513"/>
      <w:bookmarkStart w:id="290" w:name="_Toc42394669"/>
      <w:bookmarkStart w:id="291" w:name="_Toc101775128"/>
      <w:bookmarkStart w:id="292" w:name="_Toc101843128"/>
      <w:bookmarkStart w:id="293" w:name="_Toc101951266"/>
      <w:bookmarkStart w:id="294" w:name="_Toc98579007"/>
      <w:bookmarkStart w:id="295" w:name="_Toc98579065"/>
      <w:bookmarkStart w:id="296" w:name="_Toc50276153"/>
      <w:bookmarkStart w:id="297" w:name="_Toc101771375"/>
      <w:bookmarkStart w:id="298" w:name="_Toc98579606"/>
      <w:bookmarkStart w:id="299" w:name="_Toc41884701"/>
      <w:bookmarkStart w:id="300" w:name="_Toc42313167"/>
      <w:bookmarkStart w:id="301" w:name="_Toc41723931"/>
      <w:bookmarkStart w:id="302" w:name="_Toc125770208"/>
      <w:bookmarkStart w:id="303" w:name="_Toc138506092"/>
      <w:bookmarkStart w:id="304" w:name="_Toc150050902"/>
      <w:bookmarkStart w:id="305" w:name="_Toc108001800"/>
      <w:bookmarkStart w:id="306" w:name="_Toc138568672"/>
      <w:bookmarkStart w:id="307" w:name="_Toc28142601"/>
      <w:bookmarkStart w:id="308" w:name="_Toc101553556"/>
      <w:bookmarkStart w:id="309" w:name="_Toc124646434"/>
      <w:bookmarkStart w:id="310" w:name="_Toc68620012"/>
      <w:bookmarkStart w:id="311" w:name="_Toc104874465"/>
      <w:bookmarkStart w:id="312" w:name="_Toc95249607"/>
      <w:bookmarkStart w:id="313" w:name="_Toc124570687"/>
      <w:bookmarkStart w:id="314" w:name="_Toc108243616"/>
      <w:bookmarkStart w:id="315" w:name="_Toc169334816"/>
      <w:bookmarkStart w:id="316" w:name="_Toc148060906"/>
      <w:bookmarkStart w:id="317" w:name="_Toc102211724"/>
      <w:bookmarkStart w:id="318" w:name="_Toc124401382"/>
      <w:bookmarkStart w:id="319" w:name="_Toc28489533"/>
      <w:bookmarkStart w:id="320" w:name="_Toc95304223"/>
      <w:bookmarkStart w:id="321" w:name="_Toc113277292"/>
      <w:bookmarkStart w:id="322" w:name="_Toc66722112"/>
      <w:bookmarkStart w:id="323" w:name="_Toc101553661"/>
      <w:bookmarkStart w:id="324" w:name="_Toc131904930"/>
      <w:bookmarkStart w:id="325" w:name="_Toc104902929"/>
      <w:bookmarkStart w:id="326" w:name="_Toc34535380"/>
      <w:bookmarkStart w:id="327" w:name="_Toc131922503"/>
      <w:bookmarkStart w:id="328" w:name="_Toc35834934"/>
      <w:bookmarkStart w:id="329" w:name="_Toc148420070"/>
      <w:bookmarkStart w:id="330" w:name="_Toc67911942"/>
      <w:r>
        <w:rPr>
          <w:rFonts w:hint="eastAsia" w:ascii="宋体" w:hAnsi="宋体"/>
          <w:bCs/>
          <w:color w:val="auto"/>
          <w:szCs w:val="21"/>
          <w:highlight w:val="none"/>
        </w:rPr>
        <w:t>本评审办法采用综合评分法。</w:t>
      </w:r>
      <w:bookmarkEnd w:id="286"/>
    </w:p>
    <w:p>
      <w:pPr>
        <w:numPr>
          <w:ilvl w:val="0"/>
          <w:numId w:val="19"/>
        </w:numPr>
        <w:autoSpaceDE w:val="0"/>
        <w:autoSpaceDN w:val="0"/>
        <w:adjustRightInd w:val="0"/>
        <w:snapToGrid w:val="0"/>
        <w:spacing w:line="360" w:lineRule="auto"/>
        <w:outlineLvl w:val="0"/>
        <w:rPr>
          <w:rFonts w:ascii="宋体" w:cs="宋体"/>
          <w:color w:val="auto"/>
          <w:highlight w:val="none"/>
        </w:rPr>
      </w:pPr>
      <w:bookmarkStart w:id="331" w:name="_Toc475104530"/>
      <w:bookmarkStart w:id="332" w:name="_Toc475104531"/>
      <w:r>
        <w:rPr>
          <w:rFonts w:hint="eastAsia" w:ascii="宋体" w:hAnsi="宋体" w:cs="宋体"/>
          <w:color w:val="auto"/>
          <w:szCs w:val="21"/>
          <w:highlight w:val="none"/>
          <w:lang w:eastAsia="zh-TW"/>
        </w:rPr>
        <w:t>本次招标依法组建评标委员会。评标委员会由采购人的代表和从政府采购专家库随机抽取的专家组成，如采购人不派代表参加评审，则评标委员会全部由从政府采购专家库随机抽取的专家组成。评标委员会将本着公平、公正、科学、择优的原则，严格按照法律法规和招标文件设定的程序和规则推荐评审结果</w:t>
      </w:r>
      <w:r>
        <w:rPr>
          <w:rFonts w:hint="eastAsia" w:ascii="宋体" w:hAnsi="宋体" w:cs="宋体"/>
          <w:color w:val="auto"/>
          <w:szCs w:val="21"/>
          <w:highlight w:val="none"/>
        </w:rPr>
        <w:t>；</w:t>
      </w:r>
    </w:p>
    <w:p>
      <w:pPr>
        <w:numPr>
          <w:ilvl w:val="0"/>
          <w:numId w:val="19"/>
        </w:numPr>
        <w:autoSpaceDE w:val="0"/>
        <w:autoSpaceDN w:val="0"/>
        <w:adjustRightInd w:val="0"/>
        <w:snapToGrid w:val="0"/>
        <w:spacing w:line="360" w:lineRule="auto"/>
        <w:outlineLvl w:val="0"/>
        <w:rPr>
          <w:rFonts w:ascii="宋体" w:cs="宋体"/>
          <w:color w:val="auto"/>
          <w:highlight w:val="none"/>
        </w:rPr>
      </w:pPr>
      <w:r>
        <w:rPr>
          <w:rFonts w:hint="eastAsia" w:ascii="宋体" w:cs="宋体"/>
          <w:color w:val="auto"/>
          <w:highlight w:val="none"/>
        </w:rPr>
        <w:t>通过资格性和符合性检查的有效供应商方有资格提交最后报价及进行技术、商务及价格的详细评审，最后磋商小组出具竞争性磋商报告。</w:t>
      </w:r>
      <w:bookmarkEnd w:id="331"/>
    </w:p>
    <w:bookmarkEnd w:id="287"/>
    <w:bookmarkEnd w:id="288"/>
    <w:bookmarkEnd w:id="289"/>
    <w:bookmarkEnd w:id="290"/>
    <w:bookmarkEnd w:id="291"/>
    <w:bookmarkEnd w:id="292"/>
    <w:bookmarkEnd w:id="293"/>
    <w:bookmarkEnd w:id="294"/>
    <w:bookmarkEnd w:id="295"/>
    <w:bookmarkEnd w:id="296"/>
    <w:bookmarkEnd w:id="297"/>
    <w:bookmarkEnd w:id="298"/>
    <w:bookmarkEnd w:id="332"/>
    <w:p>
      <w:pPr>
        <w:numPr>
          <w:ilvl w:val="0"/>
          <w:numId w:val="19"/>
        </w:numPr>
        <w:autoSpaceDE w:val="0"/>
        <w:autoSpaceDN w:val="0"/>
        <w:adjustRightInd w:val="0"/>
        <w:snapToGrid w:val="0"/>
        <w:spacing w:line="360" w:lineRule="auto"/>
        <w:outlineLvl w:val="0"/>
        <w:rPr>
          <w:rFonts w:ascii="宋体" w:hAnsi="宋体"/>
          <w:bCs/>
          <w:color w:val="auto"/>
          <w:szCs w:val="21"/>
          <w:highlight w:val="none"/>
        </w:rPr>
      </w:pPr>
      <w:bookmarkStart w:id="333" w:name="_Toc475104532"/>
      <w:r>
        <w:rPr>
          <w:rFonts w:hint="eastAsia" w:ascii="宋体" w:cs="宋体"/>
          <w:color w:val="auto"/>
          <w:highlight w:val="none"/>
        </w:rPr>
        <w:t>按照评审程序、评分标准以及权重分配的规定，磋商小组各成员分别就各个</w:t>
      </w:r>
      <w:r>
        <w:rPr>
          <w:rFonts w:hint="eastAsia" w:ascii="宋体" w:hAnsi="宋体"/>
          <w:bCs/>
          <w:color w:val="auto"/>
          <w:highlight w:val="none"/>
        </w:rPr>
        <w:t>供应商</w:t>
      </w:r>
      <w:r>
        <w:rPr>
          <w:rFonts w:hint="eastAsia" w:ascii="宋体" w:cs="宋体"/>
          <w:color w:val="auto"/>
          <w:highlight w:val="none"/>
        </w:rPr>
        <w:t>的技术状况、商务状况及其对竞争性磋商文件要求的响应情况进行评议和比较，评出其</w:t>
      </w:r>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cs="宋体"/>
          <w:color w:val="auto"/>
          <w:highlight w:val="none"/>
        </w:rPr>
        <w:t>评分、价格评分相加得出其综合得分。</w:t>
      </w:r>
    </w:p>
    <w:p>
      <w:pPr>
        <w:numPr>
          <w:ilvl w:val="0"/>
          <w:numId w:val="19"/>
        </w:numPr>
        <w:autoSpaceDE w:val="0"/>
        <w:autoSpaceDN w:val="0"/>
        <w:adjustRightInd w:val="0"/>
        <w:snapToGrid w:val="0"/>
        <w:spacing w:line="360" w:lineRule="auto"/>
        <w:outlineLvl w:val="0"/>
        <w:rPr>
          <w:rFonts w:ascii="宋体" w:hAnsi="宋体"/>
          <w:bCs/>
          <w:color w:val="auto"/>
          <w:szCs w:val="21"/>
          <w:highlight w:val="none"/>
        </w:rPr>
      </w:pPr>
      <w:r>
        <w:rPr>
          <w:rFonts w:hint="eastAsia" w:ascii="宋体" w:hAnsi="宋体"/>
          <w:color w:val="auto"/>
          <w:szCs w:val="21"/>
          <w:highlight w:val="none"/>
        </w:rPr>
        <w:t>评标以竞争性磋商文件规定的条件为依据。评分比重如下：</w:t>
      </w:r>
      <w:bookmarkEnd w:id="333"/>
    </w:p>
    <w:tbl>
      <w:tblPr>
        <w:tblStyle w:val="89"/>
        <w:tblpPr w:leftFromText="180" w:rightFromText="180" w:vertAnchor="text" w:tblpX="318" w:tblpY="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0"/>
        <w:gridCol w:w="1858"/>
        <w:gridCol w:w="1859"/>
        <w:gridCol w:w="1858"/>
        <w:gridCol w:w="1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auto"/>
                <w:highlight w:val="none"/>
              </w:rPr>
            </w:pPr>
            <w:bookmarkStart w:id="334" w:name="_Toc333236678"/>
            <w:bookmarkStart w:id="335" w:name="_Toc475104533"/>
            <w:r>
              <w:rPr>
                <w:rFonts w:hint="eastAsia" w:ascii="宋体" w:hAnsi="宋体" w:cs="宋体"/>
                <w:color w:val="auto"/>
                <w:highlight w:val="none"/>
              </w:rPr>
              <w:t>评分项目</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技术部分</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商务部分</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价格部分</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权重</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40</w:t>
            </w:r>
            <w:r>
              <w:rPr>
                <w:rFonts w:hint="eastAsia" w:ascii="宋体" w:hAnsi="宋体" w:cs="宋体"/>
                <w:color w:val="auto"/>
                <w:highlight w:val="none"/>
              </w:rPr>
              <w:t>%</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30</w:t>
            </w:r>
            <w:r>
              <w:rPr>
                <w:rFonts w:hint="eastAsia" w:ascii="宋体" w:hAnsi="宋体" w:cs="宋体"/>
                <w:color w:val="auto"/>
                <w:highlight w:val="none"/>
              </w:rPr>
              <w:t>%</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30</w:t>
            </w:r>
            <w:r>
              <w:rPr>
                <w:rFonts w:hint="eastAsia" w:ascii="宋体" w:hAnsi="宋体" w:cs="宋体"/>
                <w:color w:val="auto"/>
                <w:highlight w:val="none"/>
              </w:rPr>
              <w:t>%</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100%</w:t>
            </w:r>
          </w:p>
        </w:tc>
      </w:tr>
    </w:tbl>
    <w:p>
      <w:pPr>
        <w:numPr>
          <w:ilvl w:val="1"/>
          <w:numId w:val="19"/>
        </w:numPr>
        <w:tabs>
          <w:tab w:val="clear" w:pos="567"/>
        </w:tabs>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磋商响应文件中</w:t>
      </w:r>
      <w:r>
        <w:rPr>
          <w:rFonts w:hint="eastAsia" w:ascii="宋体" w:hAnsi="宋体" w:cs="宋体"/>
          <w:color w:val="auto"/>
          <w:kern w:val="0"/>
          <w:szCs w:val="21"/>
          <w:highlight w:val="none"/>
        </w:rPr>
        <w:t>竞争性磋商函</w:t>
      </w:r>
      <w:r>
        <w:rPr>
          <w:rFonts w:hint="eastAsia" w:ascii="宋体" w:hAnsi="宋体"/>
          <w:color w:val="auto"/>
          <w:szCs w:val="21"/>
          <w:highlight w:val="none"/>
        </w:rPr>
        <w:t>内容与磋商响应文件中明细表内容不一致的，以</w:t>
      </w:r>
      <w:r>
        <w:rPr>
          <w:rFonts w:hint="eastAsia" w:ascii="宋体" w:hAnsi="宋体" w:cs="宋体"/>
          <w:color w:val="auto"/>
          <w:kern w:val="0"/>
          <w:szCs w:val="21"/>
          <w:highlight w:val="none"/>
        </w:rPr>
        <w:t>竞争性磋商函</w:t>
      </w:r>
      <w:r>
        <w:rPr>
          <w:rFonts w:hint="eastAsia" w:ascii="宋体" w:hAnsi="宋体"/>
          <w:color w:val="auto"/>
          <w:szCs w:val="21"/>
          <w:highlight w:val="none"/>
        </w:rPr>
        <w:t>为准。磋商响应文件的总价金额与按单价汇总金额不一致的，以单价金额计算结果为准；大写金额和小写金额不一致的，以大写金额为准；单价金额小数点有明显错位的，应以总价为准，并修改单价；对不同文字文本磋商响应文件的解释发生异议的，以中文文本为准。</w:t>
      </w:r>
    </w:p>
    <w:bookmarkEnd w:id="334"/>
    <w:bookmarkEnd w:id="335"/>
    <w:p>
      <w:pPr>
        <w:numPr>
          <w:ilvl w:val="0"/>
          <w:numId w:val="19"/>
        </w:numPr>
        <w:autoSpaceDE w:val="0"/>
        <w:autoSpaceDN w:val="0"/>
        <w:adjustRightInd w:val="0"/>
        <w:snapToGrid w:val="0"/>
        <w:spacing w:line="360" w:lineRule="auto"/>
        <w:outlineLvl w:val="0"/>
        <w:rPr>
          <w:rFonts w:ascii="宋体" w:hAnsi="宋体"/>
          <w:color w:val="auto"/>
          <w:szCs w:val="21"/>
          <w:highlight w:val="none"/>
        </w:rPr>
      </w:pPr>
      <w:bookmarkStart w:id="336" w:name="_Toc333236680"/>
      <w:bookmarkStart w:id="337" w:name="_Toc475104534"/>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hAnsi="宋体"/>
          <w:color w:val="auto"/>
          <w:szCs w:val="21"/>
          <w:highlight w:val="none"/>
        </w:rPr>
        <w:t>评定</w:t>
      </w:r>
    </w:p>
    <w:p>
      <w:pPr>
        <w:numPr>
          <w:ilvl w:val="1"/>
          <w:numId w:val="19"/>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由磋商小组对所有有效磋商响应文件的商务</w:t>
      </w:r>
      <w:r>
        <w:rPr>
          <w:rFonts w:hint="eastAsia" w:ascii="宋体" w:hAnsi="宋体"/>
          <w:color w:val="auto"/>
          <w:highlight w:val="none"/>
        </w:rPr>
        <w:t>技术</w:t>
      </w:r>
      <w:r>
        <w:rPr>
          <w:rFonts w:hint="eastAsia" w:ascii="宋体" w:hAnsi="宋体"/>
          <w:color w:val="auto"/>
          <w:szCs w:val="21"/>
          <w:highlight w:val="none"/>
        </w:rPr>
        <w:t>响应方案进行审核和分析，填写《商务响应评分表》和《</w:t>
      </w:r>
      <w:r>
        <w:rPr>
          <w:rFonts w:hint="eastAsia" w:ascii="宋体" w:hAnsi="宋体"/>
          <w:color w:val="auto"/>
          <w:highlight w:val="none"/>
        </w:rPr>
        <w:t>技术</w:t>
      </w:r>
      <w:r>
        <w:rPr>
          <w:rFonts w:hint="eastAsia" w:ascii="宋体" w:hAnsi="宋体"/>
          <w:color w:val="auto"/>
          <w:szCs w:val="21"/>
          <w:highlight w:val="none"/>
        </w:rPr>
        <w:t>响应评分表》。评审内容见附表。</w:t>
      </w:r>
    </w:p>
    <w:p>
      <w:pPr>
        <w:numPr>
          <w:ilvl w:val="1"/>
          <w:numId w:val="19"/>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磋商小组各成员应当独立对每个有效响应的文件进行评价、打分，然后汇总每个供应商每项评分因素的得分。</w:t>
      </w:r>
      <w:r>
        <w:rPr>
          <w:rFonts w:hint="eastAsia" w:ascii="宋体" w:hAnsi="宋体"/>
          <w:bCs/>
          <w:color w:val="auto"/>
          <w:highlight w:val="none"/>
        </w:rPr>
        <w:t>（四舍五入后，</w:t>
      </w:r>
      <w:r>
        <w:rPr>
          <w:rFonts w:hint="eastAsia" w:ascii="Arial" w:hAnsi="Arial" w:cs="Arial"/>
          <w:color w:val="auto"/>
          <w:szCs w:val="20"/>
          <w:highlight w:val="none"/>
        </w:rPr>
        <w:t>小数点后保留两位有效数</w:t>
      </w:r>
      <w:r>
        <w:rPr>
          <w:rFonts w:hint="eastAsia" w:ascii="宋体" w:hAnsi="宋体"/>
          <w:bCs/>
          <w:color w:val="auto"/>
          <w:highlight w:val="none"/>
        </w:rPr>
        <w:t>）。</w:t>
      </w:r>
    </w:p>
    <w:bookmarkEnd w:id="299"/>
    <w:bookmarkEnd w:id="300"/>
    <w:bookmarkEnd w:id="301"/>
    <w:bookmarkEnd w:id="336"/>
    <w:bookmarkEnd w:id="337"/>
    <w:p>
      <w:pPr>
        <w:numPr>
          <w:ilvl w:val="0"/>
          <w:numId w:val="19"/>
        </w:numPr>
        <w:autoSpaceDE w:val="0"/>
        <w:autoSpaceDN w:val="0"/>
        <w:adjustRightInd w:val="0"/>
        <w:snapToGrid w:val="0"/>
        <w:spacing w:line="360" w:lineRule="auto"/>
        <w:outlineLvl w:val="0"/>
        <w:rPr>
          <w:rFonts w:ascii="宋体" w:hAnsi="宋体"/>
          <w:color w:val="auto"/>
          <w:szCs w:val="21"/>
          <w:highlight w:val="none"/>
        </w:rPr>
      </w:pPr>
      <w:bookmarkStart w:id="338" w:name="_Toc475104535"/>
      <w:bookmarkStart w:id="339" w:name="_Toc333236685"/>
      <w:r>
        <w:rPr>
          <w:rFonts w:hint="eastAsia" w:ascii="宋体" w:hAnsi="宋体"/>
          <w:color w:val="auto"/>
          <w:szCs w:val="21"/>
          <w:highlight w:val="none"/>
        </w:rPr>
        <w:t>价格评定</w:t>
      </w:r>
    </w:p>
    <w:p>
      <w:pPr>
        <w:numPr>
          <w:ilvl w:val="1"/>
          <w:numId w:val="19"/>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价格核准：磋商小组对有效</w:t>
      </w:r>
      <w:r>
        <w:rPr>
          <w:rFonts w:hint="eastAsia" w:ascii="宋体" w:hAnsi="宋体"/>
          <w:bCs/>
          <w:color w:val="auto"/>
          <w:highlight w:val="none"/>
        </w:rPr>
        <w:t>供应商</w:t>
      </w:r>
      <w:r>
        <w:rPr>
          <w:rFonts w:hint="eastAsia" w:ascii="宋体" w:hAnsi="宋体"/>
          <w:color w:val="auto"/>
          <w:szCs w:val="21"/>
          <w:highlight w:val="none"/>
        </w:rPr>
        <w:t>的详细报价进行复核，看其是否有计算错误或供货范围上的错误，修正错误的原则参见第二章的25.3条。</w:t>
      </w:r>
    </w:p>
    <w:p>
      <w:pPr>
        <w:numPr>
          <w:ilvl w:val="1"/>
          <w:numId w:val="19"/>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价格评分：综合评分法中的价格分统一采用低价优先法计算，即满足磋商文件要求且最后报价最低的供应商的价格为磋商基准价，其价格分为满分。其他供应商的价格分统一按照下列公式计算：</w:t>
      </w:r>
    </w:p>
    <w:p>
      <w:pPr>
        <w:tabs>
          <w:tab w:val="left" w:pos="720"/>
        </w:tabs>
        <w:spacing w:line="360" w:lineRule="auto"/>
        <w:ind w:firstLine="630" w:firstLineChars="300"/>
        <w:rPr>
          <w:color w:val="auto"/>
          <w:szCs w:val="21"/>
          <w:highlight w:val="none"/>
        </w:rPr>
      </w:pPr>
      <w:r>
        <w:rPr>
          <w:rFonts w:hint="eastAsia" w:ascii="宋体" w:hAnsi="宋体"/>
          <w:color w:val="auto"/>
          <w:szCs w:val="21"/>
          <w:highlight w:val="none"/>
        </w:rPr>
        <w:t>　　磋商报价得分=（磋商基准价/最后磋商报价）×价格权值×100</w:t>
      </w:r>
    </w:p>
    <w:p>
      <w:pPr>
        <w:autoSpaceDE w:val="0"/>
        <w:autoSpaceDN w:val="0"/>
        <w:adjustRightInd w:val="0"/>
        <w:snapToGrid w:val="0"/>
        <w:spacing w:line="360" w:lineRule="auto"/>
        <w:ind w:firstLine="630" w:firstLineChars="300"/>
        <w:jc w:val="left"/>
        <w:rPr>
          <w:color w:val="auto"/>
          <w:szCs w:val="21"/>
          <w:highlight w:val="none"/>
        </w:rPr>
      </w:pPr>
      <w:r>
        <w:rPr>
          <w:rFonts w:hint="eastAsia"/>
          <w:color w:val="auto"/>
          <w:szCs w:val="21"/>
          <w:highlight w:val="none"/>
        </w:rPr>
        <w:t>磋商报价得分四舍五入后，小数点后保留两位有效数。</w:t>
      </w:r>
    </w:p>
    <w:p>
      <w:pPr>
        <w:pStyle w:val="161"/>
        <w:widowControl/>
        <w:spacing w:line="360" w:lineRule="auto"/>
        <w:jc w:val="left"/>
        <w:rPr>
          <w:color w:val="auto"/>
          <w:szCs w:val="21"/>
          <w:highlight w:val="none"/>
        </w:rPr>
      </w:pPr>
      <w:r>
        <w:rPr>
          <w:rFonts w:hint="eastAsia"/>
          <w:color w:val="auto"/>
          <w:szCs w:val="21"/>
          <w:highlight w:val="none"/>
        </w:rPr>
        <w:t>争性磋商中第二次报价作为</w:t>
      </w:r>
      <w:r>
        <w:rPr>
          <w:rFonts w:hint="eastAsia" w:ascii="宋体" w:hAnsi="宋体" w:cs="宋体"/>
          <w:color w:val="auto"/>
          <w:kern w:val="0"/>
          <w:szCs w:val="21"/>
          <w:highlight w:val="none"/>
        </w:rPr>
        <w:t>最终响应</w:t>
      </w:r>
      <w:r>
        <w:rPr>
          <w:rFonts w:hint="eastAsia"/>
          <w:color w:val="auto"/>
          <w:szCs w:val="21"/>
          <w:highlight w:val="none"/>
        </w:rPr>
        <w:t>，以供应商第二次报价作为基准，计算价格扣减作为供应商的价格评分，评标价只作为分值的计算，最终成交价格按照供应商第二次响应报价为准。</w:t>
      </w:r>
    </w:p>
    <w:p>
      <w:pPr>
        <w:pStyle w:val="161"/>
        <w:widowControl/>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评标过程中，不得去掉报价中的最高报价和最低报价。因落实政府采购政策进行价格调整的，以调整后的价格计算评标基准价和投标报价。</w:t>
      </w:r>
    </w:p>
    <w:p>
      <w:pPr>
        <w:pStyle w:val="161"/>
        <w:widowControl/>
        <w:numPr>
          <w:ilvl w:val="2"/>
          <w:numId w:val="19"/>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小型和微型企业产品价格扣除</w:t>
      </w:r>
    </w:p>
    <w:p>
      <w:pPr>
        <w:autoSpaceDE w:val="0"/>
        <w:autoSpaceDN w:val="0"/>
        <w:adjustRightInd w:val="0"/>
        <w:snapToGrid w:val="0"/>
        <w:spacing w:line="36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根据财政部、工业和信息化部印发的《政府采购促进中小企业发展暂行办法》（财库[2011]181号）的规定，对小型和微型企业产品的价格给予6%的扣除，用扣除后的价格参与评审；投标产品中仅有部分小型和微型企业产品的，则按所投小型和微型企业产品的价格予以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（2）《政府采购促进中小企业发展暂行办法》所称中小企业（含中型、小型、微型企业，下同）应当同时符合以下条件：</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（3）符合中小企业划分标准，并以提供中小企业管理部门出具的证明为准；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（6）小型、微型企业提供中型企业制造的货物的，视同为中型企业。</w:t>
      </w:r>
    </w:p>
    <w:p>
      <w:pPr>
        <w:autoSpaceDE w:val="0"/>
        <w:autoSpaceDN w:val="0"/>
        <w:adjustRightInd w:val="0"/>
        <w:snapToGrid w:val="0"/>
        <w:spacing w:line="360" w:lineRule="auto"/>
        <w:ind w:left="525" w:leftChars="250"/>
        <w:jc w:val="left"/>
        <w:rPr>
          <w:rFonts w:ascii="宋体" w:hAnsi="宋体" w:cs="宋体"/>
          <w:bCs/>
          <w:color w:val="auto"/>
          <w:szCs w:val="21"/>
          <w:highlight w:val="none"/>
        </w:rPr>
      </w:pPr>
      <w:r>
        <w:rPr>
          <w:rFonts w:hint="eastAsia" w:ascii="宋体" w:hAnsi="宋体" w:cs="宋体"/>
          <w:bCs/>
          <w:color w:val="auto"/>
          <w:szCs w:val="21"/>
          <w:highlight w:val="none"/>
        </w:rPr>
        <w:t>如投标人为非制造商，其代理产品的制造商也应同时提交《中小企业声明函》，否则评审时不能享受相应的价格扣除。</w:t>
      </w:r>
    </w:p>
    <w:p>
      <w:pPr>
        <w:pStyle w:val="161"/>
        <w:widowControl/>
        <w:numPr>
          <w:ilvl w:val="2"/>
          <w:numId w:val="19"/>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监狱企业产品价格扣除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（1）监狱企业视同小型、微型企业，按上述小型微型条款享受评审中价格扣除。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（3）监狱企业参加政府采购活动时，应当提供由省级以上监狱管理局、戒毒管理局（含新疆生产建设兵团）出具的属于监狱企业的证明文件，否则不予认可。</w:t>
      </w:r>
    </w:p>
    <w:p>
      <w:pPr>
        <w:pStyle w:val="161"/>
        <w:widowControl/>
        <w:numPr>
          <w:ilvl w:val="2"/>
          <w:numId w:val="19"/>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残疾人福利性单位产品价格扣除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（1）残疾人福利性单位视同小型、微型企业，按上述小型微型条款享受评审中价格扣除。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根据财政部、民政部、中国残疾人联合会印发的《关于促进残疾人就业政府采购政策的通知》（财库〔2017〕141号）的规定，符合条件的残疾人福利性单位在参加政府采购活动时，应当提供该通知规定的《残疾人福利性单位声明函》（格式见第六章投标文件格式），并对声明的真实性负责。一旦中标将在中标公告中公告其声明函，接受社会监督。投标人提供的《残疾人福利性单位声明函》与事实不符的，依照《政府采购法》第七十七条第一款的规定追究法律责任。</w:t>
      </w:r>
    </w:p>
    <w:p>
      <w:pPr>
        <w:pStyle w:val="161"/>
        <w:widowControl/>
        <w:numPr>
          <w:ilvl w:val="2"/>
          <w:numId w:val="19"/>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节能产品、环境标志产品价格扣除。</w:t>
      </w:r>
    </w:p>
    <w:p>
      <w:pPr>
        <w:autoSpaceDE w:val="0"/>
        <w:autoSpaceDN w:val="0"/>
        <w:adjustRightInd w:val="0"/>
        <w:snapToGrid w:val="0"/>
        <w:spacing w:line="360" w:lineRule="auto"/>
        <w:ind w:left="630" w:leftChars="300" w:firstLine="105" w:firstLineChars="50"/>
        <w:jc w:val="left"/>
        <w:rPr>
          <w:rFonts w:ascii="宋体" w:hAnsi="宋体" w:cs="宋体"/>
          <w:bCs/>
          <w:color w:val="auto"/>
          <w:szCs w:val="21"/>
          <w:highlight w:val="none"/>
        </w:rPr>
      </w:pPr>
      <w:r>
        <w:rPr>
          <w:rFonts w:hint="eastAsia" w:ascii="宋体" w:hAnsi="宋体" w:cs="宋体"/>
          <w:bCs/>
          <w:color w:val="auto"/>
          <w:szCs w:val="21"/>
          <w:highlight w:val="none"/>
        </w:rPr>
        <w:t>投标产品依据国家确定的认证机构出具的、处于有效期之内的节能产品、环境标志产品，对获得节能产品认证证书或环境标志产品认证证书的产品价格给予5%的扣除，用扣除后的价格参与评审。（提供投标产品所获证书加盖投标人公章）。</w:t>
      </w:r>
    </w:p>
    <w:p>
      <w:pPr>
        <w:pStyle w:val="161"/>
        <w:widowControl/>
        <w:numPr>
          <w:ilvl w:val="2"/>
          <w:numId w:val="19"/>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投标人同时为小型、微型企业、监狱企业、残疾人福利性单位任两种或以上情况的，评审中只享受一次价格扣除，不重复进行价格扣除。</w:t>
      </w:r>
    </w:p>
    <w:p>
      <w:pPr>
        <w:pStyle w:val="161"/>
        <w:widowControl/>
        <w:numPr>
          <w:ilvl w:val="2"/>
          <w:numId w:val="19"/>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val="en-GB" w:eastAsia="zh-TW"/>
        </w:rPr>
        <w:t>投标人</w:t>
      </w:r>
      <w:r>
        <w:rPr>
          <w:rFonts w:hint="eastAsia" w:ascii="宋体" w:hAnsi="宋体" w:cs="宋体"/>
          <w:color w:val="auto"/>
          <w:szCs w:val="21"/>
          <w:highlight w:val="none"/>
          <w:lang w:eastAsia="zh-TW"/>
        </w:rPr>
        <w:t>应当提供《</w:t>
      </w:r>
      <w:r>
        <w:rPr>
          <w:rFonts w:hint="eastAsia" w:ascii="宋体" w:hAnsi="宋体" w:cs="宋体"/>
          <w:color w:val="auto"/>
          <w:szCs w:val="21"/>
          <w:highlight w:val="none"/>
          <w:lang w:val="en-GB" w:eastAsia="zh-TW"/>
        </w:rPr>
        <w:t>产品适用政府采购政策情况表</w:t>
      </w:r>
      <w:r>
        <w:rPr>
          <w:rFonts w:hint="eastAsia" w:ascii="宋体" w:hAnsi="宋体" w:cs="宋体"/>
          <w:color w:val="auto"/>
          <w:szCs w:val="21"/>
          <w:highlight w:val="none"/>
          <w:lang w:eastAsia="zh-TW"/>
        </w:rPr>
        <w:t>》（格式见第七章投标文件格式）。</w:t>
      </w:r>
    </w:p>
    <w:p>
      <w:pPr>
        <w:numPr>
          <w:ilvl w:val="1"/>
          <w:numId w:val="19"/>
        </w:numPr>
        <w:autoSpaceDE w:val="0"/>
        <w:autoSpaceDN w:val="0"/>
        <w:adjustRightInd w:val="0"/>
        <w:snapToGrid w:val="0"/>
        <w:spacing w:before="120" w:beforeLines="50" w:line="360" w:lineRule="auto"/>
        <w:jc w:val="left"/>
        <w:rPr>
          <w:rFonts w:ascii="宋体" w:hAnsi="宋体" w:cs="宋体"/>
          <w:color w:val="auto"/>
          <w:szCs w:val="21"/>
          <w:highlight w:val="none"/>
        </w:rPr>
      </w:pPr>
      <w:r>
        <w:rPr>
          <w:rFonts w:hint="eastAsia" w:ascii="宋体" w:hAnsi="宋体" w:cs="宋体"/>
          <w:color w:val="auto"/>
          <w:szCs w:val="21"/>
          <w:highlight w:val="none"/>
        </w:rPr>
        <w:t>评标结果汇总完成后，除下列情形外，任何人不得修改评标结果：</w:t>
      </w:r>
    </w:p>
    <w:p>
      <w:pPr>
        <w:pStyle w:val="161"/>
        <w:widowControl/>
        <w:numPr>
          <w:ilvl w:val="2"/>
          <w:numId w:val="19"/>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分值汇总计算错误的；</w:t>
      </w:r>
    </w:p>
    <w:p>
      <w:pPr>
        <w:pStyle w:val="161"/>
        <w:widowControl/>
        <w:numPr>
          <w:ilvl w:val="2"/>
          <w:numId w:val="19"/>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分项评分超出评分标准范围的；</w:t>
      </w:r>
    </w:p>
    <w:p>
      <w:pPr>
        <w:pStyle w:val="161"/>
        <w:widowControl/>
        <w:numPr>
          <w:ilvl w:val="2"/>
          <w:numId w:val="19"/>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评标委员会成员对客观评审因素评分不一致的；</w:t>
      </w:r>
    </w:p>
    <w:p>
      <w:pPr>
        <w:pStyle w:val="161"/>
        <w:widowControl/>
        <w:numPr>
          <w:ilvl w:val="2"/>
          <w:numId w:val="19"/>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经评标委员会认定评分畸高、畸低的。</w:t>
      </w:r>
    </w:p>
    <w:p>
      <w:pPr>
        <w:autoSpaceDE w:val="0"/>
        <w:autoSpaceDN w:val="0"/>
        <w:adjustRightInd w:val="0"/>
        <w:snapToGrid w:val="0"/>
        <w:spacing w:line="360" w:lineRule="auto"/>
        <w:outlineLvl w:val="0"/>
        <w:rPr>
          <w:rFonts w:ascii="宋体" w:hAnsi="宋体" w:cs="宋体"/>
          <w:color w:val="auto"/>
          <w:szCs w:val="21"/>
          <w:highlight w:val="none"/>
          <w:lang w:eastAsia="zh-TW"/>
        </w:rPr>
      </w:pPr>
      <w:r>
        <w:rPr>
          <w:rFonts w:hint="eastAsia" w:ascii="宋体" w:hAnsi="宋体" w:cs="宋体"/>
          <w:color w:val="auto"/>
          <w:szCs w:val="21"/>
          <w:highlight w:val="none"/>
          <w:lang w:eastAsia="zh-TW"/>
        </w:rPr>
        <w:t>评标报告签署前</w:t>
      </w:r>
      <w:r>
        <w:rPr>
          <w:rFonts w:hint="eastAsia" w:ascii="宋体" w:hAnsi="宋体" w:cs="宋体"/>
          <w:color w:val="auto"/>
          <w:szCs w:val="21"/>
          <w:highlight w:val="none"/>
        </w:rPr>
        <w:t>，经复核发现存在以上情形之一的，评标委员会应当当场修改评标结果，并在评标报告中记载。</w:t>
      </w:r>
    </w:p>
    <w:p>
      <w:pPr>
        <w:numPr>
          <w:ilvl w:val="1"/>
          <w:numId w:val="19"/>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综合评分的计算</w:t>
      </w:r>
    </w:p>
    <w:p>
      <w:pPr>
        <w:numPr>
          <w:ilvl w:val="1"/>
          <w:numId w:val="19"/>
        </w:numPr>
        <w:autoSpaceDE w:val="0"/>
        <w:autoSpaceDN w:val="0"/>
        <w:adjustRightInd w:val="0"/>
        <w:snapToGrid w:val="0"/>
        <w:spacing w:line="360" w:lineRule="auto"/>
        <w:jc w:val="left"/>
        <w:rPr>
          <w:color w:val="auto"/>
          <w:szCs w:val="21"/>
          <w:highlight w:val="none"/>
        </w:rPr>
      </w:pPr>
      <w:r>
        <w:rPr>
          <w:rFonts w:hint="eastAsia" w:ascii="宋体" w:hAnsi="宋体" w:cs="宋体"/>
          <w:color w:val="auto"/>
          <w:szCs w:val="21"/>
          <w:highlight w:val="none"/>
        </w:rPr>
        <w:t>综合评分=商务得分</w:t>
      </w:r>
      <w:r>
        <w:rPr>
          <w:rFonts w:hint="eastAsia" w:ascii="宋体" w:hAnsi="宋体" w:cs="宋体"/>
          <w:bCs/>
          <w:color w:val="auto"/>
          <w:szCs w:val="21"/>
          <w:highlight w:val="none"/>
        </w:rPr>
        <w:t>+</w:t>
      </w:r>
      <w:r>
        <w:rPr>
          <w:rFonts w:hint="eastAsia" w:ascii="宋体" w:hAnsi="宋体" w:cs="宋体"/>
          <w:color w:val="auto"/>
          <w:szCs w:val="21"/>
          <w:highlight w:val="none"/>
        </w:rPr>
        <w:t>技术得分</w:t>
      </w:r>
      <w:r>
        <w:rPr>
          <w:rFonts w:hint="eastAsia" w:ascii="宋体" w:hAnsi="宋体" w:cs="宋体"/>
          <w:bCs/>
          <w:color w:val="auto"/>
          <w:szCs w:val="21"/>
          <w:highlight w:val="none"/>
        </w:rPr>
        <w:t>+</w:t>
      </w:r>
      <w:r>
        <w:rPr>
          <w:rFonts w:hint="eastAsia" w:ascii="宋体" w:hAnsi="宋体" w:cs="宋体"/>
          <w:color w:val="auto"/>
          <w:szCs w:val="21"/>
          <w:highlight w:val="none"/>
        </w:rPr>
        <w:t>价格</w:t>
      </w:r>
      <w:r>
        <w:rPr>
          <w:rFonts w:hint="eastAsia" w:ascii="宋体" w:hAnsi="宋体" w:cs="宋体"/>
          <w:bCs/>
          <w:color w:val="auto"/>
          <w:szCs w:val="21"/>
          <w:highlight w:val="none"/>
        </w:rPr>
        <w:t>得分。</w:t>
      </w:r>
      <w:r>
        <w:rPr>
          <w:rFonts w:hint="eastAsia" w:ascii="宋体" w:hAnsi="宋体" w:cs="宋体"/>
          <w:color w:val="auto"/>
          <w:szCs w:val="21"/>
          <w:highlight w:val="none"/>
        </w:rPr>
        <w:t>各项得分按四舍五入原则精确到小数点后两位。</w:t>
      </w:r>
    </w:p>
    <w:p>
      <w:pPr>
        <w:numPr>
          <w:ilvl w:val="0"/>
          <w:numId w:val="19"/>
        </w:numPr>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附件</w:t>
      </w:r>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8"/>
      <w:bookmarkEnd w:id="339"/>
    </w:p>
    <w:p>
      <w:pPr>
        <w:spacing w:line="360" w:lineRule="auto"/>
        <w:ind w:firstLine="460" w:firstLineChars="192"/>
        <w:rPr>
          <w:rFonts w:ascii="宋体" w:hAnsi="宋体"/>
          <w:color w:val="auto"/>
          <w:kern w:val="0"/>
          <w:szCs w:val="21"/>
          <w:highlight w:val="none"/>
        </w:rPr>
      </w:pPr>
      <w:r>
        <w:rPr>
          <w:rFonts w:hint="eastAsia" w:ascii="宋体" w:hAnsi="宋体"/>
          <w:bCs/>
          <w:color w:val="auto"/>
          <w:sz w:val="24"/>
          <w:highlight w:val="none"/>
        </w:rPr>
        <w:t>本</w:t>
      </w:r>
      <w:r>
        <w:rPr>
          <w:rFonts w:hint="eastAsia" w:ascii="宋体" w:hAnsi="宋体"/>
          <w:color w:val="auto"/>
          <w:kern w:val="0"/>
          <w:szCs w:val="21"/>
          <w:highlight w:val="none"/>
        </w:rPr>
        <w:t>评标文件包括以下评标过程中所需文件附件：</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附件1  资格性审查及符合性检查表</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附件2  技术响应评分标准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附件3  商务响应评分标准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附件4  价格评审表</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附件1</w:t>
      </w:r>
    </w:p>
    <w:p>
      <w:pPr>
        <w:pStyle w:val="5"/>
        <w:rPr>
          <w:color w:val="auto"/>
          <w:sz w:val="24"/>
          <w:highlight w:val="none"/>
        </w:rPr>
      </w:pPr>
      <w:bookmarkStart w:id="340" w:name="_Toc475104536"/>
      <w:r>
        <w:rPr>
          <w:rFonts w:hint="eastAsia"/>
          <w:color w:val="auto"/>
          <w:sz w:val="24"/>
          <w:highlight w:val="none"/>
        </w:rPr>
        <w:t>资格性审查及符合性检查表</w:t>
      </w:r>
      <w:bookmarkEnd w:id="340"/>
    </w:p>
    <w:p>
      <w:pPr>
        <w:pStyle w:val="37"/>
        <w:tabs>
          <w:tab w:val="left" w:pos="735"/>
        </w:tabs>
        <w:snapToGrid w:val="0"/>
        <w:spacing w:line="360" w:lineRule="auto"/>
        <w:rPr>
          <w:rFonts w:ascii="宋体"/>
          <w:color w:val="auto"/>
          <w:highlight w:val="none"/>
        </w:rPr>
      </w:pPr>
      <w:r>
        <w:rPr>
          <w:rFonts w:hint="eastAsia" w:ascii="宋体" w:hAnsi="宋体"/>
          <w:bCs/>
          <w:color w:val="auto"/>
          <w:szCs w:val="21"/>
          <w:highlight w:val="none"/>
        </w:rPr>
        <w:t>　　　　　　　</w:t>
      </w:r>
    </w:p>
    <w:p>
      <w:pPr>
        <w:pStyle w:val="37"/>
        <w:tabs>
          <w:tab w:val="left" w:pos="735"/>
        </w:tabs>
        <w:snapToGrid w:val="0"/>
        <w:spacing w:line="360" w:lineRule="auto"/>
        <w:ind w:left="0" w:leftChars="0"/>
        <w:rPr>
          <w:color w:val="auto"/>
          <w:szCs w:val="21"/>
          <w:highlight w:val="none"/>
        </w:rPr>
      </w:pPr>
      <w:r>
        <w:rPr>
          <w:rFonts w:hint="eastAsia" w:ascii="宋体"/>
          <w:color w:val="auto"/>
          <w:highlight w:val="none"/>
        </w:rPr>
        <w:t>项目名称：</w:t>
      </w:r>
      <w:r>
        <w:rPr>
          <w:rFonts w:hint="eastAsia" w:ascii="宋体"/>
          <w:color w:val="auto"/>
          <w:highlight w:val="none"/>
          <w:lang w:val="en-US" w:eastAsia="zh-CN"/>
        </w:rPr>
        <w:t xml:space="preserve">                                                    </w:t>
      </w:r>
      <w:r>
        <w:rPr>
          <w:rFonts w:hint="eastAsia" w:ascii="宋体"/>
          <w:color w:val="auto"/>
          <w:highlight w:val="none"/>
        </w:rPr>
        <w:t>项目编号：</w:t>
      </w:r>
    </w:p>
    <w:tbl>
      <w:tblPr>
        <w:tblStyle w:val="8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82"/>
        <w:gridCol w:w="3119"/>
        <w:gridCol w:w="850"/>
        <w:gridCol w:w="992"/>
        <w:gridCol w:w="851"/>
        <w:gridCol w:w="1134"/>
        <w:gridCol w:w="16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2"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3119" w:type="dxa"/>
            <w:tcBorders>
              <w:top w:val="single" w:color="000000" w:sz="4" w:space="0"/>
              <w:left w:val="single" w:color="000000" w:sz="4" w:space="0"/>
              <w:bottom w:val="single" w:color="000000" w:sz="4" w:space="0"/>
              <w:right w:val="single" w:color="000000" w:sz="4" w:space="0"/>
              <w:tl2br w:val="single" w:color="auto" w:sz="4" w:space="0"/>
            </w:tcBorders>
            <w:vAlign w:val="bottom"/>
          </w:tcPr>
          <w:p>
            <w:pPr>
              <w:spacing w:line="360" w:lineRule="auto"/>
              <w:jc w:val="right"/>
              <w:rPr>
                <w:rFonts w:ascii="宋体" w:hAnsi="宋体"/>
                <w:color w:val="auto"/>
                <w:szCs w:val="21"/>
                <w:highlight w:val="none"/>
              </w:rPr>
            </w:pPr>
          </w:p>
          <w:p>
            <w:pPr>
              <w:spacing w:line="360" w:lineRule="auto"/>
              <w:ind w:right="105"/>
              <w:jc w:val="right"/>
              <w:rPr>
                <w:rFonts w:ascii="宋体" w:hAnsi="宋体"/>
                <w:color w:val="auto"/>
                <w:szCs w:val="21"/>
                <w:highlight w:val="none"/>
              </w:rPr>
            </w:pPr>
            <w:r>
              <w:rPr>
                <w:rFonts w:hint="eastAsia" w:ascii="宋体" w:hAnsi="宋体"/>
                <w:bCs/>
                <w:color w:val="auto"/>
                <w:highlight w:val="none"/>
              </w:rPr>
              <w:t>供应商</w:t>
            </w:r>
            <w:r>
              <w:rPr>
                <w:rFonts w:hint="eastAsia" w:ascii="宋体" w:hAnsi="宋体"/>
                <w:color w:val="auto"/>
                <w:szCs w:val="21"/>
                <w:highlight w:val="none"/>
              </w:rPr>
              <w:t>名称</w:t>
            </w:r>
          </w:p>
          <w:p>
            <w:pPr>
              <w:spacing w:line="360" w:lineRule="auto"/>
              <w:jc w:val="right"/>
              <w:rPr>
                <w:rFonts w:ascii="宋体" w:hAnsi="宋体"/>
                <w:color w:val="auto"/>
                <w:szCs w:val="21"/>
                <w:highlight w:val="none"/>
              </w:rPr>
            </w:pPr>
          </w:p>
          <w:p>
            <w:pPr>
              <w:spacing w:line="360" w:lineRule="auto"/>
              <w:ind w:right="525"/>
              <w:jc w:val="right"/>
              <w:rPr>
                <w:rFonts w:ascii="宋体" w:hAnsi="宋体"/>
                <w:color w:val="auto"/>
                <w:szCs w:val="21"/>
                <w:highlight w:val="none"/>
              </w:rPr>
            </w:pPr>
            <w:r>
              <w:rPr>
                <w:rFonts w:hint="eastAsia" w:ascii="宋体" w:hAnsi="宋体"/>
                <w:color w:val="auto"/>
                <w:szCs w:val="21"/>
                <w:highlight w:val="none"/>
              </w:rPr>
              <w:t>资格性审查及符合性内容</w:t>
            </w: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A</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B</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结论</w:t>
            </w:r>
          </w:p>
        </w:tc>
        <w:tc>
          <w:tcPr>
            <w:tcW w:w="165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不通过的理由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kern w:val="2"/>
                <w:highlight w:val="none"/>
              </w:rPr>
              <w:t>满足</w:t>
            </w:r>
            <w:r>
              <w:rPr>
                <w:rFonts w:hint="eastAsia"/>
                <w:bCs/>
                <w:color w:val="auto"/>
                <w:highlight w:val="none"/>
              </w:rPr>
              <w:t>供应商</w:t>
            </w:r>
            <w:r>
              <w:rPr>
                <w:rFonts w:hint="eastAsia"/>
                <w:color w:val="auto"/>
                <w:kern w:val="2"/>
                <w:highlight w:val="none"/>
              </w:rPr>
              <w:t>资格要求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highlight w:val="none"/>
              </w:rPr>
              <w:t>磋商响应文件齐全，盖章、签字有效</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报价商务技术没有实质性不响应或重大偏离</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最后磋商报价固定唯一，且没有超</w:t>
            </w:r>
            <w:r>
              <w:rPr>
                <w:rFonts w:hint="eastAsia" w:cs="宋体"/>
                <w:color w:val="auto"/>
                <w:highlight w:val="none"/>
              </w:rPr>
              <w:t>采购项目预算金额</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没有被磋商小组认定</w:t>
            </w:r>
            <w:r>
              <w:rPr>
                <w:rFonts w:hint="eastAsia"/>
                <w:bCs/>
                <w:color w:val="auto"/>
                <w:highlight w:val="none"/>
              </w:rPr>
              <w:t>供应商</w:t>
            </w:r>
            <w:r>
              <w:rPr>
                <w:rFonts w:hint="eastAsia"/>
                <w:color w:val="auto"/>
                <w:highlight w:val="none"/>
              </w:rPr>
              <w:t>低于成本进行磋商响应</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lang w:val="en-US" w:eastAsia="zh-CN"/>
              </w:rPr>
              <w:t>6</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rFonts w:hint="eastAsia"/>
                <w:color w:val="auto"/>
                <w:highlight w:val="none"/>
              </w:rPr>
            </w:pPr>
            <w:r>
              <w:rPr>
                <w:rFonts w:hint="eastAsia" w:ascii="宋体" w:hAnsi="宋体" w:cs="宋体"/>
                <w:color w:val="auto"/>
                <w:szCs w:val="21"/>
                <w:highlight w:val="none"/>
              </w:rPr>
              <w:t>按规定提交足够磋商保证金</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7</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报价有效期满足要求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8</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满足竞争性磋商文件中带★号的条款和指标，且符合竞争性磋商文件的其他要求，没有重大偏离的</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9</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s="宋体"/>
                <w:color w:val="auto"/>
                <w:szCs w:val="21"/>
                <w:highlight w:val="none"/>
                <w:lang w:val="hr-HR"/>
              </w:rPr>
              <w:t>磋商响应文件中</w:t>
            </w:r>
            <w:r>
              <w:rPr>
                <w:rFonts w:hint="eastAsia" w:ascii="宋体" w:hAnsi="宋体" w:cs="宋体"/>
                <w:color w:val="auto"/>
                <w:szCs w:val="21"/>
                <w:highlight w:val="none"/>
              </w:rPr>
              <w:t>《清单报价表》</w:t>
            </w:r>
            <w:r>
              <w:rPr>
                <w:rFonts w:hint="eastAsia" w:ascii="宋体" w:hAnsi="宋体" w:cs="宋体"/>
                <w:color w:val="auto"/>
                <w:szCs w:val="21"/>
                <w:highlight w:val="none"/>
                <w:lang w:val="hr-HR"/>
              </w:rPr>
              <w:t>（含封面）正本采用采购人提供的原件填写的</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bl>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备注：</w:t>
      </w:r>
    </w:p>
    <w:p>
      <w:pPr>
        <w:adjustRightInd w:val="0"/>
        <w:snapToGrid w:val="0"/>
        <w:spacing w:line="360" w:lineRule="auto"/>
        <w:rPr>
          <w:rFonts w:ascii="宋体" w:cs="宋体"/>
          <w:b/>
          <w:color w:val="auto"/>
          <w:szCs w:val="21"/>
          <w:highlight w:val="none"/>
        </w:rPr>
      </w:pPr>
      <w:r>
        <w:rPr>
          <w:rFonts w:hint="eastAsia" w:ascii="宋体" w:hAnsi="宋体" w:cs="宋体"/>
          <w:b/>
          <w:color w:val="auto"/>
          <w:szCs w:val="21"/>
          <w:highlight w:val="none"/>
        </w:rPr>
        <w:t>1．表中填写“○”表示该项符合竞争性磋商文件要求，“×”表示该项不符合竞争性磋商文件要求。</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2．在结论栏中填写“通过”或“不通过”。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3.供应商的所有评审项均填写“○”才被视为“通过”，其中一项为“×”则被视为不通过。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 如对本表中某种情形的评审意见不一致时，以少数服从多数的原则作为磋商小组对该情形的认定结论。</w:t>
      </w:r>
    </w:p>
    <w:p>
      <w:pPr>
        <w:spacing w:line="360" w:lineRule="auto"/>
        <w:rPr>
          <w:rFonts w:ascii="宋体" w:hAnsi="宋体"/>
          <w:color w:val="auto"/>
          <w:szCs w:val="21"/>
          <w:highlight w:val="none"/>
        </w:rPr>
      </w:pPr>
      <w:r>
        <w:rPr>
          <w:rFonts w:hint="eastAsia"/>
          <w:color w:val="auto"/>
          <w:szCs w:val="21"/>
          <w:highlight w:val="none"/>
        </w:rPr>
        <w:t>评委签名：</w:t>
      </w:r>
      <w:r>
        <w:rPr>
          <w:rFonts w:hint="eastAsia" w:ascii="宋体" w:hAnsi="宋体"/>
          <w:bCs/>
          <w:color w:val="auto"/>
          <w:szCs w:val="21"/>
          <w:highlight w:val="none"/>
        </w:rPr>
        <w:t xml:space="preserve">                                            日期：   年  月  日</w:t>
      </w:r>
    </w:p>
    <w:p>
      <w:pPr>
        <w:tabs>
          <w:tab w:val="left" w:pos="720"/>
        </w:tabs>
        <w:snapToGrid w:val="0"/>
        <w:spacing w:line="360" w:lineRule="auto"/>
        <w:jc w:val="left"/>
        <w:rPr>
          <w:rFonts w:ascii="宋体" w:hAnsi="宋体" w:cs="宋体"/>
          <w:b/>
          <w:color w:val="auto"/>
          <w:sz w:val="24"/>
          <w:highlight w:val="none"/>
        </w:rPr>
      </w:pPr>
      <w:r>
        <w:rPr>
          <w:rFonts w:hint="eastAsia" w:ascii="宋体" w:hAnsi="宋体" w:cs="宋体"/>
          <w:b/>
          <w:color w:val="auto"/>
          <w:sz w:val="24"/>
          <w:highlight w:val="none"/>
        </w:rPr>
        <w:t xml:space="preserve">附件2   </w:t>
      </w:r>
    </w:p>
    <w:p>
      <w:pPr>
        <w:tabs>
          <w:tab w:val="left" w:pos="720"/>
        </w:tabs>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技术部分评分表</w:t>
      </w:r>
    </w:p>
    <w:p>
      <w:pPr>
        <w:snapToGrid w:val="0"/>
        <w:spacing w:line="360" w:lineRule="auto"/>
        <w:rPr>
          <w:rFonts w:hint="eastAsia" w:ascii="宋体" w:hAnsi="宋体" w:cs="宋体"/>
          <w:bCs/>
          <w:color w:val="auto"/>
          <w:szCs w:val="21"/>
          <w:highlight w:val="none"/>
        </w:rPr>
      </w:pPr>
      <w:r>
        <w:rPr>
          <w:rFonts w:hint="eastAsia" w:ascii="宋体" w:hAnsi="宋体" w:cs="宋体"/>
          <w:bCs/>
          <w:color w:val="auto"/>
          <w:szCs w:val="21"/>
          <w:highlight w:val="none"/>
        </w:rPr>
        <w:t xml:space="preserve">项目名称：                                          </w:t>
      </w:r>
    </w:p>
    <w:p>
      <w:pPr>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 xml:space="preserve">项目编号：                                   </w:t>
      </w:r>
    </w:p>
    <w:tbl>
      <w:tblPr>
        <w:tblStyle w:val="89"/>
        <w:tblW w:w="92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6"/>
        <w:gridCol w:w="1485"/>
        <w:gridCol w:w="1500"/>
        <w:gridCol w:w="4761"/>
        <w:gridCol w:w="8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26" w:type="dxa"/>
            <w:vMerge w:val="restart"/>
            <w:noWrap w:val="0"/>
            <w:vAlign w:val="center"/>
          </w:tcPr>
          <w:p>
            <w:pPr>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序号</w:t>
            </w:r>
          </w:p>
        </w:tc>
        <w:tc>
          <w:tcPr>
            <w:tcW w:w="1485" w:type="dxa"/>
            <w:vMerge w:val="restart"/>
            <w:noWrap w:val="0"/>
            <w:vAlign w:val="center"/>
          </w:tcPr>
          <w:p>
            <w:pPr>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评审内容</w:t>
            </w:r>
          </w:p>
        </w:tc>
        <w:tc>
          <w:tcPr>
            <w:tcW w:w="6261" w:type="dxa"/>
            <w:gridSpan w:val="2"/>
            <w:vMerge w:val="restart"/>
            <w:noWrap w:val="0"/>
            <w:vAlign w:val="center"/>
          </w:tcPr>
          <w:p>
            <w:pPr>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评分细则</w:t>
            </w:r>
          </w:p>
        </w:tc>
        <w:tc>
          <w:tcPr>
            <w:tcW w:w="806" w:type="dxa"/>
            <w:vMerge w:val="restart"/>
            <w:noWrap w:val="0"/>
            <w:vAlign w:val="center"/>
          </w:tcPr>
          <w:p>
            <w:pPr>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26" w:type="dxa"/>
            <w:vMerge w:val="continue"/>
            <w:noWrap w:val="0"/>
            <w:vAlign w:val="center"/>
          </w:tcPr>
          <w:p>
            <w:pPr>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highlight w:val="none"/>
              </w:rPr>
            </w:pPr>
          </w:p>
        </w:tc>
        <w:tc>
          <w:tcPr>
            <w:tcW w:w="1485" w:type="dxa"/>
            <w:vMerge w:val="continue"/>
            <w:noWrap w:val="0"/>
            <w:vAlign w:val="center"/>
          </w:tcPr>
          <w:p>
            <w:pPr>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highlight w:val="none"/>
              </w:rPr>
            </w:pPr>
          </w:p>
        </w:tc>
        <w:tc>
          <w:tcPr>
            <w:tcW w:w="6261" w:type="dxa"/>
            <w:gridSpan w:val="2"/>
            <w:vMerge w:val="continue"/>
            <w:noWrap w:val="0"/>
            <w:vAlign w:val="center"/>
          </w:tcPr>
          <w:p>
            <w:pPr>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highlight w:val="none"/>
              </w:rPr>
            </w:pPr>
          </w:p>
        </w:tc>
        <w:tc>
          <w:tcPr>
            <w:tcW w:w="806" w:type="dxa"/>
            <w:vMerge w:val="continue"/>
            <w:noWrap w:val="0"/>
            <w:vAlign w:val="center"/>
          </w:tcPr>
          <w:p>
            <w:pPr>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726" w:type="dxa"/>
            <w:noWrap w:val="0"/>
            <w:vAlign w:val="center"/>
          </w:tcPr>
          <w:p>
            <w:pPr>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1485" w:type="dxa"/>
            <w:noWrap w:val="0"/>
            <w:vAlign w:val="center"/>
          </w:tcPr>
          <w:p>
            <w:pPr>
              <w:pageBreakBefore w:val="0"/>
              <w:widowControl/>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val="0"/>
                <w:bCs w:val="0"/>
                <w:color w:val="auto"/>
                <w:sz w:val="21"/>
                <w:szCs w:val="21"/>
                <w:highlight w:val="none"/>
                <w:lang w:eastAsia="zh-CN"/>
              </w:rPr>
            </w:pPr>
            <w:r>
              <w:rPr>
                <w:rFonts w:hint="eastAsia" w:asciiTheme="minorEastAsia" w:hAnsiTheme="minorEastAsia" w:eastAsiaTheme="minorEastAsia" w:cstheme="minorEastAsia"/>
                <w:b w:val="0"/>
                <w:bCs w:val="0"/>
                <w:color w:val="auto"/>
                <w:sz w:val="21"/>
                <w:szCs w:val="21"/>
                <w:highlight w:val="none"/>
              </w:rPr>
              <w:t>拟投入本项目人员情况</w:t>
            </w:r>
          </w:p>
        </w:tc>
        <w:tc>
          <w:tcPr>
            <w:tcW w:w="6261" w:type="dxa"/>
            <w:gridSpan w:val="2"/>
            <w:noWrap w:val="0"/>
            <w:vAlign w:val="center"/>
          </w:tcPr>
          <w:p>
            <w:pPr>
              <w:pageBreakBefore w:val="0"/>
              <w:widowControl/>
              <w:kinsoku/>
              <w:wordWrap/>
              <w:overflowPunct/>
              <w:topLinePunct w:val="0"/>
              <w:autoSpaceDE/>
              <w:autoSpaceDN/>
              <w:bidi w:val="0"/>
              <w:adjustRightInd/>
              <w:snapToGrid/>
              <w:spacing w:line="240" w:lineRule="auto"/>
              <w:ind w:right="134" w:rightChars="64"/>
              <w:textAlignment w:val="auto"/>
              <w:rPr>
                <w:rFonts w:hint="eastAsia" w:asciiTheme="minorEastAsia" w:hAnsiTheme="minorEastAsia" w:eastAsiaTheme="minorEastAsia" w:cstheme="minorEastAsia"/>
                <w:b w:val="0"/>
                <w:bCs w:val="0"/>
                <w:color w:val="auto"/>
                <w:sz w:val="21"/>
                <w:szCs w:val="21"/>
                <w:highlight w:val="none"/>
                <w:lang w:val="en-US" w:eastAsia="zh-CN"/>
              </w:rPr>
            </w:pPr>
            <w:r>
              <w:rPr>
                <w:rFonts w:hint="eastAsia" w:asciiTheme="minorEastAsia" w:hAnsiTheme="minorEastAsia" w:eastAsiaTheme="minorEastAsia" w:cstheme="minorEastAsia"/>
                <w:b w:val="0"/>
                <w:bCs w:val="0"/>
                <w:color w:val="auto"/>
                <w:sz w:val="21"/>
                <w:szCs w:val="21"/>
                <w:highlight w:val="none"/>
              </w:rPr>
              <w:t>担任本项目的项目负责人为建筑工程专业二级或以上级别的注册建造师及持有在有效期内的安全培训考核合格证（B类）</w:t>
            </w:r>
            <w:r>
              <w:rPr>
                <w:rFonts w:hint="eastAsia" w:asciiTheme="minorEastAsia" w:hAnsiTheme="minorEastAsia" w:eastAsiaTheme="minorEastAsia" w:cstheme="minorEastAsia"/>
                <w:b w:val="0"/>
                <w:bCs w:val="0"/>
                <w:color w:val="auto"/>
                <w:sz w:val="21"/>
                <w:szCs w:val="21"/>
                <w:highlight w:val="none"/>
                <w:lang w:eastAsia="zh-CN"/>
              </w:rPr>
              <w:t>，得</w:t>
            </w:r>
            <w:r>
              <w:rPr>
                <w:rFonts w:hint="eastAsia" w:asciiTheme="minorEastAsia" w:hAnsiTheme="minorEastAsia" w:eastAsiaTheme="minorEastAsia" w:cstheme="minorEastAsia"/>
                <w:b w:val="0"/>
                <w:bCs w:val="0"/>
                <w:color w:val="auto"/>
                <w:sz w:val="21"/>
                <w:szCs w:val="21"/>
                <w:highlight w:val="none"/>
                <w:lang w:val="en-US" w:eastAsia="zh-CN"/>
              </w:rPr>
              <w:t>5分，其余不得分。</w:t>
            </w:r>
          </w:p>
          <w:p>
            <w:pPr>
              <w:pStyle w:val="5"/>
              <w:pageBreakBefore w:val="0"/>
              <w:widowControl/>
              <w:kinsoku/>
              <w:wordWrap/>
              <w:overflowPunct/>
              <w:topLinePunct w:val="0"/>
              <w:autoSpaceDE/>
              <w:autoSpaceDN/>
              <w:bidi w:val="0"/>
              <w:adjustRightInd/>
              <w:snapToGrid/>
              <w:spacing w:before="0" w:beforeLines="0" w:after="0" w:afterLines="0" w:line="240" w:lineRule="auto"/>
              <w:jc w:val="both"/>
              <w:textAlignment w:val="auto"/>
              <w:rPr>
                <w:rFonts w:hint="eastAsia" w:asciiTheme="minorEastAsia" w:hAnsiTheme="minorEastAsia" w:eastAsiaTheme="minorEastAsia" w:cstheme="minorEastAsia"/>
                <w:b w:val="0"/>
                <w:bCs w:val="0"/>
                <w:color w:val="auto"/>
                <w:sz w:val="21"/>
                <w:szCs w:val="21"/>
                <w:highlight w:val="none"/>
                <w:lang w:eastAsia="zh-CN"/>
              </w:rPr>
            </w:pPr>
            <w:r>
              <w:rPr>
                <w:rFonts w:hint="eastAsia" w:asciiTheme="minorEastAsia" w:hAnsiTheme="minorEastAsia" w:eastAsiaTheme="minorEastAsia" w:cstheme="minorEastAsia"/>
                <w:b w:val="0"/>
                <w:bCs w:val="0"/>
                <w:color w:val="auto"/>
                <w:sz w:val="21"/>
                <w:szCs w:val="21"/>
                <w:highlight w:val="none"/>
                <w:lang w:eastAsia="zh-CN"/>
              </w:rPr>
              <w:t>（需提供相关证书复印件）</w:t>
            </w:r>
          </w:p>
        </w:tc>
        <w:tc>
          <w:tcPr>
            <w:tcW w:w="806" w:type="dxa"/>
            <w:noWrap w:val="0"/>
            <w:vAlign w:val="center"/>
          </w:tcPr>
          <w:p>
            <w:pPr>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4" w:hRule="atLeast"/>
          <w:jc w:val="center"/>
        </w:trPr>
        <w:tc>
          <w:tcPr>
            <w:tcW w:w="726" w:type="dxa"/>
            <w:noWrap w:val="0"/>
            <w:vAlign w:val="center"/>
          </w:tcPr>
          <w:p>
            <w:pPr>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highlight w:val="none"/>
              </w:rPr>
            </w:pPr>
          </w:p>
        </w:tc>
        <w:tc>
          <w:tcPr>
            <w:tcW w:w="1485" w:type="dxa"/>
            <w:noWrap w:val="0"/>
            <w:vAlign w:val="center"/>
          </w:tcPr>
          <w:p>
            <w:pPr>
              <w:pageBreakBefore w:val="0"/>
              <w:widowControl/>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color w:val="auto"/>
                <w:sz w:val="21"/>
                <w:szCs w:val="21"/>
                <w:highlight w:val="none"/>
                <w:lang w:val="en-US" w:eastAsia="zh-CN" w:bidi="ar-SA"/>
              </w:rPr>
            </w:pPr>
            <w:r>
              <w:rPr>
                <w:rFonts w:hint="eastAsia" w:asciiTheme="minorEastAsia" w:hAnsiTheme="minorEastAsia" w:eastAsiaTheme="minorEastAsia" w:cstheme="minorEastAsia"/>
                <w:color w:val="auto"/>
                <w:sz w:val="21"/>
                <w:szCs w:val="21"/>
                <w:highlight w:val="none"/>
              </w:rPr>
              <w:t>供应产品技术参数性能的评价</w:t>
            </w:r>
          </w:p>
        </w:tc>
        <w:tc>
          <w:tcPr>
            <w:tcW w:w="6261" w:type="dxa"/>
            <w:gridSpan w:val="2"/>
            <w:noWrap w:val="0"/>
            <w:vAlign w:val="center"/>
          </w:tcPr>
          <w:p>
            <w:pPr>
              <w:pageBreakBefore w:val="0"/>
              <w:widowControl/>
              <w:kinsoku/>
              <w:wordWrap/>
              <w:overflowPunct/>
              <w:topLinePunct w:val="0"/>
              <w:autoSpaceDE/>
              <w:autoSpaceDN/>
              <w:bidi w:val="0"/>
              <w:adjustRightInd/>
              <w:snapToGrid/>
              <w:spacing w:line="240" w:lineRule="auto"/>
              <w:ind w:right="134" w:rightChars="64"/>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根据供应产品的技术参数打分：</w:t>
            </w:r>
          </w:p>
          <w:p>
            <w:pPr>
              <w:pageBreakBefore w:val="0"/>
              <w:widowControl/>
              <w:kinsoku/>
              <w:wordWrap/>
              <w:overflowPunct/>
              <w:topLinePunct w:val="0"/>
              <w:autoSpaceDE/>
              <w:autoSpaceDN/>
              <w:bidi w:val="0"/>
              <w:adjustRightInd/>
              <w:snapToGrid/>
              <w:spacing w:line="240" w:lineRule="auto"/>
              <w:ind w:right="134" w:rightChars="64"/>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带▲号的产品技术参数有负偏离一项的扣</w:t>
            </w:r>
            <w:r>
              <w:rPr>
                <w:rFonts w:hint="eastAsia" w:asciiTheme="minorEastAsia" w:hAnsiTheme="minorEastAsia" w:eastAsiaTheme="minorEastAsia" w:cstheme="minorEastAsia"/>
                <w:color w:val="auto"/>
                <w:sz w:val="21"/>
                <w:szCs w:val="21"/>
                <w:highlight w:val="none"/>
                <w:lang w:val="en-US" w:eastAsia="zh-CN"/>
              </w:rPr>
              <w:t>1</w:t>
            </w:r>
            <w:r>
              <w:rPr>
                <w:rFonts w:hint="eastAsia" w:asciiTheme="minorEastAsia" w:hAnsiTheme="minorEastAsia" w:eastAsiaTheme="minorEastAsia" w:cstheme="minorEastAsia"/>
                <w:color w:val="auto"/>
                <w:sz w:val="21"/>
                <w:szCs w:val="21"/>
                <w:highlight w:val="none"/>
              </w:rPr>
              <w:t>分，扣完为止；</w:t>
            </w:r>
          </w:p>
          <w:p>
            <w:pPr>
              <w:pageBreakBefore w:val="0"/>
              <w:widowControl/>
              <w:kinsoku/>
              <w:wordWrap/>
              <w:overflowPunct/>
              <w:topLinePunct w:val="0"/>
              <w:autoSpaceDE/>
              <w:autoSpaceDN/>
              <w:bidi w:val="0"/>
              <w:adjustRightInd/>
              <w:snapToGrid/>
              <w:spacing w:line="240" w:lineRule="auto"/>
              <w:ind w:right="134" w:rightChars="64"/>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要求提供彩页或检测报告等相关证明材料的，无提供则视为不满足。</w:t>
            </w:r>
            <w:r>
              <w:rPr>
                <w:rFonts w:hint="eastAsia" w:asciiTheme="minorEastAsia" w:hAnsiTheme="minorEastAsia" w:eastAsiaTheme="minorEastAsia" w:cstheme="minorEastAsia"/>
                <w:color w:val="auto"/>
                <w:sz w:val="21"/>
                <w:szCs w:val="21"/>
                <w:highlight w:val="none"/>
                <w:lang w:eastAsia="zh-CN"/>
              </w:rPr>
              <w:t>）</w:t>
            </w:r>
          </w:p>
        </w:tc>
        <w:tc>
          <w:tcPr>
            <w:tcW w:w="806" w:type="dxa"/>
            <w:noWrap w:val="0"/>
            <w:vAlign w:val="center"/>
          </w:tcPr>
          <w:p>
            <w:pPr>
              <w:pageBreakBefore w:val="0"/>
              <w:widowControl/>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color w:val="auto"/>
                <w:sz w:val="21"/>
                <w:szCs w:val="21"/>
                <w:highlight w:val="none"/>
                <w:lang w:val="en-US" w:eastAsia="zh-CN" w:bidi="ar-SA"/>
              </w:rPr>
            </w:pPr>
            <w:r>
              <w:rPr>
                <w:rFonts w:hint="eastAsia" w:asciiTheme="minorEastAsia" w:hAnsiTheme="minorEastAsia" w:eastAsiaTheme="minorEastAsia" w:cstheme="minorEastAsia"/>
                <w:color w:val="auto"/>
                <w:sz w:val="21"/>
                <w:szCs w:val="21"/>
                <w:highlight w:val="none"/>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8" w:hRule="atLeast"/>
          <w:jc w:val="center"/>
        </w:trPr>
        <w:tc>
          <w:tcPr>
            <w:tcW w:w="726" w:type="dxa"/>
            <w:noWrap w:val="0"/>
            <w:vAlign w:val="center"/>
          </w:tcPr>
          <w:p>
            <w:pPr>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1485" w:type="dxa"/>
            <w:noWrap w:val="0"/>
            <w:vAlign w:val="center"/>
          </w:tcPr>
          <w:p>
            <w:pPr>
              <w:pageBreakBefore w:val="0"/>
              <w:widowControl/>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项目组织方案</w:t>
            </w:r>
          </w:p>
        </w:tc>
        <w:tc>
          <w:tcPr>
            <w:tcW w:w="6261" w:type="dxa"/>
            <w:gridSpan w:val="2"/>
            <w:noWrap w:val="0"/>
            <w:vAlign w:val="center"/>
          </w:tcPr>
          <w:p>
            <w:pPr>
              <w:pageBreakBefore w:val="0"/>
              <w:widowControl/>
              <w:kinsoku/>
              <w:wordWrap/>
              <w:overflowPunct/>
              <w:topLinePunct w:val="0"/>
              <w:autoSpaceDE/>
              <w:autoSpaceDN/>
              <w:bidi w:val="0"/>
              <w:adjustRightInd/>
              <w:snapToGrid/>
              <w:spacing w:line="240" w:lineRule="auto"/>
              <w:ind w:right="134" w:rightChars="64"/>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（1）技术措施及实施方法考虑全面、具体，可操作性高，针对性强，对特殊使用需求的质量措施有保障的，得</w:t>
            </w:r>
            <w:r>
              <w:rPr>
                <w:rFonts w:hint="eastAsia" w:asciiTheme="minorEastAsia" w:hAnsiTheme="minorEastAsia" w:eastAsiaTheme="minorEastAsia" w:cstheme="minorEastAsia"/>
                <w:color w:val="auto"/>
                <w:sz w:val="21"/>
                <w:szCs w:val="21"/>
                <w:highlight w:val="none"/>
                <w:lang w:val="en-US" w:eastAsia="zh-CN"/>
              </w:rPr>
              <w:t>10</w:t>
            </w:r>
            <w:r>
              <w:rPr>
                <w:rFonts w:hint="eastAsia" w:asciiTheme="minorEastAsia" w:hAnsiTheme="minorEastAsia" w:eastAsiaTheme="minorEastAsia" w:cstheme="minorEastAsia"/>
                <w:color w:val="auto"/>
                <w:sz w:val="21"/>
                <w:szCs w:val="21"/>
                <w:highlight w:val="none"/>
              </w:rPr>
              <w:t>分；</w:t>
            </w:r>
          </w:p>
          <w:p>
            <w:pPr>
              <w:pageBreakBefore w:val="0"/>
              <w:widowControl/>
              <w:kinsoku/>
              <w:wordWrap/>
              <w:overflowPunct/>
              <w:topLinePunct w:val="0"/>
              <w:autoSpaceDE/>
              <w:autoSpaceDN/>
              <w:bidi w:val="0"/>
              <w:adjustRightInd/>
              <w:snapToGrid/>
              <w:spacing w:line="240" w:lineRule="auto"/>
              <w:ind w:right="134" w:rightChars="64"/>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（2）技术措施及实施方法考虑较全面、可操作性及针对性较好，对特殊使用需求的质量措施可行，得</w:t>
            </w:r>
            <w:r>
              <w:rPr>
                <w:rFonts w:hint="eastAsia" w:asciiTheme="minorEastAsia" w:hAnsiTheme="minorEastAsia" w:eastAsiaTheme="minorEastAsia" w:cstheme="minorEastAsia"/>
                <w:color w:val="auto"/>
                <w:sz w:val="21"/>
                <w:szCs w:val="21"/>
                <w:highlight w:val="none"/>
                <w:lang w:val="en-US" w:eastAsia="zh-CN"/>
              </w:rPr>
              <w:t>5</w:t>
            </w:r>
            <w:r>
              <w:rPr>
                <w:rFonts w:hint="eastAsia" w:asciiTheme="minorEastAsia" w:hAnsiTheme="minorEastAsia" w:eastAsiaTheme="minorEastAsia" w:cstheme="minorEastAsia"/>
                <w:color w:val="auto"/>
                <w:sz w:val="21"/>
                <w:szCs w:val="21"/>
                <w:highlight w:val="none"/>
              </w:rPr>
              <w:t>分；</w:t>
            </w:r>
          </w:p>
          <w:p>
            <w:pPr>
              <w:pageBreakBefore w:val="0"/>
              <w:widowControl/>
              <w:kinsoku/>
              <w:wordWrap/>
              <w:overflowPunct/>
              <w:topLinePunct w:val="0"/>
              <w:autoSpaceDE/>
              <w:autoSpaceDN/>
              <w:bidi w:val="0"/>
              <w:adjustRightInd/>
              <w:snapToGrid/>
              <w:spacing w:line="240" w:lineRule="auto"/>
              <w:ind w:right="134" w:rightChars="64"/>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（3）技术措施及实施方法简单、可操作性及针对性一般，对特殊使用需求的质量措施一般，得</w:t>
            </w:r>
            <w:r>
              <w:rPr>
                <w:rFonts w:hint="eastAsia" w:asciiTheme="minorEastAsia" w:hAnsiTheme="minorEastAsia" w:eastAsiaTheme="minorEastAsia" w:cstheme="minorEastAsia"/>
                <w:color w:val="auto"/>
                <w:sz w:val="21"/>
                <w:szCs w:val="21"/>
                <w:highlight w:val="none"/>
                <w:lang w:val="en-US" w:eastAsia="zh-CN"/>
              </w:rPr>
              <w:t>1</w:t>
            </w:r>
            <w:r>
              <w:rPr>
                <w:rFonts w:hint="eastAsia" w:asciiTheme="minorEastAsia" w:hAnsiTheme="minorEastAsia" w:eastAsiaTheme="minorEastAsia" w:cstheme="minorEastAsia"/>
                <w:color w:val="auto"/>
                <w:sz w:val="21"/>
                <w:szCs w:val="21"/>
                <w:highlight w:val="none"/>
              </w:rPr>
              <w:t>分；</w:t>
            </w:r>
          </w:p>
          <w:p>
            <w:pPr>
              <w:pageBreakBefore w:val="0"/>
              <w:widowControl/>
              <w:kinsoku/>
              <w:wordWrap/>
              <w:overflowPunct/>
              <w:topLinePunct w:val="0"/>
              <w:autoSpaceDE/>
              <w:autoSpaceDN/>
              <w:bidi w:val="0"/>
              <w:adjustRightInd/>
              <w:snapToGrid/>
              <w:spacing w:line="240" w:lineRule="auto"/>
              <w:ind w:right="134" w:rightChars="64"/>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（4）技术措施及实施方法较差或没有描述的，得0分。</w:t>
            </w:r>
          </w:p>
        </w:tc>
        <w:tc>
          <w:tcPr>
            <w:tcW w:w="806" w:type="dxa"/>
            <w:noWrap w:val="0"/>
            <w:vAlign w:val="center"/>
          </w:tcPr>
          <w:p>
            <w:pPr>
              <w:pageBreakBefore w:val="0"/>
              <w:widowControl/>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jc w:val="center"/>
        </w:trPr>
        <w:tc>
          <w:tcPr>
            <w:tcW w:w="726" w:type="dxa"/>
            <w:noWrap w:val="0"/>
            <w:vAlign w:val="center"/>
          </w:tcPr>
          <w:p>
            <w:pPr>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w:t>
            </w:r>
          </w:p>
        </w:tc>
        <w:tc>
          <w:tcPr>
            <w:tcW w:w="1485" w:type="dxa"/>
            <w:noWrap w:val="0"/>
            <w:vAlign w:val="center"/>
          </w:tcPr>
          <w:p>
            <w:pPr>
              <w:pageBreakBefore w:val="0"/>
              <w:widowControl/>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项目进度、质量保证计划、安全文明施工措施</w:t>
            </w:r>
          </w:p>
        </w:tc>
        <w:tc>
          <w:tcPr>
            <w:tcW w:w="6261" w:type="dxa"/>
            <w:gridSpan w:val="2"/>
            <w:noWrap w:val="0"/>
            <w:vAlign w:val="center"/>
          </w:tcPr>
          <w:p>
            <w:pPr>
              <w:pageBreakBefore w:val="0"/>
              <w:widowControl/>
              <w:kinsoku/>
              <w:wordWrap/>
              <w:overflowPunct/>
              <w:topLinePunct w:val="0"/>
              <w:autoSpaceDE/>
              <w:autoSpaceDN/>
              <w:bidi w:val="0"/>
              <w:adjustRightInd/>
              <w:snapToGrid/>
              <w:spacing w:line="240" w:lineRule="auto"/>
              <w:ind w:right="134" w:rightChars="64"/>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（1）对安全文明施工措施、质量保证计划、进度计划合理、描述清晰、详细、完整可行的，得</w:t>
            </w:r>
            <w:r>
              <w:rPr>
                <w:rFonts w:hint="eastAsia" w:asciiTheme="minorEastAsia" w:hAnsiTheme="minorEastAsia" w:eastAsiaTheme="minorEastAsia" w:cstheme="minorEastAsia"/>
                <w:color w:val="auto"/>
                <w:sz w:val="21"/>
                <w:szCs w:val="21"/>
                <w:highlight w:val="none"/>
                <w:lang w:val="en-US" w:eastAsia="zh-CN"/>
              </w:rPr>
              <w:t>10</w:t>
            </w:r>
            <w:r>
              <w:rPr>
                <w:rFonts w:hint="eastAsia" w:asciiTheme="minorEastAsia" w:hAnsiTheme="minorEastAsia" w:eastAsiaTheme="minorEastAsia" w:cstheme="minorEastAsia"/>
                <w:color w:val="auto"/>
                <w:sz w:val="21"/>
                <w:szCs w:val="21"/>
                <w:highlight w:val="none"/>
              </w:rPr>
              <w:t>分；</w:t>
            </w:r>
          </w:p>
          <w:p>
            <w:pPr>
              <w:pageBreakBefore w:val="0"/>
              <w:widowControl/>
              <w:kinsoku/>
              <w:wordWrap/>
              <w:overflowPunct/>
              <w:topLinePunct w:val="0"/>
              <w:autoSpaceDE/>
              <w:autoSpaceDN/>
              <w:bidi w:val="0"/>
              <w:adjustRightInd/>
              <w:snapToGrid/>
              <w:spacing w:line="240" w:lineRule="auto"/>
              <w:ind w:right="134" w:rightChars="64"/>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（2）对安全文明施工措施、质量保证计划、进度计划基本合理，描述内容简单，对关键线路、关键节点、质量保证的描述含糊，得</w:t>
            </w:r>
            <w:r>
              <w:rPr>
                <w:rFonts w:hint="eastAsia" w:asciiTheme="minorEastAsia" w:hAnsiTheme="minorEastAsia" w:eastAsiaTheme="minorEastAsia" w:cstheme="minorEastAsia"/>
                <w:color w:val="auto"/>
                <w:sz w:val="21"/>
                <w:szCs w:val="21"/>
                <w:highlight w:val="none"/>
                <w:lang w:val="en-US" w:eastAsia="zh-CN"/>
              </w:rPr>
              <w:t>5</w:t>
            </w:r>
            <w:r>
              <w:rPr>
                <w:rFonts w:hint="eastAsia" w:asciiTheme="minorEastAsia" w:hAnsiTheme="minorEastAsia" w:eastAsiaTheme="minorEastAsia" w:cstheme="minorEastAsia"/>
                <w:color w:val="auto"/>
                <w:sz w:val="21"/>
                <w:szCs w:val="21"/>
                <w:highlight w:val="none"/>
              </w:rPr>
              <w:t>分；</w:t>
            </w:r>
          </w:p>
          <w:p>
            <w:pPr>
              <w:pageBreakBefore w:val="0"/>
              <w:widowControl/>
              <w:kinsoku/>
              <w:wordWrap/>
              <w:overflowPunct/>
              <w:topLinePunct w:val="0"/>
              <w:autoSpaceDE/>
              <w:autoSpaceDN/>
              <w:bidi w:val="0"/>
              <w:adjustRightInd/>
              <w:snapToGrid/>
              <w:spacing w:line="240" w:lineRule="auto"/>
              <w:ind w:right="134" w:rightChars="64"/>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（3）对关键线路、关键节点、质量保证的描述不准确的，得1分；</w:t>
            </w:r>
          </w:p>
          <w:p>
            <w:pPr>
              <w:pageBreakBefore w:val="0"/>
              <w:widowControl/>
              <w:kinsoku/>
              <w:wordWrap/>
              <w:overflowPunct/>
              <w:topLinePunct w:val="0"/>
              <w:autoSpaceDE/>
              <w:autoSpaceDN/>
              <w:bidi w:val="0"/>
              <w:adjustRightInd/>
              <w:snapToGrid/>
              <w:spacing w:line="240" w:lineRule="auto"/>
              <w:ind w:right="134" w:rightChars="64"/>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（4）没有描述的，得0分。</w:t>
            </w:r>
          </w:p>
        </w:tc>
        <w:tc>
          <w:tcPr>
            <w:tcW w:w="806" w:type="dxa"/>
            <w:noWrap w:val="0"/>
            <w:vAlign w:val="center"/>
          </w:tcPr>
          <w:p>
            <w:pPr>
              <w:pageBreakBefore w:val="0"/>
              <w:widowControl/>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26" w:type="dxa"/>
            <w:vMerge w:val="restart"/>
            <w:noWrap w:val="0"/>
            <w:vAlign w:val="center"/>
          </w:tcPr>
          <w:p>
            <w:pPr>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w:t>
            </w:r>
          </w:p>
        </w:tc>
        <w:tc>
          <w:tcPr>
            <w:tcW w:w="1485" w:type="dxa"/>
            <w:vMerge w:val="restart"/>
            <w:noWrap w:val="0"/>
            <w:vAlign w:val="center"/>
          </w:tcPr>
          <w:p>
            <w:pPr>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售后服务</w:t>
            </w:r>
          </w:p>
          <w:p>
            <w:pPr>
              <w:pageBreakBefore w:val="0"/>
              <w:widowControl/>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color w:val="auto"/>
                <w:sz w:val="21"/>
                <w:szCs w:val="21"/>
                <w:highlight w:val="none"/>
              </w:rPr>
            </w:pPr>
          </w:p>
        </w:tc>
        <w:tc>
          <w:tcPr>
            <w:tcW w:w="1500" w:type="dxa"/>
            <w:noWrap w:val="0"/>
            <w:vAlign w:val="center"/>
          </w:tcPr>
          <w:p>
            <w:pPr>
              <w:pageBreakBefore w:val="0"/>
              <w:widowControl/>
              <w:kinsoku/>
              <w:wordWrap/>
              <w:overflowPunct/>
              <w:topLinePunct w:val="0"/>
              <w:autoSpaceDE/>
              <w:autoSpaceDN/>
              <w:bidi w:val="0"/>
              <w:adjustRightInd/>
              <w:snapToGrid/>
              <w:spacing w:line="240" w:lineRule="auto"/>
              <w:ind w:right="134" w:rightChars="64"/>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服务的便利性</w:t>
            </w:r>
          </w:p>
        </w:tc>
        <w:tc>
          <w:tcPr>
            <w:tcW w:w="4761" w:type="dxa"/>
            <w:noWrap w:val="0"/>
            <w:vAlign w:val="center"/>
          </w:tcPr>
          <w:p>
            <w:pPr>
              <w:pageBreakBefore w:val="0"/>
              <w:widowControl/>
              <w:kinsoku/>
              <w:wordWrap/>
              <w:overflowPunct/>
              <w:topLinePunct w:val="0"/>
              <w:autoSpaceDE/>
              <w:autoSpaceDN/>
              <w:bidi w:val="0"/>
              <w:adjustRightInd/>
              <w:snapToGrid/>
              <w:spacing w:line="240" w:lineRule="auto"/>
              <w:ind w:right="134" w:rightChars="64"/>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供应商</w:t>
            </w:r>
            <w:r>
              <w:rPr>
                <w:rFonts w:hint="eastAsia" w:asciiTheme="minorEastAsia" w:hAnsiTheme="minorEastAsia" w:eastAsiaTheme="minorEastAsia" w:cstheme="minorEastAsia"/>
                <w:color w:val="auto"/>
                <w:sz w:val="21"/>
                <w:szCs w:val="21"/>
                <w:highlight w:val="none"/>
                <w:lang w:eastAsia="zh-CN"/>
              </w:rPr>
              <w:t>承诺能为采购人</w:t>
            </w:r>
            <w:r>
              <w:rPr>
                <w:rFonts w:hint="eastAsia" w:asciiTheme="minorEastAsia" w:hAnsiTheme="minorEastAsia" w:eastAsiaTheme="minorEastAsia" w:cstheme="minorEastAsia"/>
                <w:color w:val="auto"/>
                <w:sz w:val="21"/>
                <w:szCs w:val="21"/>
                <w:highlight w:val="none"/>
              </w:rPr>
              <w:t>提供便捷的服务</w:t>
            </w:r>
            <w:r>
              <w:rPr>
                <w:rFonts w:hint="eastAsia" w:asciiTheme="minorEastAsia" w:hAnsiTheme="minorEastAsia" w:eastAsiaTheme="minorEastAsia" w:cstheme="minorEastAsia"/>
                <w:color w:val="auto"/>
                <w:sz w:val="21"/>
                <w:szCs w:val="21"/>
                <w:highlight w:val="none"/>
                <w:lang w:eastAsia="zh-CN"/>
              </w:rPr>
              <w:t>：</w:t>
            </w:r>
          </w:p>
          <w:p>
            <w:pPr>
              <w:pageBreakBefore w:val="0"/>
              <w:widowControl/>
              <w:kinsoku/>
              <w:wordWrap/>
              <w:overflowPunct/>
              <w:topLinePunct w:val="0"/>
              <w:autoSpaceDE/>
              <w:autoSpaceDN/>
              <w:bidi w:val="0"/>
              <w:adjustRightInd/>
              <w:snapToGrid/>
              <w:spacing w:line="240" w:lineRule="auto"/>
              <w:ind w:right="134" w:rightChars="64"/>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在出现问题情况时，投标人</w:t>
            </w:r>
            <w:r>
              <w:rPr>
                <w:rFonts w:hint="eastAsia" w:asciiTheme="minorEastAsia" w:hAnsiTheme="minorEastAsia" w:eastAsiaTheme="minorEastAsia" w:cstheme="minorEastAsia"/>
                <w:color w:val="auto"/>
                <w:sz w:val="21"/>
                <w:szCs w:val="21"/>
                <w:highlight w:val="none"/>
                <w:lang w:eastAsia="zh-CN"/>
              </w:rPr>
              <w:t>承诺</w:t>
            </w:r>
            <w:r>
              <w:rPr>
                <w:rFonts w:hint="eastAsia" w:asciiTheme="minorEastAsia" w:hAnsiTheme="minorEastAsia" w:eastAsiaTheme="minorEastAsia" w:cstheme="minorEastAsia"/>
                <w:color w:val="auto"/>
                <w:sz w:val="21"/>
                <w:szCs w:val="21"/>
                <w:highlight w:val="none"/>
              </w:rPr>
              <w:t>能1小时内响应，2小时内到达现场</w:t>
            </w:r>
            <w:r>
              <w:rPr>
                <w:rFonts w:hint="eastAsia" w:asciiTheme="minorEastAsia" w:hAnsiTheme="minorEastAsia" w:eastAsiaTheme="minorEastAsia" w:cstheme="minorEastAsia"/>
                <w:color w:val="auto"/>
                <w:sz w:val="21"/>
                <w:szCs w:val="21"/>
                <w:highlight w:val="none"/>
                <w:lang w:eastAsia="zh-CN"/>
              </w:rPr>
              <w:t>的</w:t>
            </w:r>
            <w:r>
              <w:rPr>
                <w:rFonts w:hint="eastAsia" w:asciiTheme="minorEastAsia" w:hAnsiTheme="minorEastAsia" w:eastAsiaTheme="minorEastAsia" w:cstheme="minorEastAsia"/>
                <w:color w:val="auto"/>
                <w:sz w:val="21"/>
                <w:szCs w:val="21"/>
                <w:highlight w:val="none"/>
              </w:rPr>
              <w:t>，得</w:t>
            </w:r>
            <w:r>
              <w:rPr>
                <w:rFonts w:hint="eastAsia" w:asciiTheme="minorEastAsia" w:hAnsiTheme="minorEastAsia" w:eastAsiaTheme="minorEastAsia" w:cstheme="minorEastAsia"/>
                <w:color w:val="auto"/>
                <w:sz w:val="21"/>
                <w:szCs w:val="21"/>
                <w:highlight w:val="none"/>
                <w:lang w:val="en-US" w:eastAsia="zh-CN"/>
              </w:rPr>
              <w:t>5</w:t>
            </w:r>
            <w:r>
              <w:rPr>
                <w:rFonts w:hint="eastAsia" w:asciiTheme="minorEastAsia" w:hAnsiTheme="minorEastAsia" w:eastAsiaTheme="minorEastAsia" w:cstheme="minorEastAsia"/>
                <w:color w:val="auto"/>
                <w:sz w:val="21"/>
                <w:szCs w:val="21"/>
                <w:highlight w:val="none"/>
              </w:rPr>
              <w:t>分，不能满足得0分。</w:t>
            </w:r>
          </w:p>
          <w:p>
            <w:pPr>
              <w:pageBreakBefore w:val="0"/>
              <w:widowControl/>
              <w:kinsoku/>
              <w:wordWrap/>
              <w:overflowPunct/>
              <w:topLinePunct w:val="0"/>
              <w:autoSpaceDE/>
              <w:autoSpaceDN/>
              <w:bidi w:val="0"/>
              <w:adjustRightInd/>
              <w:snapToGrid/>
              <w:spacing w:line="240" w:lineRule="auto"/>
              <w:ind w:right="134" w:rightChars="64"/>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eastAsia="zh-CN"/>
              </w:rPr>
              <w:t>（需提供相关承诺证明文件）</w:t>
            </w:r>
          </w:p>
        </w:tc>
        <w:tc>
          <w:tcPr>
            <w:tcW w:w="806" w:type="dxa"/>
            <w:noWrap w:val="0"/>
            <w:vAlign w:val="center"/>
          </w:tcPr>
          <w:p>
            <w:pPr>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26" w:type="dxa"/>
            <w:vMerge w:val="continue"/>
            <w:noWrap w:val="0"/>
            <w:vAlign w:val="center"/>
          </w:tcPr>
          <w:p>
            <w:pPr>
              <w:pageBreakBefore w:val="0"/>
              <w:widowControl/>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color w:val="auto"/>
                <w:sz w:val="21"/>
                <w:szCs w:val="21"/>
                <w:highlight w:val="none"/>
              </w:rPr>
            </w:pPr>
          </w:p>
        </w:tc>
        <w:tc>
          <w:tcPr>
            <w:tcW w:w="1485" w:type="dxa"/>
            <w:vMerge w:val="continue"/>
            <w:noWrap w:val="0"/>
            <w:vAlign w:val="center"/>
          </w:tcPr>
          <w:p>
            <w:pPr>
              <w:pageBreakBefore w:val="0"/>
              <w:widowControl/>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color w:val="auto"/>
                <w:sz w:val="21"/>
                <w:szCs w:val="21"/>
                <w:highlight w:val="none"/>
              </w:rPr>
            </w:pPr>
          </w:p>
        </w:tc>
        <w:tc>
          <w:tcPr>
            <w:tcW w:w="1500" w:type="dxa"/>
            <w:noWrap w:val="0"/>
            <w:vAlign w:val="center"/>
          </w:tcPr>
          <w:p>
            <w:pPr>
              <w:pageBreakBefore w:val="0"/>
              <w:widowControl/>
              <w:kinsoku/>
              <w:wordWrap/>
              <w:overflowPunct/>
              <w:topLinePunct w:val="0"/>
              <w:autoSpaceDE/>
              <w:autoSpaceDN/>
              <w:bidi w:val="0"/>
              <w:adjustRightInd/>
              <w:snapToGrid/>
              <w:spacing w:line="240" w:lineRule="auto"/>
              <w:ind w:right="134" w:rightChars="64"/>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服务承诺</w:t>
            </w:r>
          </w:p>
        </w:tc>
        <w:tc>
          <w:tcPr>
            <w:tcW w:w="4761" w:type="dxa"/>
            <w:noWrap w:val="0"/>
            <w:vAlign w:val="center"/>
          </w:tcPr>
          <w:p>
            <w:pPr>
              <w:pageBreakBefore w:val="0"/>
              <w:widowControl/>
              <w:kinsoku/>
              <w:wordWrap/>
              <w:overflowPunct/>
              <w:topLinePunct w:val="0"/>
              <w:autoSpaceDE/>
              <w:autoSpaceDN/>
              <w:bidi w:val="0"/>
              <w:adjustRightInd/>
              <w:snapToGrid/>
              <w:spacing w:line="240" w:lineRule="auto"/>
              <w:ind w:right="134" w:rightChars="64"/>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服务承诺</w:t>
            </w:r>
            <w:r>
              <w:rPr>
                <w:rFonts w:hint="eastAsia" w:asciiTheme="minorEastAsia" w:hAnsiTheme="minorEastAsia" w:eastAsiaTheme="minorEastAsia" w:cstheme="minorEastAsia"/>
                <w:color w:val="auto"/>
                <w:sz w:val="21"/>
                <w:szCs w:val="21"/>
                <w:highlight w:val="none"/>
                <w:lang w:eastAsia="zh-CN"/>
              </w:rPr>
              <w:t>完善的</w:t>
            </w:r>
            <w:r>
              <w:rPr>
                <w:rFonts w:hint="eastAsia" w:asciiTheme="minorEastAsia" w:hAnsiTheme="minorEastAsia" w:eastAsiaTheme="minorEastAsia" w:cstheme="minorEastAsia"/>
                <w:color w:val="auto"/>
                <w:sz w:val="21"/>
                <w:szCs w:val="21"/>
                <w:highlight w:val="none"/>
              </w:rPr>
              <w:t>得</w:t>
            </w:r>
            <w:r>
              <w:rPr>
                <w:rFonts w:hint="eastAsia" w:asciiTheme="minorEastAsia" w:hAnsiTheme="minorEastAsia" w:eastAsiaTheme="minorEastAsia" w:cstheme="minorEastAsia"/>
                <w:color w:val="auto"/>
                <w:sz w:val="21"/>
                <w:szCs w:val="21"/>
                <w:highlight w:val="none"/>
                <w:lang w:val="en-US" w:eastAsia="zh-CN"/>
              </w:rPr>
              <w:t>2</w:t>
            </w:r>
            <w:r>
              <w:rPr>
                <w:rFonts w:hint="eastAsia" w:asciiTheme="minorEastAsia" w:hAnsiTheme="minorEastAsia" w:eastAsiaTheme="minorEastAsia" w:cstheme="minorEastAsia"/>
                <w:color w:val="auto"/>
                <w:sz w:val="21"/>
                <w:szCs w:val="21"/>
                <w:highlight w:val="none"/>
              </w:rPr>
              <w:t>分</w:t>
            </w:r>
            <w:r>
              <w:rPr>
                <w:rFonts w:hint="eastAsia" w:asciiTheme="minorEastAsia" w:hAnsiTheme="minorEastAsia" w:eastAsiaTheme="minorEastAsia" w:cstheme="minorEastAsia"/>
                <w:color w:val="auto"/>
                <w:sz w:val="21"/>
                <w:szCs w:val="21"/>
                <w:highlight w:val="none"/>
                <w:lang w:eastAsia="zh-CN"/>
              </w:rPr>
              <w:t>；</w:t>
            </w:r>
          </w:p>
          <w:p>
            <w:pPr>
              <w:pageBreakBefore w:val="0"/>
              <w:widowControl/>
              <w:kinsoku/>
              <w:wordWrap/>
              <w:overflowPunct/>
              <w:topLinePunct w:val="0"/>
              <w:autoSpaceDE/>
              <w:autoSpaceDN/>
              <w:bidi w:val="0"/>
              <w:adjustRightInd/>
              <w:snapToGrid/>
              <w:spacing w:line="240" w:lineRule="auto"/>
              <w:ind w:right="134" w:rightChars="64"/>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服务承诺一般</w:t>
            </w:r>
            <w:r>
              <w:rPr>
                <w:rFonts w:hint="eastAsia" w:asciiTheme="minorEastAsia" w:hAnsiTheme="minorEastAsia" w:eastAsiaTheme="minorEastAsia" w:cstheme="minorEastAsia"/>
                <w:color w:val="auto"/>
                <w:sz w:val="21"/>
                <w:szCs w:val="21"/>
                <w:highlight w:val="none"/>
                <w:lang w:eastAsia="zh-CN"/>
              </w:rPr>
              <w:t>的</w:t>
            </w:r>
            <w:r>
              <w:rPr>
                <w:rFonts w:hint="eastAsia" w:asciiTheme="minorEastAsia" w:hAnsiTheme="minorEastAsia" w:eastAsiaTheme="minorEastAsia" w:cstheme="minorEastAsia"/>
                <w:color w:val="auto"/>
                <w:sz w:val="21"/>
                <w:szCs w:val="21"/>
                <w:highlight w:val="none"/>
              </w:rPr>
              <w:t>得</w:t>
            </w:r>
            <w:r>
              <w:rPr>
                <w:rFonts w:hint="eastAsia" w:asciiTheme="minorEastAsia" w:hAnsiTheme="minorEastAsia" w:eastAsiaTheme="minorEastAsia" w:cstheme="minorEastAsia"/>
                <w:color w:val="auto"/>
                <w:sz w:val="21"/>
                <w:szCs w:val="21"/>
                <w:highlight w:val="none"/>
                <w:lang w:val="en-US" w:eastAsia="zh-CN"/>
              </w:rPr>
              <w:t>1</w:t>
            </w:r>
            <w:r>
              <w:rPr>
                <w:rFonts w:hint="eastAsia" w:asciiTheme="minorEastAsia" w:hAnsiTheme="minorEastAsia" w:eastAsiaTheme="minorEastAsia" w:cstheme="minorEastAsia"/>
                <w:color w:val="auto"/>
                <w:sz w:val="21"/>
                <w:szCs w:val="21"/>
                <w:highlight w:val="none"/>
              </w:rPr>
              <w:t>分</w:t>
            </w:r>
            <w:r>
              <w:rPr>
                <w:rFonts w:hint="eastAsia" w:asciiTheme="minorEastAsia" w:hAnsiTheme="minorEastAsia" w:eastAsiaTheme="minorEastAsia" w:cstheme="minorEastAsia"/>
                <w:color w:val="auto"/>
                <w:sz w:val="21"/>
                <w:szCs w:val="21"/>
                <w:highlight w:val="none"/>
                <w:lang w:eastAsia="zh-CN"/>
              </w:rPr>
              <w:t>；</w:t>
            </w:r>
          </w:p>
          <w:p>
            <w:pPr>
              <w:pageBreakBefore w:val="0"/>
              <w:widowControl/>
              <w:kinsoku/>
              <w:wordWrap/>
              <w:overflowPunct/>
              <w:topLinePunct w:val="0"/>
              <w:autoSpaceDE/>
              <w:autoSpaceDN/>
              <w:bidi w:val="0"/>
              <w:adjustRightInd/>
              <w:snapToGrid/>
              <w:spacing w:line="240" w:lineRule="auto"/>
              <w:ind w:right="134" w:rightChars="64"/>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服务承诺最差</w:t>
            </w:r>
            <w:r>
              <w:rPr>
                <w:rFonts w:hint="eastAsia" w:asciiTheme="minorEastAsia" w:hAnsiTheme="minorEastAsia" w:eastAsiaTheme="minorEastAsia" w:cstheme="minorEastAsia"/>
                <w:color w:val="auto"/>
                <w:sz w:val="21"/>
                <w:szCs w:val="21"/>
                <w:highlight w:val="none"/>
                <w:lang w:eastAsia="zh-CN"/>
              </w:rPr>
              <w:t>的</w:t>
            </w:r>
            <w:r>
              <w:rPr>
                <w:rFonts w:hint="eastAsia" w:asciiTheme="minorEastAsia" w:hAnsiTheme="minorEastAsia" w:eastAsiaTheme="minorEastAsia" w:cstheme="minorEastAsia"/>
                <w:color w:val="auto"/>
                <w:sz w:val="21"/>
                <w:szCs w:val="21"/>
                <w:highlight w:val="none"/>
              </w:rPr>
              <w:t>得0分。</w:t>
            </w:r>
          </w:p>
        </w:tc>
        <w:tc>
          <w:tcPr>
            <w:tcW w:w="806" w:type="dxa"/>
            <w:noWrap w:val="0"/>
            <w:vAlign w:val="center"/>
          </w:tcPr>
          <w:p>
            <w:pPr>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8472" w:type="dxa"/>
            <w:gridSpan w:val="4"/>
            <w:noWrap w:val="0"/>
            <w:vAlign w:val="center"/>
          </w:tcPr>
          <w:p>
            <w:pPr>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合计</w:t>
            </w:r>
          </w:p>
        </w:tc>
        <w:tc>
          <w:tcPr>
            <w:tcW w:w="806" w:type="dxa"/>
            <w:noWrap w:val="0"/>
            <w:vAlign w:val="center"/>
          </w:tcPr>
          <w:p>
            <w:pPr>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40</w:t>
            </w:r>
          </w:p>
        </w:tc>
      </w:tr>
    </w:tbl>
    <w:p>
      <w:pPr>
        <w:snapToGrid w:val="0"/>
        <w:rPr>
          <w:rFonts w:ascii="宋体" w:hAnsi="宋体" w:cs="宋体"/>
          <w:b/>
          <w:bCs/>
          <w:color w:val="auto"/>
          <w:highlight w:val="none"/>
        </w:rPr>
      </w:pPr>
      <w:r>
        <w:rPr>
          <w:rFonts w:hint="eastAsia" w:ascii="宋体" w:hAnsi="宋体" w:cs="宋体"/>
          <w:b/>
          <w:bCs/>
          <w:color w:val="auto"/>
          <w:highlight w:val="none"/>
        </w:rPr>
        <w:t>备注：招标文件要求提交的与评价指标体系相关的各类有效资料，投标人如未按要求提交，或提供的证明材料不全，或有有效期但不在有效期内，或提供的证明材料均不能反映相关评审内容的，该项不得分；</w:t>
      </w:r>
    </w:p>
    <w:p>
      <w:pPr>
        <w:tabs>
          <w:tab w:val="left" w:pos="720"/>
        </w:tabs>
        <w:snapToGrid w:val="0"/>
        <w:rPr>
          <w:rFonts w:ascii="宋体" w:hAnsi="宋体" w:cs="宋体"/>
          <w:bCs/>
          <w:color w:val="auto"/>
          <w:szCs w:val="21"/>
          <w:highlight w:val="none"/>
        </w:rPr>
      </w:pPr>
    </w:p>
    <w:p>
      <w:pPr>
        <w:tabs>
          <w:tab w:val="left" w:pos="720"/>
        </w:tabs>
        <w:snapToGrid w:val="0"/>
        <w:ind w:firstLine="210" w:firstLineChars="100"/>
        <w:rPr>
          <w:rFonts w:ascii="宋体" w:hAnsi="宋体" w:cs="宋体"/>
          <w:bCs/>
          <w:color w:val="auto"/>
          <w:szCs w:val="21"/>
          <w:highlight w:val="none"/>
        </w:rPr>
      </w:pPr>
      <w:r>
        <w:rPr>
          <w:rFonts w:hint="eastAsia" w:ascii="宋体" w:hAnsi="宋体" w:cs="宋体"/>
          <w:bCs/>
          <w:color w:val="auto"/>
          <w:szCs w:val="21"/>
          <w:highlight w:val="none"/>
        </w:rPr>
        <w:t xml:space="preserve">评委签名：             </w:t>
      </w:r>
    </w:p>
    <w:p>
      <w:pPr>
        <w:tabs>
          <w:tab w:val="left" w:pos="720"/>
        </w:tabs>
        <w:snapToGrid w:val="0"/>
        <w:ind w:firstLine="210" w:firstLineChars="100"/>
        <w:rPr>
          <w:rFonts w:ascii="宋体" w:hAnsi="宋体" w:cs="宋体"/>
          <w:bCs/>
          <w:color w:val="auto"/>
          <w:szCs w:val="21"/>
          <w:highlight w:val="none"/>
        </w:rPr>
      </w:pPr>
      <w:r>
        <w:rPr>
          <w:rFonts w:hint="eastAsia" w:ascii="宋体" w:hAnsi="宋体" w:cs="宋体"/>
          <w:bCs/>
          <w:color w:val="auto"/>
          <w:szCs w:val="21"/>
          <w:highlight w:val="none"/>
        </w:rPr>
        <w:t>日期：   年  月  日</w:t>
      </w:r>
    </w:p>
    <w:p>
      <w:pPr>
        <w:tabs>
          <w:tab w:val="left" w:pos="720"/>
        </w:tabs>
        <w:snapToGrid w:val="0"/>
        <w:ind w:firstLine="210" w:firstLineChars="100"/>
        <w:rPr>
          <w:rFonts w:ascii="宋体" w:hAnsi="宋体" w:cs="宋体"/>
          <w:bCs/>
          <w:color w:val="auto"/>
          <w:szCs w:val="21"/>
          <w:highlight w:val="none"/>
        </w:rPr>
      </w:pPr>
    </w:p>
    <w:p>
      <w:pPr>
        <w:rPr>
          <w:rFonts w:hint="eastAsia" w:ascii="宋体" w:hAnsi="宋体" w:cs="宋体"/>
          <w:b/>
          <w:color w:val="auto"/>
          <w:sz w:val="24"/>
          <w:highlight w:val="none"/>
        </w:rPr>
      </w:pPr>
      <w:r>
        <w:rPr>
          <w:rFonts w:hint="eastAsia" w:ascii="宋体" w:hAnsi="宋体" w:cs="宋体"/>
          <w:b/>
          <w:color w:val="auto"/>
          <w:sz w:val="24"/>
          <w:highlight w:val="none"/>
        </w:rPr>
        <w:br w:type="page"/>
      </w:r>
    </w:p>
    <w:p>
      <w:pPr>
        <w:rPr>
          <w:rFonts w:ascii="宋体" w:hAnsi="宋体" w:cs="宋体"/>
          <w:color w:val="auto"/>
          <w:sz w:val="24"/>
          <w:highlight w:val="none"/>
        </w:rPr>
      </w:pPr>
      <w:r>
        <w:rPr>
          <w:rFonts w:hint="eastAsia" w:ascii="宋体" w:hAnsi="宋体" w:cs="宋体"/>
          <w:b/>
          <w:color w:val="auto"/>
          <w:sz w:val="24"/>
          <w:highlight w:val="none"/>
        </w:rPr>
        <w:t xml:space="preserve">附件3 </w:t>
      </w:r>
    </w:p>
    <w:p>
      <w:pPr>
        <w:tabs>
          <w:tab w:val="left" w:pos="720"/>
        </w:tabs>
        <w:snapToGrid w:val="0"/>
        <w:ind w:firstLine="241" w:firstLineChars="100"/>
        <w:jc w:val="center"/>
        <w:rPr>
          <w:rFonts w:ascii="宋体" w:hAnsi="宋体"/>
          <w:b/>
          <w:color w:val="auto"/>
          <w:sz w:val="24"/>
          <w:highlight w:val="none"/>
        </w:rPr>
      </w:pPr>
      <w:r>
        <w:rPr>
          <w:rFonts w:hint="eastAsia" w:ascii="宋体" w:hAnsi="宋体"/>
          <w:b/>
          <w:color w:val="auto"/>
          <w:sz w:val="24"/>
          <w:highlight w:val="none"/>
        </w:rPr>
        <w:t>商务部分评分表</w:t>
      </w:r>
    </w:p>
    <w:p>
      <w:pPr>
        <w:tabs>
          <w:tab w:val="left" w:pos="720"/>
        </w:tabs>
        <w:snapToGrid w:val="0"/>
        <w:ind w:firstLine="210" w:firstLineChars="100"/>
        <w:rPr>
          <w:rFonts w:ascii="宋体" w:hAnsi="宋体" w:cs="宋体"/>
          <w:bCs/>
          <w:color w:val="auto"/>
          <w:szCs w:val="21"/>
          <w:highlight w:val="none"/>
        </w:rPr>
      </w:pPr>
      <w:r>
        <w:rPr>
          <w:rFonts w:hint="eastAsia" w:ascii="宋体" w:hAnsi="宋体" w:cs="宋体"/>
          <w:bCs/>
          <w:color w:val="auto"/>
          <w:szCs w:val="21"/>
          <w:highlight w:val="none"/>
        </w:rPr>
        <w:t xml:space="preserve">项目名称：   </w:t>
      </w:r>
    </w:p>
    <w:p>
      <w:pPr>
        <w:tabs>
          <w:tab w:val="left" w:pos="720"/>
        </w:tabs>
        <w:snapToGrid w:val="0"/>
        <w:ind w:firstLine="210" w:firstLineChars="100"/>
        <w:rPr>
          <w:rFonts w:ascii="宋体" w:hAnsi="宋体" w:cs="宋体"/>
          <w:bCs/>
          <w:color w:val="auto"/>
          <w:szCs w:val="21"/>
          <w:highlight w:val="none"/>
        </w:rPr>
      </w:pPr>
      <w:r>
        <w:rPr>
          <w:rFonts w:hint="eastAsia" w:ascii="宋体" w:hAnsi="宋体" w:cs="宋体"/>
          <w:bCs/>
          <w:color w:val="auto"/>
          <w:szCs w:val="21"/>
          <w:highlight w:val="none"/>
        </w:rPr>
        <w:t xml:space="preserve">项目编号：                                                 </w:t>
      </w:r>
    </w:p>
    <w:tbl>
      <w:tblPr>
        <w:tblStyle w:val="8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646"/>
        <w:gridCol w:w="5174"/>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序号</w:t>
            </w:r>
          </w:p>
        </w:tc>
        <w:tc>
          <w:tcPr>
            <w:tcW w:w="264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评审内容</w:t>
            </w:r>
          </w:p>
        </w:tc>
        <w:tc>
          <w:tcPr>
            <w:tcW w:w="517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评分细则</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2646" w:type="dxa"/>
            <w:tcBorders>
              <w:top w:val="single" w:color="auto" w:sz="4" w:space="0"/>
              <w:left w:val="single" w:color="auto" w:sz="4" w:space="0"/>
              <w:bottom w:val="single" w:color="auto" w:sz="4" w:space="0"/>
              <w:right w:val="single" w:color="auto" w:sz="4" w:space="0"/>
            </w:tcBorders>
            <w:noWrap w:val="0"/>
            <w:vAlign w:val="center"/>
          </w:tcPr>
          <w:p>
            <w:pPr>
              <w:spacing w:line="276"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Cs/>
                <w:color w:val="auto"/>
                <w:sz w:val="21"/>
                <w:szCs w:val="21"/>
                <w:highlight w:val="none"/>
              </w:rPr>
              <w:t>同类项目业绩</w:t>
            </w:r>
          </w:p>
        </w:tc>
        <w:tc>
          <w:tcPr>
            <w:tcW w:w="5174" w:type="dxa"/>
            <w:tcBorders>
              <w:top w:val="single" w:color="auto" w:sz="4" w:space="0"/>
              <w:left w:val="single" w:color="auto" w:sz="4" w:space="0"/>
              <w:right w:val="single" w:color="auto" w:sz="4" w:space="0"/>
            </w:tcBorders>
            <w:noWrap w:val="0"/>
            <w:vAlign w:val="center"/>
          </w:tcPr>
          <w:p>
            <w:pPr>
              <w:spacing w:line="276" w:lineRule="auto"/>
              <w:rPr>
                <w:rFonts w:hint="eastAsia"/>
                <w:color w:val="auto"/>
                <w:highlight w:val="none"/>
              </w:rPr>
            </w:pPr>
            <w:r>
              <w:rPr>
                <w:rFonts w:hint="eastAsia" w:asciiTheme="minorEastAsia" w:hAnsiTheme="minorEastAsia" w:eastAsiaTheme="minorEastAsia" w:cstheme="minorEastAsia"/>
                <w:bCs/>
                <w:color w:val="auto"/>
                <w:sz w:val="21"/>
                <w:szCs w:val="21"/>
                <w:highlight w:val="none"/>
              </w:rPr>
              <w:t>201</w:t>
            </w:r>
            <w:r>
              <w:rPr>
                <w:rFonts w:hint="eastAsia" w:asciiTheme="minorEastAsia" w:hAnsiTheme="minorEastAsia" w:eastAsiaTheme="minorEastAsia" w:cstheme="minorEastAsia"/>
                <w:bCs/>
                <w:color w:val="auto"/>
                <w:sz w:val="21"/>
                <w:szCs w:val="21"/>
                <w:highlight w:val="none"/>
                <w:lang w:val="en-US" w:eastAsia="zh-CN"/>
              </w:rPr>
              <w:t>6</w:t>
            </w:r>
            <w:r>
              <w:rPr>
                <w:rFonts w:hint="eastAsia" w:asciiTheme="minorEastAsia" w:hAnsiTheme="minorEastAsia" w:eastAsiaTheme="minorEastAsia" w:cstheme="minorEastAsia"/>
                <w:bCs/>
                <w:color w:val="auto"/>
                <w:sz w:val="21"/>
                <w:szCs w:val="21"/>
                <w:highlight w:val="none"/>
              </w:rPr>
              <w:t>年</w:t>
            </w:r>
            <w:r>
              <w:rPr>
                <w:rFonts w:hint="eastAsia" w:asciiTheme="minorEastAsia" w:hAnsiTheme="minorEastAsia" w:eastAsiaTheme="minorEastAsia" w:cstheme="minorEastAsia"/>
                <w:bCs/>
                <w:color w:val="auto"/>
                <w:sz w:val="21"/>
                <w:szCs w:val="21"/>
                <w:highlight w:val="none"/>
                <w:lang w:eastAsia="zh-CN"/>
              </w:rPr>
              <w:t>至今</w:t>
            </w:r>
            <w:r>
              <w:rPr>
                <w:rFonts w:hint="eastAsia" w:asciiTheme="minorEastAsia" w:hAnsiTheme="minorEastAsia" w:eastAsiaTheme="minorEastAsia" w:cstheme="minorEastAsia"/>
                <w:bCs/>
                <w:color w:val="auto"/>
                <w:sz w:val="21"/>
                <w:szCs w:val="21"/>
                <w:highlight w:val="none"/>
              </w:rPr>
              <w:t>完成的同类项目业绩</w:t>
            </w:r>
            <w:r>
              <w:rPr>
                <w:rFonts w:hint="eastAsia" w:asciiTheme="minorEastAsia" w:hAnsiTheme="minorEastAsia" w:eastAsiaTheme="minorEastAsia" w:cstheme="minorEastAsia"/>
                <w:bCs/>
                <w:color w:val="auto"/>
                <w:sz w:val="21"/>
                <w:szCs w:val="21"/>
                <w:highlight w:val="none"/>
                <w:lang w:eastAsia="zh-CN"/>
              </w:rPr>
              <w:t>，</w:t>
            </w:r>
            <w:r>
              <w:rPr>
                <w:rFonts w:hint="eastAsia"/>
                <w:color w:val="auto"/>
                <w:highlight w:val="none"/>
              </w:rPr>
              <w:t>每提供一份业绩得</w:t>
            </w:r>
            <w:r>
              <w:rPr>
                <w:rFonts w:hint="eastAsia"/>
                <w:color w:val="auto"/>
                <w:highlight w:val="none"/>
                <w:lang w:val="en-US" w:eastAsia="zh-CN"/>
              </w:rPr>
              <w:t>1</w:t>
            </w:r>
            <w:r>
              <w:rPr>
                <w:rFonts w:hint="eastAsia"/>
                <w:color w:val="auto"/>
                <w:highlight w:val="none"/>
              </w:rPr>
              <w:t>分，最高得</w:t>
            </w:r>
            <w:r>
              <w:rPr>
                <w:rFonts w:hint="eastAsia"/>
                <w:color w:val="auto"/>
                <w:highlight w:val="none"/>
                <w:lang w:val="en-US" w:eastAsia="zh-CN"/>
              </w:rPr>
              <w:t>6</w:t>
            </w:r>
            <w:r>
              <w:rPr>
                <w:rFonts w:hint="eastAsia"/>
                <w:color w:val="auto"/>
                <w:highlight w:val="none"/>
              </w:rPr>
              <w:t>分。</w:t>
            </w:r>
          </w:p>
          <w:p>
            <w:pPr>
              <w:pStyle w:val="96"/>
              <w:rPr>
                <w:rFonts w:hint="eastAsia"/>
                <w:color w:val="auto"/>
                <w:highlight w:val="none"/>
              </w:rPr>
            </w:pPr>
            <w:r>
              <w:rPr>
                <w:rFonts w:hint="eastAsia" w:asciiTheme="minorEastAsia" w:hAnsiTheme="minorEastAsia" w:eastAsiaTheme="minorEastAsia" w:cstheme="minorEastAsia"/>
                <w:bCs/>
                <w:color w:val="auto"/>
                <w:sz w:val="21"/>
                <w:szCs w:val="21"/>
                <w:highlight w:val="none"/>
              </w:rPr>
              <w:t>（</w:t>
            </w:r>
            <w:r>
              <w:rPr>
                <w:rFonts w:hint="eastAsia" w:asciiTheme="minorEastAsia" w:hAnsiTheme="minorEastAsia" w:eastAsiaTheme="minorEastAsia" w:cstheme="minorEastAsia"/>
                <w:bCs/>
                <w:color w:val="auto"/>
                <w:sz w:val="21"/>
                <w:szCs w:val="21"/>
                <w:highlight w:val="none"/>
                <w:lang w:eastAsia="zh-CN"/>
              </w:rPr>
              <w:t>需</w:t>
            </w:r>
            <w:r>
              <w:rPr>
                <w:rFonts w:hint="eastAsia" w:asciiTheme="minorEastAsia" w:hAnsiTheme="minorEastAsia" w:eastAsiaTheme="minorEastAsia" w:cstheme="minorEastAsia"/>
                <w:bCs/>
                <w:color w:val="auto"/>
                <w:sz w:val="21"/>
                <w:szCs w:val="21"/>
                <w:highlight w:val="none"/>
              </w:rPr>
              <w:t>提供合同复印件）</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5"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2646" w:type="dxa"/>
            <w:tcBorders>
              <w:top w:val="single" w:color="auto" w:sz="4" w:space="0"/>
              <w:left w:val="single" w:color="auto" w:sz="4" w:space="0"/>
              <w:bottom w:val="single" w:color="auto" w:sz="4" w:space="0"/>
              <w:right w:val="single" w:color="auto" w:sz="4" w:space="0"/>
            </w:tcBorders>
            <w:noWrap w:val="0"/>
            <w:vAlign w:val="center"/>
          </w:tcPr>
          <w:p>
            <w:pPr>
              <w:spacing w:line="276"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Cs/>
                <w:color w:val="auto"/>
                <w:sz w:val="21"/>
                <w:szCs w:val="21"/>
                <w:highlight w:val="none"/>
              </w:rPr>
              <w:t xml:space="preserve">守合同重信用                       </w:t>
            </w:r>
          </w:p>
        </w:tc>
        <w:tc>
          <w:tcPr>
            <w:tcW w:w="5174" w:type="dxa"/>
            <w:tcBorders>
              <w:top w:val="single" w:color="auto" w:sz="4" w:space="0"/>
              <w:left w:val="single" w:color="auto" w:sz="4" w:space="0"/>
              <w:right w:val="single" w:color="auto" w:sz="4" w:space="0"/>
            </w:tcBorders>
            <w:noWrap w:val="0"/>
            <w:vAlign w:val="center"/>
          </w:tcPr>
          <w:p>
            <w:pPr>
              <w:spacing w:line="276" w:lineRule="auto"/>
              <w:rPr>
                <w:rFonts w:hint="default" w:eastAsia="宋体"/>
                <w:color w:val="auto"/>
                <w:highlight w:val="none"/>
                <w:lang w:val="en-US" w:eastAsia="zh-CN"/>
              </w:rPr>
            </w:pPr>
            <w:r>
              <w:rPr>
                <w:rFonts w:hint="eastAsia"/>
                <w:color w:val="auto"/>
                <w:highlight w:val="none"/>
              </w:rPr>
              <w:t>获得工商行政管理部门颁发的“守合同重信用证书”</w:t>
            </w:r>
            <w:r>
              <w:rPr>
                <w:rFonts w:hint="eastAsia"/>
                <w:color w:val="auto"/>
                <w:highlight w:val="none"/>
                <w:lang w:eastAsia="zh-CN"/>
              </w:rPr>
              <w:t>的，得</w:t>
            </w:r>
            <w:r>
              <w:rPr>
                <w:rFonts w:hint="eastAsia"/>
                <w:color w:val="auto"/>
                <w:highlight w:val="none"/>
                <w:lang w:val="en-US" w:eastAsia="zh-CN"/>
              </w:rPr>
              <w:t>3分，</w:t>
            </w:r>
            <w:r>
              <w:rPr>
                <w:rFonts w:hint="eastAsia"/>
                <w:color w:val="auto"/>
                <w:highlight w:val="none"/>
              </w:rPr>
              <w:t>无或其他为0分。</w:t>
            </w:r>
          </w:p>
          <w:p>
            <w:pPr>
              <w:pStyle w:val="96"/>
              <w:rPr>
                <w:rFonts w:hint="eastAsia"/>
                <w:color w:val="auto"/>
                <w:highlight w:val="none"/>
              </w:rPr>
            </w:pPr>
            <w:r>
              <w:rPr>
                <w:rFonts w:hint="eastAsia" w:asciiTheme="minorEastAsia" w:hAnsiTheme="minorEastAsia" w:eastAsiaTheme="minorEastAsia" w:cstheme="minorEastAsia"/>
                <w:bCs/>
                <w:color w:val="auto"/>
                <w:sz w:val="21"/>
                <w:szCs w:val="21"/>
                <w:highlight w:val="none"/>
              </w:rPr>
              <w:t>（投标人须提供所在地工商行政</w:t>
            </w:r>
            <w:r>
              <w:rPr>
                <w:rFonts w:hint="eastAsia" w:asciiTheme="minorEastAsia" w:hAnsiTheme="minorEastAsia" w:eastAsiaTheme="minorEastAsia" w:cstheme="minorEastAsia"/>
                <w:color w:val="auto"/>
                <w:sz w:val="21"/>
                <w:szCs w:val="21"/>
                <w:highlight w:val="none"/>
              </w:rPr>
              <w:t>部门</w:t>
            </w:r>
            <w:r>
              <w:rPr>
                <w:rFonts w:hint="eastAsia" w:asciiTheme="minorEastAsia" w:hAnsiTheme="minorEastAsia" w:eastAsiaTheme="minorEastAsia" w:cstheme="minorEastAsia"/>
                <w:bCs/>
                <w:color w:val="auto"/>
                <w:sz w:val="21"/>
                <w:szCs w:val="21"/>
                <w:highlight w:val="none"/>
              </w:rPr>
              <w:t>颁发的证书复印件</w:t>
            </w:r>
            <w:r>
              <w:rPr>
                <w:rFonts w:hint="eastAsia" w:asciiTheme="minorEastAsia" w:hAnsiTheme="minorEastAsia" w:eastAsiaTheme="minorEastAsia" w:cstheme="minorEastAsia"/>
                <w:b/>
                <w:color w:val="auto"/>
                <w:sz w:val="21"/>
                <w:szCs w:val="21"/>
                <w:highlight w:val="none"/>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2" w:hRule="atLeast"/>
          <w:jc w:val="center"/>
        </w:trPr>
        <w:tc>
          <w:tcPr>
            <w:tcW w:w="675" w:type="dxa"/>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w:t>
            </w:r>
          </w:p>
        </w:tc>
        <w:tc>
          <w:tcPr>
            <w:tcW w:w="2646" w:type="dxa"/>
            <w:tcBorders>
              <w:top w:val="single" w:color="auto" w:sz="4" w:space="0"/>
              <w:left w:val="single" w:color="auto" w:sz="4" w:space="0"/>
              <w:right w:val="single" w:color="auto" w:sz="4" w:space="0"/>
            </w:tcBorders>
            <w:noWrap w:val="0"/>
            <w:vAlign w:val="center"/>
          </w:tcPr>
          <w:p>
            <w:pPr>
              <w:spacing w:line="276"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认证证书</w:t>
            </w:r>
          </w:p>
        </w:tc>
        <w:tc>
          <w:tcPr>
            <w:tcW w:w="5174" w:type="dxa"/>
            <w:tcBorders>
              <w:top w:val="single" w:color="auto" w:sz="4" w:space="0"/>
              <w:left w:val="single" w:color="auto" w:sz="4" w:space="0"/>
              <w:right w:val="single" w:color="auto" w:sz="4" w:space="0"/>
            </w:tcBorders>
            <w:noWrap w:val="0"/>
            <w:vAlign w:val="center"/>
          </w:tcPr>
          <w:p>
            <w:pPr>
              <w:spacing w:line="276" w:lineRule="auto"/>
              <w:rPr>
                <w:rFonts w:hint="eastAsia"/>
                <w:color w:val="auto"/>
                <w:highlight w:val="none"/>
              </w:rPr>
            </w:pPr>
            <w:r>
              <w:rPr>
                <w:rFonts w:hint="eastAsia"/>
                <w:color w:val="auto"/>
                <w:highlight w:val="none"/>
              </w:rPr>
              <w:t>投标人提供有效的质量管理体系认证的，得</w:t>
            </w:r>
            <w:r>
              <w:rPr>
                <w:rFonts w:hint="eastAsia"/>
                <w:color w:val="auto"/>
                <w:highlight w:val="none"/>
                <w:lang w:val="en-US" w:eastAsia="zh-CN"/>
              </w:rPr>
              <w:t>1</w:t>
            </w:r>
            <w:r>
              <w:rPr>
                <w:rFonts w:hint="eastAsia"/>
                <w:color w:val="auto"/>
                <w:highlight w:val="none"/>
              </w:rPr>
              <w:t>分，无0分；</w:t>
            </w:r>
          </w:p>
          <w:p>
            <w:pPr>
              <w:spacing w:line="276" w:lineRule="auto"/>
              <w:rPr>
                <w:rFonts w:hint="eastAsia"/>
                <w:color w:val="auto"/>
                <w:highlight w:val="none"/>
              </w:rPr>
            </w:pPr>
            <w:r>
              <w:rPr>
                <w:rFonts w:hint="eastAsia"/>
                <w:color w:val="auto"/>
                <w:highlight w:val="none"/>
              </w:rPr>
              <w:t>投标人提供有效的职业健康安全管理体系认证的，得</w:t>
            </w:r>
            <w:r>
              <w:rPr>
                <w:rFonts w:hint="eastAsia"/>
                <w:color w:val="auto"/>
                <w:highlight w:val="none"/>
                <w:lang w:val="en-US" w:eastAsia="zh-CN"/>
              </w:rPr>
              <w:t>1</w:t>
            </w:r>
            <w:r>
              <w:rPr>
                <w:rFonts w:hint="eastAsia"/>
                <w:color w:val="auto"/>
                <w:highlight w:val="none"/>
              </w:rPr>
              <w:t>分，无0分；</w:t>
            </w:r>
          </w:p>
          <w:p>
            <w:pPr>
              <w:spacing w:line="276" w:lineRule="auto"/>
              <w:rPr>
                <w:rFonts w:hint="eastAsia"/>
                <w:color w:val="auto"/>
                <w:highlight w:val="none"/>
              </w:rPr>
            </w:pPr>
            <w:r>
              <w:rPr>
                <w:rFonts w:hint="eastAsia"/>
                <w:color w:val="auto"/>
                <w:highlight w:val="none"/>
              </w:rPr>
              <w:t>投标人提供有效的环境管理体系认证的，得</w:t>
            </w:r>
            <w:r>
              <w:rPr>
                <w:rFonts w:hint="eastAsia"/>
                <w:color w:val="auto"/>
                <w:highlight w:val="none"/>
                <w:lang w:val="en-US" w:eastAsia="zh-CN"/>
              </w:rPr>
              <w:t>1</w:t>
            </w:r>
            <w:r>
              <w:rPr>
                <w:rFonts w:hint="eastAsia"/>
                <w:color w:val="auto"/>
                <w:highlight w:val="none"/>
              </w:rPr>
              <w:t>分，无0分。</w:t>
            </w:r>
          </w:p>
          <w:p>
            <w:pPr>
              <w:spacing w:line="276" w:lineRule="auto"/>
              <w:rPr>
                <w:rFonts w:hint="eastAsia"/>
                <w:color w:val="auto"/>
                <w:highlight w:val="none"/>
              </w:rPr>
            </w:pPr>
            <w:r>
              <w:rPr>
                <w:rFonts w:hint="eastAsia"/>
                <w:color w:val="auto"/>
                <w:highlight w:val="none"/>
              </w:rPr>
              <w:t>具有一项得</w:t>
            </w:r>
            <w:r>
              <w:rPr>
                <w:rFonts w:hint="eastAsia"/>
                <w:color w:val="auto"/>
                <w:highlight w:val="none"/>
                <w:lang w:val="en-US" w:eastAsia="zh-CN"/>
              </w:rPr>
              <w:t>1</w:t>
            </w:r>
            <w:r>
              <w:rPr>
                <w:rFonts w:hint="eastAsia"/>
                <w:color w:val="auto"/>
                <w:highlight w:val="none"/>
              </w:rPr>
              <w:t>分，最高得</w:t>
            </w:r>
            <w:r>
              <w:rPr>
                <w:rFonts w:hint="eastAsia"/>
                <w:color w:val="auto"/>
                <w:highlight w:val="none"/>
                <w:lang w:val="en-US" w:eastAsia="zh-CN"/>
              </w:rPr>
              <w:t>3</w:t>
            </w:r>
            <w:r>
              <w:rPr>
                <w:rFonts w:hint="eastAsia"/>
                <w:color w:val="auto"/>
                <w:highlight w:val="none"/>
              </w:rPr>
              <w:t>分，无或其他为0分。</w:t>
            </w:r>
          </w:p>
          <w:p>
            <w:pPr>
              <w:pStyle w:val="96"/>
              <w:rPr>
                <w:rFonts w:hint="eastAsia"/>
                <w:color w:val="auto"/>
                <w:highlight w:val="none"/>
              </w:rPr>
            </w:pPr>
            <w:r>
              <w:rPr>
                <w:rFonts w:hint="eastAsia" w:asciiTheme="minorEastAsia" w:hAnsiTheme="minorEastAsia" w:eastAsiaTheme="minorEastAsia" w:cstheme="minorEastAsia"/>
                <w:color w:val="auto"/>
                <w:sz w:val="21"/>
                <w:szCs w:val="21"/>
                <w:highlight w:val="none"/>
              </w:rPr>
              <w:t>（提供有效期内的相关证书复印件</w:t>
            </w:r>
            <w:r>
              <w:rPr>
                <w:rFonts w:hint="eastAsia" w:asciiTheme="minorEastAsia" w:hAnsiTheme="minorEastAsia" w:eastAsiaTheme="minorEastAsia" w:cstheme="minorEastAsia"/>
                <w:b/>
                <w:color w:val="auto"/>
                <w:sz w:val="21"/>
                <w:szCs w:val="21"/>
                <w:highlight w:val="none"/>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6" w:hRule="atLeast"/>
          <w:jc w:val="center"/>
        </w:trPr>
        <w:tc>
          <w:tcPr>
            <w:tcW w:w="675" w:type="dxa"/>
            <w:tcBorders>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w:t>
            </w:r>
          </w:p>
        </w:tc>
        <w:tc>
          <w:tcPr>
            <w:tcW w:w="2646" w:type="dxa"/>
            <w:tcBorders>
              <w:left w:val="single" w:color="auto" w:sz="4" w:space="0"/>
              <w:right w:val="single" w:color="auto" w:sz="4" w:space="0"/>
            </w:tcBorders>
            <w:noWrap w:val="0"/>
            <w:vAlign w:val="center"/>
          </w:tcPr>
          <w:p>
            <w:pPr>
              <w:spacing w:line="276"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Cs/>
                <w:color w:val="auto"/>
                <w:sz w:val="21"/>
                <w:szCs w:val="21"/>
                <w:highlight w:val="none"/>
              </w:rPr>
              <w:t>自主研究开发能力</w:t>
            </w:r>
          </w:p>
        </w:tc>
        <w:tc>
          <w:tcPr>
            <w:tcW w:w="5174" w:type="dxa"/>
            <w:tcBorders>
              <w:top w:val="single" w:color="auto" w:sz="4" w:space="0"/>
              <w:left w:val="single" w:color="auto" w:sz="4" w:space="0"/>
              <w:right w:val="single" w:color="auto" w:sz="4" w:space="0"/>
            </w:tcBorders>
            <w:noWrap w:val="0"/>
            <w:vAlign w:val="center"/>
          </w:tcPr>
          <w:p>
            <w:pPr>
              <w:spacing w:line="276" w:lineRule="auto"/>
              <w:rPr>
                <w:rFonts w:hint="eastAsia" w:cs="Times New Roman"/>
                <w:color w:val="auto"/>
                <w:highlight w:val="none"/>
              </w:rPr>
            </w:pPr>
            <w:r>
              <w:rPr>
                <w:rFonts w:hint="eastAsia" w:cs="Times New Roman"/>
                <w:color w:val="auto"/>
                <w:highlight w:val="none"/>
                <w:lang w:eastAsia="zh-CN"/>
              </w:rPr>
              <w:t>投标人所投产品</w:t>
            </w:r>
            <w:r>
              <w:rPr>
                <w:rFonts w:hint="eastAsia" w:cs="Times New Roman"/>
                <w:color w:val="auto"/>
                <w:highlight w:val="none"/>
              </w:rPr>
              <w:t>获得</w:t>
            </w:r>
            <w:r>
              <w:rPr>
                <w:rFonts w:hint="eastAsia" w:cs="Times New Roman"/>
                <w:color w:val="auto"/>
                <w:highlight w:val="none"/>
                <w:lang w:eastAsia="zh-CN"/>
              </w:rPr>
              <w:t>与产品相关的实验室发明专利权证书或实用新型专利权证书或软件著作权证书的，每具有一个</w:t>
            </w:r>
            <w:r>
              <w:rPr>
                <w:rFonts w:hint="eastAsia" w:cs="Times New Roman"/>
                <w:color w:val="auto"/>
                <w:highlight w:val="none"/>
              </w:rPr>
              <w:t>得</w:t>
            </w:r>
            <w:r>
              <w:rPr>
                <w:rFonts w:hint="eastAsia" w:cs="Times New Roman"/>
                <w:color w:val="auto"/>
                <w:highlight w:val="none"/>
                <w:lang w:val="en-US" w:eastAsia="zh-CN"/>
              </w:rPr>
              <w:t>2</w:t>
            </w:r>
            <w:r>
              <w:rPr>
                <w:rFonts w:hint="eastAsia" w:cs="Times New Roman"/>
                <w:color w:val="auto"/>
                <w:highlight w:val="none"/>
              </w:rPr>
              <w:t>分</w:t>
            </w:r>
            <w:r>
              <w:rPr>
                <w:rFonts w:hint="eastAsia" w:cs="Times New Roman"/>
                <w:color w:val="auto"/>
                <w:highlight w:val="none"/>
                <w:lang w:eastAsia="zh-CN"/>
              </w:rPr>
              <w:t>，满分</w:t>
            </w:r>
            <w:r>
              <w:rPr>
                <w:rFonts w:hint="eastAsia" w:cs="Times New Roman"/>
                <w:color w:val="auto"/>
                <w:highlight w:val="none"/>
                <w:lang w:val="en-US" w:eastAsia="zh-CN"/>
              </w:rPr>
              <w:t>10分</w:t>
            </w:r>
            <w:r>
              <w:rPr>
                <w:rFonts w:hint="eastAsia" w:cs="Times New Roman"/>
                <w:color w:val="auto"/>
                <w:highlight w:val="none"/>
              </w:rPr>
              <w:t>；没有得0分。</w:t>
            </w:r>
          </w:p>
          <w:p>
            <w:pPr>
              <w:spacing w:line="276" w:lineRule="auto"/>
              <w:rPr>
                <w:rFonts w:hint="eastAsia"/>
                <w:color w:val="auto"/>
                <w:highlight w:val="none"/>
              </w:rPr>
            </w:pPr>
            <w:r>
              <w:rPr>
                <w:rFonts w:hint="eastAsia" w:cs="Times New Roman"/>
                <w:color w:val="auto"/>
                <w:highlight w:val="none"/>
              </w:rPr>
              <w:t>（</w:t>
            </w:r>
            <w:r>
              <w:rPr>
                <w:rFonts w:hint="eastAsia" w:cs="Times New Roman"/>
                <w:color w:val="auto"/>
                <w:highlight w:val="none"/>
                <w:lang w:eastAsia="zh-CN"/>
              </w:rPr>
              <w:t>须</w:t>
            </w:r>
            <w:r>
              <w:rPr>
                <w:rFonts w:hint="eastAsia" w:cs="Times New Roman"/>
                <w:color w:val="auto"/>
                <w:highlight w:val="none"/>
              </w:rPr>
              <w:t>提供</w:t>
            </w:r>
            <w:r>
              <w:rPr>
                <w:rFonts w:hint="eastAsia" w:cs="Times New Roman"/>
                <w:color w:val="auto"/>
                <w:highlight w:val="none"/>
                <w:lang w:eastAsia="zh-CN"/>
              </w:rPr>
              <w:t>证书</w:t>
            </w:r>
            <w:r>
              <w:rPr>
                <w:rFonts w:hint="eastAsia" w:cs="Times New Roman"/>
                <w:color w:val="auto"/>
                <w:highlight w:val="none"/>
              </w:rPr>
              <w:t>复印件</w:t>
            </w:r>
            <w:r>
              <w:rPr>
                <w:rFonts w:hint="eastAsia" w:cs="Times New Roman"/>
                <w:color w:val="auto"/>
                <w:highlight w:val="none"/>
                <w:lang w:eastAsia="zh-CN"/>
              </w:rPr>
              <w:t>且</w:t>
            </w:r>
            <w:r>
              <w:rPr>
                <w:rFonts w:hint="eastAsia" w:cs="Times New Roman"/>
                <w:color w:val="auto"/>
                <w:highlight w:val="none"/>
              </w:rPr>
              <w:t>证书须在有效期内）</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675" w:type="dxa"/>
            <w:tcBorders>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5</w:t>
            </w:r>
          </w:p>
        </w:tc>
        <w:tc>
          <w:tcPr>
            <w:tcW w:w="2646" w:type="dxa"/>
            <w:tcBorders>
              <w:left w:val="single" w:color="auto" w:sz="4" w:space="0"/>
              <w:right w:val="single" w:color="auto" w:sz="4" w:space="0"/>
            </w:tcBorders>
            <w:noWrap w:val="0"/>
            <w:vAlign w:val="center"/>
          </w:tcPr>
          <w:p>
            <w:pPr>
              <w:spacing w:line="276" w:lineRule="auto"/>
              <w:jc w:val="center"/>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资质</w:t>
            </w:r>
            <w:r>
              <w:rPr>
                <w:rFonts w:hint="eastAsia" w:asciiTheme="minorEastAsia" w:hAnsiTheme="minorEastAsia" w:eastAsiaTheme="minorEastAsia" w:cstheme="minorEastAsia"/>
                <w:color w:val="auto"/>
                <w:sz w:val="21"/>
                <w:szCs w:val="21"/>
                <w:highlight w:val="none"/>
                <w:lang w:eastAsia="zh-CN"/>
              </w:rPr>
              <w:t>情况</w:t>
            </w:r>
          </w:p>
          <w:p>
            <w:pPr>
              <w:spacing w:line="276" w:lineRule="auto"/>
              <w:jc w:val="center"/>
              <w:rPr>
                <w:rFonts w:hint="eastAsia" w:asciiTheme="minorEastAsia" w:hAnsiTheme="minorEastAsia" w:eastAsiaTheme="minorEastAsia" w:cstheme="minorEastAsia"/>
                <w:color w:val="auto"/>
                <w:sz w:val="21"/>
                <w:szCs w:val="21"/>
                <w:highlight w:val="none"/>
              </w:rPr>
            </w:pPr>
          </w:p>
        </w:tc>
        <w:tc>
          <w:tcPr>
            <w:tcW w:w="5174" w:type="dxa"/>
            <w:tcBorders>
              <w:top w:val="single" w:color="auto" w:sz="4" w:space="0"/>
              <w:left w:val="single" w:color="auto" w:sz="4" w:space="0"/>
              <w:right w:val="single" w:color="auto" w:sz="4" w:space="0"/>
            </w:tcBorders>
            <w:noWrap w:val="0"/>
            <w:vAlign w:val="center"/>
          </w:tcPr>
          <w:p>
            <w:pPr>
              <w:spacing w:line="276" w:lineRule="auto"/>
              <w:rPr>
                <w:rFonts w:hint="eastAsia"/>
                <w:color w:val="auto"/>
                <w:highlight w:val="none"/>
              </w:rPr>
            </w:pPr>
            <w:r>
              <w:rPr>
                <w:rFonts w:hint="eastAsia"/>
                <w:color w:val="auto"/>
                <w:highlight w:val="none"/>
              </w:rPr>
              <w:t>供应商具有</w:t>
            </w:r>
            <w:r>
              <w:rPr>
                <w:rFonts w:hint="eastAsia"/>
                <w:color w:val="auto"/>
                <w:highlight w:val="none"/>
                <w:lang w:eastAsia="zh-CN"/>
              </w:rPr>
              <w:t>建筑装修装饰工程专业三级</w:t>
            </w:r>
            <w:r>
              <w:rPr>
                <w:rFonts w:hint="eastAsia"/>
                <w:color w:val="auto"/>
                <w:highlight w:val="none"/>
              </w:rPr>
              <w:t>或以上</w:t>
            </w:r>
            <w:r>
              <w:rPr>
                <w:rFonts w:hint="eastAsia"/>
                <w:color w:val="auto"/>
                <w:highlight w:val="none"/>
                <w:lang w:eastAsia="zh-CN"/>
              </w:rPr>
              <w:t>级别</w:t>
            </w:r>
            <w:r>
              <w:rPr>
                <w:rFonts w:hint="eastAsia"/>
                <w:color w:val="auto"/>
                <w:highlight w:val="none"/>
              </w:rPr>
              <w:t>资质</w:t>
            </w:r>
            <w:r>
              <w:rPr>
                <w:rFonts w:hint="eastAsia"/>
                <w:color w:val="auto"/>
                <w:highlight w:val="none"/>
                <w:lang w:eastAsia="zh-CN"/>
              </w:rPr>
              <w:t>的</w:t>
            </w:r>
            <w:r>
              <w:rPr>
                <w:rFonts w:hint="eastAsia"/>
                <w:color w:val="auto"/>
                <w:highlight w:val="none"/>
                <w:lang w:val="hr-HR"/>
              </w:rPr>
              <w:t>得</w:t>
            </w:r>
            <w:r>
              <w:rPr>
                <w:rFonts w:hint="eastAsia"/>
                <w:color w:val="auto"/>
                <w:highlight w:val="none"/>
                <w:lang w:val="en-US" w:eastAsia="zh-CN"/>
              </w:rPr>
              <w:t>5</w:t>
            </w:r>
            <w:r>
              <w:rPr>
                <w:rFonts w:hint="eastAsia"/>
                <w:color w:val="auto"/>
                <w:highlight w:val="none"/>
              </w:rPr>
              <w:t>分，无或其他为0分。</w:t>
            </w:r>
          </w:p>
          <w:p>
            <w:pPr>
              <w:pStyle w:val="96"/>
              <w:rPr>
                <w:rFonts w:hint="eastAsia"/>
                <w:color w:val="auto"/>
                <w:highlight w:val="none"/>
              </w:rPr>
            </w:pPr>
            <w:r>
              <w:rPr>
                <w:rFonts w:hint="eastAsia" w:asciiTheme="minorEastAsia" w:hAnsiTheme="minorEastAsia" w:eastAsiaTheme="minorEastAsia" w:cstheme="minorEastAsia"/>
                <w:color w:val="auto"/>
                <w:sz w:val="21"/>
                <w:szCs w:val="21"/>
                <w:highlight w:val="none"/>
              </w:rPr>
              <w:t>（提供</w:t>
            </w:r>
            <w:r>
              <w:rPr>
                <w:rFonts w:hint="eastAsia" w:asciiTheme="minorEastAsia" w:hAnsiTheme="minorEastAsia" w:eastAsiaTheme="minorEastAsia" w:cstheme="minorEastAsia"/>
                <w:color w:val="auto"/>
                <w:sz w:val="21"/>
                <w:szCs w:val="21"/>
                <w:highlight w:val="none"/>
                <w:lang w:eastAsia="zh-CN"/>
              </w:rPr>
              <w:t>相关</w:t>
            </w:r>
            <w:r>
              <w:rPr>
                <w:rFonts w:hint="eastAsia" w:asciiTheme="minorEastAsia" w:hAnsiTheme="minorEastAsia" w:eastAsiaTheme="minorEastAsia" w:cstheme="minorEastAsia"/>
                <w:color w:val="auto"/>
                <w:sz w:val="21"/>
                <w:szCs w:val="21"/>
                <w:highlight w:val="none"/>
              </w:rPr>
              <w:t>证书复印件）</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675" w:type="dxa"/>
            <w:tcBorders>
              <w:left w:val="single" w:color="auto" w:sz="4" w:space="0"/>
              <w:right w:val="single" w:color="auto" w:sz="4" w:space="0"/>
            </w:tcBorders>
            <w:noWrap w:val="0"/>
            <w:vAlign w:val="center"/>
          </w:tcPr>
          <w:p>
            <w:pPr>
              <w:jc w:val="center"/>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6</w:t>
            </w:r>
          </w:p>
        </w:tc>
        <w:tc>
          <w:tcPr>
            <w:tcW w:w="2646" w:type="dxa"/>
            <w:tcBorders>
              <w:left w:val="single" w:color="auto" w:sz="4" w:space="0"/>
              <w:right w:val="single" w:color="auto" w:sz="4" w:space="0"/>
            </w:tcBorders>
            <w:noWrap w:val="0"/>
            <w:vAlign w:val="center"/>
          </w:tcPr>
          <w:p>
            <w:pPr>
              <w:spacing w:line="276" w:lineRule="auto"/>
              <w:jc w:val="center"/>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eastAsia="zh-CN"/>
              </w:rPr>
              <w:t>技术支持能力</w:t>
            </w:r>
          </w:p>
        </w:tc>
        <w:tc>
          <w:tcPr>
            <w:tcW w:w="5174" w:type="dxa"/>
            <w:tcBorders>
              <w:top w:val="single" w:color="auto" w:sz="4" w:space="0"/>
              <w:left w:val="single" w:color="auto" w:sz="4" w:space="0"/>
              <w:right w:val="single" w:color="auto" w:sz="4" w:space="0"/>
            </w:tcBorders>
            <w:noWrap w:val="0"/>
            <w:vAlign w:val="center"/>
          </w:tcPr>
          <w:p>
            <w:pPr>
              <w:pStyle w:val="96"/>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eastAsia="zh-CN"/>
              </w:rPr>
              <w:t>投标人拟投入人员具有洁净室技术专业工程师中级或以上级别的得</w:t>
            </w:r>
            <w:r>
              <w:rPr>
                <w:rFonts w:hint="eastAsia" w:asciiTheme="minorEastAsia" w:hAnsiTheme="minorEastAsia" w:eastAsiaTheme="minorEastAsia" w:cstheme="minorEastAsia"/>
                <w:color w:val="auto"/>
                <w:sz w:val="21"/>
                <w:szCs w:val="21"/>
                <w:highlight w:val="none"/>
                <w:lang w:val="en-US" w:eastAsia="zh-CN"/>
              </w:rPr>
              <w:t>3分，无或其他为0分。</w:t>
            </w:r>
          </w:p>
          <w:p>
            <w:pPr>
              <w:pStyle w:val="96"/>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b w:val="0"/>
                <w:bCs w:val="0"/>
                <w:color w:val="auto"/>
                <w:sz w:val="21"/>
                <w:szCs w:val="21"/>
                <w:highlight w:val="none"/>
                <w:lang w:eastAsia="zh-CN"/>
              </w:rPr>
              <w:t>（需提供相关证书复印件）</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8495"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合计</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30</w:t>
            </w:r>
          </w:p>
        </w:tc>
      </w:tr>
    </w:tbl>
    <w:p>
      <w:pPr>
        <w:snapToGrid w:val="0"/>
        <w:rPr>
          <w:rFonts w:ascii="宋体" w:hAnsi="宋体" w:cs="宋体"/>
          <w:color w:val="auto"/>
          <w:highlight w:val="none"/>
        </w:rPr>
      </w:pPr>
      <w:r>
        <w:rPr>
          <w:rFonts w:hint="eastAsia" w:ascii="宋体" w:hAnsi="宋体" w:cs="宋体"/>
          <w:bCs/>
          <w:color w:val="auto"/>
          <w:szCs w:val="21"/>
          <w:highlight w:val="none"/>
        </w:rPr>
        <w:t xml:space="preserve">   </w:t>
      </w:r>
      <w:r>
        <w:rPr>
          <w:rFonts w:hint="eastAsia" w:ascii="宋体" w:hAnsi="宋体" w:cs="宋体"/>
          <w:color w:val="auto"/>
          <w:highlight w:val="none"/>
        </w:rPr>
        <w:t xml:space="preserve">  </w:t>
      </w:r>
    </w:p>
    <w:p>
      <w:pPr>
        <w:snapToGrid w:val="0"/>
        <w:ind w:firstLine="422" w:firstLineChars="200"/>
        <w:rPr>
          <w:rFonts w:ascii="宋体" w:hAnsi="宋体" w:cs="宋体"/>
          <w:b/>
          <w:bCs/>
          <w:color w:val="auto"/>
          <w:highlight w:val="none"/>
        </w:rPr>
      </w:pPr>
      <w:r>
        <w:rPr>
          <w:rFonts w:hint="eastAsia" w:ascii="宋体" w:hAnsi="宋体" w:cs="宋体"/>
          <w:b/>
          <w:bCs/>
          <w:color w:val="auto"/>
          <w:highlight w:val="none"/>
        </w:rPr>
        <w:t>备注：招标文件要求提交的与评价指标体系相关的各类有效资料，投标人如未按要求提交，或提供的证明材料不全，或有有效期但不在有效期内，或提供的证明材料均不能反映相关评审内容的，该项不得分；</w:t>
      </w:r>
    </w:p>
    <w:p>
      <w:pPr>
        <w:pStyle w:val="96"/>
        <w:rPr>
          <w:color w:val="auto"/>
          <w:highlight w:val="none"/>
        </w:rPr>
      </w:pPr>
    </w:p>
    <w:p>
      <w:pPr>
        <w:tabs>
          <w:tab w:val="left" w:pos="720"/>
        </w:tabs>
        <w:snapToGrid w:val="0"/>
        <w:ind w:firstLine="210" w:firstLineChars="100"/>
        <w:rPr>
          <w:color w:val="auto"/>
          <w:highlight w:val="none"/>
        </w:rPr>
      </w:pPr>
      <w:r>
        <w:rPr>
          <w:rFonts w:hint="eastAsia" w:ascii="宋体" w:hAnsi="宋体" w:cs="宋体"/>
          <w:color w:val="auto"/>
          <w:highlight w:val="none"/>
        </w:rPr>
        <w:t>评委签名：                                                    日期：   年  月  日</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附件4     价格评审表</w:t>
      </w:r>
    </w:p>
    <w:p>
      <w:pPr>
        <w:snapToGrid w:val="0"/>
        <w:spacing w:line="360" w:lineRule="auto"/>
        <w:rPr>
          <w:rFonts w:ascii="宋体" w:hAnsi="宋体"/>
          <w:bCs/>
          <w:color w:val="auto"/>
          <w:szCs w:val="21"/>
          <w:highlight w:val="none"/>
        </w:rPr>
      </w:pPr>
      <w:r>
        <w:rPr>
          <w:rFonts w:hint="eastAsia" w:ascii="宋体" w:hAnsi="宋体"/>
          <w:bCs/>
          <w:color w:val="auto"/>
          <w:szCs w:val="21"/>
          <w:highlight w:val="none"/>
        </w:rPr>
        <w:t>项目编号：</w:t>
      </w:r>
    </w:p>
    <w:p>
      <w:pPr>
        <w:spacing w:line="360" w:lineRule="auto"/>
        <w:rPr>
          <w:color w:val="auto"/>
          <w:szCs w:val="21"/>
          <w:highlight w:val="none"/>
        </w:rPr>
      </w:pPr>
      <w:r>
        <w:rPr>
          <w:rFonts w:hint="eastAsia" w:ascii="宋体" w:hAnsi="宋体"/>
          <w:bCs/>
          <w:color w:val="auto"/>
          <w:szCs w:val="21"/>
          <w:highlight w:val="none"/>
        </w:rPr>
        <w:t>项目名称：</w:t>
      </w:r>
    </w:p>
    <w:tbl>
      <w:tblPr>
        <w:tblStyle w:val="8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15"/>
        <w:gridCol w:w="1336"/>
        <w:gridCol w:w="4759"/>
        <w:gridCol w:w="176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9" w:hRule="atLeast"/>
          <w:jc w:val="center"/>
        </w:trPr>
        <w:tc>
          <w:tcPr>
            <w:tcW w:w="1615"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有效供应商</w:t>
            </w:r>
          </w:p>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序号及简称</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评审分项</w:t>
            </w:r>
          </w:p>
        </w:tc>
        <w:tc>
          <w:tcPr>
            <w:tcW w:w="1768"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价格得分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82" w:hRule="atLeast"/>
          <w:jc w:val="center"/>
        </w:trPr>
        <w:tc>
          <w:tcPr>
            <w:tcW w:w="1615" w:type="dxa"/>
            <w:vMerge w:val="continue"/>
            <w:tcBorders>
              <w:left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经评审的最终响应报价</w:t>
            </w: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评标基准价</w:t>
            </w:r>
          </w:p>
        </w:tc>
        <w:tc>
          <w:tcPr>
            <w:tcW w:w="1768" w:type="dxa"/>
            <w:vMerge w:val="continue"/>
            <w:tcBorders>
              <w:left w:val="single" w:color="auto" w:sz="4" w:space="0"/>
              <w:bottom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s="宋体"/>
          <w:b/>
          <w:color w:val="auto"/>
          <w:kern w:val="0"/>
          <w:szCs w:val="21"/>
          <w:highlight w:val="none"/>
        </w:rPr>
      </w:pPr>
    </w:p>
    <w:p>
      <w:pPr>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注：</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rPr>
        <w:t>1、价格核准：磋商小组对有效供应商的详细报价进行复核，看其是否有计算错误或供货范围上的错误，修正错误的原则详见招标相关条款。</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b/>
          <w:color w:val="auto"/>
          <w:szCs w:val="21"/>
          <w:highlight w:val="none"/>
        </w:rPr>
        <w:t>2、价格评分：</w:t>
      </w:r>
      <w:r>
        <w:rPr>
          <w:rFonts w:hint="eastAsia" w:ascii="宋体" w:hAnsi="宋体" w:cs="宋体"/>
          <w:b/>
          <w:color w:val="auto"/>
          <w:kern w:val="0"/>
          <w:szCs w:val="21"/>
          <w:highlight w:val="none"/>
        </w:rPr>
        <w:t>综合评分法中的价格分统一采用低价优先法计算，即满足磋商文件要求且最后报价最低的供应商的价格为磋商基准价，其价格分为满分。其他供应商的价格分统一按照下列公式计算：</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rPr>
        <w:t>磋商报价得分=（磋商基准价/最后磋商报价）×价格权值×100</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3</w:t>
      </w:r>
      <w:r>
        <w:rPr>
          <w:rFonts w:hint="eastAsia" w:ascii="宋体" w:hAnsi="宋体" w:cs="宋体"/>
          <w:b/>
          <w:color w:val="auto"/>
          <w:kern w:val="0"/>
          <w:szCs w:val="21"/>
          <w:highlight w:val="none"/>
        </w:rPr>
        <w:t>、磋商报价得分四舍五入后，小数点后保留两位有效数。</w:t>
      </w:r>
    </w:p>
    <w:p>
      <w:pPr>
        <w:adjustRightInd w:val="0"/>
        <w:snapToGrid w:val="0"/>
        <w:spacing w:line="360" w:lineRule="auto"/>
        <w:ind w:left="420"/>
        <w:jc w:val="left"/>
        <w:rPr>
          <w:rFonts w:ascii="宋体" w:hAnsi="宋体" w:cs="宋体"/>
          <w:b/>
          <w:color w:val="auto"/>
          <w:kern w:val="0"/>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pStyle w:val="5"/>
        <w:autoSpaceDE w:val="0"/>
        <w:rPr>
          <w:color w:val="auto"/>
          <w:sz w:val="44"/>
          <w:highlight w:val="none"/>
        </w:rPr>
      </w:pPr>
      <w:bookmarkStart w:id="341" w:name="_Toc320515058"/>
      <w:bookmarkStart w:id="342" w:name="_Toc475104537"/>
    </w:p>
    <w:p>
      <w:pPr>
        <w:pStyle w:val="5"/>
        <w:autoSpaceDE w:val="0"/>
        <w:rPr>
          <w:color w:val="auto"/>
          <w:sz w:val="44"/>
          <w:highlight w:val="none"/>
        </w:rPr>
      </w:pPr>
    </w:p>
    <w:p>
      <w:pPr>
        <w:pStyle w:val="5"/>
        <w:autoSpaceDE w:val="0"/>
        <w:rPr>
          <w:color w:val="auto"/>
          <w:sz w:val="44"/>
          <w:highlight w:val="none"/>
        </w:rPr>
      </w:pPr>
    </w:p>
    <w:p>
      <w:pPr>
        <w:pStyle w:val="5"/>
        <w:autoSpaceDE w:val="0"/>
        <w:rPr>
          <w:color w:val="auto"/>
          <w:sz w:val="44"/>
          <w:highlight w:val="none"/>
        </w:rPr>
      </w:pPr>
    </w:p>
    <w:p>
      <w:pPr>
        <w:pStyle w:val="5"/>
        <w:autoSpaceDE w:val="0"/>
        <w:rPr>
          <w:color w:val="auto"/>
          <w:sz w:val="44"/>
          <w:highlight w:val="none"/>
        </w:rPr>
      </w:pPr>
    </w:p>
    <w:p>
      <w:pPr>
        <w:pStyle w:val="5"/>
        <w:autoSpaceDE w:val="0"/>
        <w:rPr>
          <w:color w:val="auto"/>
          <w:sz w:val="44"/>
          <w:highlight w:val="none"/>
        </w:rPr>
      </w:pPr>
      <w:r>
        <w:rPr>
          <w:rFonts w:hint="eastAsia"/>
          <w:color w:val="auto"/>
          <w:sz w:val="44"/>
          <w:highlight w:val="none"/>
        </w:rPr>
        <w:t>第六章 附  件（格式）</w:t>
      </w:r>
      <w:bookmarkEnd w:id="341"/>
      <w:bookmarkEnd w:id="342"/>
    </w:p>
    <w:p>
      <w:pPr>
        <w:spacing w:line="360" w:lineRule="auto"/>
        <w:rPr>
          <w:rFonts w:ascii="宋体" w:hAnsi="宋体"/>
          <w:bCs/>
          <w:color w:val="auto"/>
          <w:sz w:val="28"/>
          <w:highlight w:val="none"/>
        </w:rPr>
      </w:pPr>
      <w:bookmarkStart w:id="343" w:name="_Toc34535358"/>
      <w:bookmarkStart w:id="344" w:name="_Toc35834912"/>
      <w:bookmarkStart w:id="345" w:name="_Toc28489496"/>
      <w:bookmarkStart w:id="346" w:name="_Toc109467908"/>
      <w:bookmarkStart w:id="347" w:name="_Toc14450838"/>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color w:val="auto"/>
          <w:szCs w:val="30"/>
          <w:highlight w:val="none"/>
        </w:rPr>
      </w:pPr>
    </w:p>
    <w:p>
      <w:pPr>
        <w:pStyle w:val="6"/>
        <w:numPr>
          <w:ilvl w:val="0"/>
          <w:numId w:val="20"/>
        </w:numPr>
        <w:tabs>
          <w:tab w:val="left" w:pos="630"/>
          <w:tab w:val="clear" w:pos="420"/>
        </w:tabs>
        <w:autoSpaceDE w:val="0"/>
        <w:adjustRightInd/>
        <w:spacing w:before="48" w:after="48"/>
        <w:ind w:left="630" w:hanging="630"/>
        <w:jc w:val="left"/>
        <w:textAlignment w:val="auto"/>
        <w:rPr>
          <w:color w:val="auto"/>
          <w:szCs w:val="30"/>
          <w:highlight w:val="none"/>
        </w:rPr>
      </w:pPr>
      <w:bookmarkStart w:id="348" w:name="_Toc163481918"/>
      <w:r>
        <w:rPr>
          <w:rFonts w:hint="eastAsia"/>
          <w:color w:val="auto"/>
          <w:szCs w:val="30"/>
          <w:highlight w:val="none"/>
        </w:rPr>
        <w:t>磋商响应文件格式</w:t>
      </w:r>
      <w:bookmarkEnd w:id="348"/>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磋商响应文件请按以下要求的顺序和格式制作。</w:t>
      </w:r>
    </w:p>
    <w:tbl>
      <w:tblPr>
        <w:tblStyle w:val="89"/>
        <w:tblW w:w="9704" w:type="dxa"/>
        <w:tblInd w:w="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6630"/>
        <w:gridCol w:w="720"/>
        <w:gridCol w:w="778"/>
        <w:gridCol w:w="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b/>
                <w:bCs/>
                <w:color w:val="auto"/>
                <w:kern w:val="0"/>
                <w:szCs w:val="21"/>
                <w:highlight w:val="none"/>
              </w:rPr>
            </w:pPr>
            <w:r>
              <w:rPr>
                <w:rFonts w:hint="eastAsia" w:ascii="宋体" w:hAnsi="宋体" w:cs="宋体"/>
                <w:b/>
                <w:bCs/>
                <w:color w:val="auto"/>
                <w:kern w:val="0"/>
                <w:szCs w:val="21"/>
                <w:highlight w:val="none"/>
              </w:rPr>
              <w:t>序号</w:t>
            </w: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内容</w:t>
            </w:r>
          </w:p>
        </w:tc>
        <w:tc>
          <w:tcPr>
            <w:tcW w:w="72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是否提交</w:t>
            </w:r>
          </w:p>
        </w:tc>
        <w:tc>
          <w:tcPr>
            <w:tcW w:w="77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页码范围</w:t>
            </w:r>
          </w:p>
        </w:tc>
        <w:tc>
          <w:tcPr>
            <w:tcW w:w="84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目录</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具有独立承担民事责任的能力【提供法人或者其他组织的营业执照等证明文件，自然人的身份证明；）复印件，如依法经国务院批准免予登记的社会组织的，应提供相应文件证明其依法免予登记】</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具有良好的商业信誉和健全的财务会计制度【近两年年度内任意一年的年度财务报告(新成立公司提供成立至今的月或季度财务报表复印件)或银行出具的资信证明】</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具有履行合同所必需的设备和专业技术能力【提供书面承诺证明材料】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color w:val="auto"/>
                <w:highlight w:val="none"/>
              </w:rPr>
              <w:t>★有依法缴纳税收和社会保障资金的良好记录</w:t>
            </w:r>
            <w:r>
              <w:rPr>
                <w:rFonts w:hint="eastAsia" w:ascii="宋体" w:hAnsi="宋体" w:cs="宋体"/>
                <w:color w:val="auto"/>
                <w:szCs w:val="20"/>
                <w:highlight w:val="none"/>
              </w:rPr>
              <w:t>【①税收部门出具的至投标截止时间前一年内任意一个月的缴纳税收证明；②至投标截止时间前一年内任意一个月内开具的缴纳社会保险凭据】</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参加政府采购活动前三年内，在经营活动中没有重大违法记录【提供书面承诺证明材料】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供应商《公平竞争承诺书》原件( 附件6)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2"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s="宋体"/>
                <w:color w:val="auto"/>
                <w:szCs w:val="21"/>
                <w:highlight w:val="none"/>
              </w:rPr>
              <w:t>★</w:t>
            </w:r>
            <w:r>
              <w:rPr>
                <w:rFonts w:hint="eastAsia" w:ascii="宋体" w:hAnsi="宋体" w:cs="宋体"/>
                <w:color w:val="auto"/>
                <w:szCs w:val="20"/>
                <w:highlight w:val="none"/>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供应商为非独立法人（即由合法法人依法建立的分公司），除了对供应商进行信息查询外，同时对总公司的信息查询记录和证据截图或下载存档）。</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本项目不接受联合体投标。</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bCs/>
                <w:color w:val="auto"/>
                <w:szCs w:val="20"/>
                <w:highlight w:val="none"/>
              </w:rPr>
            </w:pPr>
            <w:r>
              <w:rPr>
                <w:rFonts w:hint="eastAsia" w:ascii="宋体" w:hAnsi="宋体" w:cs="宋体"/>
                <w:color w:val="auto"/>
                <w:kern w:val="0"/>
                <w:szCs w:val="21"/>
                <w:highlight w:val="none"/>
                <w:lang w:val="hr-HR"/>
              </w:rPr>
              <w:t>★</w:t>
            </w:r>
            <w:r>
              <w:rPr>
                <w:rFonts w:hint="eastAsia" w:ascii="宋体" w:hAnsi="宋体"/>
                <w:color w:val="auto"/>
                <w:kern w:val="0"/>
                <w:szCs w:val="21"/>
                <w:highlight w:val="none"/>
              </w:rPr>
              <w:t>《</w:t>
            </w:r>
            <w:r>
              <w:rPr>
                <w:rFonts w:hint="eastAsia" w:ascii="宋体" w:hAnsi="宋体" w:cs="宋体"/>
                <w:color w:val="auto"/>
                <w:szCs w:val="21"/>
                <w:highlight w:val="none"/>
              </w:rPr>
              <w:t>清单报价表</w:t>
            </w:r>
            <w:r>
              <w:rPr>
                <w:rFonts w:hint="eastAsia" w:ascii="宋体" w:hAnsi="宋体"/>
                <w:color w:val="auto"/>
                <w:kern w:val="0"/>
                <w:szCs w:val="21"/>
                <w:highlight w:val="none"/>
              </w:rPr>
              <w:t>》</w:t>
            </w:r>
            <w:r>
              <w:rPr>
                <w:rFonts w:hint="eastAsia" w:ascii="宋体" w:hAnsi="宋体" w:cs="宋体"/>
                <w:color w:val="auto"/>
                <w:kern w:val="0"/>
                <w:szCs w:val="21"/>
                <w:highlight w:val="none"/>
                <w:lang w:val="hr-HR"/>
              </w:rPr>
              <w:t>（含封面）原件</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法定代表人证明书( 附件2)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法定代表人授权书( 附件3)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highlight w:val="none"/>
              </w:rPr>
            </w:pPr>
            <w:r>
              <w:rPr>
                <w:rFonts w:hint="eastAsia" w:ascii="宋体" w:hAnsi="宋体"/>
                <w:color w:val="auto"/>
                <w:highlight w:val="none"/>
              </w:rPr>
              <w:t>资格声明函</w:t>
            </w:r>
            <w:r>
              <w:rPr>
                <w:rFonts w:hint="eastAsia" w:ascii="宋体" w:hAnsi="宋体" w:cs="宋体"/>
                <w:color w:val="auto"/>
                <w:kern w:val="0"/>
                <w:szCs w:val="21"/>
                <w:highlight w:val="none"/>
              </w:rPr>
              <w:t>（附件4)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ind w:firstLine="105" w:firstLineChars="50"/>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同意竞争性</w:t>
            </w:r>
            <w:r>
              <w:rPr>
                <w:rFonts w:hint="eastAsia" w:ascii="宋体" w:hAnsi="宋体"/>
                <w:bCs/>
                <w:color w:val="auto"/>
                <w:szCs w:val="21"/>
                <w:highlight w:val="none"/>
              </w:rPr>
              <w:t>磋商</w:t>
            </w:r>
            <w:r>
              <w:rPr>
                <w:rFonts w:hint="eastAsia" w:ascii="宋体" w:hAnsi="宋体" w:cs="宋体"/>
                <w:color w:val="auto"/>
                <w:kern w:val="0"/>
                <w:szCs w:val="21"/>
                <w:highlight w:val="none"/>
              </w:rPr>
              <w:t>文件条款说明 （附件5)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szCs w:val="21"/>
                <w:highlight w:val="none"/>
              </w:rPr>
            </w:pPr>
            <w:r>
              <w:rPr>
                <w:rFonts w:hint="eastAsia" w:ascii="宋体" w:hAnsi="宋体"/>
                <w:bCs/>
                <w:color w:val="auto"/>
                <w:szCs w:val="21"/>
                <w:highlight w:val="none"/>
              </w:rPr>
              <w:t>报价一览表（首次报价）( 附件7)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磋商分项报价表( 附件8)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bCs/>
                <w:color w:val="auto"/>
                <w:kern w:val="0"/>
                <w:szCs w:val="21"/>
                <w:highlight w:val="none"/>
              </w:rPr>
              <w:t>产品适用政府采购政策情况表</w:t>
            </w:r>
            <w:r>
              <w:rPr>
                <w:rFonts w:hint="eastAsia" w:ascii="宋体" w:hAnsi="宋体"/>
                <w:color w:val="auto"/>
                <w:kern w:val="0"/>
                <w:szCs w:val="21"/>
                <w:highlight w:val="none"/>
              </w:rPr>
              <w:t>(附件9)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kern w:val="0"/>
                <w:szCs w:val="21"/>
                <w:highlight w:val="none"/>
              </w:rPr>
            </w:pPr>
            <w:r>
              <w:rPr>
                <w:rFonts w:hint="eastAsia" w:ascii="宋体" w:hAnsi="宋体"/>
                <w:bCs/>
                <w:color w:val="auto"/>
                <w:kern w:val="0"/>
                <w:szCs w:val="21"/>
                <w:highlight w:val="none"/>
              </w:rPr>
              <w:t>中小企业声明函（附件10）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监狱企业的证明文件（如适用）</w:t>
            </w:r>
            <w:r>
              <w:rPr>
                <w:rFonts w:hint="eastAsia" w:ascii="宋体" w:hAnsi="宋体" w:cs="宋体"/>
                <w:color w:val="auto"/>
                <w:kern w:val="0"/>
                <w:szCs w:val="21"/>
                <w:highlight w:val="none"/>
              </w:rPr>
              <w:t>（附件11）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残疾人福利性单位声明函（如适用）</w:t>
            </w:r>
            <w:r>
              <w:rPr>
                <w:rFonts w:hint="eastAsia" w:ascii="宋体" w:hAnsi="宋体" w:cs="宋体"/>
                <w:color w:val="auto"/>
                <w:kern w:val="0"/>
                <w:szCs w:val="21"/>
                <w:highlight w:val="none"/>
              </w:rPr>
              <w:t>（附件12）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供应商基本情况表( 附件13)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采购需求响应表( 附件14)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合同条款响应一览表( 附件15)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ascii="宋体" w:hAnsi="宋体"/>
                <w:color w:val="auto"/>
                <w:sz w:val="22"/>
                <w:szCs w:val="22"/>
                <w:highlight w:val="none"/>
              </w:rPr>
              <w:t>同类</w:t>
            </w:r>
            <w:r>
              <w:rPr>
                <w:rFonts w:hint="eastAsia" w:ascii="宋体" w:hAnsi="宋体"/>
                <w:color w:val="auto"/>
                <w:sz w:val="22"/>
                <w:szCs w:val="22"/>
                <w:highlight w:val="none"/>
              </w:rPr>
              <w:t>项目业绩一</w:t>
            </w:r>
            <w:r>
              <w:rPr>
                <w:rFonts w:hint="eastAsia" w:ascii="宋体" w:hAnsi="宋体"/>
                <w:color w:val="auto"/>
                <w:szCs w:val="21"/>
                <w:highlight w:val="none"/>
              </w:rPr>
              <w:t>览表</w:t>
            </w:r>
            <w:r>
              <w:rPr>
                <w:rFonts w:hint="eastAsia" w:ascii="宋体" w:hAnsi="宋体" w:cs="宋体"/>
                <w:color w:val="auto"/>
                <w:kern w:val="0"/>
                <w:szCs w:val="21"/>
                <w:highlight w:val="none"/>
              </w:rPr>
              <w:t>( 附件16)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技术服务方案( 附件17)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缴交采购代理服务费承诺书( 附件18)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ind w:left="0" w:leftChars="0" w:firstLine="0" w:firstLineChars="0"/>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磋商保证金汇款声明函(附件19)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ind w:left="0" w:leftChars="0" w:firstLine="0" w:firstLineChars="0"/>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政府采购投标担保函（附件20）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ind w:left="0" w:leftChars="0" w:firstLine="0" w:firstLineChars="0"/>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拟派本项目负责人及主要人员情况表（附件</w:t>
            </w:r>
            <w:r>
              <w:rPr>
                <w:rFonts w:hint="eastAsia" w:ascii="宋体" w:hAnsi="宋体" w:cs="宋体"/>
                <w:color w:val="auto"/>
                <w:kern w:val="0"/>
                <w:szCs w:val="21"/>
                <w:highlight w:val="none"/>
                <w:lang w:val="en-US" w:eastAsia="zh-CN"/>
              </w:rPr>
              <w:t>21</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ind w:left="0" w:leftChars="0" w:firstLine="0" w:firstLineChars="0"/>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实质性条款响应一览表（附件</w:t>
            </w:r>
            <w:r>
              <w:rPr>
                <w:rFonts w:hint="eastAsia" w:ascii="宋体" w:hAnsi="宋体" w:cs="宋体"/>
                <w:color w:val="auto"/>
                <w:kern w:val="0"/>
                <w:szCs w:val="21"/>
                <w:highlight w:val="none"/>
                <w:lang w:val="en-US" w:eastAsia="zh-CN"/>
              </w:rPr>
              <w:t>22</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ind w:left="0" w:leftChars="0" w:firstLine="0" w:firstLineChars="0"/>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cs="宋体"/>
                <w:color w:val="auto"/>
                <w:kern w:val="0"/>
                <w:szCs w:val="21"/>
                <w:highlight w:val="none"/>
              </w:rPr>
              <w:t>采购人配合的条件及伴随服务(附件2</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ind w:left="0" w:leftChars="0" w:firstLine="0" w:firstLineChars="0"/>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cs="宋体"/>
                <w:color w:val="auto"/>
                <w:kern w:val="0"/>
                <w:szCs w:val="21"/>
                <w:highlight w:val="none"/>
              </w:rPr>
              <w:t>供应商认为有必要说明的其他文件(附件2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bl>
    <w:p>
      <w:pPr>
        <w:spacing w:line="360" w:lineRule="auto"/>
        <w:ind w:firstLine="422" w:firstLineChars="200"/>
        <w:rPr>
          <w:b/>
          <w:color w:val="auto"/>
          <w:szCs w:val="21"/>
          <w:highlight w:val="none"/>
        </w:rPr>
      </w:pPr>
      <w:r>
        <w:rPr>
          <w:rFonts w:hint="eastAsia"/>
          <w:b/>
          <w:color w:val="auto"/>
          <w:szCs w:val="21"/>
          <w:highlight w:val="none"/>
        </w:rPr>
        <w:t>注：如提交的文件为复印件，需加盖公章。所有证书类文件提供复印件且必须在有效期内。</w:t>
      </w: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rPr>
          <w:b/>
          <w:color w:val="auto"/>
          <w:szCs w:val="21"/>
          <w:highlight w:val="none"/>
        </w:rPr>
      </w:pPr>
    </w:p>
    <w:p>
      <w:pPr>
        <w:pStyle w:val="6"/>
        <w:numPr>
          <w:ilvl w:val="0"/>
          <w:numId w:val="20"/>
        </w:numPr>
        <w:tabs>
          <w:tab w:val="left" w:pos="630"/>
          <w:tab w:val="clear" w:pos="420"/>
        </w:tabs>
        <w:autoSpaceDE w:val="0"/>
        <w:adjustRightInd/>
        <w:spacing w:before="48" w:after="48"/>
        <w:ind w:left="630" w:hanging="630"/>
        <w:jc w:val="left"/>
        <w:textAlignment w:val="auto"/>
        <w:rPr>
          <w:color w:val="auto"/>
          <w:szCs w:val="30"/>
          <w:highlight w:val="none"/>
        </w:rPr>
      </w:pPr>
      <w:r>
        <w:rPr>
          <w:rFonts w:hint="eastAsia"/>
          <w:color w:val="auto"/>
          <w:szCs w:val="30"/>
          <w:highlight w:val="none"/>
        </w:rPr>
        <w:t>报价信封内容</w:t>
      </w:r>
    </w:p>
    <w:p>
      <w:pPr>
        <w:spacing w:line="360" w:lineRule="auto"/>
        <w:jc w:val="center"/>
        <w:rPr>
          <w:rFonts w:ascii="宋体" w:hAnsi="宋体"/>
          <w:bCs/>
          <w:color w:val="auto"/>
          <w:sz w:val="24"/>
          <w:highlight w:val="none"/>
        </w:rPr>
      </w:pPr>
    </w:p>
    <w:p>
      <w:pPr>
        <w:spacing w:line="360" w:lineRule="auto"/>
        <w:ind w:firstLine="420" w:firstLineChars="200"/>
        <w:rPr>
          <w:rFonts w:ascii="宋体" w:hAnsi="宋体"/>
          <w:bCs/>
          <w:color w:val="auto"/>
          <w:szCs w:val="21"/>
          <w:highlight w:val="none"/>
        </w:rPr>
      </w:pPr>
      <w:r>
        <w:rPr>
          <w:rFonts w:hint="eastAsia" w:ascii="宋体" w:hAnsi="宋体"/>
          <w:bCs/>
          <w:color w:val="auto"/>
          <w:szCs w:val="21"/>
          <w:highlight w:val="none"/>
        </w:rPr>
        <w:t>报价信封必须单独密封（该信封不要放入其它信封内），封口加盖公章，与磋商响应文件一同递交，其内装以下内容：</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（1）报价一览表</w:t>
      </w:r>
    </w:p>
    <w:p>
      <w:pPr>
        <w:spacing w:line="360" w:lineRule="auto"/>
        <w:ind w:left="540"/>
        <w:rPr>
          <w:rFonts w:hint="eastAsia" w:ascii="宋体" w:hAnsi="宋体"/>
          <w:bCs/>
          <w:color w:val="auto"/>
          <w:szCs w:val="21"/>
          <w:highlight w:val="none"/>
        </w:rPr>
      </w:pPr>
      <w:r>
        <w:rPr>
          <w:rFonts w:hint="eastAsia" w:ascii="宋体" w:hAnsi="宋体"/>
          <w:bCs/>
          <w:color w:val="auto"/>
          <w:szCs w:val="21"/>
          <w:highlight w:val="none"/>
        </w:rPr>
        <w:t>（2）电子文档一份</w:t>
      </w:r>
    </w:p>
    <w:p>
      <w:pPr>
        <w:spacing w:line="360" w:lineRule="auto"/>
        <w:ind w:left="540"/>
        <w:rPr>
          <w:rFonts w:hint="eastAsia" w:ascii="宋体" w:hAnsi="宋体"/>
          <w:bCs/>
          <w:color w:val="auto"/>
          <w:szCs w:val="21"/>
          <w:highlight w:val="none"/>
        </w:rPr>
      </w:pPr>
      <w:r>
        <w:rPr>
          <w:rFonts w:hint="eastAsia" w:ascii="宋体" w:hAnsi="宋体" w:cs="宋体"/>
          <w:bCs/>
          <w:color w:val="auto"/>
          <w:szCs w:val="21"/>
          <w:highlight w:val="none"/>
        </w:rPr>
        <w:t>（3）磋商保证金汇款声明函</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w:t>
      </w:r>
      <w:r>
        <w:rPr>
          <w:rFonts w:hint="eastAsia" w:ascii="宋体" w:hAnsi="宋体"/>
          <w:bCs/>
          <w:color w:val="auto"/>
          <w:szCs w:val="21"/>
          <w:highlight w:val="none"/>
          <w:lang w:val="en-US" w:eastAsia="zh-CN"/>
        </w:rPr>
        <w:t>4</w:t>
      </w:r>
      <w:r>
        <w:rPr>
          <w:rFonts w:hint="eastAsia" w:ascii="宋体" w:hAnsi="宋体"/>
          <w:bCs/>
          <w:color w:val="auto"/>
          <w:szCs w:val="21"/>
          <w:highlight w:val="none"/>
        </w:rPr>
        <w:t>）</w:t>
      </w:r>
      <w:r>
        <w:rPr>
          <w:rFonts w:hint="eastAsia" w:ascii="宋体" w:hAnsi="宋体" w:cs="宋体"/>
          <w:color w:val="auto"/>
          <w:kern w:val="0"/>
          <w:szCs w:val="21"/>
          <w:highlight w:val="none"/>
        </w:rPr>
        <w:t>法定代表人授权书</w:t>
      </w: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105"/>
        <w:rPr>
          <w:rFonts w:ascii="宋体" w:hAnsi="宋体"/>
          <w:bCs/>
          <w:color w:val="auto"/>
          <w:sz w:val="28"/>
          <w:szCs w:val="28"/>
          <w:highlight w:val="none"/>
        </w:rPr>
      </w:pPr>
      <w:r>
        <w:rPr>
          <w:rFonts w:hint="eastAsia" w:ascii="宋体" w:hAnsi="宋体"/>
          <w:b/>
          <w:bCs/>
          <w:color w:val="auto"/>
          <w:kern w:val="0"/>
          <w:sz w:val="28"/>
          <w:szCs w:val="28"/>
          <w:highlight w:val="none"/>
        </w:rPr>
        <w:t>附件1 竞争性磋商函</w:t>
      </w:r>
    </w:p>
    <w:p>
      <w:pPr>
        <w:spacing w:line="360" w:lineRule="auto"/>
        <w:jc w:val="left"/>
        <w:rPr>
          <w:rFonts w:ascii="宋体" w:hAnsi="宋体"/>
          <w:color w:val="auto"/>
          <w:szCs w:val="21"/>
          <w:highlight w:val="none"/>
        </w:rPr>
      </w:pPr>
      <w:r>
        <w:rPr>
          <w:rFonts w:hint="eastAsia" w:ascii="宋体" w:hAnsi="宋体"/>
          <w:color w:val="auto"/>
          <w:szCs w:val="21"/>
          <w:highlight w:val="none"/>
        </w:rPr>
        <w:t>致：广州市信怡招标代理有限公司</w:t>
      </w:r>
    </w:p>
    <w:p>
      <w:pPr>
        <w:autoSpaceDE w:val="0"/>
        <w:spacing w:line="360" w:lineRule="auto"/>
        <w:ind w:firstLine="480"/>
        <w:jc w:val="left"/>
        <w:rPr>
          <w:rFonts w:ascii="宋体" w:hAnsi="宋体"/>
          <w:color w:val="auto"/>
          <w:szCs w:val="21"/>
          <w:highlight w:val="none"/>
        </w:rPr>
      </w:pPr>
      <w:r>
        <w:rPr>
          <w:rFonts w:hint="eastAsia" w:ascii="宋体" w:hAnsi="宋体"/>
          <w:color w:val="auto"/>
          <w:szCs w:val="21"/>
          <w:highlight w:val="none"/>
        </w:rPr>
        <w:t>我方确认收到你方提供的</w:t>
      </w:r>
      <w:r>
        <w:rPr>
          <w:rFonts w:ascii="ZWAdobeF" w:hAnsi="ZWAdobeF" w:cs="ZWAdobeF"/>
          <w:color w:val="auto"/>
          <w:sz w:val="2"/>
          <w:szCs w:val="2"/>
          <w:highlight w:val="none"/>
        </w:rPr>
        <w:t>UUU</w:t>
      </w:r>
      <w:r>
        <w:rPr>
          <w:rFonts w:ascii="ZWAdobeF" w:hAnsi="ZWAdobeF" w:cs="ZWAdobeF"/>
          <w:color w:val="auto"/>
          <w:sz w:val="2"/>
          <w:szCs w:val="2"/>
          <w:highlight w:val="none"/>
          <w:u w:val="single"/>
        </w:rPr>
        <w:t>U</w:t>
      </w:r>
      <w:r>
        <w:rPr>
          <w:rFonts w:hint="eastAsia" w:ascii="宋体" w:hAnsi="宋体"/>
          <w:bCs/>
          <w:color w:val="auto"/>
          <w:highlight w:val="none"/>
          <w:u w:val="single"/>
        </w:rPr>
        <w:t xml:space="preserve">项目名称     </w:t>
      </w:r>
      <w:r>
        <w:rPr>
          <w:rFonts w:ascii="ZWAdobeF" w:hAnsi="ZWAdobeF" w:cs="ZWAdobeF"/>
          <w:color w:val="auto"/>
          <w:sz w:val="2"/>
          <w:szCs w:val="2"/>
          <w:highlight w:val="none"/>
          <w:u w:val="single"/>
        </w:rPr>
        <w:t>UU</w:t>
      </w:r>
      <w:r>
        <w:rPr>
          <w:rFonts w:ascii="ZWAdobeF" w:hAnsi="ZWAdobeF" w:cs="ZWAdobeF"/>
          <w:color w:val="auto"/>
          <w:sz w:val="2"/>
          <w:szCs w:val="2"/>
          <w:highlight w:val="none"/>
        </w:rPr>
        <w:t>UU</w:t>
      </w:r>
      <w:r>
        <w:rPr>
          <w:rFonts w:hint="eastAsia" w:ascii="宋体" w:hAnsi="宋体"/>
          <w:color w:val="auto"/>
          <w:szCs w:val="21"/>
          <w:highlight w:val="none"/>
        </w:rPr>
        <w:t>及其相关服务的竞争性磋商文件的全部内容。我方：</w:t>
      </w:r>
      <w:r>
        <w:rPr>
          <w:rFonts w:ascii="ZWAdobeF" w:hAnsi="ZWAdobeF" w:cs="ZWAdobeF"/>
          <w:color w:val="auto"/>
          <w:sz w:val="2"/>
          <w:szCs w:val="2"/>
          <w:highlight w:val="none"/>
        </w:rPr>
        <w:t>UUUU</w:t>
      </w:r>
      <w:r>
        <w:rPr>
          <w:rFonts w:hint="eastAsia" w:ascii="宋体" w:hAnsi="宋体"/>
          <w:color w:val="auto"/>
          <w:szCs w:val="21"/>
          <w:highlight w:val="none"/>
          <w:u w:val="single"/>
        </w:rPr>
        <w:t>（供应商名称）</w:t>
      </w:r>
      <w:r>
        <w:rPr>
          <w:rFonts w:ascii="ZWAdobeF" w:hAnsi="ZWAdobeF" w:cs="ZWAdobeF"/>
          <w:color w:val="auto"/>
          <w:sz w:val="2"/>
          <w:szCs w:val="2"/>
          <w:highlight w:val="none"/>
        </w:rPr>
        <w:t>UUUU</w:t>
      </w:r>
      <w:r>
        <w:rPr>
          <w:rFonts w:hint="eastAsia" w:ascii="宋体" w:hAnsi="宋体"/>
          <w:color w:val="auto"/>
          <w:szCs w:val="21"/>
          <w:highlight w:val="none"/>
        </w:rPr>
        <w:t>作为报价者正式授权</w:t>
      </w:r>
      <w:r>
        <w:rPr>
          <w:rFonts w:ascii="ZWAdobeF" w:hAnsi="ZWAdobeF" w:cs="ZWAdobeF"/>
          <w:color w:val="auto"/>
          <w:sz w:val="2"/>
          <w:szCs w:val="2"/>
          <w:highlight w:val="none"/>
        </w:rPr>
        <w:t>UUUU</w:t>
      </w:r>
      <w:r>
        <w:rPr>
          <w:rFonts w:hint="eastAsia" w:ascii="宋体" w:hAnsi="宋体"/>
          <w:color w:val="auto"/>
          <w:szCs w:val="21"/>
          <w:highlight w:val="none"/>
          <w:u w:val="single"/>
        </w:rPr>
        <w:t>（姓名、职位）</w:t>
      </w:r>
      <w:r>
        <w:rPr>
          <w:rFonts w:ascii="ZWAdobeF" w:hAnsi="ZWAdobeF" w:cs="ZWAdobeF"/>
          <w:color w:val="auto"/>
          <w:sz w:val="2"/>
          <w:szCs w:val="2"/>
          <w:highlight w:val="none"/>
        </w:rPr>
        <w:t>UUUU</w:t>
      </w:r>
      <w:r>
        <w:rPr>
          <w:rFonts w:hint="eastAsia" w:ascii="宋体" w:hAnsi="宋体"/>
          <w:color w:val="auto"/>
          <w:szCs w:val="21"/>
          <w:highlight w:val="none"/>
        </w:rPr>
        <w:t>代表我方进行有关报价的一切事宜。在此提交的报价文件，正本</w:t>
      </w:r>
      <w:r>
        <w:rPr>
          <w:rFonts w:hint="eastAsia" w:ascii="宋体" w:hAnsi="宋体"/>
          <w:color w:val="auto"/>
          <w:szCs w:val="21"/>
          <w:highlight w:val="none"/>
          <w:u w:val="single"/>
        </w:rPr>
        <w:t>壹</w:t>
      </w:r>
      <w:r>
        <w:rPr>
          <w:rFonts w:hint="eastAsia" w:ascii="宋体" w:hAnsi="宋体"/>
          <w:color w:val="auto"/>
          <w:szCs w:val="21"/>
          <w:highlight w:val="none"/>
        </w:rPr>
        <w:t>份，副本</w:t>
      </w:r>
      <w:r>
        <w:rPr>
          <w:rFonts w:hint="eastAsia" w:ascii="宋体" w:hAnsi="宋体"/>
          <w:color w:val="auto"/>
          <w:szCs w:val="21"/>
          <w:highlight w:val="none"/>
          <w:u w:val="single"/>
        </w:rPr>
        <w:t>贰</w:t>
      </w:r>
      <w:r>
        <w:rPr>
          <w:rFonts w:hint="eastAsia" w:ascii="宋体" w:hAnsi="宋体"/>
          <w:color w:val="auto"/>
          <w:szCs w:val="21"/>
          <w:highlight w:val="none"/>
        </w:rPr>
        <w:t>份。我方已完全明白竞争性</w:t>
      </w:r>
      <w:r>
        <w:rPr>
          <w:rFonts w:hint="eastAsia" w:ascii="宋体" w:hAnsi="宋体"/>
          <w:bCs/>
          <w:color w:val="auto"/>
          <w:szCs w:val="21"/>
          <w:highlight w:val="none"/>
        </w:rPr>
        <w:t>磋商</w:t>
      </w:r>
      <w:r>
        <w:rPr>
          <w:rFonts w:hint="eastAsia" w:ascii="宋体" w:hAnsi="宋体"/>
          <w:color w:val="auto"/>
          <w:szCs w:val="21"/>
          <w:highlight w:val="none"/>
        </w:rPr>
        <w:t>文件的所有条款要求，并重申以下几点：</w:t>
      </w:r>
    </w:p>
    <w:p>
      <w:pPr>
        <w:spacing w:line="360" w:lineRule="auto"/>
        <w:jc w:val="left"/>
        <w:rPr>
          <w:rFonts w:ascii="宋体" w:hAnsi="宋体"/>
          <w:color w:val="auto"/>
          <w:szCs w:val="21"/>
          <w:highlight w:val="none"/>
        </w:rPr>
      </w:pPr>
      <w:r>
        <w:rPr>
          <w:rFonts w:hint="eastAsia" w:ascii="宋体" w:hAnsi="宋体"/>
          <w:color w:val="auto"/>
          <w:szCs w:val="21"/>
          <w:highlight w:val="none"/>
        </w:rPr>
        <w:t>1.我方决定参加：项目编号为</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号的磋商响应。响应报价总价为</w:t>
      </w:r>
      <w:r>
        <w:rPr>
          <w:rFonts w:hint="eastAsia" w:ascii="宋体" w:hAnsi="宋体"/>
          <w:color w:val="auto"/>
          <w:szCs w:val="21"/>
          <w:highlight w:val="none"/>
          <w:u w:val="single"/>
        </w:rPr>
        <w:t xml:space="preserve">          </w:t>
      </w:r>
      <w:r>
        <w:rPr>
          <w:rFonts w:hint="eastAsia" w:ascii="宋体" w:hAnsi="宋体"/>
          <w:color w:val="auto"/>
          <w:szCs w:val="21"/>
          <w:highlight w:val="none"/>
        </w:rPr>
        <w:t>元；</w:t>
      </w:r>
    </w:p>
    <w:p>
      <w:pPr>
        <w:autoSpaceDE w:val="0"/>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2.本报价文件的有效期为</w:t>
      </w:r>
      <w:r>
        <w:rPr>
          <w:rFonts w:hint="eastAsia" w:ascii="宋体" w:hAnsi="宋体"/>
          <w:color w:val="auto"/>
          <w:highlight w:val="none"/>
        </w:rPr>
        <w:t>磋商响应文件递交</w:t>
      </w:r>
      <w:r>
        <w:rPr>
          <w:rFonts w:hint="eastAsia" w:ascii="宋体" w:hAnsi="宋体"/>
          <w:color w:val="auto"/>
          <w:szCs w:val="21"/>
          <w:highlight w:val="none"/>
        </w:rPr>
        <w:t>截止日后</w:t>
      </w:r>
      <w:r>
        <w:rPr>
          <w:rFonts w:ascii="ZWAdobeF" w:hAnsi="ZWAdobeF" w:cs="ZWAdobeF"/>
          <w:color w:val="auto"/>
          <w:sz w:val="2"/>
          <w:szCs w:val="2"/>
          <w:highlight w:val="none"/>
        </w:rPr>
        <w:t>UUUU</w:t>
      </w:r>
      <w:r>
        <w:rPr>
          <w:rFonts w:hint="eastAsia" w:ascii="宋体" w:hAnsi="宋体"/>
          <w:color w:val="auto"/>
          <w:szCs w:val="21"/>
          <w:highlight w:val="none"/>
          <w:u w:val="single"/>
        </w:rPr>
        <w:t>90</w:t>
      </w:r>
      <w:r>
        <w:rPr>
          <w:rFonts w:ascii="ZWAdobeF" w:hAnsi="ZWAdobeF" w:cs="ZWAdobeF"/>
          <w:color w:val="auto"/>
          <w:sz w:val="2"/>
          <w:szCs w:val="2"/>
          <w:highlight w:val="none"/>
        </w:rPr>
        <w:t>UUUU</w:t>
      </w:r>
      <w:r>
        <w:rPr>
          <w:rFonts w:hint="eastAsia" w:ascii="宋体" w:hAnsi="宋体"/>
          <w:color w:val="auto"/>
          <w:szCs w:val="21"/>
          <w:highlight w:val="none"/>
        </w:rPr>
        <w:t>天有效，如被确定为供应商成交供应商，有效期将延至合同终止日为止；</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3.我方已详细研究了竞争性磋商文件的所有内容包括修正（如果有）和所有已提供的参考资料以及有关格式并完全明白，我方放弃在此方面提出含糊意见或误解的一切权利；</w:t>
      </w:r>
    </w:p>
    <w:p>
      <w:pPr>
        <w:spacing w:line="360" w:lineRule="auto"/>
        <w:jc w:val="left"/>
        <w:rPr>
          <w:rFonts w:ascii="宋体" w:hAnsi="宋体"/>
          <w:color w:val="auto"/>
          <w:szCs w:val="21"/>
          <w:highlight w:val="none"/>
        </w:rPr>
      </w:pPr>
      <w:r>
        <w:rPr>
          <w:rFonts w:hint="eastAsia" w:ascii="宋体" w:hAnsi="宋体"/>
          <w:color w:val="auto"/>
          <w:szCs w:val="21"/>
          <w:highlight w:val="none"/>
        </w:rPr>
        <w:t>4.我方同意按照你方可能提出的要求提供与报价有关的任何其它数据或信息；</w:t>
      </w:r>
    </w:p>
    <w:p>
      <w:pPr>
        <w:spacing w:line="360" w:lineRule="auto"/>
        <w:jc w:val="left"/>
        <w:rPr>
          <w:rFonts w:ascii="宋体" w:hAnsi="宋体"/>
          <w:color w:val="auto"/>
          <w:szCs w:val="21"/>
          <w:highlight w:val="none"/>
        </w:rPr>
      </w:pPr>
      <w:r>
        <w:rPr>
          <w:rFonts w:hint="eastAsia" w:ascii="宋体" w:hAnsi="宋体"/>
          <w:color w:val="auto"/>
          <w:szCs w:val="21"/>
          <w:highlight w:val="none"/>
        </w:rPr>
        <w:t>5.我方理解磋商小组不一定接受最低报价或任何你方可能收到的报价；</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6.我方如被确定为供应商成交供应商，将保证履行竞争性磋商文件以及竞争性磋商文件修改书（如有的话）中的全部责任和义务，按质、按量、按期完成《合同》中的全部任务；</w:t>
      </w:r>
    </w:p>
    <w:p>
      <w:pPr>
        <w:spacing w:line="360" w:lineRule="auto"/>
        <w:jc w:val="left"/>
        <w:rPr>
          <w:rFonts w:ascii="宋体" w:hAnsi="宋体"/>
          <w:color w:val="auto"/>
          <w:szCs w:val="21"/>
          <w:highlight w:val="none"/>
        </w:rPr>
      </w:pPr>
      <w:r>
        <w:rPr>
          <w:rFonts w:hint="eastAsia" w:ascii="宋体" w:hAnsi="宋体"/>
          <w:color w:val="auto"/>
          <w:szCs w:val="21"/>
          <w:highlight w:val="none"/>
        </w:rPr>
        <w:t>7.我方自行完全承担因报价文件错误、缺漏、不清晰而导致的一切后果；</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8.我方确认此次磋商中提供的一切资料均是真实的，准确的，并完全承担因此产生的一切后果。</w:t>
      </w:r>
    </w:p>
    <w:p>
      <w:pPr>
        <w:spacing w:line="360" w:lineRule="auto"/>
        <w:jc w:val="left"/>
        <w:rPr>
          <w:rFonts w:ascii="宋体" w:hAnsi="宋体"/>
          <w:color w:val="auto"/>
          <w:szCs w:val="21"/>
          <w:highlight w:val="none"/>
        </w:rPr>
      </w:pPr>
      <w:r>
        <w:rPr>
          <w:rFonts w:hint="eastAsia" w:ascii="宋体" w:hAnsi="宋体"/>
          <w:color w:val="auto"/>
          <w:szCs w:val="21"/>
          <w:highlight w:val="none"/>
        </w:rPr>
        <w:t>9.我方的报价被接受，我方同意按照竞争性磋商文件规定向采购代理机构缴纳采购代理服务费。</w:t>
      </w:r>
    </w:p>
    <w:p>
      <w:pPr>
        <w:spacing w:line="360" w:lineRule="auto"/>
        <w:jc w:val="left"/>
        <w:rPr>
          <w:rFonts w:ascii="宋体" w:hAnsi="宋体"/>
          <w:color w:val="auto"/>
          <w:szCs w:val="21"/>
          <w:highlight w:val="none"/>
        </w:rPr>
      </w:pPr>
      <w:r>
        <w:rPr>
          <w:rFonts w:hint="eastAsia" w:ascii="宋体" w:hAnsi="宋体"/>
          <w:color w:val="auto"/>
          <w:szCs w:val="21"/>
          <w:highlight w:val="none"/>
        </w:rPr>
        <w:t>所有与本竞争性磋商文件有关的函件请发往下列地址：</w:t>
      </w:r>
    </w:p>
    <w:p>
      <w:pPr>
        <w:spacing w:line="360" w:lineRule="auto"/>
        <w:ind w:firstLine="210" w:firstLineChars="100"/>
        <w:jc w:val="left"/>
        <w:rPr>
          <w:rFonts w:ascii="宋体" w:hAnsi="宋体"/>
          <w:color w:val="auto"/>
          <w:szCs w:val="21"/>
          <w:highlight w:val="none"/>
        </w:rPr>
      </w:pP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供应商全称（加盖公章）：</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地址：  邮政编码：</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法定代表或其授权代表（签字或签章）：</w:t>
      </w:r>
    </w:p>
    <w:p>
      <w:pPr>
        <w:spacing w:line="360" w:lineRule="auto"/>
        <w:ind w:firstLine="420" w:firstLineChars="200"/>
        <w:jc w:val="left"/>
        <w:rPr>
          <w:rFonts w:ascii="宋体" w:hAnsi="宋体"/>
          <w:color w:val="auto"/>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eastAsia="zh-CN"/>
        </w:rPr>
        <w:t>2020</w:t>
      </w:r>
      <w:r>
        <w:rPr>
          <w:rFonts w:hint="eastAsia" w:ascii="宋体" w:hAnsi="宋体"/>
          <w:color w:val="auto"/>
          <w:szCs w:val="21"/>
          <w:highlight w:val="none"/>
        </w:rPr>
        <w:t>年  月  日</w:t>
      </w:r>
      <w:r>
        <w:rPr>
          <w:rFonts w:hint="eastAsia" w:ascii="宋体" w:hAnsi="宋体"/>
          <w:color w:val="auto"/>
          <w:highlight w:val="none"/>
        </w:rPr>
        <w:br w:type="page"/>
      </w:r>
      <w:bookmarkStart w:id="349" w:name="_Toc109467909"/>
      <w:bookmarkStart w:id="350" w:name="_Toc34535359"/>
      <w:bookmarkStart w:id="351" w:name="_Toc35834913"/>
      <w:bookmarkStart w:id="352" w:name="_Toc55816096"/>
      <w:bookmarkStart w:id="353" w:name="_Toc25224019"/>
      <w:bookmarkStart w:id="354" w:name="_Toc28489497"/>
      <w:bookmarkStart w:id="355" w:name="_Toc14450839"/>
      <w:bookmarkStart w:id="356" w:name="_Toc86065029"/>
      <w:bookmarkStart w:id="357" w:name="_Toc41448359"/>
    </w:p>
    <w:p>
      <w:pPr>
        <w:spacing w:line="360" w:lineRule="auto"/>
        <w:rPr>
          <w:rFonts w:ascii="宋体" w:hAnsi="宋体"/>
          <w:color w:val="auto"/>
          <w:highlight w:val="none"/>
        </w:rPr>
      </w:pPr>
      <w:r>
        <w:rPr>
          <w:rFonts w:hint="eastAsia" w:ascii="宋体" w:hAnsi="宋体"/>
          <w:b/>
          <w:bCs/>
          <w:color w:val="auto"/>
          <w:kern w:val="0"/>
          <w:sz w:val="28"/>
          <w:szCs w:val="28"/>
          <w:highlight w:val="none"/>
        </w:rPr>
        <w:t>附件2法定代表人证明书</w:t>
      </w:r>
    </w:p>
    <w:p>
      <w:pPr>
        <w:spacing w:line="360" w:lineRule="auto"/>
        <w:rPr>
          <w:rFonts w:ascii="宋体" w:hAnsi="宋体"/>
          <w:b/>
          <w:color w:val="auto"/>
          <w:sz w:val="24"/>
          <w:highlight w:val="none"/>
        </w:rPr>
      </w:pPr>
    </w:p>
    <w:p>
      <w:pPr>
        <w:pStyle w:val="2"/>
        <w:spacing w:line="360" w:lineRule="auto"/>
        <w:rPr>
          <w:rFonts w:hAnsi="宋体"/>
          <w:color w:val="auto"/>
          <w:szCs w:val="21"/>
          <w:highlight w:val="none"/>
        </w:rPr>
      </w:pPr>
      <w:bookmarkStart w:id="358" w:name="_Toc223939105"/>
      <w:r>
        <w:rPr>
          <w:rFonts w:hint="eastAsia" w:hAnsi="宋体"/>
          <w:color w:val="auto"/>
          <w:szCs w:val="21"/>
          <w:highlight w:val="none"/>
        </w:rPr>
        <w:t>现任我单位职务，为法定代表人，特此证明。</w:t>
      </w:r>
      <w:bookmarkEnd w:id="358"/>
      <w:bookmarkStart w:id="359" w:name="_Toc223939106"/>
    </w:p>
    <w:p>
      <w:pPr>
        <w:pStyle w:val="2"/>
        <w:spacing w:line="360" w:lineRule="auto"/>
        <w:rPr>
          <w:rFonts w:hAnsi="宋体"/>
          <w:color w:val="auto"/>
          <w:szCs w:val="21"/>
          <w:highlight w:val="none"/>
          <w:u w:val="single"/>
        </w:rPr>
      </w:pPr>
      <w:r>
        <w:rPr>
          <w:rFonts w:hint="eastAsia" w:hAnsi="宋体"/>
          <w:color w:val="auto"/>
          <w:szCs w:val="21"/>
          <w:highlight w:val="none"/>
        </w:rPr>
        <w:t>有效期限：</w:t>
      </w:r>
      <w:bookmarkEnd w:id="359"/>
      <w:bookmarkStart w:id="360" w:name="_Toc223939107"/>
    </w:p>
    <w:p>
      <w:pPr>
        <w:pStyle w:val="2"/>
        <w:spacing w:line="360" w:lineRule="auto"/>
        <w:ind w:left="359" w:leftChars="171"/>
        <w:rPr>
          <w:rFonts w:hAnsi="宋体"/>
          <w:color w:val="auto"/>
          <w:szCs w:val="21"/>
          <w:highlight w:val="none"/>
          <w:u w:val="single"/>
        </w:rPr>
      </w:pPr>
      <w:r>
        <w:rPr>
          <w:rFonts w:hint="eastAsia" w:hAnsi="宋体"/>
          <w:color w:val="auto"/>
          <w:szCs w:val="21"/>
          <w:highlight w:val="none"/>
        </w:rPr>
        <w:t>附：代表人性别：年龄：身份证号码：</w:t>
      </w:r>
      <w:bookmarkEnd w:id="360"/>
      <w:bookmarkStart w:id="361" w:name="_Toc223939108"/>
    </w:p>
    <w:p>
      <w:pPr>
        <w:pStyle w:val="2"/>
        <w:spacing w:line="360" w:lineRule="auto"/>
        <w:ind w:left="359" w:leftChars="171"/>
        <w:rPr>
          <w:rFonts w:hAnsi="宋体"/>
          <w:color w:val="auto"/>
          <w:szCs w:val="21"/>
          <w:highlight w:val="none"/>
          <w:u w:val="single"/>
        </w:rPr>
      </w:pPr>
      <w:r>
        <w:rPr>
          <w:rFonts w:hint="eastAsia" w:hAnsi="宋体"/>
          <w:color w:val="auto"/>
          <w:szCs w:val="21"/>
          <w:highlight w:val="none"/>
        </w:rPr>
        <w:t>工商注册号：</w:t>
      </w:r>
    </w:p>
    <w:p>
      <w:pPr>
        <w:pStyle w:val="2"/>
        <w:spacing w:line="360" w:lineRule="auto"/>
        <w:ind w:left="239" w:leftChars="114" w:firstLine="105" w:firstLineChars="50"/>
        <w:rPr>
          <w:rFonts w:hAnsi="宋体"/>
          <w:color w:val="auto"/>
          <w:szCs w:val="21"/>
          <w:highlight w:val="none"/>
        </w:rPr>
      </w:pPr>
      <w:r>
        <w:rPr>
          <w:rFonts w:hint="eastAsia" w:hAnsi="宋体"/>
          <w:color w:val="auto"/>
          <w:szCs w:val="21"/>
          <w:highlight w:val="none"/>
        </w:rPr>
        <w:t>企业类型：</w:t>
      </w:r>
      <w:r>
        <w:rPr>
          <w:rFonts w:hint="eastAsia" w:hAnsi="宋体"/>
          <w:color w:val="auto"/>
          <w:szCs w:val="21"/>
          <w:highlight w:val="none"/>
          <w:u w:val="single"/>
        </w:rPr>
        <w:t>_                     _</w:t>
      </w:r>
      <w:bookmarkEnd w:id="361"/>
      <w:bookmarkStart w:id="362" w:name="_Toc223939109"/>
    </w:p>
    <w:p>
      <w:pPr>
        <w:pStyle w:val="2"/>
        <w:spacing w:line="360" w:lineRule="auto"/>
        <w:ind w:left="239" w:leftChars="114" w:firstLine="105" w:firstLineChars="50"/>
        <w:rPr>
          <w:rFonts w:hAnsi="宋体"/>
          <w:b/>
          <w:color w:val="auto"/>
          <w:szCs w:val="21"/>
          <w:highlight w:val="none"/>
        </w:rPr>
      </w:pPr>
      <w:r>
        <w:rPr>
          <w:rFonts w:hint="eastAsia" w:hAnsi="宋体"/>
          <w:color w:val="auto"/>
          <w:szCs w:val="21"/>
          <w:highlight w:val="none"/>
        </w:rPr>
        <w:t>经营范围：</w:t>
      </w:r>
      <w:bookmarkEnd w:id="362"/>
    </w:p>
    <w:p>
      <w:pPr>
        <w:pStyle w:val="2"/>
        <w:spacing w:line="360" w:lineRule="auto"/>
        <w:jc w:val="center"/>
        <w:rPr>
          <w:rFonts w:hAnsi="宋体"/>
          <w:color w:val="auto"/>
          <w:szCs w:val="21"/>
          <w:highlight w:val="none"/>
        </w:rPr>
      </w:pPr>
    </w:p>
    <w:tbl>
      <w:tblPr>
        <w:tblStyle w:val="89"/>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22" w:hRule="atLeast"/>
          <w:jc w:val="center"/>
        </w:trPr>
        <w:tc>
          <w:tcPr>
            <w:tcW w:w="6615" w:type="dxa"/>
            <w:tcBorders>
              <w:top w:val="single" w:color="auto" w:sz="6" w:space="0"/>
              <w:left w:val="single" w:color="auto" w:sz="6" w:space="0"/>
              <w:bottom w:val="single" w:color="auto" w:sz="6" w:space="0"/>
              <w:right w:val="single" w:color="auto" w:sz="6" w:space="0"/>
            </w:tcBorders>
          </w:tcPr>
          <w:p>
            <w:pPr>
              <w:pStyle w:val="2"/>
              <w:spacing w:line="360" w:lineRule="auto"/>
              <w:jc w:val="center"/>
              <w:rPr>
                <w:rFonts w:hAnsi="宋体"/>
                <w:color w:val="auto"/>
                <w:szCs w:val="21"/>
                <w:highlight w:val="none"/>
              </w:rPr>
            </w:pPr>
          </w:p>
          <w:p>
            <w:pPr>
              <w:pStyle w:val="2"/>
              <w:spacing w:line="360" w:lineRule="auto"/>
              <w:jc w:val="center"/>
              <w:rPr>
                <w:rFonts w:hAnsi="宋体"/>
                <w:color w:val="auto"/>
                <w:szCs w:val="21"/>
                <w:highlight w:val="none"/>
              </w:rPr>
            </w:pPr>
          </w:p>
          <w:p>
            <w:pPr>
              <w:pStyle w:val="2"/>
              <w:spacing w:line="360" w:lineRule="auto"/>
              <w:jc w:val="center"/>
              <w:rPr>
                <w:rFonts w:hAnsi="宋体"/>
                <w:b/>
                <w:color w:val="auto"/>
                <w:szCs w:val="21"/>
                <w:highlight w:val="none"/>
              </w:rPr>
            </w:pPr>
          </w:p>
          <w:p>
            <w:pPr>
              <w:pStyle w:val="2"/>
              <w:spacing w:line="360" w:lineRule="auto"/>
              <w:jc w:val="center"/>
              <w:rPr>
                <w:rFonts w:hAnsi="宋体"/>
                <w:b/>
                <w:color w:val="auto"/>
                <w:szCs w:val="21"/>
                <w:highlight w:val="none"/>
              </w:rPr>
            </w:pPr>
          </w:p>
          <w:p>
            <w:pPr>
              <w:pStyle w:val="2"/>
              <w:spacing w:line="360" w:lineRule="auto"/>
              <w:jc w:val="center"/>
              <w:rPr>
                <w:rFonts w:hAnsi="宋体"/>
                <w:b/>
                <w:color w:val="auto"/>
                <w:szCs w:val="21"/>
                <w:highlight w:val="none"/>
              </w:rPr>
            </w:pPr>
          </w:p>
          <w:p>
            <w:pPr>
              <w:pStyle w:val="2"/>
              <w:spacing w:line="360" w:lineRule="auto"/>
              <w:jc w:val="center"/>
              <w:rPr>
                <w:rFonts w:hAnsi="宋体"/>
                <w:b/>
                <w:color w:val="auto"/>
                <w:szCs w:val="21"/>
                <w:highlight w:val="none"/>
              </w:rPr>
            </w:pPr>
            <w:r>
              <w:rPr>
                <w:rFonts w:hint="eastAsia" w:hAnsi="宋体"/>
                <w:b/>
                <w:color w:val="auto"/>
                <w:szCs w:val="21"/>
                <w:highlight w:val="none"/>
              </w:rPr>
              <w:t>法定代表人</w:t>
            </w:r>
          </w:p>
          <w:p>
            <w:pPr>
              <w:pStyle w:val="2"/>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2"/>
              <w:spacing w:line="360" w:lineRule="auto"/>
              <w:jc w:val="center"/>
              <w:rPr>
                <w:rFonts w:hAnsi="宋体"/>
                <w:b/>
                <w:color w:val="auto"/>
                <w:szCs w:val="21"/>
                <w:highlight w:val="none"/>
              </w:rPr>
            </w:pPr>
            <w:r>
              <w:rPr>
                <w:rFonts w:hint="eastAsia" w:hAnsi="宋体"/>
                <w:b/>
                <w:color w:val="auto"/>
                <w:szCs w:val="21"/>
                <w:highlight w:val="none"/>
              </w:rPr>
              <w:t>（正反面）</w:t>
            </w:r>
          </w:p>
          <w:p>
            <w:pPr>
              <w:pStyle w:val="2"/>
              <w:spacing w:line="360" w:lineRule="auto"/>
              <w:jc w:val="center"/>
              <w:rPr>
                <w:rFonts w:hAnsi="宋体"/>
                <w:color w:val="auto"/>
                <w:szCs w:val="21"/>
                <w:highlight w:val="none"/>
              </w:rPr>
            </w:pPr>
          </w:p>
        </w:tc>
      </w:tr>
    </w:tbl>
    <w:p>
      <w:pPr>
        <w:tabs>
          <w:tab w:val="left" w:pos="3780"/>
        </w:tabs>
        <w:spacing w:line="360" w:lineRule="auto"/>
        <w:rPr>
          <w:rFonts w:ascii="宋体" w:hAnsi="宋体"/>
          <w:color w:val="auto"/>
          <w:szCs w:val="21"/>
          <w:highlight w:val="none"/>
        </w:rPr>
      </w:pPr>
    </w:p>
    <w:p>
      <w:pPr>
        <w:tabs>
          <w:tab w:val="left" w:pos="3780"/>
        </w:tabs>
        <w:spacing w:line="360" w:lineRule="auto"/>
        <w:rPr>
          <w:rFonts w:ascii="宋体" w:hAnsi="宋体"/>
          <w:b/>
          <w:color w:val="auto"/>
          <w:szCs w:val="21"/>
          <w:highlight w:val="none"/>
        </w:rPr>
      </w:pPr>
      <w:r>
        <w:rPr>
          <w:rFonts w:hint="eastAsia" w:ascii="宋体" w:hAnsi="宋体"/>
          <w:b/>
          <w:color w:val="auto"/>
          <w:szCs w:val="21"/>
          <w:highlight w:val="none"/>
        </w:rPr>
        <w:t>注：本表格须附在正副的磋商响应文件中，并另封装一份在“报价信封”内。</w:t>
      </w:r>
    </w:p>
    <w:p>
      <w:pPr>
        <w:tabs>
          <w:tab w:val="left" w:pos="3780"/>
        </w:tabs>
        <w:spacing w:line="360" w:lineRule="auto"/>
        <w:rPr>
          <w:rFonts w:ascii="宋体" w:hAnsi="宋体"/>
          <w:color w:val="auto"/>
          <w:sz w:val="24"/>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eastAsia="zh-CN"/>
        </w:rPr>
        <w:t>2020</w:t>
      </w:r>
      <w:r>
        <w:rPr>
          <w:rFonts w:hint="eastAsia" w:ascii="宋体" w:hAnsi="宋体"/>
          <w:color w:val="auto"/>
          <w:szCs w:val="21"/>
          <w:highlight w:val="none"/>
        </w:rPr>
        <w:t>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bCs/>
          <w:color w:val="auto"/>
          <w:highlight w:val="none"/>
        </w:rPr>
      </w:pPr>
      <w:r>
        <w:rPr>
          <w:rFonts w:hint="eastAsia" w:ascii="宋体" w:hAnsi="宋体"/>
          <w:b/>
          <w:bCs/>
          <w:color w:val="auto"/>
          <w:kern w:val="0"/>
          <w:sz w:val="28"/>
          <w:szCs w:val="28"/>
          <w:highlight w:val="none"/>
        </w:rPr>
        <w:t>附件3法定代表人授权书</w:t>
      </w:r>
    </w:p>
    <w:p>
      <w:pPr>
        <w:pStyle w:val="2"/>
        <w:spacing w:line="360" w:lineRule="auto"/>
        <w:jc w:val="left"/>
        <w:rPr>
          <w:rFonts w:hAnsi="宋体"/>
          <w:b/>
          <w:color w:val="auto"/>
          <w:sz w:val="24"/>
          <w:szCs w:val="24"/>
          <w:highlight w:val="none"/>
        </w:rPr>
      </w:pPr>
    </w:p>
    <w:p>
      <w:pPr>
        <w:pStyle w:val="2"/>
        <w:spacing w:line="360" w:lineRule="auto"/>
        <w:jc w:val="left"/>
        <w:rPr>
          <w:rFonts w:hAnsi="宋体"/>
          <w:b/>
          <w:color w:val="auto"/>
          <w:sz w:val="24"/>
          <w:szCs w:val="24"/>
          <w:highlight w:val="none"/>
        </w:rPr>
      </w:pPr>
    </w:p>
    <w:p>
      <w:pPr>
        <w:pStyle w:val="2"/>
        <w:spacing w:line="360" w:lineRule="auto"/>
        <w:jc w:val="left"/>
        <w:rPr>
          <w:rFonts w:hAnsi="宋体"/>
          <w:b/>
          <w:color w:val="auto"/>
          <w:szCs w:val="21"/>
          <w:highlight w:val="none"/>
        </w:rPr>
      </w:pPr>
      <w:r>
        <w:rPr>
          <w:rFonts w:hint="eastAsia" w:hAnsi="宋体"/>
          <w:b/>
          <w:color w:val="auto"/>
          <w:szCs w:val="21"/>
          <w:highlight w:val="none"/>
        </w:rPr>
        <w:t>致:广州市信怡招标代理有限公司</w:t>
      </w:r>
      <w:r>
        <w:rPr>
          <w:rFonts w:hint="eastAsia" w:hAnsi="宋体"/>
          <w:color w:val="auto"/>
          <w:szCs w:val="21"/>
          <w:highlight w:val="none"/>
        </w:rPr>
        <w:tab/>
      </w:r>
    </w:p>
    <w:p>
      <w:pPr>
        <w:pStyle w:val="2"/>
        <w:spacing w:line="360" w:lineRule="auto"/>
        <w:ind w:firstLine="420" w:firstLineChars="200"/>
        <w:jc w:val="left"/>
        <w:rPr>
          <w:rFonts w:hAnsi="宋体"/>
          <w:color w:val="auto"/>
          <w:szCs w:val="21"/>
          <w:highlight w:val="none"/>
        </w:rPr>
      </w:pPr>
    </w:p>
    <w:p>
      <w:pPr>
        <w:pStyle w:val="2"/>
        <w:autoSpaceDE w:val="0"/>
        <w:spacing w:line="360" w:lineRule="auto"/>
        <w:ind w:firstLine="420" w:firstLineChars="200"/>
        <w:jc w:val="left"/>
        <w:rPr>
          <w:rFonts w:hAnsi="宋体"/>
          <w:color w:val="auto"/>
          <w:szCs w:val="21"/>
          <w:highlight w:val="none"/>
        </w:rPr>
      </w:pPr>
      <w:r>
        <w:rPr>
          <w:rFonts w:hint="eastAsia" w:hAnsi="宋体"/>
          <w:color w:val="auto"/>
          <w:szCs w:val="21"/>
          <w:highlight w:val="none"/>
        </w:rPr>
        <w:t>本授权书声明：</w:t>
      </w:r>
      <w:r>
        <w:rPr>
          <w:rFonts w:ascii="ZWAdobeF" w:hAnsi="ZWAdobeF" w:cs="ZWAdobeF"/>
          <w:color w:val="auto"/>
          <w:sz w:val="2"/>
          <w:szCs w:val="2"/>
          <w:highlight w:val="none"/>
        </w:rPr>
        <w:t>UU UUUU</w:t>
      </w:r>
      <w:r>
        <w:rPr>
          <w:rFonts w:hint="eastAsia" w:hAnsi="宋体"/>
          <w:color w:val="auto"/>
          <w:szCs w:val="21"/>
          <w:highlight w:val="none"/>
        </w:rPr>
        <w:t>是注册于的法定代表人，现任</w:t>
      </w:r>
      <w:r>
        <w:rPr>
          <w:rFonts w:ascii="ZWAdobeF" w:hAnsi="ZWAdobeF" w:cs="ZWAdobeF"/>
          <w:color w:val="auto"/>
          <w:sz w:val="2"/>
          <w:szCs w:val="2"/>
          <w:highlight w:val="none"/>
        </w:rPr>
        <w:t>UUUU UUUU</w:t>
      </w:r>
      <w:r>
        <w:rPr>
          <w:rFonts w:hint="eastAsia" w:hAnsi="宋体"/>
          <w:color w:val="auto"/>
          <w:szCs w:val="21"/>
          <w:highlight w:val="none"/>
        </w:rPr>
        <w:t>。在此授权</w:t>
      </w:r>
      <w:r>
        <w:rPr>
          <w:rFonts w:ascii="ZWAdobeF" w:hAnsi="ZWAdobeF" w:cs="ZWAdobeF"/>
          <w:color w:val="auto"/>
          <w:sz w:val="2"/>
          <w:szCs w:val="2"/>
          <w:highlight w:val="none"/>
        </w:rPr>
        <w:t>UUUU</w:t>
      </w:r>
      <w:r>
        <w:rPr>
          <w:rFonts w:hint="eastAsia" w:hAnsi="宋体"/>
          <w:i/>
          <w:color w:val="auto"/>
          <w:szCs w:val="21"/>
          <w:highlight w:val="none"/>
          <w:u w:val="single"/>
        </w:rPr>
        <w:t>（姓名、职位）</w:t>
      </w:r>
      <w:r>
        <w:rPr>
          <w:rFonts w:ascii="ZWAdobeF" w:hAnsi="ZWAdobeF" w:cs="ZWAdobeF"/>
          <w:color w:val="auto"/>
          <w:sz w:val="2"/>
          <w:szCs w:val="2"/>
          <w:highlight w:val="none"/>
        </w:rPr>
        <w:t>UUUU</w:t>
      </w:r>
      <w:r>
        <w:rPr>
          <w:rFonts w:hint="eastAsia" w:hAnsi="宋体"/>
          <w:color w:val="auto"/>
          <w:szCs w:val="21"/>
          <w:highlight w:val="none"/>
        </w:rPr>
        <w:t>作为我公司的全权代理人，在</w:t>
      </w:r>
      <w:r>
        <w:rPr>
          <w:rFonts w:ascii="ZWAdobeF" w:hAnsi="ZWAdobeF" w:cs="ZWAdobeF"/>
          <w:color w:val="auto"/>
          <w:sz w:val="2"/>
          <w:szCs w:val="2"/>
          <w:highlight w:val="none"/>
        </w:rPr>
        <w:t>UUUU UUU</w:t>
      </w:r>
      <w:r>
        <w:rPr>
          <w:rFonts w:hint="eastAsia" w:hAnsi="宋体"/>
          <w:color w:val="auto"/>
          <w:szCs w:val="21"/>
          <w:highlight w:val="none"/>
        </w:rPr>
        <w:t>的磋商响应（项目编号为：）及其合同执行过程中，以我公司的名义处理一切与之有关的事务。</w:t>
      </w:r>
    </w:p>
    <w:p>
      <w:pPr>
        <w:pStyle w:val="2"/>
        <w:spacing w:line="360" w:lineRule="auto"/>
        <w:jc w:val="left"/>
        <w:rPr>
          <w:rFonts w:hAnsi="宋体"/>
          <w:color w:val="auto"/>
          <w:szCs w:val="21"/>
          <w:highlight w:val="none"/>
        </w:rPr>
      </w:pPr>
    </w:p>
    <w:p>
      <w:pPr>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 xml:space="preserve">本授权书于  </w:t>
      </w:r>
      <w:r>
        <w:rPr>
          <w:rFonts w:hint="eastAsia" w:ascii="宋体" w:hAnsi="宋体"/>
          <w:color w:val="auto"/>
          <w:szCs w:val="21"/>
          <w:highlight w:val="none"/>
          <w:lang w:eastAsia="zh-CN"/>
        </w:rPr>
        <w:t>2020</w:t>
      </w:r>
      <w:r>
        <w:rPr>
          <w:rFonts w:hint="eastAsia" w:ascii="宋体" w:hAnsi="宋体"/>
          <w:color w:val="auto"/>
          <w:szCs w:val="21"/>
          <w:highlight w:val="none"/>
        </w:rPr>
        <w:t xml:space="preserve"> 年  月  日签字生效，特此声明。</w:t>
      </w:r>
    </w:p>
    <w:p>
      <w:pPr>
        <w:spacing w:line="360" w:lineRule="auto"/>
        <w:ind w:firstLine="105" w:firstLineChars="50"/>
        <w:jc w:val="left"/>
        <w:rPr>
          <w:rFonts w:ascii="宋体" w:hAnsi="宋体"/>
          <w:color w:val="auto"/>
          <w:szCs w:val="21"/>
          <w:highlight w:val="none"/>
        </w:rPr>
      </w:pPr>
    </w:p>
    <w:p>
      <w:pPr>
        <w:spacing w:line="360" w:lineRule="auto"/>
        <w:ind w:firstLine="105" w:firstLineChars="50"/>
        <w:jc w:val="left"/>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全称（加盖公章）：</w:t>
      </w:r>
    </w:p>
    <w:p>
      <w:pPr>
        <w:tabs>
          <w:tab w:val="left" w:pos="2535"/>
        </w:tabs>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rPr>
        <w:tab/>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法定代表人</w:t>
      </w:r>
      <w:r>
        <w:rPr>
          <w:rFonts w:hint="eastAsia" w:ascii="宋体" w:hAnsi="宋体"/>
          <w:bCs/>
          <w:color w:val="auto"/>
          <w:szCs w:val="21"/>
          <w:highlight w:val="none"/>
        </w:rPr>
        <w:t>(</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被授权人(</w:t>
      </w:r>
      <w:r>
        <w:rPr>
          <w:rFonts w:hint="eastAsia" w:ascii="宋体" w:hAnsi="宋体" w:cs="宋体"/>
          <w:color w:val="auto"/>
          <w:kern w:val="0"/>
          <w:szCs w:val="21"/>
          <w:highlight w:val="none"/>
        </w:rPr>
        <w:t>供应商</w:t>
      </w:r>
      <w:r>
        <w:rPr>
          <w:rFonts w:hint="eastAsia" w:ascii="宋体" w:hAnsi="宋体"/>
          <w:color w:val="auto"/>
          <w:szCs w:val="21"/>
          <w:highlight w:val="none"/>
        </w:rPr>
        <w:t>授权代表)</w:t>
      </w:r>
      <w:r>
        <w:rPr>
          <w:rFonts w:hint="eastAsia" w:ascii="宋体" w:hAnsi="宋体"/>
          <w:bCs/>
          <w:color w:val="auto"/>
          <w:szCs w:val="21"/>
          <w:highlight w:val="none"/>
        </w:rPr>
        <w:t xml:space="preserve"> (</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tbl>
      <w:tblPr>
        <w:tblStyle w:val="89"/>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73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373" w:hRule="atLeast"/>
          <w:jc w:val="center"/>
        </w:trPr>
        <w:tc>
          <w:tcPr>
            <w:tcW w:w="5730" w:type="dxa"/>
            <w:tcBorders>
              <w:top w:val="single" w:color="auto" w:sz="6" w:space="0"/>
              <w:left w:val="single" w:color="auto" w:sz="6" w:space="0"/>
              <w:bottom w:val="single" w:color="auto" w:sz="6" w:space="0"/>
              <w:right w:val="single" w:color="auto" w:sz="6" w:space="0"/>
            </w:tcBorders>
            <w:vAlign w:val="center"/>
          </w:tcPr>
          <w:p>
            <w:pPr>
              <w:pStyle w:val="2"/>
              <w:spacing w:line="360" w:lineRule="auto"/>
              <w:jc w:val="left"/>
              <w:rPr>
                <w:rFonts w:hAnsi="宋体"/>
                <w:b/>
                <w:color w:val="auto"/>
                <w:szCs w:val="21"/>
                <w:highlight w:val="none"/>
              </w:rPr>
            </w:pPr>
          </w:p>
          <w:p>
            <w:pPr>
              <w:pStyle w:val="2"/>
              <w:spacing w:line="360" w:lineRule="auto"/>
              <w:jc w:val="center"/>
              <w:rPr>
                <w:rFonts w:hAnsi="宋体"/>
                <w:b/>
                <w:color w:val="auto"/>
                <w:szCs w:val="21"/>
                <w:highlight w:val="none"/>
              </w:rPr>
            </w:pPr>
            <w:r>
              <w:rPr>
                <w:rFonts w:hint="eastAsia" w:hAnsi="宋体"/>
                <w:b/>
                <w:color w:val="auto"/>
                <w:szCs w:val="21"/>
                <w:highlight w:val="none"/>
              </w:rPr>
              <w:t>被授权人(供应商授权代表)</w:t>
            </w:r>
          </w:p>
          <w:p>
            <w:pPr>
              <w:pStyle w:val="2"/>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2"/>
              <w:spacing w:line="360" w:lineRule="auto"/>
              <w:jc w:val="center"/>
              <w:rPr>
                <w:rFonts w:hAnsi="宋体"/>
                <w:b/>
                <w:color w:val="auto"/>
                <w:szCs w:val="21"/>
                <w:highlight w:val="none"/>
              </w:rPr>
            </w:pPr>
            <w:r>
              <w:rPr>
                <w:rFonts w:hint="eastAsia" w:hAnsi="宋体"/>
                <w:b/>
                <w:color w:val="auto"/>
                <w:szCs w:val="21"/>
                <w:highlight w:val="none"/>
              </w:rPr>
              <w:t>（正反面）</w:t>
            </w:r>
          </w:p>
          <w:p>
            <w:pPr>
              <w:pStyle w:val="2"/>
              <w:spacing w:line="360" w:lineRule="auto"/>
              <w:jc w:val="left"/>
              <w:rPr>
                <w:rFonts w:hAnsi="宋体"/>
                <w:color w:val="auto"/>
                <w:szCs w:val="21"/>
                <w:highlight w:val="none"/>
              </w:rPr>
            </w:pPr>
          </w:p>
        </w:tc>
      </w:tr>
    </w:tbl>
    <w:p>
      <w:pPr>
        <w:pStyle w:val="2"/>
        <w:spacing w:line="360" w:lineRule="auto"/>
        <w:ind w:firstLine="422"/>
        <w:jc w:val="left"/>
        <w:rPr>
          <w:rFonts w:hAnsi="宋体"/>
          <w:b/>
          <w:color w:val="auto"/>
          <w:szCs w:val="21"/>
          <w:highlight w:val="none"/>
        </w:rPr>
      </w:pPr>
    </w:p>
    <w:p>
      <w:pPr>
        <w:pStyle w:val="2"/>
        <w:spacing w:line="360" w:lineRule="auto"/>
        <w:ind w:firstLine="422"/>
        <w:jc w:val="left"/>
        <w:rPr>
          <w:rFonts w:hAnsi="宋体"/>
          <w:b/>
          <w:color w:val="auto"/>
          <w:szCs w:val="21"/>
          <w:highlight w:val="none"/>
        </w:rPr>
      </w:pPr>
      <w:r>
        <w:rPr>
          <w:rFonts w:hint="eastAsia" w:hAnsi="宋体"/>
          <w:b/>
          <w:color w:val="auto"/>
          <w:szCs w:val="21"/>
          <w:highlight w:val="none"/>
        </w:rPr>
        <w:t>注：本表格须附在正副的磋商响应文件中，并另封装一份在 “报价信封”内。如是法定代表人作为供应商代表，则无需提交此资料。</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color w:val="auto"/>
          <w:sz w:val="24"/>
          <w:highlight w:val="none"/>
        </w:rPr>
      </w:pPr>
      <w:r>
        <w:rPr>
          <w:rFonts w:hint="eastAsia" w:ascii="宋体" w:hAnsi="宋体"/>
          <w:b/>
          <w:bCs/>
          <w:color w:val="auto"/>
          <w:kern w:val="0"/>
          <w:sz w:val="28"/>
          <w:szCs w:val="28"/>
          <w:highlight w:val="none"/>
        </w:rPr>
        <w:t>附件4</w:t>
      </w:r>
      <w:r>
        <w:rPr>
          <w:rFonts w:hint="eastAsia" w:ascii="宋体" w:hAnsi="宋体"/>
          <w:b/>
          <w:bCs/>
          <w:color w:val="auto"/>
          <w:sz w:val="28"/>
          <w:szCs w:val="28"/>
          <w:highlight w:val="none"/>
        </w:rPr>
        <w:t>资格声明函</w:t>
      </w:r>
    </w:p>
    <w:p>
      <w:pPr>
        <w:spacing w:line="360" w:lineRule="auto"/>
        <w:jc w:val="left"/>
        <w:rPr>
          <w:rFonts w:ascii="宋体" w:hAnsi="宋体"/>
          <w:b/>
          <w:color w:val="auto"/>
          <w:sz w:val="24"/>
          <w:highlight w:val="none"/>
        </w:rPr>
      </w:pPr>
    </w:p>
    <w:p>
      <w:pPr>
        <w:spacing w:line="360" w:lineRule="auto"/>
        <w:jc w:val="left"/>
        <w:rPr>
          <w:rFonts w:ascii="宋体" w:hAnsi="宋体"/>
          <w:b/>
          <w:color w:val="auto"/>
          <w:szCs w:val="21"/>
          <w:highlight w:val="none"/>
        </w:rPr>
      </w:pPr>
      <w:r>
        <w:rPr>
          <w:rFonts w:hint="eastAsia" w:ascii="宋体" w:hAnsi="宋体"/>
          <w:b/>
          <w:color w:val="auto"/>
          <w:szCs w:val="21"/>
          <w:highlight w:val="none"/>
        </w:rPr>
        <w:t>广州市信怡招标代理有限公司：</w:t>
      </w:r>
    </w:p>
    <w:p>
      <w:pPr>
        <w:autoSpaceDE w:val="0"/>
        <w:snapToGrid w:val="0"/>
        <w:spacing w:before="120" w:beforeLines="50" w:line="360" w:lineRule="auto"/>
        <w:ind w:firstLine="525" w:firstLineChars="250"/>
        <w:jc w:val="left"/>
        <w:rPr>
          <w:rFonts w:ascii="宋体" w:hAnsi="宋体"/>
          <w:color w:val="auto"/>
          <w:szCs w:val="21"/>
          <w:highlight w:val="none"/>
        </w:rPr>
      </w:pPr>
      <w:r>
        <w:rPr>
          <w:rFonts w:hint="eastAsia" w:ascii="宋体" w:hAnsi="宋体"/>
          <w:color w:val="auto"/>
          <w:szCs w:val="21"/>
          <w:highlight w:val="none"/>
        </w:rPr>
        <w:t>关于贵公司</w:t>
      </w:r>
      <w:r>
        <w:rPr>
          <w:rFonts w:ascii="ZWAdobeF" w:hAnsi="ZWAdobeF" w:cs="ZWAdobeF"/>
          <w:color w:val="auto"/>
          <w:sz w:val="2"/>
          <w:szCs w:val="2"/>
          <w:highlight w:val="none"/>
        </w:rPr>
        <w:t>UUUU</w:t>
      </w:r>
      <w:r>
        <w:rPr>
          <w:rFonts w:hint="eastAsia" w:ascii="宋体" w:hAnsi="宋体"/>
          <w:color w:val="auto"/>
          <w:szCs w:val="21"/>
          <w:highlight w:val="none"/>
        </w:rPr>
        <w:t>发布</w:t>
      </w:r>
      <w:r>
        <w:rPr>
          <w:rFonts w:hint="eastAsia" w:ascii="宋体" w:hAnsi="宋体"/>
          <w:color w:val="auto"/>
          <w:highlight w:val="none"/>
          <w:u w:val="single"/>
        </w:rPr>
        <w:t xml:space="preserve">    项目名称   </w:t>
      </w:r>
      <w:r>
        <w:rPr>
          <w:rFonts w:hint="eastAsia" w:ascii="宋体" w:hAnsi="宋体"/>
          <w:color w:val="auto"/>
          <w:szCs w:val="21"/>
          <w:highlight w:val="none"/>
        </w:rPr>
        <w:t>项目（项目编号：</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）的磋商公告，本公司（企业）愿意参加磋商响应，并声明：</w:t>
      </w:r>
    </w:p>
    <w:p>
      <w:pPr>
        <w:snapToGrid w:val="0"/>
        <w:spacing w:line="360" w:lineRule="auto"/>
        <w:ind w:firstLine="420" w:firstLineChars="200"/>
        <w:jc w:val="left"/>
        <w:rPr>
          <w:color w:val="auto"/>
          <w:szCs w:val="21"/>
          <w:highlight w:val="none"/>
        </w:rPr>
      </w:pPr>
      <w:r>
        <w:rPr>
          <w:rFonts w:hint="eastAsia"/>
          <w:color w:val="auto"/>
          <w:szCs w:val="21"/>
          <w:highlight w:val="none"/>
        </w:rPr>
        <w:t>本公司（企业）具备《中华人民共和国政府采购法》第二十二条资格条件，并已清楚竞争性磋商文件的要求及有关文件规定。并承诺在本次招标采购活动中，如有违法、违规、弄虚作假行为，所造成的损失、不良后果及法律责任，一律由我公司（企业）承担。</w:t>
      </w:r>
    </w:p>
    <w:p>
      <w:pPr>
        <w:snapToGrid w:val="0"/>
        <w:spacing w:line="360" w:lineRule="auto"/>
        <w:ind w:firstLine="420" w:firstLineChars="200"/>
        <w:jc w:val="left"/>
        <w:rPr>
          <w:color w:val="auto"/>
          <w:szCs w:val="21"/>
          <w:highlight w:val="none"/>
        </w:rPr>
      </w:pPr>
      <w:r>
        <w:rPr>
          <w:rFonts w:hint="eastAsia"/>
          <w:color w:val="auto"/>
          <w:szCs w:val="21"/>
          <w:highlight w:val="none"/>
        </w:rPr>
        <w:t>本公司（企业）政府采购活动前三年内，在经营活动中没有重大违法或违纪记录，也没有正在被司法机关立案调查。</w:t>
      </w:r>
    </w:p>
    <w:p>
      <w:pPr>
        <w:snapToGrid w:val="0"/>
        <w:spacing w:line="360" w:lineRule="auto"/>
        <w:ind w:firstLine="420" w:firstLineChars="200"/>
        <w:jc w:val="left"/>
        <w:rPr>
          <w:color w:val="auto"/>
          <w:szCs w:val="21"/>
          <w:highlight w:val="none"/>
        </w:rPr>
      </w:pPr>
    </w:p>
    <w:p>
      <w:pPr>
        <w:spacing w:line="360" w:lineRule="auto"/>
        <w:ind w:firstLine="420"/>
        <w:jc w:val="left"/>
        <w:rPr>
          <w:color w:val="auto"/>
          <w:szCs w:val="21"/>
          <w:highlight w:val="none"/>
        </w:rPr>
      </w:pPr>
      <w:r>
        <w:rPr>
          <w:rFonts w:hint="eastAsia"/>
          <w:color w:val="auto"/>
          <w:szCs w:val="21"/>
          <w:highlight w:val="none"/>
        </w:rPr>
        <w:t>特此声明！</w:t>
      </w:r>
    </w:p>
    <w:p>
      <w:pPr>
        <w:spacing w:line="360" w:lineRule="auto"/>
        <w:jc w:val="left"/>
        <w:rPr>
          <w:rFonts w:ascii="宋体" w:hAnsi="宋体"/>
          <w:color w:val="auto"/>
          <w:szCs w:val="21"/>
          <w:highlight w:val="none"/>
        </w:rPr>
      </w:pPr>
    </w:p>
    <w:p>
      <w:pPr>
        <w:adjustRightInd w:val="0"/>
        <w:snapToGrid w:val="0"/>
        <w:spacing w:line="360" w:lineRule="auto"/>
        <w:ind w:left="-2" w:leftChars="-1"/>
        <w:jc w:val="left"/>
        <w:rPr>
          <w:rFonts w:ascii="宋体" w:hAnsi="宋体"/>
          <w:color w:val="auto"/>
          <w:szCs w:val="21"/>
          <w:highlight w:val="none"/>
        </w:rPr>
      </w:pPr>
    </w:p>
    <w:p>
      <w:pPr>
        <w:pStyle w:val="2"/>
        <w:tabs>
          <w:tab w:val="left" w:pos="7260"/>
        </w:tabs>
        <w:spacing w:line="360" w:lineRule="auto"/>
        <w:ind w:left="-2" w:leftChars="-1" w:firstLine="539" w:firstLineChars="257"/>
        <w:jc w:val="left"/>
        <w:rPr>
          <w:rFonts w:hAnsi="宋体"/>
          <w:color w:val="auto"/>
          <w:szCs w:val="21"/>
          <w:highlight w:val="none"/>
          <w:u w:val="single"/>
        </w:rPr>
      </w:pPr>
      <w:r>
        <w:rPr>
          <w:rFonts w:hint="eastAsia" w:hAnsi="宋体" w:cs="宋体"/>
          <w:color w:val="auto"/>
          <w:kern w:val="0"/>
          <w:szCs w:val="21"/>
          <w:highlight w:val="none"/>
        </w:rPr>
        <w:t>供应商</w:t>
      </w:r>
      <w:r>
        <w:rPr>
          <w:rFonts w:hint="eastAsia" w:hAnsi="宋体"/>
          <w:color w:val="auto"/>
          <w:szCs w:val="21"/>
          <w:highlight w:val="none"/>
        </w:rPr>
        <w:t>全称（加盖公章）：</w:t>
      </w:r>
    </w:p>
    <w:p>
      <w:pPr>
        <w:pStyle w:val="2"/>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法定代表人或其授权代表</w:t>
      </w:r>
      <w:r>
        <w:rPr>
          <w:rFonts w:hint="eastAsia" w:hAnsi="宋体"/>
          <w:bCs/>
          <w:color w:val="auto"/>
          <w:szCs w:val="21"/>
          <w:highlight w:val="none"/>
        </w:rPr>
        <w:t>(</w:t>
      </w:r>
      <w:r>
        <w:rPr>
          <w:rFonts w:hint="eastAsia" w:hAnsi="宋体"/>
          <w:color w:val="auto"/>
          <w:szCs w:val="21"/>
          <w:highlight w:val="none"/>
        </w:rPr>
        <w:t>签字或签章</w:t>
      </w:r>
      <w:r>
        <w:rPr>
          <w:rFonts w:hint="eastAsia" w:hAnsi="宋体"/>
          <w:bCs/>
          <w:color w:val="auto"/>
          <w:szCs w:val="21"/>
          <w:highlight w:val="none"/>
        </w:rPr>
        <w:t>)</w:t>
      </w:r>
      <w:r>
        <w:rPr>
          <w:rFonts w:hint="eastAsia" w:hAnsi="宋体"/>
          <w:color w:val="auto"/>
          <w:szCs w:val="21"/>
          <w:highlight w:val="none"/>
        </w:rPr>
        <w:t>:</w:t>
      </w:r>
    </w:p>
    <w:p>
      <w:pPr>
        <w:pStyle w:val="2"/>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地址：</w:t>
      </w:r>
      <w:r>
        <w:rPr>
          <w:rFonts w:hint="eastAsia" w:hAnsi="宋体"/>
          <w:color w:val="auto"/>
          <w:szCs w:val="21"/>
          <w:highlight w:val="none"/>
        </w:rPr>
        <w:tab/>
      </w:r>
      <w:r>
        <w:rPr>
          <w:rFonts w:hint="eastAsia" w:hAnsi="宋体"/>
          <w:color w:val="auto"/>
          <w:szCs w:val="21"/>
          <w:highlight w:val="none"/>
        </w:rPr>
        <w:t>邮编：</w:t>
      </w:r>
    </w:p>
    <w:p>
      <w:pPr>
        <w:tabs>
          <w:tab w:val="left" w:pos="4500"/>
        </w:tabs>
        <w:spacing w:line="360" w:lineRule="auto"/>
        <w:ind w:left="-2" w:leftChars="-1" w:firstLine="539" w:firstLineChars="257"/>
        <w:jc w:val="left"/>
        <w:rPr>
          <w:rFonts w:ascii="宋体" w:hAnsi="宋体"/>
          <w:color w:val="auto"/>
          <w:szCs w:val="21"/>
          <w:highlight w:val="none"/>
          <w:u w:val="single"/>
        </w:rPr>
      </w:pPr>
      <w:r>
        <w:rPr>
          <w:rFonts w:hint="eastAsia" w:ascii="宋体" w:hAnsi="宋体"/>
          <w:color w:val="auto"/>
          <w:szCs w:val="21"/>
          <w:highlight w:val="none"/>
        </w:rPr>
        <w:t xml:space="preserve">电话：  </w:t>
      </w:r>
      <w:r>
        <w:rPr>
          <w:rFonts w:hint="eastAsia" w:ascii="宋体" w:hAnsi="宋体"/>
          <w:color w:val="auto"/>
          <w:szCs w:val="21"/>
          <w:highlight w:val="none"/>
        </w:rPr>
        <w:tab/>
      </w:r>
      <w:r>
        <w:rPr>
          <w:rFonts w:hint="eastAsia" w:ascii="宋体" w:hAnsi="宋体"/>
          <w:color w:val="auto"/>
          <w:szCs w:val="21"/>
          <w:highlight w:val="none"/>
        </w:rPr>
        <w:t>传真：</w:t>
      </w:r>
    </w:p>
    <w:p>
      <w:pPr>
        <w:spacing w:line="360" w:lineRule="auto"/>
        <w:ind w:firstLine="525" w:firstLineChars="250"/>
        <w:jc w:val="left"/>
        <w:rPr>
          <w:rFonts w:ascii="宋体" w:hAnsi="宋体"/>
          <w:b/>
          <w:bCs/>
          <w:color w:val="auto"/>
          <w:kern w:val="0"/>
          <w:sz w:val="28"/>
          <w:szCs w:val="28"/>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u w:val="single"/>
          <w:lang w:eastAsia="zh-CN"/>
        </w:rPr>
        <w:t>2020</w:t>
      </w:r>
      <w:r>
        <w:rPr>
          <w:rFonts w:hint="eastAsia" w:ascii="宋体" w:hAnsi="宋体"/>
          <w:color w:val="auto"/>
          <w:szCs w:val="21"/>
          <w:highlight w:val="none"/>
          <w:u w:val="single"/>
        </w:rPr>
        <w:t>年  月  日</w:t>
      </w:r>
    </w:p>
    <w:p>
      <w:pPr>
        <w:spacing w:line="360" w:lineRule="auto"/>
        <w:jc w:val="left"/>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jc w:val="left"/>
        <w:rPr>
          <w:rFonts w:ascii="宋体" w:hAnsi="宋体" w:cs="Arial"/>
          <w:color w:val="auto"/>
          <w:sz w:val="32"/>
          <w:szCs w:val="32"/>
          <w:highlight w:val="none"/>
        </w:rPr>
      </w:pPr>
      <w:r>
        <w:rPr>
          <w:rFonts w:hint="eastAsia" w:ascii="宋体" w:hAnsi="宋体"/>
          <w:b/>
          <w:bCs/>
          <w:color w:val="auto"/>
          <w:kern w:val="0"/>
          <w:sz w:val="28"/>
          <w:szCs w:val="28"/>
          <w:highlight w:val="none"/>
        </w:rPr>
        <w:t>附件5同意竞争性磋商文件条款说明</w:t>
      </w:r>
    </w:p>
    <w:p>
      <w:pPr>
        <w:spacing w:line="360" w:lineRule="auto"/>
        <w:jc w:val="left"/>
        <w:rPr>
          <w:rFonts w:ascii="宋体" w:hAnsi="宋体" w:cs="Arial"/>
          <w:color w:val="auto"/>
          <w:szCs w:val="21"/>
          <w:highlight w:val="none"/>
        </w:rPr>
      </w:pPr>
    </w:p>
    <w:p>
      <w:pPr>
        <w:widowControl/>
        <w:spacing w:line="360" w:lineRule="auto"/>
        <w:jc w:val="left"/>
        <w:rPr>
          <w:rFonts w:ascii="宋体" w:hAnsi="宋体" w:cs="Arial"/>
          <w:color w:val="auto"/>
          <w:szCs w:val="21"/>
          <w:highlight w:val="none"/>
        </w:rPr>
      </w:pPr>
      <w:r>
        <w:rPr>
          <w:rFonts w:hint="eastAsia" w:ascii="宋体" w:hAnsi="宋体" w:cs="宋体"/>
          <w:color w:val="auto"/>
          <w:kern w:val="0"/>
          <w:szCs w:val="21"/>
          <w:highlight w:val="none"/>
        </w:rPr>
        <w:t>致：广州市信怡招标代理有限公司</w:t>
      </w:r>
    </w:p>
    <w:p>
      <w:pPr>
        <w:spacing w:line="360" w:lineRule="auto"/>
        <w:jc w:val="left"/>
        <w:rPr>
          <w:rFonts w:ascii="宋体" w:hAnsi="宋体" w:cs="Arial"/>
          <w:color w:val="auto"/>
          <w:szCs w:val="21"/>
          <w:highlight w:val="none"/>
        </w:rPr>
      </w:pPr>
    </w:p>
    <w:p>
      <w:pPr>
        <w:spacing w:line="360" w:lineRule="auto"/>
        <w:jc w:val="left"/>
        <w:rPr>
          <w:rFonts w:ascii="宋体" w:hAnsi="宋体" w:cs="Arial"/>
          <w:color w:val="auto"/>
          <w:szCs w:val="21"/>
          <w:highlight w:val="none"/>
        </w:rPr>
      </w:pPr>
    </w:p>
    <w:p>
      <w:pPr>
        <w:spacing w:line="360" w:lineRule="auto"/>
        <w:ind w:firstLine="478" w:firstLineChars="228"/>
        <w:jc w:val="left"/>
        <w:rPr>
          <w:rFonts w:ascii="宋体" w:hAnsi="宋体" w:cs="Arial"/>
          <w:color w:val="auto"/>
          <w:szCs w:val="21"/>
          <w:highlight w:val="none"/>
        </w:rPr>
      </w:pPr>
      <w:r>
        <w:rPr>
          <w:rFonts w:hint="eastAsia" w:ascii="宋体" w:hAnsi="宋体" w:cs="宋体"/>
          <w:color w:val="auto"/>
          <w:kern w:val="0"/>
          <w:szCs w:val="21"/>
          <w:highlight w:val="none"/>
        </w:rPr>
        <w:t>为响应你方组织的项目名称：</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项目的磋商（项目编号：</w:t>
      </w:r>
      <w:r>
        <w:rPr>
          <w:rFonts w:hint="eastAsia" w:ascii="宋体" w:hAnsi="宋体" w:cs="Arial"/>
          <w:color w:val="auto"/>
          <w:kern w:val="28"/>
          <w:szCs w:val="21"/>
          <w:highlight w:val="none"/>
          <w:u w:val="single"/>
        </w:rPr>
        <w:t xml:space="preserve">   项目编号   </w:t>
      </w:r>
      <w:r>
        <w:rPr>
          <w:rFonts w:hint="eastAsia" w:ascii="宋体" w:hAnsi="宋体" w:cs="宋体"/>
          <w:color w:val="auto"/>
          <w:kern w:val="0"/>
          <w:szCs w:val="21"/>
          <w:highlight w:val="none"/>
        </w:rPr>
        <w:t>），我方在参与报价前已详细研究了竞争性磋商文件的所有内容，包括修改文件（如果有的话）和所有已提供的参考资料以及有关附件，我方完全明白并认为此竞争性磋商文件没有倾向性，也没有存在排斥潜在供应商的内容，我方并同意竞争性磋商文件的相关条款。</w:t>
      </w:r>
    </w:p>
    <w:p>
      <w:pPr>
        <w:spacing w:line="360" w:lineRule="auto"/>
        <w:ind w:firstLine="478" w:firstLineChars="228"/>
        <w:jc w:val="left"/>
        <w:rPr>
          <w:rFonts w:ascii="宋体" w:hAnsi="宋体" w:cs="宋体"/>
          <w:color w:val="auto"/>
          <w:kern w:val="0"/>
          <w:szCs w:val="21"/>
          <w:highlight w:val="none"/>
        </w:rPr>
      </w:pPr>
      <w:r>
        <w:rPr>
          <w:rFonts w:hint="eastAsia" w:ascii="宋体" w:hAnsi="宋体" w:cs="宋体"/>
          <w:color w:val="auto"/>
          <w:kern w:val="0"/>
          <w:szCs w:val="21"/>
          <w:highlight w:val="none"/>
        </w:rPr>
        <w:t>特此声明。</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bCs/>
          <w:color w:val="auto"/>
          <w:kern w:val="0"/>
          <w:sz w:val="28"/>
          <w:szCs w:val="28"/>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eastAsia="zh-CN"/>
        </w:rPr>
        <w:t>2020</w:t>
      </w:r>
      <w:r>
        <w:rPr>
          <w:rFonts w:hint="eastAsia" w:ascii="宋体" w:hAnsi="宋体"/>
          <w:color w:val="auto"/>
          <w:szCs w:val="21"/>
          <w:highlight w:val="none"/>
        </w:rPr>
        <w:t>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附件6  公平竞争承诺书</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autoSpaceDE w:val="0"/>
        <w:autoSpaceDN w:val="0"/>
        <w:adjustRightInd w:val="0"/>
        <w:spacing w:line="360" w:lineRule="auto"/>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本公司郑重承诺：本公司保证所提交的相关资质文件和证明材料的真实性，有良好的历史诚信记录，并将依法参与 </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项目的公平竞争，不以任何不正当行为谋取不当利益，否则承担相应的法律责任。</w:t>
      </w:r>
    </w:p>
    <w:p>
      <w:pPr>
        <w:autoSpaceDE w:val="0"/>
        <w:autoSpaceDN w:val="0"/>
        <w:adjustRightInd w:val="0"/>
        <w:spacing w:line="360" w:lineRule="auto"/>
        <w:jc w:val="right"/>
        <w:rPr>
          <w:rFonts w:ascii="宋体" w:hAnsi="宋体" w:cs="宋体"/>
          <w:color w:val="auto"/>
          <w:kern w:val="0"/>
          <w:szCs w:val="21"/>
          <w:highlight w:val="none"/>
        </w:rPr>
      </w:pPr>
    </w:p>
    <w:p>
      <w:pPr>
        <w:wordWrap w:val="0"/>
        <w:spacing w:line="360" w:lineRule="auto"/>
        <w:ind w:right="900"/>
        <w:rPr>
          <w:rFonts w:ascii="宋体" w:hAnsi="宋体" w:cs="宋体"/>
          <w:color w:val="auto"/>
          <w:kern w:val="0"/>
          <w:szCs w:val="21"/>
          <w:highlight w:val="none"/>
        </w:rPr>
      </w:pPr>
    </w:p>
    <w:p>
      <w:pPr>
        <w:spacing w:line="360" w:lineRule="auto"/>
        <w:ind w:right="900"/>
        <w:jc w:val="center"/>
        <w:rPr>
          <w:rFonts w:ascii="宋体" w:hAnsi="宋体" w:cs="宋体"/>
          <w:color w:val="auto"/>
          <w:kern w:val="0"/>
          <w:szCs w:val="21"/>
          <w:highlight w:val="none"/>
          <w:u w:val="single"/>
        </w:rPr>
      </w:pPr>
    </w:p>
    <w:p>
      <w:pPr>
        <w:spacing w:line="360" w:lineRule="auto"/>
        <w:ind w:firstLine="6300" w:firstLineChars="3000"/>
        <w:rPr>
          <w:rFonts w:ascii="宋体" w:hAnsi="宋体"/>
          <w:b/>
          <w:bCs/>
          <w:color w:val="auto"/>
          <w:kern w:val="0"/>
          <w:sz w:val="28"/>
          <w:szCs w:val="28"/>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eastAsia="zh-CN"/>
        </w:rPr>
        <w:t>2020</w:t>
      </w:r>
      <w:r>
        <w:rPr>
          <w:rFonts w:hint="eastAsia" w:ascii="宋体" w:hAnsi="宋体"/>
          <w:color w:val="auto"/>
          <w:szCs w:val="21"/>
          <w:highlight w:val="none"/>
        </w:rPr>
        <w:t>年  月  日</w:t>
      </w: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附件7  报价一览表</w:t>
      </w:r>
    </w:p>
    <w:p>
      <w:pPr>
        <w:pStyle w:val="2"/>
        <w:spacing w:line="360" w:lineRule="auto"/>
        <w:ind w:right="480"/>
        <w:jc w:val="left"/>
        <w:rPr>
          <w:rFonts w:hAnsi="宋体"/>
          <w:color w:val="auto"/>
          <w:highlight w:val="none"/>
        </w:rPr>
      </w:pPr>
    </w:p>
    <w:p>
      <w:pPr>
        <w:pStyle w:val="2"/>
        <w:spacing w:line="360" w:lineRule="auto"/>
        <w:ind w:right="482"/>
        <w:jc w:val="left"/>
        <w:rPr>
          <w:rFonts w:hAnsi="宋体"/>
          <w:color w:val="auto"/>
          <w:szCs w:val="21"/>
          <w:highlight w:val="none"/>
        </w:rPr>
      </w:pPr>
      <w:r>
        <w:rPr>
          <w:rFonts w:hint="eastAsia" w:hAnsi="宋体"/>
          <w:color w:val="auto"/>
          <w:szCs w:val="21"/>
          <w:highlight w:val="none"/>
        </w:rPr>
        <w:t xml:space="preserve">项目名称：                       </w:t>
      </w:r>
    </w:p>
    <w:p>
      <w:pPr>
        <w:pStyle w:val="2"/>
        <w:spacing w:line="360" w:lineRule="auto"/>
        <w:ind w:right="482"/>
        <w:jc w:val="left"/>
        <w:rPr>
          <w:rFonts w:hAnsi="宋体" w:cs="宋体"/>
          <w:color w:val="auto"/>
          <w:szCs w:val="21"/>
          <w:highlight w:val="none"/>
        </w:rPr>
      </w:pPr>
      <w:r>
        <w:rPr>
          <w:rFonts w:hint="eastAsia" w:hAnsi="宋体" w:cs="宋体"/>
          <w:color w:val="auto"/>
          <w:szCs w:val="21"/>
          <w:highlight w:val="none"/>
        </w:rPr>
        <w:t xml:space="preserve">项目编号： </w:t>
      </w:r>
    </w:p>
    <w:p>
      <w:pPr>
        <w:pStyle w:val="2"/>
        <w:spacing w:line="360" w:lineRule="auto"/>
        <w:ind w:right="482"/>
        <w:jc w:val="left"/>
        <w:rPr>
          <w:rFonts w:hAnsi="宋体" w:cs="宋体"/>
          <w:color w:val="auto"/>
          <w:szCs w:val="21"/>
          <w:highlight w:val="none"/>
        </w:rPr>
      </w:pPr>
    </w:p>
    <w:tbl>
      <w:tblPr>
        <w:tblStyle w:val="8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5"/>
        <w:gridCol w:w="3260"/>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445"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供应商</w:t>
            </w:r>
          </w:p>
        </w:tc>
        <w:tc>
          <w:tcPr>
            <w:tcW w:w="3260"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投标总报价（元）</w:t>
            </w:r>
          </w:p>
        </w:tc>
        <w:tc>
          <w:tcPr>
            <w:tcW w:w="2410" w:type="dxa"/>
            <w:vAlign w:val="center"/>
          </w:tcPr>
          <w:p>
            <w:pPr>
              <w:widowControl/>
              <w:spacing w:line="360" w:lineRule="auto"/>
              <w:jc w:val="center"/>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lang w:eastAsia="zh-CN"/>
              </w:rPr>
              <w:t>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2445" w:type="dxa"/>
            <w:vMerge w:val="restart"/>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小写：</w:t>
            </w:r>
          </w:p>
        </w:tc>
        <w:tc>
          <w:tcPr>
            <w:tcW w:w="2410" w:type="dxa"/>
            <w:vMerge w:val="restart"/>
            <w:vAlign w:val="center"/>
          </w:tcPr>
          <w:p>
            <w:pPr>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完全按照竞争性磋商文件要求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2445" w:type="dxa"/>
            <w:vMerge w:val="continue"/>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大写： </w:t>
            </w:r>
          </w:p>
        </w:tc>
        <w:tc>
          <w:tcPr>
            <w:tcW w:w="2410" w:type="dxa"/>
            <w:vMerge w:val="continue"/>
            <w:vAlign w:val="center"/>
          </w:tcPr>
          <w:p>
            <w:pPr>
              <w:spacing w:line="360" w:lineRule="auto"/>
              <w:jc w:val="left"/>
              <w:rPr>
                <w:rFonts w:ascii="宋体" w:hAnsi="宋体" w:cs="宋体"/>
                <w:color w:val="auto"/>
                <w:kern w:val="0"/>
                <w:szCs w:val="21"/>
                <w:highlight w:val="none"/>
              </w:rPr>
            </w:pPr>
          </w:p>
        </w:tc>
      </w:tr>
    </w:tbl>
    <w:p>
      <w:pPr>
        <w:spacing w:line="360" w:lineRule="auto"/>
        <w:ind w:left="1206" w:leftChars="195" w:hanging="797" w:hangingChars="294"/>
        <w:jc w:val="left"/>
        <w:rPr>
          <w:rStyle w:val="92"/>
          <w:rFonts w:ascii="Verdana" w:hAnsi="Verdana"/>
          <w:color w:val="auto"/>
          <w:sz w:val="27"/>
          <w:szCs w:val="27"/>
          <w:highlight w:val="none"/>
          <w:shd w:val="clear" w:color="auto" w:fill="FFFFFF"/>
        </w:rPr>
      </w:pPr>
    </w:p>
    <w:p>
      <w:pPr>
        <w:adjustRightInd w:val="0"/>
        <w:snapToGrid w:val="0"/>
        <w:spacing w:line="360" w:lineRule="auto"/>
        <w:ind w:left="630" w:hanging="630" w:hangingChars="299"/>
        <w:jc w:val="left"/>
        <w:rPr>
          <w:rFonts w:ascii="宋体" w:hAnsi="宋体"/>
          <w:b/>
          <w:color w:val="auto"/>
          <w:szCs w:val="21"/>
          <w:highlight w:val="none"/>
        </w:rPr>
      </w:pPr>
    </w:p>
    <w:p>
      <w:pPr>
        <w:adjustRightInd w:val="0"/>
        <w:snapToGrid w:val="0"/>
        <w:spacing w:line="360" w:lineRule="auto"/>
        <w:jc w:val="left"/>
        <w:rPr>
          <w:rFonts w:ascii="宋体" w:hAnsi="宋体"/>
          <w:b/>
          <w:color w:val="auto"/>
          <w:szCs w:val="21"/>
          <w:highlight w:val="none"/>
        </w:rPr>
      </w:pPr>
      <w:r>
        <w:rPr>
          <w:rFonts w:hint="eastAsia" w:ascii="宋体" w:hAnsi="宋体"/>
          <w:b/>
          <w:color w:val="auto"/>
          <w:szCs w:val="21"/>
          <w:highlight w:val="none"/>
        </w:rPr>
        <w:t>注:1.供应商应按“采购人需求”的要求，根据实际情况进行报价。本表内的</w:t>
      </w:r>
      <w:r>
        <w:rPr>
          <w:rFonts w:hint="eastAsia" w:ascii="宋体" w:hAnsi="宋体" w:cs="宋体"/>
          <w:b/>
          <w:color w:val="auto"/>
          <w:kern w:val="0"/>
          <w:szCs w:val="21"/>
          <w:highlight w:val="none"/>
        </w:rPr>
        <w:t>响应报价为第一次报价</w:t>
      </w:r>
      <w:r>
        <w:rPr>
          <w:rFonts w:hint="eastAsia" w:ascii="宋体" w:hAnsi="宋体"/>
          <w:b/>
          <w:color w:val="auto"/>
          <w:szCs w:val="21"/>
          <w:highlight w:val="none"/>
        </w:rPr>
        <w:t>；</w:t>
      </w:r>
    </w:p>
    <w:p>
      <w:pPr>
        <w:adjustRightInd w:val="0"/>
        <w:snapToGrid w:val="0"/>
        <w:spacing w:line="360" w:lineRule="auto"/>
        <w:jc w:val="left"/>
        <w:rPr>
          <w:rFonts w:ascii="宋体" w:hAnsi="宋体"/>
          <w:b/>
          <w:color w:val="auto"/>
          <w:szCs w:val="21"/>
          <w:highlight w:val="none"/>
        </w:rPr>
      </w:pPr>
      <w:r>
        <w:rPr>
          <w:rFonts w:hint="eastAsia" w:ascii="宋体" w:hAnsi="宋体"/>
          <w:b/>
          <w:color w:val="auto"/>
          <w:szCs w:val="21"/>
          <w:highlight w:val="none"/>
        </w:rPr>
        <w:t>2.供应商报价高于采购项目预算金额和垃圾处理单价的报价响应无效；</w:t>
      </w:r>
    </w:p>
    <w:p>
      <w:pPr>
        <w:adjustRightInd w:val="0"/>
        <w:snapToGrid w:val="0"/>
        <w:spacing w:line="360" w:lineRule="auto"/>
        <w:jc w:val="left"/>
        <w:rPr>
          <w:rFonts w:ascii="宋体" w:hAnsi="宋体"/>
          <w:b/>
          <w:color w:val="auto"/>
          <w:szCs w:val="21"/>
          <w:highlight w:val="none"/>
        </w:rPr>
      </w:pPr>
      <w:r>
        <w:rPr>
          <w:rFonts w:hint="eastAsia" w:ascii="宋体" w:hAnsi="宋体"/>
          <w:b/>
          <w:color w:val="auto"/>
          <w:szCs w:val="21"/>
          <w:highlight w:val="none"/>
        </w:rPr>
        <w:t>3.根据最后报价单价与实际处理量计算出的结算价包含了采购项目的全部费用，供应商不得再向采购人收取任何费用；</w:t>
      </w:r>
    </w:p>
    <w:p>
      <w:pPr>
        <w:adjustRightInd w:val="0"/>
        <w:snapToGrid w:val="0"/>
        <w:spacing w:line="360" w:lineRule="auto"/>
        <w:ind w:left="630" w:hanging="630" w:hangingChars="299"/>
        <w:jc w:val="left"/>
        <w:rPr>
          <w:rFonts w:ascii="宋体" w:hAnsi="宋体"/>
          <w:b/>
          <w:color w:val="auto"/>
          <w:szCs w:val="21"/>
          <w:highlight w:val="none"/>
        </w:rPr>
      </w:pPr>
      <w:r>
        <w:rPr>
          <w:rFonts w:hint="eastAsia" w:ascii="宋体" w:hAnsi="宋体"/>
          <w:b/>
          <w:color w:val="auto"/>
          <w:szCs w:val="21"/>
          <w:highlight w:val="none"/>
        </w:rPr>
        <w:t>4.本表格须附在正副的响应文件中，并另封装一份在 “唱标信封”内。</w:t>
      </w:r>
    </w:p>
    <w:p>
      <w:pPr>
        <w:pStyle w:val="2"/>
        <w:tabs>
          <w:tab w:val="left" w:pos="3960"/>
        </w:tabs>
        <w:spacing w:line="360" w:lineRule="auto"/>
        <w:ind w:firstLine="4330" w:firstLineChars="2062"/>
        <w:jc w:val="left"/>
        <w:rPr>
          <w:rFonts w:hAnsi="宋体"/>
          <w:color w:val="auto"/>
          <w:szCs w:val="21"/>
          <w:highlight w:val="none"/>
        </w:rPr>
      </w:pPr>
    </w:p>
    <w:p>
      <w:pPr>
        <w:pStyle w:val="2"/>
        <w:tabs>
          <w:tab w:val="left" w:pos="3960"/>
        </w:tabs>
        <w:spacing w:line="360" w:lineRule="auto"/>
        <w:ind w:firstLine="4330" w:firstLineChars="2062"/>
        <w:jc w:val="left"/>
        <w:rPr>
          <w:rFonts w:hAnsi="宋体"/>
          <w:color w:val="auto"/>
          <w:szCs w:val="21"/>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color w:val="auto"/>
          <w:szCs w:val="21"/>
          <w:highlight w:val="none"/>
        </w:rPr>
      </w:pPr>
      <w:r>
        <w:rPr>
          <w:rFonts w:hint="eastAsia" w:ascii="宋体" w:hAnsi="宋体"/>
          <w:bCs/>
          <w:color w:val="auto"/>
          <w:szCs w:val="21"/>
          <w:highlight w:val="none"/>
        </w:rPr>
        <w:t>日    期：     年   月   日</w:t>
      </w:r>
    </w:p>
    <w:p>
      <w:pPr>
        <w:pStyle w:val="2"/>
        <w:tabs>
          <w:tab w:val="left" w:pos="3960"/>
        </w:tabs>
        <w:spacing w:line="360" w:lineRule="auto"/>
        <w:ind w:firstLine="4330" w:firstLineChars="2062"/>
        <w:rPr>
          <w:rFonts w:hAnsi="宋体"/>
          <w:color w:val="auto"/>
          <w:highlight w:val="none"/>
        </w:rPr>
      </w:pPr>
    </w:p>
    <w:p>
      <w:pPr>
        <w:pStyle w:val="2"/>
        <w:tabs>
          <w:tab w:val="left" w:pos="3960"/>
        </w:tabs>
        <w:spacing w:line="360" w:lineRule="auto"/>
        <w:ind w:firstLine="4330" w:firstLineChars="2062"/>
        <w:rPr>
          <w:rFonts w:hAnsi="宋体"/>
          <w:color w:val="auto"/>
          <w:highlight w:val="none"/>
        </w:rPr>
      </w:pPr>
    </w:p>
    <w:p>
      <w:pPr>
        <w:pStyle w:val="2"/>
        <w:tabs>
          <w:tab w:val="left" w:pos="3960"/>
        </w:tabs>
        <w:spacing w:line="360" w:lineRule="auto"/>
        <w:ind w:firstLine="4330" w:firstLineChars="2062"/>
        <w:rPr>
          <w:rFonts w:hAnsi="宋体"/>
          <w:color w:val="auto"/>
          <w:highlight w:val="none"/>
        </w:rPr>
      </w:pPr>
    </w:p>
    <w:p>
      <w:pPr>
        <w:pStyle w:val="2"/>
        <w:tabs>
          <w:tab w:val="left" w:pos="3960"/>
        </w:tabs>
        <w:spacing w:line="360" w:lineRule="auto"/>
        <w:ind w:firstLine="4330" w:firstLineChars="2062"/>
        <w:rPr>
          <w:rFonts w:hAnsi="宋体"/>
          <w:color w:val="auto"/>
          <w:highlight w:val="none"/>
        </w:rPr>
      </w:pPr>
    </w:p>
    <w:p>
      <w:pPr>
        <w:pStyle w:val="2"/>
        <w:tabs>
          <w:tab w:val="left" w:pos="3960"/>
        </w:tabs>
        <w:spacing w:line="360" w:lineRule="auto"/>
        <w:ind w:firstLine="4330" w:firstLineChars="2062"/>
        <w:rPr>
          <w:rFonts w:hAnsi="宋体"/>
          <w:color w:val="auto"/>
          <w:highlight w:val="none"/>
        </w:rPr>
      </w:pPr>
    </w:p>
    <w:p>
      <w:pPr>
        <w:pStyle w:val="2"/>
        <w:tabs>
          <w:tab w:val="left" w:pos="3960"/>
        </w:tabs>
        <w:spacing w:line="360" w:lineRule="auto"/>
        <w:ind w:firstLine="4330" w:firstLineChars="2062"/>
        <w:rPr>
          <w:rFonts w:hAnsi="宋体"/>
          <w:color w:val="auto"/>
          <w:highlight w:val="none"/>
        </w:rPr>
      </w:pPr>
    </w:p>
    <w:p>
      <w:pPr>
        <w:pStyle w:val="2"/>
        <w:tabs>
          <w:tab w:val="left" w:pos="3960"/>
        </w:tabs>
        <w:spacing w:line="360" w:lineRule="auto"/>
        <w:ind w:firstLine="4330" w:firstLineChars="2062"/>
        <w:rPr>
          <w:rFonts w:hAnsi="宋体"/>
          <w:color w:val="auto"/>
          <w:highlight w:val="none"/>
        </w:rPr>
      </w:pPr>
    </w:p>
    <w:p>
      <w:pPr>
        <w:pStyle w:val="2"/>
        <w:tabs>
          <w:tab w:val="left" w:pos="3960"/>
        </w:tabs>
        <w:spacing w:line="360" w:lineRule="auto"/>
        <w:ind w:firstLine="4330" w:firstLineChars="2062"/>
        <w:rPr>
          <w:rFonts w:hAnsi="宋体"/>
          <w:color w:val="auto"/>
          <w:highlight w:val="none"/>
        </w:rPr>
      </w:pPr>
    </w:p>
    <w:p>
      <w:pPr>
        <w:pStyle w:val="2"/>
        <w:tabs>
          <w:tab w:val="left" w:pos="3960"/>
        </w:tabs>
        <w:spacing w:line="360" w:lineRule="auto"/>
        <w:ind w:firstLine="4330" w:firstLineChars="2062"/>
        <w:rPr>
          <w:rFonts w:hAnsi="宋体"/>
          <w:color w:val="auto"/>
          <w:highlight w:val="none"/>
        </w:rPr>
      </w:pPr>
    </w:p>
    <w:p>
      <w:pPr>
        <w:pStyle w:val="2"/>
        <w:tabs>
          <w:tab w:val="left" w:pos="3960"/>
        </w:tabs>
        <w:spacing w:line="360" w:lineRule="auto"/>
        <w:ind w:firstLine="4330" w:firstLineChars="2062"/>
        <w:rPr>
          <w:rFonts w:hAnsi="宋体"/>
          <w:color w:val="auto"/>
          <w:highlight w:val="none"/>
        </w:rPr>
      </w:pPr>
    </w:p>
    <w:p>
      <w:pPr>
        <w:pStyle w:val="2"/>
        <w:tabs>
          <w:tab w:val="left" w:pos="3960"/>
        </w:tabs>
        <w:spacing w:line="360" w:lineRule="auto"/>
        <w:rPr>
          <w:rFonts w:hAnsi="宋体"/>
          <w:color w:val="auto"/>
          <w:highlight w:val="none"/>
        </w:rPr>
      </w:pPr>
    </w:p>
    <w:p>
      <w:pPr>
        <w:widowControl/>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附件8  磋商分项报价表（如有）</w:t>
      </w:r>
    </w:p>
    <w:p>
      <w:pPr>
        <w:spacing w:line="360" w:lineRule="auto"/>
        <w:jc w:val="left"/>
        <w:rPr>
          <w:rFonts w:ascii="宋体" w:hAnsi="宋体"/>
          <w:bCs/>
          <w:color w:val="auto"/>
          <w:sz w:val="28"/>
          <w:szCs w:val="28"/>
          <w:highlight w:val="none"/>
        </w:rPr>
      </w:pPr>
    </w:p>
    <w:p>
      <w:pPr>
        <w:pStyle w:val="2"/>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 xml:space="preserve">项目名称： </w:t>
      </w:r>
    </w:p>
    <w:p>
      <w:pPr>
        <w:pStyle w:val="2"/>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项目编号：</w:t>
      </w:r>
    </w:p>
    <w:tbl>
      <w:tblPr>
        <w:tblStyle w:val="8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40"/>
        <w:gridCol w:w="1604"/>
        <w:gridCol w:w="1980"/>
        <w:gridCol w:w="908"/>
        <w:gridCol w:w="908"/>
        <w:gridCol w:w="925"/>
        <w:gridCol w:w="1328"/>
        <w:gridCol w:w="90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1240" w:type="dxa"/>
            <w:tcBorders>
              <w:top w:val="single" w:color="auto" w:sz="4" w:space="0"/>
              <w:left w:val="single" w:color="auto" w:sz="4" w:space="0"/>
              <w:bottom w:val="single" w:color="auto" w:sz="4" w:space="0"/>
              <w:right w:val="single" w:color="auto" w:sz="4" w:space="0"/>
            </w:tcBorders>
            <w:vAlign w:val="center"/>
          </w:tcPr>
          <w:p>
            <w:pPr>
              <w:pStyle w:val="2"/>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序号</w:t>
            </w:r>
          </w:p>
        </w:tc>
        <w:tc>
          <w:tcPr>
            <w:tcW w:w="1604" w:type="dxa"/>
            <w:tcBorders>
              <w:top w:val="single" w:color="auto" w:sz="4" w:space="0"/>
              <w:left w:val="single" w:color="auto" w:sz="4" w:space="0"/>
              <w:bottom w:val="single" w:color="auto" w:sz="4" w:space="0"/>
              <w:right w:val="single" w:color="auto" w:sz="4" w:space="0"/>
            </w:tcBorders>
            <w:vAlign w:val="center"/>
          </w:tcPr>
          <w:p>
            <w:pPr>
              <w:pStyle w:val="2"/>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分项名称</w:t>
            </w:r>
          </w:p>
        </w:tc>
        <w:tc>
          <w:tcPr>
            <w:tcW w:w="1980" w:type="dxa"/>
            <w:tcBorders>
              <w:top w:val="single" w:color="auto" w:sz="4" w:space="0"/>
              <w:left w:val="single" w:color="auto" w:sz="4" w:space="0"/>
              <w:bottom w:val="single" w:color="auto" w:sz="4" w:space="0"/>
              <w:right w:val="single" w:color="auto" w:sz="4" w:space="0"/>
            </w:tcBorders>
            <w:vAlign w:val="center"/>
          </w:tcPr>
          <w:p>
            <w:pPr>
              <w:pStyle w:val="2"/>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具体内容</w:t>
            </w:r>
          </w:p>
        </w:tc>
        <w:tc>
          <w:tcPr>
            <w:tcW w:w="908" w:type="dxa"/>
            <w:tcBorders>
              <w:top w:val="single" w:color="auto" w:sz="4" w:space="0"/>
              <w:left w:val="single" w:color="auto" w:sz="4" w:space="0"/>
              <w:bottom w:val="single" w:color="auto" w:sz="4" w:space="0"/>
              <w:right w:val="single" w:color="auto" w:sz="4" w:space="0"/>
            </w:tcBorders>
            <w:vAlign w:val="center"/>
          </w:tcPr>
          <w:p>
            <w:pPr>
              <w:pStyle w:val="2"/>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单位</w:t>
            </w:r>
          </w:p>
        </w:tc>
        <w:tc>
          <w:tcPr>
            <w:tcW w:w="908" w:type="dxa"/>
            <w:tcBorders>
              <w:top w:val="single" w:color="auto" w:sz="4" w:space="0"/>
              <w:left w:val="single" w:color="auto" w:sz="4" w:space="0"/>
              <w:bottom w:val="single" w:color="auto" w:sz="4" w:space="0"/>
              <w:right w:val="single" w:color="auto" w:sz="4" w:space="0"/>
            </w:tcBorders>
            <w:vAlign w:val="center"/>
          </w:tcPr>
          <w:p>
            <w:pPr>
              <w:pStyle w:val="2"/>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数量</w:t>
            </w:r>
          </w:p>
        </w:tc>
        <w:tc>
          <w:tcPr>
            <w:tcW w:w="925" w:type="dxa"/>
            <w:tcBorders>
              <w:top w:val="single" w:color="auto" w:sz="4" w:space="0"/>
              <w:left w:val="single" w:color="auto" w:sz="4" w:space="0"/>
              <w:bottom w:val="single" w:color="auto" w:sz="4" w:space="0"/>
              <w:right w:val="single" w:color="auto" w:sz="4" w:space="0"/>
            </w:tcBorders>
            <w:vAlign w:val="center"/>
          </w:tcPr>
          <w:p>
            <w:pPr>
              <w:pStyle w:val="2"/>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单价</w:t>
            </w:r>
          </w:p>
        </w:tc>
        <w:tc>
          <w:tcPr>
            <w:tcW w:w="1328" w:type="dxa"/>
            <w:tcBorders>
              <w:top w:val="single" w:color="auto" w:sz="4" w:space="0"/>
              <w:left w:val="single" w:color="auto" w:sz="4" w:space="0"/>
              <w:bottom w:val="single" w:color="auto" w:sz="4" w:space="0"/>
              <w:right w:val="single" w:color="auto" w:sz="4" w:space="0"/>
            </w:tcBorders>
            <w:vAlign w:val="center"/>
          </w:tcPr>
          <w:p>
            <w:pPr>
              <w:pStyle w:val="2"/>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合计（元）</w:t>
            </w:r>
          </w:p>
        </w:tc>
        <w:tc>
          <w:tcPr>
            <w:tcW w:w="908" w:type="dxa"/>
            <w:tcBorders>
              <w:top w:val="single" w:color="auto" w:sz="4" w:space="0"/>
              <w:left w:val="single" w:color="auto" w:sz="4" w:space="0"/>
              <w:bottom w:val="single" w:color="auto" w:sz="4" w:space="0"/>
              <w:right w:val="single" w:color="auto" w:sz="4" w:space="0"/>
            </w:tcBorders>
            <w:vAlign w:val="center"/>
          </w:tcPr>
          <w:p>
            <w:pPr>
              <w:pStyle w:val="2"/>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40" w:type="dxa"/>
            <w:tcBorders>
              <w:top w:val="single" w:color="auto" w:sz="4" w:space="0"/>
              <w:left w:val="single" w:color="auto" w:sz="4" w:space="0"/>
              <w:bottom w:val="single" w:color="auto" w:sz="4" w:space="0"/>
              <w:right w:val="single" w:color="auto" w:sz="4" w:space="0"/>
            </w:tcBorders>
            <w:vAlign w:val="center"/>
          </w:tcPr>
          <w:p>
            <w:pPr>
              <w:pStyle w:val="2"/>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1</w:t>
            </w:r>
          </w:p>
        </w:tc>
        <w:tc>
          <w:tcPr>
            <w:tcW w:w="1604" w:type="dxa"/>
            <w:tcBorders>
              <w:top w:val="single" w:color="auto" w:sz="4" w:space="0"/>
              <w:left w:val="single" w:color="auto" w:sz="4" w:space="0"/>
              <w:bottom w:val="single" w:color="auto" w:sz="4" w:space="0"/>
              <w:right w:val="single" w:color="auto" w:sz="4" w:space="0"/>
            </w:tcBorders>
            <w:vAlign w:val="center"/>
          </w:tcPr>
          <w:p>
            <w:pPr>
              <w:pStyle w:val="2"/>
              <w:spacing w:line="360" w:lineRule="auto"/>
              <w:ind w:right="482"/>
              <w:jc w:val="left"/>
              <w:rPr>
                <w:rFonts w:hAnsi="宋体" w:cs="宋体"/>
                <w:color w:val="auto"/>
                <w:kern w:val="0"/>
                <w:szCs w:val="21"/>
                <w:highlight w:val="none"/>
              </w:rPr>
            </w:pPr>
          </w:p>
        </w:tc>
        <w:tc>
          <w:tcPr>
            <w:tcW w:w="1980" w:type="dxa"/>
            <w:tcBorders>
              <w:top w:val="single" w:color="auto" w:sz="4" w:space="0"/>
              <w:left w:val="single" w:color="auto" w:sz="4" w:space="0"/>
              <w:bottom w:val="single" w:color="auto" w:sz="4" w:space="0"/>
              <w:right w:val="single" w:color="auto" w:sz="4" w:space="0"/>
            </w:tcBorders>
            <w:vAlign w:val="center"/>
          </w:tcPr>
          <w:p>
            <w:pPr>
              <w:pStyle w:val="2"/>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2"/>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2"/>
              <w:spacing w:line="360" w:lineRule="auto"/>
              <w:ind w:right="482"/>
              <w:jc w:val="left"/>
              <w:rPr>
                <w:rFonts w:hAnsi="宋体" w:cs="宋体"/>
                <w:color w:val="auto"/>
                <w:kern w:val="0"/>
                <w:szCs w:val="21"/>
                <w:highlight w:val="none"/>
              </w:rPr>
            </w:pPr>
          </w:p>
        </w:tc>
        <w:tc>
          <w:tcPr>
            <w:tcW w:w="925" w:type="dxa"/>
            <w:tcBorders>
              <w:top w:val="single" w:color="auto" w:sz="4" w:space="0"/>
              <w:left w:val="single" w:color="auto" w:sz="4" w:space="0"/>
              <w:bottom w:val="single" w:color="auto" w:sz="4" w:space="0"/>
              <w:right w:val="single" w:color="auto" w:sz="4" w:space="0"/>
            </w:tcBorders>
            <w:vAlign w:val="center"/>
          </w:tcPr>
          <w:p>
            <w:pPr>
              <w:pStyle w:val="2"/>
              <w:spacing w:line="360" w:lineRule="auto"/>
              <w:ind w:right="482"/>
              <w:jc w:val="left"/>
              <w:rPr>
                <w:rFonts w:hAnsi="宋体" w:cs="宋体"/>
                <w:color w:val="auto"/>
                <w:kern w:val="0"/>
                <w:szCs w:val="21"/>
                <w:highlight w:val="none"/>
              </w:rPr>
            </w:pPr>
          </w:p>
        </w:tc>
        <w:tc>
          <w:tcPr>
            <w:tcW w:w="1328" w:type="dxa"/>
            <w:tcBorders>
              <w:top w:val="single" w:color="auto" w:sz="4" w:space="0"/>
              <w:left w:val="single" w:color="auto" w:sz="4" w:space="0"/>
              <w:bottom w:val="single" w:color="auto" w:sz="4" w:space="0"/>
              <w:right w:val="single" w:color="auto" w:sz="4" w:space="0"/>
            </w:tcBorders>
            <w:vAlign w:val="center"/>
          </w:tcPr>
          <w:p>
            <w:pPr>
              <w:pStyle w:val="2"/>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2"/>
              <w:spacing w:line="360" w:lineRule="auto"/>
              <w:ind w:right="482"/>
              <w:jc w:val="left"/>
              <w:rPr>
                <w:rFonts w:hAnsi="宋体" w:cs="宋体"/>
                <w:color w:val="auto"/>
                <w:kern w:val="0"/>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40" w:type="dxa"/>
            <w:tcBorders>
              <w:top w:val="single" w:color="auto" w:sz="4" w:space="0"/>
              <w:left w:val="single" w:color="auto" w:sz="4" w:space="0"/>
              <w:bottom w:val="single" w:color="auto" w:sz="4" w:space="0"/>
              <w:right w:val="single" w:color="auto" w:sz="4" w:space="0"/>
            </w:tcBorders>
            <w:vAlign w:val="center"/>
          </w:tcPr>
          <w:p>
            <w:pPr>
              <w:pStyle w:val="2"/>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2</w:t>
            </w:r>
          </w:p>
        </w:tc>
        <w:tc>
          <w:tcPr>
            <w:tcW w:w="1604" w:type="dxa"/>
            <w:tcBorders>
              <w:top w:val="single" w:color="auto" w:sz="4" w:space="0"/>
              <w:left w:val="single" w:color="auto" w:sz="4" w:space="0"/>
              <w:bottom w:val="single" w:color="auto" w:sz="4" w:space="0"/>
              <w:right w:val="single" w:color="auto" w:sz="4" w:space="0"/>
            </w:tcBorders>
            <w:vAlign w:val="center"/>
          </w:tcPr>
          <w:p>
            <w:pPr>
              <w:pStyle w:val="2"/>
              <w:spacing w:line="360" w:lineRule="auto"/>
              <w:ind w:right="482"/>
              <w:jc w:val="left"/>
              <w:rPr>
                <w:rFonts w:hAnsi="宋体" w:cs="宋体"/>
                <w:color w:val="auto"/>
                <w:kern w:val="0"/>
                <w:szCs w:val="21"/>
                <w:highlight w:val="none"/>
              </w:rPr>
            </w:pPr>
          </w:p>
        </w:tc>
        <w:tc>
          <w:tcPr>
            <w:tcW w:w="1980" w:type="dxa"/>
            <w:tcBorders>
              <w:top w:val="single" w:color="auto" w:sz="4" w:space="0"/>
              <w:left w:val="single" w:color="auto" w:sz="4" w:space="0"/>
              <w:bottom w:val="single" w:color="auto" w:sz="4" w:space="0"/>
              <w:right w:val="single" w:color="auto" w:sz="4" w:space="0"/>
            </w:tcBorders>
            <w:vAlign w:val="center"/>
          </w:tcPr>
          <w:p>
            <w:pPr>
              <w:pStyle w:val="2"/>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2"/>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2"/>
              <w:spacing w:line="360" w:lineRule="auto"/>
              <w:ind w:right="482"/>
              <w:jc w:val="left"/>
              <w:rPr>
                <w:rFonts w:hAnsi="宋体" w:cs="宋体"/>
                <w:color w:val="auto"/>
                <w:kern w:val="0"/>
                <w:szCs w:val="21"/>
                <w:highlight w:val="none"/>
              </w:rPr>
            </w:pPr>
          </w:p>
        </w:tc>
        <w:tc>
          <w:tcPr>
            <w:tcW w:w="925" w:type="dxa"/>
            <w:tcBorders>
              <w:top w:val="single" w:color="auto" w:sz="4" w:space="0"/>
              <w:left w:val="single" w:color="auto" w:sz="4" w:space="0"/>
              <w:bottom w:val="single" w:color="auto" w:sz="4" w:space="0"/>
              <w:right w:val="single" w:color="auto" w:sz="4" w:space="0"/>
            </w:tcBorders>
            <w:vAlign w:val="center"/>
          </w:tcPr>
          <w:p>
            <w:pPr>
              <w:pStyle w:val="2"/>
              <w:spacing w:line="360" w:lineRule="auto"/>
              <w:ind w:right="482"/>
              <w:jc w:val="left"/>
              <w:rPr>
                <w:rFonts w:hAnsi="宋体" w:cs="宋体"/>
                <w:color w:val="auto"/>
                <w:kern w:val="0"/>
                <w:szCs w:val="21"/>
                <w:highlight w:val="none"/>
              </w:rPr>
            </w:pPr>
          </w:p>
        </w:tc>
        <w:tc>
          <w:tcPr>
            <w:tcW w:w="1328" w:type="dxa"/>
            <w:tcBorders>
              <w:top w:val="single" w:color="auto" w:sz="4" w:space="0"/>
              <w:left w:val="single" w:color="auto" w:sz="4" w:space="0"/>
              <w:bottom w:val="single" w:color="auto" w:sz="4" w:space="0"/>
              <w:right w:val="single" w:color="auto" w:sz="4" w:space="0"/>
            </w:tcBorders>
            <w:vAlign w:val="center"/>
          </w:tcPr>
          <w:p>
            <w:pPr>
              <w:pStyle w:val="2"/>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2"/>
              <w:spacing w:line="360" w:lineRule="auto"/>
              <w:ind w:right="482"/>
              <w:jc w:val="left"/>
              <w:rPr>
                <w:rFonts w:hAnsi="宋体" w:cs="宋体"/>
                <w:color w:val="auto"/>
                <w:kern w:val="0"/>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40" w:type="dxa"/>
            <w:tcBorders>
              <w:top w:val="single" w:color="auto" w:sz="4" w:space="0"/>
              <w:left w:val="single" w:color="auto" w:sz="4" w:space="0"/>
              <w:bottom w:val="single" w:color="auto" w:sz="4" w:space="0"/>
              <w:right w:val="single" w:color="auto" w:sz="4" w:space="0"/>
            </w:tcBorders>
            <w:vAlign w:val="center"/>
          </w:tcPr>
          <w:p>
            <w:pPr>
              <w:pStyle w:val="2"/>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3</w:t>
            </w:r>
          </w:p>
        </w:tc>
        <w:tc>
          <w:tcPr>
            <w:tcW w:w="1604" w:type="dxa"/>
            <w:tcBorders>
              <w:top w:val="single" w:color="auto" w:sz="4" w:space="0"/>
              <w:left w:val="single" w:color="auto" w:sz="4" w:space="0"/>
              <w:bottom w:val="single" w:color="auto" w:sz="4" w:space="0"/>
              <w:right w:val="single" w:color="auto" w:sz="4" w:space="0"/>
            </w:tcBorders>
            <w:vAlign w:val="center"/>
          </w:tcPr>
          <w:p>
            <w:pPr>
              <w:pStyle w:val="2"/>
              <w:spacing w:line="360" w:lineRule="auto"/>
              <w:ind w:right="482"/>
              <w:jc w:val="left"/>
              <w:rPr>
                <w:rFonts w:hAnsi="宋体" w:cs="宋体"/>
                <w:color w:val="auto"/>
                <w:kern w:val="0"/>
                <w:szCs w:val="21"/>
                <w:highlight w:val="none"/>
              </w:rPr>
            </w:pPr>
          </w:p>
        </w:tc>
        <w:tc>
          <w:tcPr>
            <w:tcW w:w="1980" w:type="dxa"/>
            <w:tcBorders>
              <w:top w:val="single" w:color="auto" w:sz="4" w:space="0"/>
              <w:left w:val="single" w:color="auto" w:sz="4" w:space="0"/>
              <w:bottom w:val="single" w:color="auto" w:sz="4" w:space="0"/>
              <w:right w:val="single" w:color="auto" w:sz="4" w:space="0"/>
            </w:tcBorders>
            <w:vAlign w:val="center"/>
          </w:tcPr>
          <w:p>
            <w:pPr>
              <w:pStyle w:val="2"/>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2"/>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2"/>
              <w:spacing w:line="360" w:lineRule="auto"/>
              <w:ind w:right="482"/>
              <w:jc w:val="left"/>
              <w:rPr>
                <w:rFonts w:hAnsi="宋体" w:cs="宋体"/>
                <w:color w:val="auto"/>
                <w:kern w:val="0"/>
                <w:szCs w:val="21"/>
                <w:highlight w:val="none"/>
              </w:rPr>
            </w:pPr>
          </w:p>
        </w:tc>
        <w:tc>
          <w:tcPr>
            <w:tcW w:w="925" w:type="dxa"/>
            <w:tcBorders>
              <w:top w:val="single" w:color="auto" w:sz="4" w:space="0"/>
              <w:left w:val="single" w:color="auto" w:sz="4" w:space="0"/>
              <w:bottom w:val="single" w:color="auto" w:sz="4" w:space="0"/>
              <w:right w:val="single" w:color="auto" w:sz="4" w:space="0"/>
            </w:tcBorders>
            <w:vAlign w:val="center"/>
          </w:tcPr>
          <w:p>
            <w:pPr>
              <w:pStyle w:val="2"/>
              <w:spacing w:line="360" w:lineRule="auto"/>
              <w:ind w:right="482"/>
              <w:jc w:val="left"/>
              <w:rPr>
                <w:rFonts w:hAnsi="宋体" w:cs="宋体"/>
                <w:color w:val="auto"/>
                <w:kern w:val="0"/>
                <w:szCs w:val="21"/>
                <w:highlight w:val="none"/>
              </w:rPr>
            </w:pPr>
          </w:p>
        </w:tc>
        <w:tc>
          <w:tcPr>
            <w:tcW w:w="1328" w:type="dxa"/>
            <w:tcBorders>
              <w:top w:val="single" w:color="auto" w:sz="4" w:space="0"/>
              <w:left w:val="single" w:color="auto" w:sz="4" w:space="0"/>
              <w:bottom w:val="single" w:color="auto" w:sz="4" w:space="0"/>
              <w:right w:val="single" w:color="auto" w:sz="4" w:space="0"/>
            </w:tcBorders>
            <w:vAlign w:val="center"/>
          </w:tcPr>
          <w:p>
            <w:pPr>
              <w:pStyle w:val="2"/>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2"/>
              <w:spacing w:line="360" w:lineRule="auto"/>
              <w:ind w:right="482"/>
              <w:jc w:val="left"/>
              <w:rPr>
                <w:rFonts w:hAnsi="宋体" w:cs="宋体"/>
                <w:color w:val="auto"/>
                <w:kern w:val="0"/>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40" w:type="dxa"/>
            <w:tcBorders>
              <w:top w:val="single" w:color="auto" w:sz="4" w:space="0"/>
              <w:left w:val="single" w:color="auto" w:sz="4" w:space="0"/>
              <w:bottom w:val="single" w:color="auto" w:sz="4" w:space="0"/>
              <w:right w:val="single" w:color="auto" w:sz="4" w:space="0"/>
            </w:tcBorders>
            <w:vAlign w:val="center"/>
          </w:tcPr>
          <w:p>
            <w:pPr>
              <w:pStyle w:val="2"/>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总计</w:t>
            </w:r>
          </w:p>
        </w:tc>
        <w:tc>
          <w:tcPr>
            <w:tcW w:w="8561" w:type="dxa"/>
            <w:gridSpan w:val="7"/>
            <w:tcBorders>
              <w:top w:val="single" w:color="auto" w:sz="4" w:space="0"/>
              <w:left w:val="single" w:color="auto" w:sz="4" w:space="0"/>
              <w:bottom w:val="single" w:color="auto" w:sz="4" w:space="0"/>
              <w:right w:val="single" w:color="auto" w:sz="4" w:space="0"/>
            </w:tcBorders>
            <w:vAlign w:val="center"/>
          </w:tcPr>
          <w:p>
            <w:pPr>
              <w:pStyle w:val="2"/>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￥：大写：</w:t>
            </w:r>
          </w:p>
        </w:tc>
      </w:tr>
    </w:tbl>
    <w:p>
      <w:pPr>
        <w:pStyle w:val="2"/>
        <w:spacing w:line="360" w:lineRule="auto"/>
        <w:ind w:left="720" w:hanging="720"/>
        <w:jc w:val="left"/>
        <w:rPr>
          <w:rFonts w:hAnsi="宋体"/>
          <w:color w:val="auto"/>
          <w:sz w:val="24"/>
          <w:szCs w:val="24"/>
          <w:highlight w:val="none"/>
        </w:rPr>
      </w:pPr>
    </w:p>
    <w:p>
      <w:pPr>
        <w:spacing w:line="360" w:lineRule="auto"/>
        <w:ind w:left="753" w:hanging="753" w:hangingChars="357"/>
        <w:jc w:val="left"/>
        <w:rPr>
          <w:rFonts w:ascii="宋体" w:hAnsi="宋体"/>
          <w:b/>
          <w:color w:val="auto"/>
          <w:szCs w:val="21"/>
          <w:highlight w:val="none"/>
        </w:rPr>
      </w:pPr>
      <w:r>
        <w:rPr>
          <w:rFonts w:hint="eastAsia" w:ascii="宋体" w:hAnsi="宋体"/>
          <w:b/>
          <w:color w:val="auto"/>
          <w:szCs w:val="21"/>
          <w:highlight w:val="none"/>
        </w:rPr>
        <w:t>注：1. 此表为《报价一览表》的报价明细表。</w:t>
      </w:r>
    </w:p>
    <w:p>
      <w:pPr>
        <w:spacing w:line="360" w:lineRule="auto"/>
        <w:ind w:left="751" w:leftChars="200" w:hanging="331" w:hangingChars="157"/>
        <w:jc w:val="left"/>
        <w:rPr>
          <w:rFonts w:ascii="宋体" w:hAnsi="宋体"/>
          <w:b/>
          <w:color w:val="auto"/>
          <w:szCs w:val="21"/>
          <w:highlight w:val="none"/>
        </w:rPr>
      </w:pPr>
      <w:r>
        <w:rPr>
          <w:rFonts w:hint="eastAsia" w:ascii="宋体" w:hAnsi="宋体"/>
          <w:b/>
          <w:color w:val="auto"/>
          <w:szCs w:val="21"/>
          <w:highlight w:val="none"/>
        </w:rPr>
        <w:t>2. 所有价格均以人民币作为货币单位填写及计算。对于有配件、耗材、选件和特殊工具的货物，还应填报提供的货物配件、耗材、选件表和备件及特殊工具清单，注明品牌、型号、产地、功能、单价等内容，该表格式由供应商自行设计。供应商按照上述要求分类报价，其目的是便于评标，但在任何情况下并不限制采购人以任何条款签订合同的权利。</w:t>
      </w:r>
    </w:p>
    <w:p>
      <w:pPr>
        <w:spacing w:line="360" w:lineRule="auto"/>
        <w:ind w:left="540" w:leftChars="200" w:hanging="120" w:hangingChars="57"/>
        <w:jc w:val="left"/>
        <w:rPr>
          <w:rFonts w:ascii="宋体" w:hAnsi="宋体"/>
          <w:b/>
          <w:color w:val="auto"/>
          <w:szCs w:val="21"/>
          <w:highlight w:val="none"/>
        </w:rPr>
      </w:pPr>
      <w:r>
        <w:rPr>
          <w:rFonts w:hint="eastAsia" w:ascii="宋体" w:hAnsi="宋体"/>
          <w:b/>
          <w:color w:val="auto"/>
          <w:szCs w:val="21"/>
          <w:highlight w:val="none"/>
        </w:rPr>
        <w:t>3. 该表格式仅作参考，供应商的详细报价表格式可自定。</w:t>
      </w: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pStyle w:val="2"/>
        <w:tabs>
          <w:tab w:val="left" w:pos="3960"/>
        </w:tabs>
        <w:spacing w:line="360" w:lineRule="auto"/>
        <w:ind w:firstLine="4330" w:firstLineChars="2062"/>
        <w:jc w:val="left"/>
        <w:rPr>
          <w:rFonts w:hAnsi="宋体"/>
          <w:color w:val="auto"/>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sectPr>
          <w:headerReference r:id="rId14" w:type="default"/>
          <w:footerReference r:id="rId15" w:type="default"/>
          <w:pgSz w:w="11906" w:h="16838"/>
          <w:pgMar w:top="567" w:right="1304" w:bottom="567" w:left="1361" w:header="567" w:footer="737" w:gutter="0"/>
          <w:cols w:space="720" w:num="1"/>
          <w:docGrid w:linePitch="312" w:charSpace="0"/>
        </w:sectPr>
      </w:pPr>
      <w:r>
        <w:rPr>
          <w:rFonts w:hint="eastAsia" w:ascii="宋体" w:hAnsi="宋体"/>
          <w:bCs/>
          <w:color w:val="auto"/>
          <w:szCs w:val="21"/>
          <w:highlight w:val="none"/>
        </w:rPr>
        <w:t xml:space="preserve">日    期： </w:t>
      </w:r>
      <w:r>
        <w:rPr>
          <w:rFonts w:hint="eastAsia" w:ascii="宋体" w:hAnsi="宋体"/>
          <w:bCs/>
          <w:color w:val="auto"/>
          <w:szCs w:val="21"/>
          <w:highlight w:val="none"/>
          <w:lang w:eastAsia="zh-CN"/>
        </w:rPr>
        <w:t>2020</w:t>
      </w:r>
      <w:r>
        <w:rPr>
          <w:rFonts w:hint="eastAsia" w:ascii="宋体" w:hAnsi="宋体"/>
          <w:bCs/>
          <w:color w:val="auto"/>
          <w:szCs w:val="21"/>
          <w:highlight w:val="none"/>
        </w:rPr>
        <w:t>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附件9  产品适用政府采购政策情况表</w:t>
      </w:r>
    </w:p>
    <w:p>
      <w:pPr>
        <w:spacing w:line="360" w:lineRule="auto"/>
        <w:rPr>
          <w:rFonts w:ascii="宋体" w:hAnsi="宋体"/>
          <w:b/>
          <w:bCs/>
          <w:color w:val="auto"/>
          <w:kern w:val="0"/>
          <w:sz w:val="24"/>
          <w:highlight w:val="none"/>
        </w:rPr>
      </w:pPr>
    </w:p>
    <w:p>
      <w:pPr>
        <w:spacing w:line="360" w:lineRule="auto"/>
        <w:jc w:val="center"/>
        <w:rPr>
          <w:rFonts w:ascii="宋体" w:hAnsi="宋体"/>
          <w:bCs/>
          <w:color w:val="auto"/>
          <w:kern w:val="0"/>
          <w:sz w:val="24"/>
          <w:highlight w:val="none"/>
        </w:rPr>
      </w:pPr>
      <w:r>
        <w:rPr>
          <w:rFonts w:hint="eastAsia" w:ascii="宋体" w:hAnsi="宋体"/>
          <w:bCs/>
          <w:color w:val="auto"/>
          <w:kern w:val="0"/>
          <w:sz w:val="24"/>
          <w:highlight w:val="none"/>
        </w:rPr>
        <w:t>产品适用政府采购政策情况表</w:t>
      </w:r>
    </w:p>
    <w:tbl>
      <w:tblPr>
        <w:tblStyle w:val="8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9"/>
        <w:gridCol w:w="2350"/>
        <w:gridCol w:w="392"/>
        <w:gridCol w:w="1279"/>
        <w:gridCol w:w="822"/>
        <w:gridCol w:w="1798"/>
        <w:gridCol w:w="1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tabs>
                <w:tab w:val="left" w:pos="1260"/>
              </w:tabs>
              <w:spacing w:before="156" w:after="156" w:line="360" w:lineRule="auto"/>
              <w:jc w:val="left"/>
              <w:rPr>
                <w:rFonts w:ascii="宋体" w:hAnsi="宋体"/>
                <w:color w:val="auto"/>
                <w:szCs w:val="21"/>
                <w:highlight w:val="none"/>
                <w:lang w:val="en-GB"/>
              </w:rPr>
            </w:pPr>
            <w:r>
              <w:rPr>
                <w:rFonts w:hint="eastAsia" w:ascii="宋体" w:hAnsi="宋体"/>
                <w:color w:val="auto"/>
                <w:szCs w:val="21"/>
                <w:highlight w:val="none"/>
                <w:lang w:val="en-GB"/>
              </w:rPr>
              <w:t>中小企业扶持政策</w:t>
            </w:r>
          </w:p>
        </w:tc>
        <w:tc>
          <w:tcPr>
            <w:tcW w:w="8299" w:type="dxa"/>
            <w:gridSpan w:val="6"/>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如属所列情形的，请在括号内打“√”：</w:t>
            </w:r>
          </w:p>
          <w:p>
            <w:pPr>
              <w:tabs>
                <w:tab w:val="left" w:pos="1260"/>
              </w:tabs>
              <w:spacing w:before="40" w:after="40" w:line="360" w:lineRule="auto"/>
              <w:jc w:val="left"/>
              <w:rPr>
                <w:rFonts w:ascii="宋体" w:hAnsi="宋体"/>
                <w:color w:val="auto"/>
                <w:szCs w:val="21"/>
                <w:highlight w:val="none"/>
              </w:rPr>
            </w:pPr>
            <w:r>
              <w:rPr>
                <w:rFonts w:hint="eastAsia" w:ascii="宋体" w:hAnsi="宋体"/>
                <w:color w:val="auto"/>
                <w:szCs w:val="21"/>
                <w:highlight w:val="none"/>
              </w:rPr>
              <w:t>（  ）小微企业投标且提供其它小型、微型企业产品的，请填写下表内容(如供应商为中小企业，请填写下面的《中小企业声明函》一起提交)：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产品名称（品牌、型号）</w:t>
            </w: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企业类型</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6641" w:type="dxa"/>
            <w:gridSpan w:val="5"/>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rPr>
              <w:t>小型、微型企业产品</w:t>
            </w:r>
            <w:r>
              <w:rPr>
                <w:rFonts w:hint="eastAsia" w:ascii="宋体" w:hAnsi="宋体"/>
                <w:color w:val="auto"/>
                <w:szCs w:val="21"/>
                <w:highlight w:val="none"/>
                <w:lang w:val="en-GB"/>
              </w:rPr>
              <w:t>金额合计</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环境标志产品</w:t>
            </w:r>
          </w:p>
        </w:tc>
        <w:tc>
          <w:tcPr>
            <w:tcW w:w="2350"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olor w:val="auto"/>
                <w:szCs w:val="21"/>
                <w:highlight w:val="none"/>
              </w:rPr>
            </w:pPr>
            <w:r>
              <w:rPr>
                <w:rFonts w:hint="eastAsia" w:ascii="宋体" w:hAnsi="宋体"/>
                <w:bCs/>
                <w:color w:val="auto"/>
                <w:szCs w:val="21"/>
                <w:highlight w:val="none"/>
              </w:rPr>
              <w:t>主要产品/技术名称（规格型号、注册商标）</w:t>
            </w: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制造商/开发商</w:t>
            </w: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认证证书编号</w:t>
            </w:r>
          </w:p>
        </w:tc>
        <w:tc>
          <w:tcPr>
            <w:tcW w:w="1658"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使用价值量占总金额比重</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（累计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节能产品</w:t>
            </w: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bl>
    <w:p>
      <w:pPr>
        <w:adjustRightInd w:val="0"/>
        <w:snapToGrid w:val="0"/>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 xml:space="preserve">日    期： </w:t>
      </w:r>
      <w:r>
        <w:rPr>
          <w:rFonts w:hint="eastAsia" w:ascii="宋体" w:hAnsi="宋体"/>
          <w:bCs/>
          <w:color w:val="auto"/>
          <w:szCs w:val="21"/>
          <w:highlight w:val="none"/>
          <w:lang w:eastAsia="zh-CN"/>
        </w:rPr>
        <w:t>2020</w:t>
      </w:r>
      <w:r>
        <w:rPr>
          <w:rFonts w:hint="eastAsia" w:ascii="宋体" w:hAnsi="宋体"/>
          <w:bCs/>
          <w:color w:val="auto"/>
          <w:szCs w:val="21"/>
          <w:highlight w:val="none"/>
        </w:rPr>
        <w:t>年  月  日</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ind w:left="721" w:hanging="721" w:hangingChars="342"/>
        <w:jc w:val="left"/>
        <w:rPr>
          <w:rFonts w:ascii="宋体" w:hAnsi="宋体"/>
          <w:b/>
          <w:color w:val="auto"/>
          <w:szCs w:val="21"/>
          <w:highlight w:val="none"/>
          <w:lang w:val="en-GB"/>
        </w:rPr>
      </w:pPr>
      <w:r>
        <w:rPr>
          <w:rFonts w:hint="eastAsia" w:ascii="宋体" w:hAnsi="宋体"/>
          <w:b/>
          <w:color w:val="auto"/>
          <w:szCs w:val="21"/>
          <w:highlight w:val="none"/>
          <w:lang w:val="en-GB"/>
        </w:rPr>
        <w:t>填报要求：</w:t>
      </w:r>
    </w:p>
    <w:p>
      <w:pPr>
        <w:widowControl/>
        <w:numPr>
          <w:ilvl w:val="0"/>
          <w:numId w:val="22"/>
        </w:numPr>
        <w:tabs>
          <w:tab w:val="left" w:pos="0"/>
        </w:tabs>
        <w:spacing w:line="360" w:lineRule="auto"/>
        <w:ind w:left="0" w:right="84" w:rightChars="40" w:firstLine="0"/>
        <w:jc w:val="left"/>
        <w:rPr>
          <w:rFonts w:ascii="宋体" w:hAnsi="宋体"/>
          <w:color w:val="auto"/>
          <w:szCs w:val="21"/>
          <w:highlight w:val="none"/>
          <w:lang w:val="en-GB"/>
        </w:rPr>
      </w:pPr>
      <w:r>
        <w:rPr>
          <w:rFonts w:hint="eastAsia" w:ascii="宋体" w:hAnsi="宋体"/>
          <w:color w:val="auto"/>
          <w:szCs w:val="21"/>
          <w:highlight w:val="none"/>
          <w:lang w:val="en-GB"/>
        </w:rPr>
        <w:t>本表的产品名称、规格型号和注册商标、金额应与《报价明细表》一致。</w:t>
      </w:r>
    </w:p>
    <w:p>
      <w:pPr>
        <w:spacing w:line="360" w:lineRule="auto"/>
        <w:ind w:firstLine="420" w:firstLineChars="200"/>
        <w:jc w:val="left"/>
        <w:rPr>
          <w:rFonts w:ascii="宋体" w:hAnsi="宋体"/>
          <w:color w:val="auto"/>
          <w:szCs w:val="21"/>
          <w:highlight w:val="none"/>
          <w:lang w:val="en-GB"/>
        </w:rPr>
      </w:pPr>
      <w:r>
        <w:rPr>
          <w:rFonts w:hint="eastAsia" w:ascii="宋体" w:hAnsi="宋体"/>
          <w:color w:val="auto"/>
          <w:szCs w:val="21"/>
          <w:highlight w:val="none"/>
          <w:lang w:val="en-GB"/>
        </w:rPr>
        <w:t>制造商为小型或微型企业时才需要填“制造商企业类型”栏，填写内容为“小型”或“微型”。</w:t>
      </w:r>
    </w:p>
    <w:p>
      <w:pPr>
        <w:pStyle w:val="37"/>
        <w:tabs>
          <w:tab w:val="left" w:pos="1080"/>
          <w:tab w:val="left" w:pos="1680"/>
        </w:tabs>
        <w:spacing w:line="360" w:lineRule="auto"/>
        <w:ind w:left="735" w:hanging="315" w:hangingChars="150"/>
        <w:jc w:val="left"/>
        <w:rPr>
          <w:rFonts w:ascii="宋体" w:hAnsi="宋体"/>
          <w:color w:val="auto"/>
          <w:szCs w:val="21"/>
          <w:highlight w:val="none"/>
        </w:rPr>
      </w:pPr>
      <w:r>
        <w:rPr>
          <w:rFonts w:hint="eastAsia" w:ascii="宋体" w:hAnsi="宋体"/>
          <w:color w:val="auto"/>
          <w:szCs w:val="21"/>
          <w:highlight w:val="none"/>
        </w:rPr>
        <w:t>2. 根据《国务院办公厅关于建立政府强制采购节能产品制度的通知》（国办发[2007]51号）和财政部、发展改革委发布的《节能产品政府采购实施意见》（财库[2004]185号）的规定，若投标产品属于“节能产品政府采购清单”中品目的产品，提供有效期内的中国节能产品认证证书复印件及最新一期“节能产品政府采购清单”中投标产品所在清单页并均加盖</w:t>
      </w:r>
      <w:r>
        <w:rPr>
          <w:rFonts w:hint="eastAsia" w:ascii="宋体" w:hAnsi="宋体" w:cs="宋体"/>
          <w:color w:val="auto"/>
          <w:kern w:val="0"/>
          <w:szCs w:val="21"/>
          <w:highlight w:val="none"/>
        </w:rPr>
        <w:t>供应商</w:t>
      </w:r>
      <w:r>
        <w:rPr>
          <w:rFonts w:hint="eastAsia" w:ascii="宋体" w:hAnsi="宋体"/>
          <w:color w:val="auto"/>
          <w:szCs w:val="21"/>
          <w:highlight w:val="none"/>
        </w:rPr>
        <w:t>公章，节能清单在中国政府采购网（http：//www.ccgp.gov .cn/）、国家发展改革委网站（</w:t>
      </w:r>
      <w:r>
        <w:rPr>
          <w:color w:val="auto"/>
          <w:highlight w:val="none"/>
        </w:rPr>
        <w:fldChar w:fldCharType="begin"/>
      </w:r>
      <w:r>
        <w:rPr>
          <w:color w:val="auto"/>
          <w:highlight w:val="none"/>
        </w:rPr>
        <w:instrText xml:space="preserve"> HYPERLINK "http://hzs.nd/" </w:instrText>
      </w:r>
      <w:r>
        <w:rPr>
          <w:color w:val="auto"/>
          <w:highlight w:val="none"/>
        </w:rPr>
        <w:fldChar w:fldCharType="separate"/>
      </w:r>
      <w:r>
        <w:rPr>
          <w:rStyle w:val="94"/>
          <w:rFonts w:hint="eastAsia" w:ascii="宋体" w:hAnsi="宋体"/>
          <w:color w:val="auto"/>
          <w:szCs w:val="21"/>
          <w:highlight w:val="none"/>
        </w:rPr>
        <w:t>http://hzs.nd</w:t>
      </w:r>
      <w:r>
        <w:rPr>
          <w:rStyle w:val="94"/>
          <w:rFonts w:hint="eastAsia" w:ascii="宋体" w:hAnsi="宋体"/>
          <w:color w:val="auto"/>
          <w:szCs w:val="21"/>
          <w:highlight w:val="none"/>
        </w:rPr>
        <w:fldChar w:fldCharType="end"/>
      </w:r>
      <w:r>
        <w:rPr>
          <w:rFonts w:hint="eastAsia" w:ascii="宋体" w:hAnsi="宋体"/>
          <w:color w:val="auto"/>
          <w:szCs w:val="21"/>
          <w:highlight w:val="none"/>
        </w:rPr>
        <w:t xml:space="preserve"> rc.gv.cn/）和中国质量认证中心网站（http://www.cqc.com.cn/）上发布。</w:t>
      </w:r>
    </w:p>
    <w:p>
      <w:pPr>
        <w:pStyle w:val="37"/>
        <w:tabs>
          <w:tab w:val="left" w:pos="1080"/>
          <w:tab w:val="left" w:pos="1680"/>
        </w:tabs>
        <w:spacing w:line="360" w:lineRule="auto"/>
        <w:ind w:left="630" w:hanging="210" w:hangingChars="100"/>
        <w:jc w:val="left"/>
        <w:rPr>
          <w:rFonts w:ascii="宋体" w:hAnsi="宋体"/>
          <w:color w:val="auto"/>
          <w:szCs w:val="21"/>
          <w:highlight w:val="none"/>
        </w:rPr>
      </w:pPr>
      <w:r>
        <w:rPr>
          <w:rFonts w:hint="eastAsia" w:ascii="宋体" w:hAnsi="宋体"/>
          <w:color w:val="auto"/>
          <w:szCs w:val="21"/>
          <w:highlight w:val="none"/>
        </w:rPr>
        <w:t>3.根据《财政部、国家环保总局联合印发〈关于环境标志产品政府采购实施意见〉》（财库[2006]90号）的规定，若投标产品属于“环境标志产品政府采购清单”中品目的产品，提供有效期内的中国环境标志产品认证证书复印件及最新一期“环境标志产品政府采购清单”中投标产品所在清单页并均加盖</w:t>
      </w:r>
      <w:r>
        <w:rPr>
          <w:rFonts w:hint="eastAsia" w:ascii="宋体" w:hAnsi="宋体" w:cs="宋体"/>
          <w:color w:val="auto"/>
          <w:kern w:val="0"/>
          <w:szCs w:val="21"/>
          <w:highlight w:val="none"/>
        </w:rPr>
        <w:t>供应商</w:t>
      </w:r>
      <w:r>
        <w:rPr>
          <w:rFonts w:hint="eastAsia" w:ascii="宋体" w:hAnsi="宋体"/>
          <w:color w:val="auto"/>
          <w:szCs w:val="21"/>
          <w:highlight w:val="none"/>
        </w:rPr>
        <w:t>公章，清单在中国政府采购网（http://www.ccgp.gov.cn/）、国家环境保护总局网（http://www.sepa.gov.cn/）、中国绿色采购网（http://www.cgpn. cn/）上发布。</w:t>
      </w:r>
    </w:p>
    <w:p>
      <w:pPr>
        <w:widowControl/>
        <w:spacing w:line="360" w:lineRule="auto"/>
        <w:ind w:left="315" w:right="84" w:rightChars="40" w:hanging="315" w:hangingChars="150"/>
        <w:jc w:val="left"/>
        <w:rPr>
          <w:rFonts w:ascii="宋体" w:hAnsi="宋体"/>
          <w:color w:val="auto"/>
          <w:szCs w:val="21"/>
          <w:highlight w:val="none"/>
          <w:lang w:val="en-GB"/>
        </w:rPr>
      </w:pPr>
      <w:r>
        <w:rPr>
          <w:rFonts w:hint="eastAsia" w:ascii="宋体" w:hAnsi="宋体"/>
          <w:color w:val="auto"/>
          <w:szCs w:val="21"/>
          <w:highlight w:val="none"/>
        </w:rPr>
        <w:t>4.</w:t>
      </w:r>
      <w:r>
        <w:rPr>
          <w:rFonts w:hint="eastAsia" w:ascii="宋体" w:hAnsi="宋体"/>
          <w:color w:val="auto"/>
          <w:szCs w:val="21"/>
          <w:highlight w:val="none"/>
          <w:lang w:val="en-GB"/>
        </w:rPr>
        <w:t xml:space="preserve"> 请</w:t>
      </w:r>
      <w:r>
        <w:rPr>
          <w:rFonts w:hint="eastAsia" w:ascii="宋体" w:hAnsi="宋体" w:cs="宋体"/>
          <w:color w:val="auto"/>
          <w:kern w:val="0"/>
          <w:szCs w:val="21"/>
          <w:highlight w:val="none"/>
        </w:rPr>
        <w:t>供应商</w:t>
      </w:r>
      <w:r>
        <w:rPr>
          <w:rFonts w:hint="eastAsia" w:ascii="宋体" w:hAnsi="宋体"/>
          <w:color w:val="auto"/>
          <w:szCs w:val="21"/>
          <w:highlight w:val="none"/>
          <w:lang w:val="en-GB"/>
        </w:rPr>
        <w:t>正确填写本表，所填内容将作为评分的依据。其内容或数据应与对应的证明资料相符，如果不一致，可能导致该项的得分为0分。</w:t>
      </w:r>
    </w:p>
    <w:p>
      <w:pPr>
        <w:spacing w:line="360" w:lineRule="auto"/>
        <w:jc w:val="left"/>
        <w:rPr>
          <w:rFonts w:ascii="宋体" w:hAnsi="宋体"/>
          <w:b/>
          <w:bCs/>
          <w:color w:val="auto"/>
          <w:kern w:val="0"/>
          <w:sz w:val="28"/>
          <w:szCs w:val="28"/>
          <w:highlight w:val="none"/>
        </w:rPr>
      </w:pPr>
      <w:r>
        <w:rPr>
          <w:rFonts w:hint="eastAsia" w:ascii="宋体" w:hAnsi="宋体"/>
          <w:color w:val="auto"/>
          <w:szCs w:val="21"/>
          <w:highlight w:val="none"/>
          <w:lang w:val="en-GB"/>
        </w:rPr>
        <w:t>5.</w:t>
      </w:r>
      <w:r>
        <w:rPr>
          <w:rFonts w:hint="eastAsia" w:ascii="宋体" w:hAnsi="宋体"/>
          <w:bCs/>
          <w:color w:val="auto"/>
          <w:szCs w:val="21"/>
          <w:highlight w:val="none"/>
        </w:rPr>
        <w:t>上述文件均加盖</w:t>
      </w:r>
      <w:r>
        <w:rPr>
          <w:rFonts w:hint="eastAsia" w:ascii="宋体" w:hAnsi="宋体" w:cs="宋体"/>
          <w:color w:val="auto"/>
          <w:kern w:val="0"/>
          <w:szCs w:val="21"/>
          <w:highlight w:val="none"/>
        </w:rPr>
        <w:t>供应商</w:t>
      </w:r>
      <w:r>
        <w:rPr>
          <w:rFonts w:hint="eastAsia" w:ascii="宋体" w:hAnsi="宋体"/>
          <w:bCs/>
          <w:color w:val="auto"/>
          <w:szCs w:val="21"/>
          <w:highlight w:val="none"/>
        </w:rPr>
        <w:t>公章。</w:t>
      </w: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附件10  中小企业声明函</w:t>
      </w:r>
    </w:p>
    <w:p>
      <w:pPr>
        <w:spacing w:line="360" w:lineRule="auto"/>
        <w:ind w:firstLine="3360" w:firstLineChars="1600"/>
        <w:rPr>
          <w:rFonts w:ascii="宋体" w:hAnsi="宋体"/>
          <w:color w:val="auto"/>
          <w:highlight w:val="none"/>
        </w:rPr>
      </w:pPr>
    </w:p>
    <w:p>
      <w:pPr>
        <w:spacing w:line="360" w:lineRule="auto"/>
        <w:ind w:firstLine="3360" w:firstLineChars="1600"/>
        <w:rPr>
          <w:rFonts w:ascii="宋体" w:hAnsi="宋体"/>
          <w:color w:val="auto"/>
          <w:highlight w:val="none"/>
        </w:rPr>
      </w:pPr>
      <w:r>
        <w:rPr>
          <w:rFonts w:hint="eastAsia" w:ascii="宋体" w:hAnsi="宋体"/>
          <w:color w:val="auto"/>
          <w:highlight w:val="none"/>
        </w:rPr>
        <w:t>中小企业声明函</w:t>
      </w:r>
    </w:p>
    <w:p>
      <w:pPr>
        <w:spacing w:line="360" w:lineRule="auto"/>
        <w:ind w:firstLine="420" w:firstLineChars="200"/>
        <w:rPr>
          <w:rFonts w:ascii="宋体" w:hAnsi="宋体"/>
          <w:color w:val="auto"/>
          <w:highlight w:val="none"/>
        </w:rPr>
      </w:pPr>
      <w:r>
        <w:rPr>
          <w:rFonts w:hint="eastAsia" w:ascii="宋体" w:hAnsi="宋体"/>
          <w:color w:val="auto"/>
          <w:highlight w:val="none"/>
        </w:rPr>
        <w:t>本公司郑重声明，根据《政府采购促进中小企业发展暂行办法》（财库[2011]181号）的规定，本公司为（请填写：中型、小型、微型）企业。即，本公司同时满足以下条件：</w:t>
      </w:r>
    </w:p>
    <w:p>
      <w:pPr>
        <w:spacing w:line="360" w:lineRule="auto"/>
        <w:ind w:left="315" w:hanging="315" w:hangingChars="150"/>
        <w:rPr>
          <w:rFonts w:ascii="宋体" w:hAnsi="宋体"/>
          <w:color w:val="auto"/>
          <w:highlight w:val="none"/>
        </w:rPr>
      </w:pPr>
      <w:r>
        <w:rPr>
          <w:rFonts w:hint="eastAsia" w:ascii="宋体" w:hAnsi="宋体"/>
          <w:color w:val="auto"/>
          <w:highlight w:val="none"/>
        </w:rPr>
        <w:t>1、根据《工业和信息化部、国家统计局、国家发展和改革委员会、财政部关于印发中小企业划型标准规定的通知》（工信部联企业[2011]300号）规定的划分标准，本公司为（请填写：中型、小型、微型）企业。</w:t>
      </w:r>
    </w:p>
    <w:p>
      <w:pPr>
        <w:spacing w:line="360" w:lineRule="auto"/>
        <w:ind w:left="315" w:hanging="315" w:hangingChars="150"/>
        <w:rPr>
          <w:rFonts w:ascii="宋体" w:hAnsi="宋体"/>
          <w:bCs/>
          <w:color w:val="auto"/>
          <w:szCs w:val="21"/>
          <w:highlight w:val="none"/>
        </w:rPr>
      </w:pPr>
      <w:r>
        <w:rPr>
          <w:rFonts w:hint="eastAsia" w:ascii="宋体" w:hAnsi="宋体"/>
          <w:color w:val="auto"/>
          <w:highlight w:val="none"/>
        </w:rPr>
        <w:t>2、本公司参加</w:t>
      </w:r>
      <w:r>
        <w:rPr>
          <w:rFonts w:hint="eastAsia" w:ascii="宋体" w:hAnsi="宋体"/>
          <w:color w:val="auto"/>
          <w:highlight w:val="none"/>
          <w:u w:val="single"/>
        </w:rPr>
        <w:t xml:space="preserve">     (采购人单位名称)    </w:t>
      </w:r>
      <w:r>
        <w:rPr>
          <w:rFonts w:hint="eastAsia" w:ascii="宋体" w:hAnsi="宋体"/>
          <w:color w:val="auto"/>
          <w:highlight w:val="none"/>
        </w:rPr>
        <w:t>的</w:t>
      </w:r>
      <w:r>
        <w:rPr>
          <w:rFonts w:hint="eastAsia" w:ascii="宋体" w:hAnsi="宋体"/>
          <w:color w:val="auto"/>
          <w:highlight w:val="none"/>
          <w:u w:val="single"/>
        </w:rPr>
        <w:t xml:space="preserve">   (项目名称)      </w:t>
      </w:r>
      <w:r>
        <w:rPr>
          <w:rFonts w:hint="eastAsia" w:ascii="宋体" w:hAnsi="宋体"/>
          <w:color w:val="auto"/>
          <w:highlight w:val="none"/>
        </w:rPr>
        <w:t xml:space="preserve"> 采购活动提供本企业制造的货物，由本企业承担工程、提供服务，或者提供其他（请填写：中型、小型、微型）企业制造的货物。本条所称货物不包括使用大型企业注册商标的货物。</w:t>
      </w:r>
      <w:r>
        <w:rPr>
          <w:rFonts w:hint="eastAsia" w:ascii="宋体" w:hAnsi="宋体"/>
          <w:color w:val="auto"/>
          <w:highlight w:val="none"/>
        </w:rPr>
        <w:br w:type="textWrapping"/>
      </w:r>
      <w:r>
        <w:rPr>
          <w:rFonts w:hint="eastAsia" w:ascii="宋体" w:hAnsi="宋体"/>
          <w:color w:val="auto"/>
          <w:highlight w:val="none"/>
        </w:rPr>
        <w:t>本公司对上述声明的真实性负责。如有虚假，将依法承担相应责任。</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 xml:space="preserve">全称（加盖公章）: </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cs="宋体"/>
          <w:color w:val="auto"/>
          <w:szCs w:val="21"/>
          <w:highlight w:val="none"/>
        </w:rPr>
      </w:pPr>
      <w:r>
        <w:rPr>
          <w:rFonts w:hint="eastAsia" w:ascii="宋体" w:hAnsi="宋体"/>
          <w:bCs/>
          <w:color w:val="auto"/>
          <w:szCs w:val="21"/>
          <w:highlight w:val="none"/>
        </w:rPr>
        <w:t xml:space="preserve">日    期： </w:t>
      </w:r>
      <w:r>
        <w:rPr>
          <w:rFonts w:hint="eastAsia" w:ascii="宋体" w:hAnsi="宋体"/>
          <w:bCs/>
          <w:color w:val="auto"/>
          <w:szCs w:val="21"/>
          <w:highlight w:val="none"/>
          <w:lang w:eastAsia="zh-CN"/>
        </w:rPr>
        <w:t>2020</w:t>
      </w:r>
      <w:r>
        <w:rPr>
          <w:rFonts w:hint="eastAsia" w:ascii="宋体" w:hAnsi="宋体"/>
          <w:bCs/>
          <w:color w:val="auto"/>
          <w:szCs w:val="21"/>
          <w:highlight w:val="none"/>
        </w:rPr>
        <w:t>年  月  日</w:t>
      </w: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r>
        <w:rPr>
          <w:rFonts w:hint="eastAsia" w:ascii="宋体" w:cs="宋体"/>
          <w:b/>
          <w:color w:val="auto"/>
          <w:szCs w:val="21"/>
          <w:highlight w:val="none"/>
        </w:rPr>
        <w:t>说明：</w:t>
      </w:r>
      <w:r>
        <w:rPr>
          <w:rFonts w:hint="eastAsia" w:ascii="宋体" w:cs="宋体"/>
          <w:color w:val="auto"/>
          <w:szCs w:val="21"/>
          <w:highlight w:val="none"/>
        </w:rPr>
        <w:t>依据《工业和信息化部、国家统计局、国家发展和改革委员会、财政部关于印发中小企业划型标准规定的通知》（工信部联企业[2011]300号）规定的划分标准，</w:t>
      </w:r>
      <w:r>
        <w:rPr>
          <w:rFonts w:hint="eastAsia" w:ascii="宋体" w:hAnsi="宋体" w:cs="宋体"/>
          <w:color w:val="auto"/>
          <w:kern w:val="0"/>
          <w:szCs w:val="21"/>
          <w:highlight w:val="none"/>
        </w:rPr>
        <w:t>供应商</w:t>
      </w:r>
      <w:r>
        <w:rPr>
          <w:rFonts w:hint="eastAsia" w:ascii="宋体" w:cs="宋体"/>
          <w:color w:val="auto"/>
          <w:szCs w:val="21"/>
          <w:highlight w:val="none"/>
        </w:rPr>
        <w:t>须提供以下资料证明为中/小/微型企业：</w:t>
      </w:r>
    </w:p>
    <w:p>
      <w:pPr>
        <w:tabs>
          <w:tab w:val="left" w:pos="360"/>
        </w:tabs>
        <w:autoSpaceDE w:val="0"/>
        <w:autoSpaceDN w:val="0"/>
        <w:adjustRightInd w:val="0"/>
        <w:spacing w:line="360" w:lineRule="auto"/>
        <w:ind w:left="360" w:hanging="360"/>
        <w:rPr>
          <w:color w:val="auto"/>
          <w:szCs w:val="21"/>
          <w:highlight w:val="none"/>
        </w:rPr>
      </w:pPr>
      <w:r>
        <w:rPr>
          <w:rFonts w:hint="eastAsia" w:ascii="宋体" w:cs="宋体"/>
          <w:color w:val="auto"/>
          <w:szCs w:val="21"/>
          <w:highlight w:val="none"/>
        </w:rPr>
        <w:t>a、</w:t>
      </w:r>
      <w:r>
        <w:rPr>
          <w:rFonts w:hint="eastAsia" w:ascii="宋体" w:hAnsi="宋体" w:cs="宋体"/>
          <w:color w:val="auto"/>
          <w:kern w:val="0"/>
          <w:szCs w:val="21"/>
          <w:highlight w:val="none"/>
        </w:rPr>
        <w:t>供应商</w:t>
      </w:r>
      <w:r>
        <w:rPr>
          <w:rFonts w:hint="eastAsia" w:ascii="宋体" w:cs="宋体"/>
          <w:color w:val="auto"/>
          <w:szCs w:val="21"/>
          <w:highlight w:val="none"/>
        </w:rPr>
        <w:t>必须明确企业所属类型，请在下列选项"□"勾注"√"</w:t>
      </w:r>
    </w:p>
    <w:p>
      <w:pPr>
        <w:autoSpaceDE w:val="0"/>
        <w:autoSpaceDN w:val="0"/>
        <w:adjustRightInd w:val="0"/>
        <w:spacing w:line="360" w:lineRule="auto"/>
        <w:ind w:left="363" w:leftChars="173"/>
        <w:rPr>
          <w:color w:val="auto"/>
          <w:szCs w:val="21"/>
          <w:highlight w:val="none"/>
        </w:rPr>
      </w:pPr>
      <w:r>
        <w:rPr>
          <w:rFonts w:hint="eastAsia" w:ascii="宋体" w:cs="宋体"/>
          <w:color w:val="auto"/>
          <w:szCs w:val="21"/>
          <w:highlight w:val="none"/>
        </w:rPr>
        <w:t>□农、林、牧、渔业  □工业  □建筑业  □批发业  □零售业  □交通运输业  □仓储业  □邮政业  □住宿业  □餐饮业  □信息传输业  □软件和信息技术服务业  □房地产开发经营  □物业管理  □租赁和商务服务业  □其他未列明行业。</w:t>
      </w:r>
    </w:p>
    <w:p>
      <w:pPr>
        <w:tabs>
          <w:tab w:val="left" w:pos="360"/>
        </w:tabs>
        <w:autoSpaceDE w:val="0"/>
        <w:autoSpaceDN w:val="0"/>
        <w:adjustRightInd w:val="0"/>
        <w:spacing w:line="360" w:lineRule="auto"/>
        <w:ind w:left="360" w:hanging="360"/>
        <w:rPr>
          <w:color w:val="auto"/>
          <w:szCs w:val="21"/>
          <w:highlight w:val="none"/>
        </w:rPr>
      </w:pPr>
      <w:r>
        <w:rPr>
          <w:rFonts w:hint="eastAsia" w:ascii="宋体" w:cs="宋体"/>
          <w:color w:val="auto"/>
          <w:szCs w:val="21"/>
          <w:highlight w:val="none"/>
        </w:rPr>
        <w:t>b、</w:t>
      </w:r>
      <w:r>
        <w:rPr>
          <w:rFonts w:hint="eastAsia" w:ascii="宋体" w:hAnsi="宋体" w:cs="宋体"/>
          <w:color w:val="auto"/>
          <w:kern w:val="0"/>
          <w:szCs w:val="21"/>
          <w:highlight w:val="none"/>
        </w:rPr>
        <w:t>供应商</w:t>
      </w:r>
      <w:r>
        <w:rPr>
          <w:rFonts w:hint="eastAsia" w:ascii="宋体" w:cs="宋体"/>
          <w:color w:val="auto"/>
          <w:szCs w:val="21"/>
          <w:highlight w:val="none"/>
        </w:rPr>
        <w:t>提供本《中小企业声明函》并加盖</w:t>
      </w:r>
      <w:r>
        <w:rPr>
          <w:rFonts w:hint="eastAsia" w:ascii="宋体" w:hAnsi="宋体" w:cs="宋体"/>
          <w:color w:val="auto"/>
          <w:kern w:val="0"/>
          <w:szCs w:val="21"/>
          <w:highlight w:val="none"/>
        </w:rPr>
        <w:t>供应商</w:t>
      </w:r>
      <w:r>
        <w:rPr>
          <w:rFonts w:hint="eastAsia" w:ascii="宋体" w:cs="宋体"/>
          <w:color w:val="auto"/>
          <w:szCs w:val="21"/>
          <w:highlight w:val="none"/>
        </w:rPr>
        <w:t>公章。</w:t>
      </w:r>
    </w:p>
    <w:p>
      <w:pPr>
        <w:spacing w:line="360" w:lineRule="auto"/>
        <w:ind w:left="359" w:hanging="359" w:hangingChars="171"/>
        <w:rPr>
          <w:rFonts w:ascii="宋体" w:hAnsi="宋体"/>
          <w:color w:val="auto"/>
          <w:szCs w:val="21"/>
          <w:highlight w:val="none"/>
          <w:lang w:val="en-GB"/>
        </w:rPr>
      </w:pPr>
      <w:r>
        <w:rPr>
          <w:rFonts w:hint="eastAsia" w:ascii="宋体" w:cs="宋体"/>
          <w:color w:val="auto"/>
          <w:szCs w:val="21"/>
          <w:highlight w:val="none"/>
        </w:rPr>
        <w:t>c、</w:t>
      </w:r>
      <w:r>
        <w:rPr>
          <w:rFonts w:hint="eastAsia" w:ascii="宋体" w:hAnsi="宋体" w:cs="宋体"/>
          <w:color w:val="auto"/>
          <w:kern w:val="0"/>
          <w:szCs w:val="21"/>
          <w:highlight w:val="none"/>
        </w:rPr>
        <w:t>供应商</w:t>
      </w:r>
      <w:r>
        <w:rPr>
          <w:rFonts w:hint="eastAsia" w:ascii="宋体" w:cs="宋体"/>
          <w:color w:val="auto"/>
          <w:szCs w:val="21"/>
          <w:highlight w:val="none"/>
        </w:rPr>
        <w:t>提供本企业的从业人员数量(以社保局或税务局开具的证明文件为准)、营业收入和资产总额（以会计师事务所审计的财务报告或税务部门审核的财务报告为准）证明文件（加盖公章）。</w:t>
      </w:r>
    </w:p>
    <w:p>
      <w:pPr>
        <w:spacing w:line="360" w:lineRule="auto"/>
        <w:ind w:left="718" w:hanging="718" w:hangingChars="342"/>
        <w:rPr>
          <w:rFonts w:ascii="宋体" w:hAnsi="宋体"/>
          <w:color w:val="auto"/>
          <w:szCs w:val="21"/>
          <w:highlight w:val="none"/>
          <w:lang w:val="en-GB"/>
        </w:rPr>
      </w:pPr>
    </w:p>
    <w:p>
      <w:pPr>
        <w:pStyle w:val="7"/>
        <w:rPr>
          <w:bCs/>
          <w:color w:val="auto"/>
          <w:szCs w:val="28"/>
          <w:highlight w:val="none"/>
        </w:rPr>
      </w:pPr>
      <w:r>
        <w:rPr>
          <w:b w:val="0"/>
          <w:bCs/>
          <w:color w:val="auto"/>
          <w:szCs w:val="28"/>
          <w:highlight w:val="none"/>
        </w:rPr>
        <w:br w:type="page"/>
      </w:r>
      <w:r>
        <w:rPr>
          <w:rFonts w:hint="eastAsia"/>
          <w:bCs/>
          <w:color w:val="auto"/>
          <w:szCs w:val="28"/>
          <w:highlight w:val="none"/>
        </w:rPr>
        <w:t>附件11 监狱企业的证明文件（如适用）</w:t>
      </w:r>
    </w:p>
    <w:p>
      <w:pPr>
        <w:spacing w:line="360" w:lineRule="auto"/>
        <w:rPr>
          <w:rFonts w:ascii="宋体" w:hAnsi="宋体"/>
          <w:color w:val="auto"/>
          <w:sz w:val="24"/>
          <w:highlight w:val="none"/>
        </w:rPr>
      </w:pP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说明：监狱企业参加政府采购活动时，应当提供由省级以上监狱管理局、戒毒管理局（含新疆生产建设兵团）出具的属于监狱企业的证明文件。</w:t>
      </w:r>
    </w:p>
    <w:p>
      <w:pPr>
        <w:pStyle w:val="7"/>
        <w:ind w:firstLine="482" w:firstLineChars="200"/>
        <w:rPr>
          <w:color w:val="auto"/>
          <w:sz w:val="24"/>
          <w:szCs w:val="24"/>
          <w:highlight w:val="none"/>
        </w:rPr>
      </w:pPr>
      <w:bookmarkStart w:id="363" w:name="OLE_LINK14"/>
      <w:bookmarkStart w:id="364" w:name="OLE_LINK13"/>
    </w:p>
    <w:p>
      <w:pPr>
        <w:pStyle w:val="7"/>
        <w:rPr>
          <w:color w:val="auto"/>
          <w:sz w:val="24"/>
          <w:szCs w:val="24"/>
          <w:highlight w:val="none"/>
        </w:rPr>
      </w:pPr>
    </w:p>
    <w:p>
      <w:pPr>
        <w:pStyle w:val="7"/>
        <w:rPr>
          <w:b w:val="0"/>
          <w:bCs/>
          <w:color w:val="auto"/>
          <w:sz w:val="21"/>
          <w:szCs w:val="21"/>
          <w:highlight w:val="none"/>
        </w:rPr>
      </w:pPr>
      <w:r>
        <w:rPr>
          <w:rFonts w:hint="eastAsia"/>
          <w:b w:val="0"/>
          <w:bCs/>
          <w:color w:val="auto"/>
          <w:sz w:val="21"/>
          <w:szCs w:val="21"/>
          <w:highlight w:val="none"/>
        </w:rPr>
        <w:t>报价人全称（加盖公章）:</w:t>
      </w:r>
      <w:r>
        <w:rPr>
          <w:rFonts w:hint="eastAsia"/>
          <w:b w:val="0"/>
          <w:bCs/>
          <w:color w:val="auto"/>
          <w:sz w:val="21"/>
          <w:szCs w:val="21"/>
          <w:highlight w:val="none"/>
          <w:u w:val="single"/>
        </w:rPr>
        <w:t xml:space="preserve">                         </w:t>
      </w:r>
    </w:p>
    <w:p>
      <w:pPr>
        <w:pStyle w:val="7"/>
        <w:rPr>
          <w:b w:val="0"/>
          <w:bCs/>
          <w:color w:val="auto"/>
          <w:sz w:val="21"/>
          <w:szCs w:val="21"/>
          <w:highlight w:val="none"/>
        </w:rPr>
      </w:pPr>
      <w:r>
        <w:rPr>
          <w:rFonts w:hint="eastAsia"/>
          <w:b w:val="0"/>
          <w:bCs/>
          <w:color w:val="auto"/>
          <w:sz w:val="21"/>
          <w:szCs w:val="21"/>
          <w:highlight w:val="none"/>
        </w:rPr>
        <w:t>法定代表或其授权代表(签字或签章)：</w:t>
      </w:r>
      <w:r>
        <w:rPr>
          <w:rFonts w:hint="eastAsia"/>
          <w:b w:val="0"/>
          <w:bCs/>
          <w:color w:val="auto"/>
          <w:sz w:val="21"/>
          <w:szCs w:val="21"/>
          <w:highlight w:val="none"/>
          <w:u w:val="single"/>
        </w:rPr>
        <w:t xml:space="preserve">                        </w:t>
      </w:r>
    </w:p>
    <w:p>
      <w:pPr>
        <w:pStyle w:val="7"/>
        <w:rPr>
          <w:color w:val="auto"/>
          <w:sz w:val="24"/>
          <w:szCs w:val="24"/>
          <w:highlight w:val="none"/>
        </w:rPr>
      </w:pPr>
      <w:r>
        <w:rPr>
          <w:rFonts w:hint="eastAsia"/>
          <w:b w:val="0"/>
          <w:bCs/>
          <w:color w:val="auto"/>
          <w:sz w:val="21"/>
          <w:szCs w:val="21"/>
          <w:highlight w:val="none"/>
        </w:rPr>
        <w:t xml:space="preserve">日    期： </w:t>
      </w:r>
      <w:r>
        <w:rPr>
          <w:rFonts w:hint="eastAsia"/>
          <w:b w:val="0"/>
          <w:bCs/>
          <w:color w:val="auto"/>
          <w:sz w:val="21"/>
          <w:szCs w:val="21"/>
          <w:highlight w:val="none"/>
          <w:lang w:eastAsia="zh-CN"/>
        </w:rPr>
        <w:t>2020</w:t>
      </w:r>
      <w:r>
        <w:rPr>
          <w:rFonts w:hint="eastAsia"/>
          <w:b w:val="0"/>
          <w:bCs/>
          <w:color w:val="auto"/>
          <w:sz w:val="21"/>
          <w:szCs w:val="21"/>
          <w:highlight w:val="none"/>
        </w:rPr>
        <w:t>年  月  日</w:t>
      </w:r>
      <w:r>
        <w:rPr>
          <w:rFonts w:hint="eastAsia"/>
          <w:color w:val="auto"/>
          <w:sz w:val="24"/>
          <w:szCs w:val="24"/>
          <w:highlight w:val="none"/>
        </w:rPr>
        <w:br w:type="page"/>
      </w:r>
      <w:bookmarkStart w:id="365" w:name="_Toc512331248"/>
    </w:p>
    <w:p>
      <w:pPr>
        <w:pStyle w:val="7"/>
        <w:rPr>
          <w:bCs/>
          <w:color w:val="auto"/>
          <w:szCs w:val="28"/>
          <w:highlight w:val="none"/>
        </w:rPr>
      </w:pPr>
      <w:r>
        <w:rPr>
          <w:rFonts w:hint="eastAsia"/>
          <w:bCs/>
          <w:color w:val="auto"/>
          <w:szCs w:val="28"/>
          <w:highlight w:val="none"/>
        </w:rPr>
        <w:t>附件12 残疾人福利性单位声明函（如适用）</w:t>
      </w:r>
      <w:bookmarkEnd w:id="365"/>
    </w:p>
    <w:p>
      <w:pPr>
        <w:rPr>
          <w:color w:val="auto"/>
          <w:highlight w:val="none"/>
        </w:rPr>
      </w:pPr>
    </w:p>
    <w:bookmarkEnd w:id="363"/>
    <w:bookmarkEnd w:id="364"/>
    <w:p>
      <w:pPr>
        <w:spacing w:line="360" w:lineRule="auto"/>
        <w:ind w:firstLine="504" w:firstLineChars="200"/>
        <w:rPr>
          <w:rFonts w:ascii="宋体" w:hAnsi="宋体"/>
          <w:color w:val="auto"/>
          <w:spacing w:val="6"/>
          <w:sz w:val="24"/>
          <w:highlight w:val="none"/>
        </w:rPr>
      </w:pPr>
      <w:r>
        <w:rPr>
          <w:rFonts w:hint="eastAsia" w:ascii="宋体" w:hAnsi="宋体"/>
          <w:color w:val="auto"/>
          <w:spacing w:val="6"/>
          <w:sz w:val="24"/>
          <w:highlight w:val="none"/>
        </w:rPr>
        <w:t>本单位郑重声明，根据《财政部 民政部 中国残疾人联合会关于促进残疾人就业政府采购政策的通知》（财库</w:t>
      </w:r>
      <w:r>
        <w:rPr>
          <w:rFonts w:hint="eastAsia" w:ascii="宋体" w:hAnsi="宋体"/>
          <w:color w:val="auto"/>
          <w:sz w:val="24"/>
          <w:highlight w:val="none"/>
        </w:rPr>
        <w:t>〔2017〕 141</w:t>
      </w:r>
      <w:r>
        <w:rPr>
          <w:rFonts w:hint="eastAsia" w:ascii="宋体" w:hAnsi="宋体"/>
          <w:color w:val="auto"/>
          <w:spacing w:val="6"/>
          <w:sz w:val="24"/>
          <w:highlight w:val="none"/>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firstLine="504" w:firstLineChars="200"/>
        <w:rPr>
          <w:rFonts w:ascii="宋体" w:hAnsi="宋体"/>
          <w:color w:val="auto"/>
          <w:spacing w:val="6"/>
          <w:sz w:val="24"/>
          <w:highlight w:val="none"/>
        </w:rPr>
      </w:pPr>
      <w:r>
        <w:rPr>
          <w:rFonts w:hint="eastAsia" w:ascii="宋体" w:hAnsi="宋体"/>
          <w:color w:val="auto"/>
          <w:spacing w:val="6"/>
          <w:sz w:val="24"/>
          <w:highlight w:val="none"/>
        </w:rPr>
        <w:t>本单位对上述声明的真实性负责。如有虚假，将依法承担相应责任。</w:t>
      </w:r>
    </w:p>
    <w:p>
      <w:pPr>
        <w:spacing w:line="360" w:lineRule="auto"/>
        <w:ind w:firstLine="504" w:firstLineChars="200"/>
        <w:rPr>
          <w:rFonts w:ascii="宋体" w:hAnsi="宋体"/>
          <w:color w:val="auto"/>
          <w:spacing w:val="6"/>
          <w:sz w:val="24"/>
          <w:highlight w:val="none"/>
        </w:rPr>
      </w:pPr>
    </w:p>
    <w:p>
      <w:pPr>
        <w:spacing w:line="360" w:lineRule="auto"/>
        <w:ind w:firstLine="504" w:firstLineChars="200"/>
        <w:rPr>
          <w:rFonts w:ascii="宋体" w:hAnsi="宋体"/>
          <w:color w:val="auto"/>
          <w:spacing w:val="6"/>
          <w:sz w:val="24"/>
          <w:highlight w:val="none"/>
        </w:rPr>
      </w:pPr>
    </w:p>
    <w:p>
      <w:pPr>
        <w:tabs>
          <w:tab w:val="left" w:pos="4860"/>
        </w:tabs>
        <w:spacing w:line="360" w:lineRule="auto"/>
        <w:ind w:firstLine="4536" w:firstLineChars="1800"/>
        <w:jc w:val="left"/>
        <w:rPr>
          <w:rFonts w:ascii="宋体" w:hAnsi="宋体"/>
          <w:color w:val="auto"/>
          <w:spacing w:val="6"/>
          <w:sz w:val="24"/>
          <w:highlight w:val="none"/>
        </w:rPr>
      </w:pPr>
      <w:r>
        <w:rPr>
          <w:rFonts w:hint="eastAsia" w:ascii="宋体" w:hAnsi="宋体"/>
          <w:color w:val="auto"/>
          <w:spacing w:val="6"/>
          <w:sz w:val="24"/>
          <w:highlight w:val="none"/>
        </w:rPr>
        <w:t>单位名称（盖章）：</w:t>
      </w:r>
      <w:r>
        <w:rPr>
          <w:rFonts w:hint="eastAsia" w:ascii="宋体" w:hAnsi="宋体"/>
          <w:color w:val="auto"/>
          <w:spacing w:val="6"/>
          <w:sz w:val="24"/>
          <w:highlight w:val="none"/>
          <w:u w:val="single"/>
        </w:rPr>
        <w:t xml:space="preserve">                     </w:t>
      </w:r>
    </w:p>
    <w:p>
      <w:pPr>
        <w:tabs>
          <w:tab w:val="left" w:pos="4860"/>
        </w:tabs>
        <w:ind w:firstLine="4536" w:firstLineChars="1800"/>
        <w:jc w:val="left"/>
        <w:rPr>
          <w:rFonts w:ascii="宋体" w:hAnsi="宋体"/>
          <w:color w:val="auto"/>
          <w:spacing w:val="6"/>
          <w:sz w:val="24"/>
          <w:highlight w:val="none"/>
        </w:rPr>
      </w:pPr>
      <w:r>
        <w:rPr>
          <w:rFonts w:hint="eastAsia" w:ascii="宋体" w:hAnsi="宋体"/>
          <w:color w:val="auto"/>
          <w:spacing w:val="6"/>
          <w:sz w:val="24"/>
          <w:highlight w:val="none"/>
        </w:rPr>
        <w:t>日  期：</w:t>
      </w:r>
    </w:p>
    <w:p>
      <w:pPr>
        <w:spacing w:line="360" w:lineRule="auto"/>
        <w:rPr>
          <w:rFonts w:ascii="宋体" w:hAnsi="宋体"/>
          <w:bCs/>
          <w:color w:val="auto"/>
          <w:sz w:val="28"/>
          <w:szCs w:val="28"/>
          <w:highlight w:val="none"/>
        </w:rPr>
      </w:pPr>
      <w:r>
        <w:rPr>
          <w:rFonts w:hint="eastAsia" w:ascii="宋体" w:hAnsi="宋体"/>
          <w:b/>
          <w:bCs/>
          <w:color w:val="auto"/>
          <w:kern w:val="0"/>
          <w:sz w:val="28"/>
          <w:szCs w:val="28"/>
          <w:highlight w:val="none"/>
        </w:rPr>
        <w:br w:type="page"/>
      </w:r>
      <w:r>
        <w:rPr>
          <w:rFonts w:hint="eastAsia" w:ascii="宋体" w:hAnsi="宋体"/>
          <w:b/>
          <w:bCs/>
          <w:color w:val="auto"/>
          <w:kern w:val="0"/>
          <w:sz w:val="28"/>
          <w:szCs w:val="28"/>
          <w:highlight w:val="none"/>
        </w:rPr>
        <w:t>附件13 供应商基本情况表</w:t>
      </w:r>
    </w:p>
    <w:p>
      <w:pPr>
        <w:pStyle w:val="144"/>
        <w:rPr>
          <w:color w:val="auto"/>
          <w:sz w:val="21"/>
          <w:szCs w:val="21"/>
          <w:highlight w:val="none"/>
        </w:rPr>
      </w:pPr>
    </w:p>
    <w:p>
      <w:pPr>
        <w:spacing w:line="360" w:lineRule="auto"/>
        <w:rPr>
          <w:rFonts w:ascii="宋体" w:hAnsi="宋体"/>
          <w:color w:val="auto"/>
          <w:szCs w:val="21"/>
          <w:highlight w:val="none"/>
          <w:u w:val="single"/>
        </w:rPr>
      </w:pPr>
      <w:r>
        <w:rPr>
          <w:rFonts w:hint="eastAsia" w:ascii="宋体" w:hAnsi="宋体"/>
          <w:color w:val="auto"/>
          <w:szCs w:val="21"/>
          <w:highlight w:val="none"/>
        </w:rPr>
        <w:t>1、公司名称：                     电话号码：</w:t>
      </w:r>
    </w:p>
    <w:p>
      <w:pPr>
        <w:spacing w:line="360" w:lineRule="auto"/>
        <w:rPr>
          <w:rFonts w:ascii="宋体" w:hAnsi="宋体"/>
          <w:color w:val="auto"/>
          <w:szCs w:val="21"/>
          <w:highlight w:val="none"/>
          <w:u w:val="single"/>
        </w:rPr>
      </w:pPr>
      <w:r>
        <w:rPr>
          <w:rFonts w:hint="eastAsia" w:ascii="宋体" w:hAnsi="宋体"/>
          <w:color w:val="auto"/>
          <w:szCs w:val="21"/>
          <w:highlight w:val="none"/>
        </w:rPr>
        <w:t>2、地    址：                     传    真：</w:t>
      </w:r>
    </w:p>
    <w:p>
      <w:pPr>
        <w:spacing w:line="360" w:lineRule="auto"/>
        <w:rPr>
          <w:rFonts w:ascii="宋体" w:hAnsi="宋体"/>
          <w:color w:val="auto"/>
          <w:szCs w:val="21"/>
          <w:highlight w:val="none"/>
          <w:u w:val="single"/>
        </w:rPr>
      </w:pPr>
      <w:r>
        <w:rPr>
          <w:rFonts w:hint="eastAsia" w:ascii="宋体" w:hAnsi="宋体"/>
          <w:color w:val="auto"/>
          <w:szCs w:val="21"/>
          <w:highlight w:val="none"/>
        </w:rPr>
        <w:t>3、注册资金：                     经济性质：</w:t>
      </w:r>
    </w:p>
    <w:p>
      <w:pPr>
        <w:spacing w:line="360" w:lineRule="auto"/>
        <w:rPr>
          <w:rFonts w:ascii="宋体" w:hAnsi="宋体"/>
          <w:color w:val="auto"/>
          <w:szCs w:val="21"/>
          <w:highlight w:val="none"/>
        </w:rPr>
      </w:pPr>
      <w:r>
        <w:rPr>
          <w:rFonts w:hint="eastAsia" w:ascii="宋体" w:hAnsi="宋体"/>
          <w:color w:val="auto"/>
          <w:szCs w:val="21"/>
          <w:highlight w:val="none"/>
        </w:rPr>
        <w:t xml:space="preserve">4、公司开户银行名称及帐户：                 </w:t>
      </w:r>
    </w:p>
    <w:p>
      <w:pPr>
        <w:pStyle w:val="144"/>
        <w:rPr>
          <w:color w:val="auto"/>
          <w:sz w:val="21"/>
          <w:szCs w:val="21"/>
          <w:highlight w:val="none"/>
        </w:rPr>
      </w:pPr>
      <w:r>
        <w:rPr>
          <w:rFonts w:hint="eastAsia"/>
          <w:color w:val="auto"/>
          <w:sz w:val="21"/>
          <w:szCs w:val="21"/>
          <w:highlight w:val="none"/>
        </w:rPr>
        <w:t xml:space="preserve">   名称：</w:t>
      </w:r>
    </w:p>
    <w:p>
      <w:pPr>
        <w:spacing w:line="360" w:lineRule="auto"/>
        <w:ind w:firstLine="315" w:firstLineChars="150"/>
        <w:rPr>
          <w:rFonts w:ascii="宋体" w:hAnsi="宋体"/>
          <w:color w:val="auto"/>
          <w:szCs w:val="21"/>
          <w:highlight w:val="none"/>
          <w:u w:val="single"/>
        </w:rPr>
      </w:pPr>
      <w:r>
        <w:rPr>
          <w:rFonts w:hint="eastAsia" w:ascii="宋体" w:hAnsi="宋体"/>
          <w:color w:val="auto"/>
          <w:szCs w:val="21"/>
          <w:highlight w:val="none"/>
        </w:rPr>
        <w:t>帐户：</w:t>
      </w:r>
    </w:p>
    <w:p>
      <w:pPr>
        <w:autoSpaceDE w:val="0"/>
        <w:spacing w:line="360" w:lineRule="auto"/>
        <w:rPr>
          <w:rFonts w:ascii="宋体" w:hAnsi="宋体"/>
          <w:color w:val="auto"/>
          <w:szCs w:val="21"/>
          <w:highlight w:val="none"/>
        </w:rPr>
      </w:pPr>
      <w:r>
        <w:rPr>
          <w:rFonts w:hint="eastAsia" w:ascii="宋体" w:hAnsi="宋体" w:cs="ZWAdobeF"/>
          <w:color w:val="auto"/>
          <w:sz w:val="2"/>
          <w:szCs w:val="2"/>
          <w:highlight w:val="none"/>
        </w:rPr>
        <w:t>UUUU</w:t>
      </w:r>
      <w:r>
        <w:rPr>
          <w:rFonts w:hint="eastAsia" w:ascii="宋体" w:hAnsi="宋体"/>
          <w:color w:val="auto"/>
          <w:szCs w:val="21"/>
          <w:highlight w:val="none"/>
        </w:rPr>
        <w:t xml:space="preserve">5、公司规模（综合实力等）： </w:t>
      </w:r>
    </w:p>
    <w:p>
      <w:pPr>
        <w:spacing w:line="360" w:lineRule="auto"/>
        <w:rPr>
          <w:rFonts w:ascii="宋体" w:hAnsi="宋体"/>
          <w:color w:val="auto"/>
          <w:szCs w:val="21"/>
          <w:highlight w:val="none"/>
        </w:rPr>
      </w:pPr>
      <w:r>
        <w:rPr>
          <w:rFonts w:hint="eastAsia" w:ascii="宋体" w:hAnsi="宋体"/>
          <w:color w:val="auto"/>
          <w:szCs w:val="21"/>
          <w:highlight w:val="none"/>
        </w:rPr>
        <w:t>6、</w:t>
      </w:r>
      <w:r>
        <w:rPr>
          <w:rFonts w:hint="eastAsia" w:ascii="宋体" w:hAnsi="宋体" w:cs="宋体"/>
          <w:color w:val="auto"/>
          <w:kern w:val="0"/>
          <w:szCs w:val="21"/>
          <w:highlight w:val="none"/>
        </w:rPr>
        <w:t>供应商</w:t>
      </w:r>
      <w:r>
        <w:rPr>
          <w:rFonts w:hint="eastAsia" w:ascii="宋体" w:hAnsi="宋体"/>
          <w:color w:val="auto"/>
          <w:szCs w:val="21"/>
          <w:highlight w:val="none"/>
        </w:rPr>
        <w:t>获得资质和荣誉证书复印件一览表（后附相关证书复印件加盖公章）</w:t>
      </w:r>
    </w:p>
    <w:tbl>
      <w:tblPr>
        <w:tblStyle w:val="8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5"/>
        <w:gridCol w:w="2364"/>
        <w:gridCol w:w="2364"/>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证书名称</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发证单位</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证书等级</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我/我们声明以上所述准确无误，您有权进行您认为有必要的所有调查。</w:t>
      </w: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 xml:space="preserve">日    期： </w:t>
      </w:r>
      <w:r>
        <w:rPr>
          <w:rFonts w:hint="eastAsia" w:ascii="宋体" w:hAnsi="宋体"/>
          <w:bCs/>
          <w:color w:val="auto"/>
          <w:szCs w:val="21"/>
          <w:highlight w:val="none"/>
          <w:lang w:eastAsia="zh-CN"/>
        </w:rPr>
        <w:t>2020</w:t>
      </w:r>
      <w:r>
        <w:rPr>
          <w:rFonts w:hint="eastAsia" w:ascii="宋体" w:hAnsi="宋体"/>
          <w:bCs/>
          <w:color w:val="auto"/>
          <w:szCs w:val="21"/>
          <w:highlight w:val="none"/>
        </w:rPr>
        <w:t>年  月  日</w:t>
      </w:r>
    </w:p>
    <w:p>
      <w:pPr>
        <w:spacing w:line="360" w:lineRule="auto"/>
        <w:rPr>
          <w:rFonts w:ascii="宋体" w:hAnsi="宋体"/>
          <w:bCs/>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br w:type="page"/>
      </w:r>
      <w:bookmarkStart w:id="366" w:name="_Toc109467914"/>
      <w:bookmarkStart w:id="367" w:name="_Toc81142098"/>
    </w:p>
    <w:p>
      <w:pPr>
        <w:spacing w:line="360" w:lineRule="auto"/>
        <w:rPr>
          <w:rFonts w:ascii="宋体" w:hAnsi="宋体"/>
          <w:color w:val="auto"/>
          <w:szCs w:val="21"/>
          <w:highlight w:val="none"/>
        </w:rPr>
      </w:pPr>
      <w:r>
        <w:rPr>
          <w:rFonts w:hint="eastAsia" w:ascii="宋体" w:hAnsi="宋体"/>
          <w:b/>
          <w:bCs/>
          <w:color w:val="auto"/>
          <w:kern w:val="0"/>
          <w:sz w:val="28"/>
          <w:szCs w:val="28"/>
          <w:highlight w:val="none"/>
        </w:rPr>
        <w:t>附件14  采购需求响应表</w:t>
      </w:r>
    </w:p>
    <w:p>
      <w:pPr>
        <w:pStyle w:val="2"/>
        <w:spacing w:line="360" w:lineRule="auto"/>
        <w:ind w:right="482"/>
        <w:rPr>
          <w:rFonts w:hAnsi="宋体"/>
          <w:color w:val="auto"/>
          <w:szCs w:val="21"/>
          <w:highlight w:val="none"/>
        </w:rPr>
      </w:pPr>
    </w:p>
    <w:p>
      <w:pPr>
        <w:pStyle w:val="2"/>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pStyle w:val="2"/>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pStyle w:val="144"/>
        <w:rPr>
          <w:color w:val="auto"/>
          <w:sz w:val="21"/>
          <w:szCs w:val="21"/>
          <w:highlight w:val="none"/>
        </w:rPr>
      </w:pPr>
    </w:p>
    <w:tbl>
      <w:tblPr>
        <w:tblStyle w:val="89"/>
        <w:tblW w:w="0" w:type="auto"/>
        <w:tblInd w:w="0" w:type="dxa"/>
        <w:tblLayout w:type="fixed"/>
        <w:tblCellMar>
          <w:top w:w="0" w:type="dxa"/>
          <w:left w:w="30" w:type="dxa"/>
          <w:bottom w:w="0" w:type="dxa"/>
          <w:right w:w="30" w:type="dxa"/>
        </w:tblCellMar>
      </w:tblPr>
      <w:tblGrid>
        <w:gridCol w:w="930"/>
        <w:gridCol w:w="4680"/>
        <w:gridCol w:w="1080"/>
        <w:gridCol w:w="2520"/>
      </w:tblGrid>
      <w:tr>
        <w:tblPrEx>
          <w:tblCellMar>
            <w:top w:w="0" w:type="dxa"/>
            <w:left w:w="30" w:type="dxa"/>
            <w:bottom w:w="0" w:type="dxa"/>
            <w:right w:w="30" w:type="dxa"/>
          </w:tblCellMar>
        </w:tblPrEx>
        <w:trPr>
          <w:cantSplit/>
          <w:trHeight w:val="433" w:hRule="atLeast"/>
        </w:trPr>
        <w:tc>
          <w:tcPr>
            <w:tcW w:w="93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序号</w:t>
            </w:r>
          </w:p>
        </w:tc>
        <w:tc>
          <w:tcPr>
            <w:tcW w:w="468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内容</w:t>
            </w:r>
            <w:r>
              <w:rPr>
                <w:rFonts w:hint="eastAsia" w:ascii="宋体" w:hAnsi="宋体"/>
                <w:bCs/>
                <w:color w:val="auto"/>
                <w:szCs w:val="21"/>
                <w:highlight w:val="none"/>
              </w:rPr>
              <w:t>需求</w:t>
            </w:r>
          </w:p>
        </w:tc>
        <w:tc>
          <w:tcPr>
            <w:tcW w:w="108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是否响应</w:t>
            </w:r>
          </w:p>
        </w:tc>
        <w:tc>
          <w:tcPr>
            <w:tcW w:w="252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差异</w:t>
            </w: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1</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cs="Arial"/>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2</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3</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3"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4</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5</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ascii="宋体" w:hAnsi="宋体" w:cs="Arial"/>
                <w:color w:val="auto"/>
                <w:szCs w:val="21"/>
                <w:highlight w:val="none"/>
              </w:rPr>
              <w:t>…</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供应商全称（盖公章）：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eastAsia="zh-CN"/>
        </w:rPr>
        <w:t>2020</w:t>
      </w:r>
      <w:r>
        <w:rPr>
          <w:rFonts w:hint="eastAsia" w:ascii="宋体" w:hAnsi="宋体"/>
          <w:color w:val="auto"/>
          <w:szCs w:val="21"/>
          <w:highlight w:val="none"/>
        </w:rPr>
        <w:t>年  月  日</w:t>
      </w:r>
    </w:p>
    <w:p>
      <w:pPr>
        <w:spacing w:line="360" w:lineRule="auto"/>
        <w:rPr>
          <w:rFonts w:ascii="宋体" w:hAnsi="宋体"/>
          <w:color w:val="auto"/>
          <w:szCs w:val="21"/>
          <w:highlight w:val="none"/>
        </w:rPr>
      </w:pPr>
    </w:p>
    <w:p>
      <w:pPr>
        <w:spacing w:line="360" w:lineRule="auto"/>
        <w:rPr>
          <w:rFonts w:ascii="宋体" w:hAnsi="宋体" w:cs="Arial"/>
          <w:b/>
          <w:color w:val="auto"/>
          <w:szCs w:val="21"/>
          <w:highlight w:val="none"/>
        </w:rPr>
      </w:pPr>
      <w:r>
        <w:rPr>
          <w:rFonts w:hint="eastAsia" w:ascii="宋体" w:hAnsi="宋体"/>
          <w:b/>
          <w:color w:val="auto"/>
          <w:szCs w:val="21"/>
          <w:highlight w:val="none"/>
        </w:rPr>
        <w:t>注：1.</w:t>
      </w:r>
      <w:r>
        <w:rPr>
          <w:rFonts w:hint="eastAsia" w:ascii="宋体" w:hAnsi="宋体" w:cs="Arial"/>
          <w:b/>
          <w:color w:val="auto"/>
          <w:szCs w:val="21"/>
          <w:highlight w:val="none"/>
        </w:rPr>
        <w:t>本表格内容需对第三章“采购人需求书”内容进行响应填报。</w:t>
      </w:r>
    </w:p>
    <w:p>
      <w:pPr>
        <w:spacing w:line="360" w:lineRule="auto"/>
        <w:ind w:firstLine="413" w:firstLineChars="196"/>
        <w:jc w:val="left"/>
        <w:rPr>
          <w:rFonts w:ascii="宋体" w:hAnsi="宋体" w:cs="Arial"/>
          <w:b/>
          <w:color w:val="auto"/>
          <w:szCs w:val="21"/>
          <w:highlight w:val="none"/>
        </w:rPr>
      </w:pPr>
      <w:r>
        <w:rPr>
          <w:rFonts w:hint="eastAsia" w:ascii="宋体" w:hAnsi="宋体" w:cs="Arial"/>
          <w:b/>
          <w:color w:val="auto"/>
          <w:szCs w:val="21"/>
          <w:highlight w:val="none"/>
        </w:rPr>
        <w:t>2.采购人需求书中的服务要求仅为最低要求。供应商在磋商响应文件中必须列出具体报价响应内容。如果供应商只注明“符合”或“满足”，将被视为“不符合”，从而可能导致严重影响评标结果。</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cols w:space="720" w:num="1"/>
          <w:docGrid w:linePitch="312" w:charSpace="0"/>
        </w:sectPr>
      </w:pPr>
      <w:r>
        <w:rPr>
          <w:rFonts w:hint="eastAsia" w:ascii="宋体" w:hAnsi="宋体" w:cs="Arial"/>
          <w:b/>
          <w:color w:val="auto"/>
          <w:szCs w:val="21"/>
          <w:highlight w:val="none"/>
        </w:rPr>
        <w:t>3.供应商没有在磋商响应文件中注明偏离（文字说明或在服务、商务偏离表注明）的参数、配置、条款视为供应商完全接受。</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附件15  合同条款响应一览表</w:t>
      </w:r>
    </w:p>
    <w:p>
      <w:pPr>
        <w:pStyle w:val="144"/>
        <w:rPr>
          <w:color w:val="auto"/>
          <w:highlight w:val="none"/>
        </w:rPr>
      </w:pPr>
    </w:p>
    <w:p>
      <w:pPr>
        <w:spacing w:line="360" w:lineRule="auto"/>
        <w:ind w:left="945" w:hanging="945" w:hangingChars="450"/>
        <w:rPr>
          <w:rFonts w:ascii="宋体" w:hAnsi="宋体"/>
          <w:color w:val="auto"/>
          <w:szCs w:val="21"/>
          <w:highlight w:val="none"/>
        </w:rPr>
      </w:pPr>
      <w:r>
        <w:rPr>
          <w:rFonts w:hint="eastAsia" w:ascii="宋体" w:hAnsi="宋体"/>
          <w:color w:val="auto"/>
          <w:szCs w:val="21"/>
          <w:highlight w:val="none"/>
        </w:rPr>
        <w:t>说明：1、</w:t>
      </w:r>
      <w:r>
        <w:rPr>
          <w:rFonts w:hint="eastAsia" w:ascii="宋体" w:hAnsi="宋体" w:cs="宋体"/>
          <w:color w:val="auto"/>
          <w:kern w:val="0"/>
          <w:szCs w:val="21"/>
          <w:highlight w:val="none"/>
        </w:rPr>
        <w:t>供应商</w:t>
      </w:r>
      <w:r>
        <w:rPr>
          <w:rFonts w:hint="eastAsia" w:ascii="宋体" w:hAnsi="宋体"/>
          <w:color w:val="auto"/>
          <w:szCs w:val="21"/>
          <w:highlight w:val="none"/>
        </w:rPr>
        <w:t>必须对应竞争性磋商文件的第四章政府采购合同条款逐条应答并按要求填写下表。</w:t>
      </w:r>
    </w:p>
    <w:p>
      <w:pPr>
        <w:spacing w:line="360" w:lineRule="auto"/>
        <w:ind w:left="533" w:leftChars="254"/>
        <w:rPr>
          <w:rFonts w:ascii="宋体" w:hAnsi="宋体"/>
          <w:color w:val="auto"/>
          <w:szCs w:val="21"/>
          <w:highlight w:val="none"/>
        </w:rPr>
      </w:pPr>
      <w:r>
        <w:rPr>
          <w:rFonts w:hint="eastAsia" w:ascii="宋体" w:hAnsi="宋体"/>
          <w:color w:val="auto"/>
          <w:szCs w:val="21"/>
          <w:highlight w:val="none"/>
        </w:rPr>
        <w:t>2、对完全响应的条目在下表相应列中标注“○”。对有偏离的条目在下表相应列中标注“×”，并简述偏离内容。</w:t>
      </w:r>
    </w:p>
    <w:tbl>
      <w:tblPr>
        <w:tblStyle w:val="89"/>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
        <w:gridCol w:w="5025"/>
        <w:gridCol w:w="1080"/>
        <w:gridCol w:w="1061"/>
        <w:gridCol w:w="1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合同条款条目</w:t>
            </w: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完全</w:t>
            </w:r>
          </w:p>
          <w:p>
            <w:pPr>
              <w:spacing w:line="360" w:lineRule="auto"/>
              <w:jc w:val="center"/>
              <w:rPr>
                <w:rFonts w:ascii="宋体" w:hAnsi="宋体"/>
                <w:color w:val="auto"/>
                <w:szCs w:val="21"/>
                <w:highlight w:val="none"/>
              </w:rPr>
            </w:pPr>
            <w:r>
              <w:rPr>
                <w:rFonts w:hint="eastAsia" w:ascii="宋体" w:hAnsi="宋体"/>
                <w:color w:val="auto"/>
                <w:szCs w:val="21"/>
                <w:highlight w:val="none"/>
              </w:rPr>
              <w:t>响应</w:t>
            </w: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有偏离</w:t>
            </w: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偏离简述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pStyle w:val="186"/>
              <w:keepNext w:val="0"/>
              <w:adjustRightInd/>
              <w:spacing w:before="0" w:after="0" w:line="360" w:lineRule="auto"/>
              <w:rPr>
                <w:rFonts w:ascii="宋体" w:hAnsi="宋体"/>
                <w:color w:val="auto"/>
                <w:spacing w:val="0"/>
                <w:kern w:val="2"/>
                <w:sz w:val="21"/>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7</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8</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9</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10</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color w:val="auto"/>
          <w:sz w:val="24"/>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注：供应商对竞争性磋商文件的合同（样本）不允许实质性偏离，否则将视为不响应。</w:t>
      </w:r>
    </w:p>
    <w:p>
      <w:pPr>
        <w:spacing w:line="360" w:lineRule="auto"/>
        <w:rPr>
          <w:rFonts w:ascii="宋体" w:hAnsi="宋体"/>
          <w:b/>
          <w:color w:val="auto"/>
          <w:sz w:val="24"/>
          <w:highlight w:val="none"/>
        </w:rPr>
      </w:pPr>
    </w:p>
    <w:p>
      <w:pPr>
        <w:spacing w:line="360" w:lineRule="auto"/>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eastAsia="zh-CN"/>
        </w:rPr>
        <w:t>2020</w:t>
      </w:r>
      <w:r>
        <w:rPr>
          <w:rFonts w:hint="eastAsia" w:ascii="宋体" w:hAnsi="宋体"/>
          <w:color w:val="auto"/>
          <w:szCs w:val="21"/>
          <w:highlight w:val="none"/>
        </w:rPr>
        <w:t>年  月  日</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cols w:space="720" w:num="1"/>
          <w:docGrid w:linePitch="312" w:charSpace="0"/>
        </w:sectPr>
      </w:pPr>
    </w:p>
    <w:p>
      <w:pPr>
        <w:spacing w:line="360" w:lineRule="auto"/>
        <w:ind w:firstLine="413" w:firstLineChars="196"/>
        <w:rPr>
          <w:rFonts w:ascii="宋体" w:hAnsi="宋体"/>
          <w:b/>
          <w:bCs/>
          <w:color w:val="auto"/>
          <w:kern w:val="0"/>
          <w:szCs w:val="21"/>
          <w:highlight w:val="none"/>
        </w:rPr>
      </w:pPr>
    </w:p>
    <w:bookmarkEnd w:id="366"/>
    <w:bookmarkEnd w:id="367"/>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 xml:space="preserve">附件16  </w:t>
      </w:r>
      <w:r>
        <w:rPr>
          <w:rFonts w:ascii="宋体" w:hAnsi="宋体"/>
          <w:b/>
          <w:bCs/>
          <w:color w:val="auto"/>
          <w:kern w:val="0"/>
          <w:sz w:val="28"/>
          <w:szCs w:val="28"/>
          <w:highlight w:val="none"/>
        </w:rPr>
        <w:t>同类</w:t>
      </w:r>
      <w:r>
        <w:rPr>
          <w:rFonts w:hint="eastAsia" w:ascii="宋体" w:hAnsi="宋体"/>
          <w:b/>
          <w:bCs/>
          <w:color w:val="auto"/>
          <w:kern w:val="0"/>
          <w:sz w:val="28"/>
          <w:szCs w:val="28"/>
          <w:highlight w:val="none"/>
        </w:rPr>
        <w:t>项目业绩一览表</w:t>
      </w:r>
    </w:p>
    <w:p>
      <w:pPr>
        <w:pStyle w:val="2"/>
        <w:spacing w:line="360" w:lineRule="auto"/>
        <w:ind w:right="482"/>
        <w:rPr>
          <w:rFonts w:hAnsi="宋体"/>
          <w:color w:val="auto"/>
          <w:szCs w:val="21"/>
          <w:highlight w:val="none"/>
        </w:rPr>
      </w:pPr>
    </w:p>
    <w:p>
      <w:pPr>
        <w:pStyle w:val="2"/>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spacing w:line="360" w:lineRule="auto"/>
        <w:rPr>
          <w:rFonts w:ascii="宋体" w:hAnsi="宋体" w:cs="Tahoma"/>
          <w:color w:val="auto"/>
          <w:szCs w:val="21"/>
          <w:highlight w:val="none"/>
        </w:rPr>
      </w:pPr>
      <w:r>
        <w:rPr>
          <w:rFonts w:hint="eastAsia" w:hAnsi="宋体" w:cs="宋体"/>
          <w:color w:val="auto"/>
          <w:szCs w:val="21"/>
          <w:highlight w:val="none"/>
        </w:rPr>
        <w:t>项目编</w:t>
      </w:r>
      <w:r>
        <w:rPr>
          <w:rFonts w:hint="eastAsia" w:ascii="宋体" w:hAnsi="宋体" w:cs="宋体"/>
          <w:color w:val="auto"/>
          <w:szCs w:val="21"/>
          <w:highlight w:val="none"/>
        </w:rPr>
        <w:t xml:space="preserve">号： </w:t>
      </w:r>
    </w:p>
    <w:tbl>
      <w:tblPr>
        <w:tblStyle w:val="8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1234"/>
        <w:gridCol w:w="1234"/>
        <w:gridCol w:w="1240"/>
        <w:gridCol w:w="2203"/>
        <w:gridCol w:w="1240"/>
        <w:gridCol w:w="1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业主名称</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项目名称</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项目内容</w:t>
            </w: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合同总价</w:t>
            </w:r>
          </w:p>
          <w:p>
            <w:pPr>
              <w:spacing w:line="360" w:lineRule="auto"/>
              <w:jc w:val="center"/>
              <w:rPr>
                <w:rFonts w:ascii="宋体" w:hAnsi="宋体"/>
                <w:color w:val="auto"/>
                <w:szCs w:val="21"/>
                <w:highlight w:val="none"/>
              </w:rPr>
            </w:pPr>
            <w:r>
              <w:rPr>
                <w:rFonts w:hint="eastAsia" w:ascii="宋体" w:hAnsi="宋体"/>
                <w:color w:val="auto"/>
                <w:szCs w:val="21"/>
                <w:highlight w:val="none"/>
              </w:rPr>
              <w:t>（单位/万元）</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签约及完成时间</w:t>
            </w: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单位联系人及电话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b/>
          <w:color w:val="auto"/>
          <w:szCs w:val="21"/>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注：请附上合同复印件作为同类业绩证明资料。</w:t>
      </w:r>
    </w:p>
    <w:p>
      <w:pPr>
        <w:spacing w:line="360" w:lineRule="auto"/>
        <w:ind w:left="632" w:hanging="632" w:hangingChars="300"/>
        <w:rPr>
          <w:rFonts w:ascii="宋体" w:hAnsi="宋体"/>
          <w:b/>
          <w:color w:val="auto"/>
          <w:szCs w:val="21"/>
          <w:highlight w:val="none"/>
        </w:rPr>
      </w:pPr>
    </w:p>
    <w:p>
      <w:pPr>
        <w:spacing w:line="360" w:lineRule="auto"/>
        <w:rPr>
          <w:rFonts w:ascii="宋体" w:hAnsi="宋体"/>
          <w:bCs/>
          <w:color w:val="auto"/>
          <w:szCs w:val="21"/>
          <w:highlight w:val="none"/>
        </w:rPr>
      </w:pPr>
    </w:p>
    <w:p>
      <w:pPr>
        <w:adjustRightInd w:val="0"/>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eastAsia="zh-CN"/>
        </w:rPr>
        <w:t>2020</w:t>
      </w:r>
      <w:r>
        <w:rPr>
          <w:rFonts w:hint="eastAsia" w:ascii="宋体" w:hAnsi="宋体"/>
          <w:color w:val="auto"/>
          <w:szCs w:val="21"/>
          <w:highlight w:val="none"/>
        </w:rPr>
        <w:t>年  月  日</w:t>
      </w:r>
    </w:p>
    <w:p>
      <w:pPr>
        <w:spacing w:line="360" w:lineRule="auto"/>
        <w:rPr>
          <w:rFonts w:ascii="宋体" w:hAnsi="宋体"/>
          <w:color w:val="auto"/>
          <w:highlight w:val="none"/>
        </w:rPr>
      </w:pPr>
      <w:r>
        <w:rPr>
          <w:rFonts w:hint="eastAsia" w:ascii="宋体" w:hAnsi="宋体"/>
          <w:color w:val="auto"/>
          <w:highlight w:val="none"/>
        </w:rPr>
        <w:br w:type="page"/>
      </w:r>
    </w:p>
    <w:p>
      <w:pPr>
        <w:spacing w:line="360" w:lineRule="auto"/>
        <w:rPr>
          <w:rFonts w:ascii="黑体" w:hAnsi="宋体" w:eastAsia="黑体"/>
          <w:b/>
          <w:bCs/>
          <w:color w:val="auto"/>
          <w:kern w:val="0"/>
          <w:sz w:val="28"/>
          <w:szCs w:val="28"/>
          <w:highlight w:val="none"/>
        </w:rPr>
      </w:pPr>
      <w:r>
        <w:rPr>
          <w:rFonts w:hint="eastAsia" w:ascii="宋体" w:hAnsi="宋体"/>
          <w:b/>
          <w:bCs/>
          <w:color w:val="auto"/>
          <w:kern w:val="0"/>
          <w:sz w:val="28"/>
          <w:szCs w:val="28"/>
          <w:highlight w:val="none"/>
        </w:rPr>
        <w:t xml:space="preserve">附件17  </w:t>
      </w:r>
      <w:r>
        <w:rPr>
          <w:rFonts w:hint="eastAsia" w:ascii="黑体" w:hAnsi="宋体" w:eastAsia="黑体"/>
          <w:b/>
          <w:bCs/>
          <w:color w:val="auto"/>
          <w:kern w:val="0"/>
          <w:sz w:val="28"/>
          <w:szCs w:val="28"/>
          <w:highlight w:val="none"/>
        </w:rPr>
        <w:t>技术服务方案</w:t>
      </w:r>
    </w:p>
    <w:p>
      <w:pPr>
        <w:pStyle w:val="2"/>
        <w:spacing w:line="360" w:lineRule="auto"/>
        <w:ind w:right="482"/>
        <w:rPr>
          <w:rFonts w:hAnsi="宋体"/>
          <w:color w:val="auto"/>
          <w:szCs w:val="21"/>
          <w:highlight w:val="none"/>
        </w:rPr>
      </w:pPr>
      <w:r>
        <w:rPr>
          <w:rFonts w:hint="eastAsia" w:hAnsi="宋体"/>
          <w:color w:val="auto"/>
          <w:szCs w:val="21"/>
          <w:highlight w:val="none"/>
        </w:rPr>
        <w:t>项目名称：</w:t>
      </w:r>
    </w:p>
    <w:p>
      <w:pPr>
        <w:pStyle w:val="2"/>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spacing w:line="360" w:lineRule="auto"/>
        <w:rPr>
          <w:rFonts w:ascii="黑体" w:hAnsi="宋体" w:eastAsia="黑体"/>
          <w:b/>
          <w:bCs/>
          <w:color w:val="auto"/>
          <w:kern w:val="0"/>
          <w:sz w:val="28"/>
          <w:szCs w:val="28"/>
          <w:highlight w:val="none"/>
        </w:rPr>
      </w:pPr>
    </w:p>
    <w:p>
      <w:pPr>
        <w:spacing w:line="360" w:lineRule="auto"/>
        <w:ind w:left="618" w:hanging="618"/>
        <w:rPr>
          <w:rFonts w:ascii="宋体" w:hAnsi="宋体"/>
          <w:bCs/>
          <w:color w:val="auto"/>
          <w:szCs w:val="21"/>
          <w:highlight w:val="none"/>
        </w:rPr>
      </w:pPr>
      <w:r>
        <w:rPr>
          <w:rFonts w:hint="eastAsia" w:ascii="宋体" w:hAnsi="宋体"/>
          <w:bCs/>
          <w:color w:val="auto"/>
          <w:szCs w:val="21"/>
          <w:highlight w:val="none"/>
        </w:rPr>
        <w:t>[说明]供应商应按照竞争性磋商文件的要求，根据采购人需求要求内容做出全面响应并编制服务方案。其内容应包括但不限于：</w:t>
      </w:r>
    </w:p>
    <w:p>
      <w:pPr>
        <w:spacing w:line="360" w:lineRule="auto"/>
        <w:ind w:left="618" w:hanging="618"/>
        <w:rPr>
          <w:rFonts w:ascii="宋体" w:hAnsi="宋体"/>
          <w:bCs/>
          <w:color w:val="auto"/>
          <w:szCs w:val="21"/>
          <w:highlight w:val="none"/>
        </w:rPr>
      </w:pPr>
    </w:p>
    <w:p>
      <w:pPr>
        <w:numPr>
          <w:ilvl w:val="0"/>
          <w:numId w:val="23"/>
        </w:numPr>
        <w:spacing w:line="360" w:lineRule="auto"/>
        <w:ind w:left="420" w:leftChars="200" w:firstLine="105" w:firstLineChars="50"/>
        <w:rPr>
          <w:rFonts w:hint="eastAsia" w:ascii="宋体" w:hAnsi="宋体"/>
          <w:bCs/>
          <w:color w:val="auto"/>
          <w:szCs w:val="21"/>
          <w:highlight w:val="none"/>
        </w:rPr>
      </w:pPr>
      <w:r>
        <w:rPr>
          <w:rFonts w:hint="eastAsia" w:ascii="宋体" w:hAnsi="宋体"/>
          <w:bCs/>
          <w:color w:val="auto"/>
          <w:szCs w:val="21"/>
          <w:highlight w:val="none"/>
        </w:rPr>
        <w:t>拟投入本项目人员情况；</w:t>
      </w:r>
    </w:p>
    <w:p>
      <w:pPr>
        <w:numPr>
          <w:ilvl w:val="0"/>
          <w:numId w:val="23"/>
        </w:numPr>
        <w:spacing w:line="360" w:lineRule="auto"/>
        <w:ind w:left="420" w:leftChars="200" w:firstLine="105" w:firstLineChars="50"/>
        <w:rPr>
          <w:rFonts w:hint="eastAsia" w:ascii="宋体" w:hAnsi="宋体"/>
          <w:bCs/>
          <w:color w:val="auto"/>
          <w:szCs w:val="21"/>
          <w:highlight w:val="none"/>
        </w:rPr>
      </w:pPr>
      <w:r>
        <w:rPr>
          <w:rFonts w:hint="eastAsia" w:ascii="宋体" w:hAnsi="宋体"/>
          <w:bCs/>
          <w:color w:val="auto"/>
          <w:szCs w:val="21"/>
          <w:highlight w:val="none"/>
        </w:rPr>
        <w:t>供应产品技术参数性能的评价；</w:t>
      </w:r>
    </w:p>
    <w:p>
      <w:pPr>
        <w:numPr>
          <w:ilvl w:val="0"/>
          <w:numId w:val="23"/>
        </w:numPr>
        <w:spacing w:line="360" w:lineRule="auto"/>
        <w:ind w:left="420" w:leftChars="200" w:firstLine="105" w:firstLineChars="50"/>
        <w:rPr>
          <w:rFonts w:hint="eastAsia" w:ascii="宋体" w:hAnsi="宋体"/>
          <w:bCs/>
          <w:color w:val="auto"/>
          <w:szCs w:val="21"/>
          <w:highlight w:val="none"/>
        </w:rPr>
      </w:pPr>
      <w:r>
        <w:rPr>
          <w:rFonts w:hint="eastAsia" w:ascii="宋体" w:hAnsi="宋体"/>
          <w:bCs/>
          <w:color w:val="auto"/>
          <w:szCs w:val="21"/>
          <w:highlight w:val="none"/>
        </w:rPr>
        <w:t>项目组织方案；</w:t>
      </w:r>
    </w:p>
    <w:p>
      <w:pPr>
        <w:numPr>
          <w:ilvl w:val="0"/>
          <w:numId w:val="23"/>
        </w:numPr>
        <w:spacing w:line="360" w:lineRule="auto"/>
        <w:ind w:left="420" w:leftChars="200" w:firstLine="105" w:firstLineChars="50"/>
        <w:rPr>
          <w:rFonts w:hint="eastAsia" w:ascii="宋体" w:hAnsi="宋体"/>
          <w:bCs/>
          <w:color w:val="auto"/>
          <w:szCs w:val="21"/>
          <w:highlight w:val="none"/>
        </w:rPr>
      </w:pPr>
      <w:r>
        <w:rPr>
          <w:rFonts w:hint="eastAsia" w:ascii="宋体" w:hAnsi="宋体"/>
          <w:bCs/>
          <w:color w:val="auto"/>
          <w:szCs w:val="21"/>
          <w:highlight w:val="none"/>
        </w:rPr>
        <w:t>项目进度、质量保证计划、安全文明施工措施；</w:t>
      </w:r>
    </w:p>
    <w:p>
      <w:pPr>
        <w:numPr>
          <w:ilvl w:val="0"/>
          <w:numId w:val="23"/>
        </w:numPr>
        <w:spacing w:line="360" w:lineRule="auto"/>
        <w:ind w:left="420" w:leftChars="200" w:firstLine="105" w:firstLineChars="50"/>
        <w:rPr>
          <w:rFonts w:hint="eastAsia" w:ascii="宋体" w:hAnsi="宋体"/>
          <w:bCs/>
          <w:color w:val="auto"/>
          <w:szCs w:val="21"/>
          <w:highlight w:val="none"/>
        </w:rPr>
      </w:pPr>
      <w:r>
        <w:rPr>
          <w:rFonts w:hint="eastAsia" w:ascii="宋体" w:hAnsi="宋体"/>
          <w:bCs/>
          <w:color w:val="auto"/>
          <w:szCs w:val="21"/>
          <w:highlight w:val="none"/>
        </w:rPr>
        <w:t>售后服务。</w:t>
      </w:r>
    </w:p>
    <w:p>
      <w:pPr>
        <w:spacing w:line="360" w:lineRule="auto"/>
        <w:ind w:left="420" w:leftChars="200" w:firstLine="105" w:firstLineChars="50"/>
        <w:rPr>
          <w:rFonts w:hint="eastAsia" w:ascii="宋体" w:hAnsi="宋体"/>
          <w:bCs/>
          <w:color w:val="auto"/>
          <w:szCs w:val="21"/>
          <w:highlight w:val="none"/>
        </w:rPr>
      </w:pPr>
    </w:p>
    <w:p>
      <w:pPr>
        <w:spacing w:line="360" w:lineRule="auto"/>
        <w:ind w:firstLine="480"/>
        <w:rPr>
          <w:rFonts w:ascii="宋体" w:hAnsi="宋体"/>
          <w:b/>
          <w:color w:val="auto"/>
          <w:sz w:val="24"/>
          <w:highlight w:val="none"/>
        </w:rPr>
      </w:pPr>
    </w:p>
    <w:p>
      <w:pPr>
        <w:spacing w:line="360" w:lineRule="auto"/>
        <w:ind w:firstLine="4956" w:firstLineChars="2360"/>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spacing w:line="360" w:lineRule="auto"/>
        <w:ind w:right="420" w:firstLine="4935" w:firstLineChars="2350"/>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jc w:val="center"/>
        <w:rPr>
          <w:rFonts w:ascii="宋体" w:hAnsi="宋体"/>
          <w:b/>
          <w:bCs/>
          <w:color w:val="auto"/>
          <w:kern w:val="0"/>
          <w:sz w:val="28"/>
          <w:szCs w:val="28"/>
          <w:highlight w:val="none"/>
        </w:rPr>
      </w:pPr>
      <w:r>
        <w:rPr>
          <w:rFonts w:hint="eastAsia" w:ascii="宋体" w:hAnsi="宋体"/>
          <w:color w:val="auto"/>
          <w:szCs w:val="21"/>
          <w:highlight w:val="none"/>
        </w:rPr>
        <w:t xml:space="preserve">                               日    期： </w:t>
      </w:r>
      <w:r>
        <w:rPr>
          <w:rFonts w:hint="eastAsia" w:ascii="宋体" w:hAnsi="宋体"/>
          <w:color w:val="auto"/>
          <w:szCs w:val="21"/>
          <w:highlight w:val="none"/>
          <w:lang w:eastAsia="zh-CN"/>
        </w:rPr>
        <w:t>2020</w:t>
      </w:r>
      <w:r>
        <w:rPr>
          <w:rFonts w:hint="eastAsia" w:ascii="宋体" w:hAnsi="宋体"/>
          <w:color w:val="auto"/>
          <w:szCs w:val="21"/>
          <w:highlight w:val="none"/>
        </w:rPr>
        <w:t>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rPr>
          <w:rFonts w:ascii="宋体" w:hAnsi="宋体"/>
          <w:color w:val="auto"/>
          <w:highlight w:val="none"/>
        </w:rPr>
      </w:pPr>
      <w:r>
        <w:rPr>
          <w:rFonts w:hint="eastAsia" w:ascii="宋体" w:hAnsi="宋体"/>
          <w:b/>
          <w:bCs/>
          <w:color w:val="auto"/>
          <w:kern w:val="0"/>
          <w:sz w:val="28"/>
          <w:szCs w:val="28"/>
          <w:highlight w:val="none"/>
        </w:rPr>
        <w:t>附件18  缴交采购代理服务费承诺书</w:t>
      </w:r>
    </w:p>
    <w:p>
      <w:pPr>
        <w:spacing w:line="360" w:lineRule="auto"/>
        <w:rPr>
          <w:rFonts w:ascii="宋体" w:hAnsi="宋体"/>
          <w:b/>
          <w:bCs/>
          <w:color w:val="auto"/>
          <w:kern w:val="0"/>
          <w:sz w:val="28"/>
          <w:szCs w:val="28"/>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致：广州市信怡招标代理有限公司</w:t>
      </w:r>
    </w:p>
    <w:p>
      <w:pPr>
        <w:spacing w:line="360" w:lineRule="auto"/>
        <w:ind w:firstLine="420" w:firstLineChars="200"/>
        <w:rPr>
          <w:rFonts w:ascii="宋体" w:hAnsi="宋体"/>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如果我方在贵公司组织的项目名称：</w:t>
      </w:r>
      <w:r>
        <w:rPr>
          <w:rFonts w:hint="eastAsia" w:ascii="宋体" w:hAnsi="宋体"/>
          <w:color w:val="auto"/>
          <w:szCs w:val="21"/>
          <w:highlight w:val="none"/>
          <w:u w:val="single"/>
        </w:rPr>
        <w:t xml:space="preserve">      项目名称     </w:t>
      </w:r>
      <w:r>
        <w:rPr>
          <w:rFonts w:hint="eastAsia" w:ascii="宋体" w:hAnsi="宋体"/>
          <w:color w:val="auto"/>
          <w:szCs w:val="21"/>
          <w:highlight w:val="none"/>
        </w:rPr>
        <w:t>（项目编号：</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）磋商采购项目中被确定为成交候选人，</w:t>
      </w:r>
      <w:r>
        <w:rPr>
          <w:rFonts w:hint="eastAsia" w:ascii="宋体" w:hAnsi="宋体" w:cs="宋体"/>
          <w:color w:val="auto"/>
          <w:szCs w:val="21"/>
          <w:highlight w:val="none"/>
        </w:rPr>
        <w:t>我方保证在收到《中标通知书》前，</w:t>
      </w:r>
      <w:r>
        <w:rPr>
          <w:rFonts w:hint="eastAsia" w:ascii="宋体" w:hAnsi="宋体"/>
          <w:color w:val="auto"/>
          <w:szCs w:val="21"/>
          <w:highlight w:val="none"/>
        </w:rPr>
        <w:t>按照磋商文件的规定向贵公司交纳采购代理服务费。</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我方如违约，愿凭贵公司开出的违约通知，</w:t>
      </w:r>
      <w:r>
        <w:rPr>
          <w:rFonts w:hint="eastAsia" w:ascii="宋体" w:hAnsi="宋体" w:cs="宋体"/>
          <w:color w:val="auto"/>
          <w:szCs w:val="21"/>
          <w:highlight w:val="none"/>
        </w:rPr>
        <w:t>按上述承诺金额的200％在我方磋商保证金中抵扣，不足部分在采购人与我方签订的采购合同款项中扣付，</w:t>
      </w:r>
      <w:r>
        <w:rPr>
          <w:rFonts w:hint="eastAsia" w:ascii="宋体" w:hAnsi="宋体"/>
          <w:color w:val="auto"/>
          <w:szCs w:val="21"/>
          <w:highlight w:val="none"/>
        </w:rPr>
        <w:t>并在此同意和要求采购人（应广州市信怡招标代理有限公司的要求）办理支付手续。</w:t>
      </w:r>
    </w:p>
    <w:p>
      <w:pPr>
        <w:spacing w:line="360" w:lineRule="auto"/>
        <w:ind w:firstLine="420" w:firstLineChars="200"/>
        <w:rPr>
          <w:rFonts w:ascii="宋体" w:hAnsi="宋体"/>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特此承诺！</w:t>
      </w:r>
    </w:p>
    <w:p>
      <w:pPr>
        <w:spacing w:line="360" w:lineRule="auto"/>
        <w:ind w:left="4700" w:leftChars="2238"/>
        <w:rPr>
          <w:rFonts w:ascii="宋体" w:hAnsi="宋体"/>
          <w:color w:val="auto"/>
          <w:szCs w:val="21"/>
          <w:highlight w:val="none"/>
        </w:rPr>
      </w:pPr>
    </w:p>
    <w:p>
      <w:pPr>
        <w:spacing w:line="360" w:lineRule="auto"/>
        <w:ind w:firstLine="3990" w:firstLineChars="1900"/>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全称（加盖公章）；</w:t>
      </w:r>
    </w:p>
    <w:p>
      <w:pPr>
        <w:spacing w:line="360" w:lineRule="auto"/>
        <w:ind w:left="3986" w:leftChars="1898"/>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法定地址：</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法定代表或其授权代表</w:t>
      </w:r>
      <w:r>
        <w:rPr>
          <w:rFonts w:hint="eastAsia" w:ascii="宋体" w:hAnsi="宋体"/>
          <w:bCs/>
          <w:color w:val="auto"/>
          <w:szCs w:val="21"/>
          <w:highlight w:val="none"/>
        </w:rPr>
        <w:t>(</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电    话：</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传    真：</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承诺日期：</w:t>
      </w:r>
      <w:r>
        <w:rPr>
          <w:rFonts w:hint="eastAsia" w:ascii="宋体" w:hAnsi="宋体"/>
          <w:bCs/>
          <w:color w:val="auto"/>
          <w:szCs w:val="21"/>
          <w:highlight w:val="none"/>
          <w:lang w:eastAsia="zh-CN"/>
        </w:rPr>
        <w:t>2020</w:t>
      </w:r>
      <w:r>
        <w:rPr>
          <w:rFonts w:hint="eastAsia" w:ascii="宋体" w:hAnsi="宋体"/>
          <w:bCs/>
          <w:color w:val="auto"/>
          <w:szCs w:val="21"/>
          <w:highlight w:val="none"/>
        </w:rPr>
        <w:t>年  月  日</w:t>
      </w:r>
    </w:p>
    <w:p>
      <w:pPr>
        <w:pStyle w:val="2"/>
        <w:spacing w:line="360" w:lineRule="auto"/>
        <w:jc w:val="right"/>
        <w:rPr>
          <w:rFonts w:hAnsi="宋体"/>
          <w:bCs/>
          <w:color w:val="auto"/>
          <w:szCs w:val="21"/>
          <w:highlight w:val="none"/>
        </w:rPr>
      </w:pPr>
    </w:p>
    <w:p>
      <w:pPr>
        <w:pStyle w:val="2"/>
        <w:spacing w:line="360" w:lineRule="auto"/>
        <w:rPr>
          <w:rFonts w:hAnsi="宋体"/>
          <w:bCs/>
          <w:color w:val="auto"/>
          <w:szCs w:val="21"/>
          <w:highlight w:val="none"/>
        </w:rPr>
      </w:pPr>
    </w:p>
    <w:p>
      <w:pPr>
        <w:pStyle w:val="2"/>
        <w:spacing w:line="360" w:lineRule="auto"/>
        <w:rPr>
          <w:rFonts w:hAnsi="宋体"/>
          <w:bCs/>
          <w:color w:val="auto"/>
          <w:szCs w:val="21"/>
          <w:highlight w:val="none"/>
        </w:rPr>
      </w:pPr>
    </w:p>
    <w:p>
      <w:pPr>
        <w:pStyle w:val="2"/>
        <w:spacing w:line="360" w:lineRule="auto"/>
        <w:rPr>
          <w:rFonts w:hAnsi="宋体"/>
          <w:bCs/>
          <w:color w:val="auto"/>
          <w:highlight w:val="none"/>
        </w:rPr>
      </w:pPr>
    </w:p>
    <w:p>
      <w:pPr>
        <w:pStyle w:val="2"/>
        <w:spacing w:line="360" w:lineRule="auto"/>
        <w:rPr>
          <w:rFonts w:hAnsi="宋体"/>
          <w:bCs/>
          <w:color w:val="auto"/>
          <w:highlight w:val="none"/>
        </w:rPr>
      </w:pPr>
    </w:p>
    <w:p>
      <w:pPr>
        <w:pStyle w:val="2"/>
        <w:spacing w:line="360" w:lineRule="auto"/>
        <w:rPr>
          <w:rFonts w:hAnsi="宋体"/>
          <w:bCs/>
          <w:color w:val="auto"/>
          <w:highlight w:val="none"/>
        </w:rPr>
      </w:pPr>
    </w:p>
    <w:p>
      <w:pPr>
        <w:pStyle w:val="2"/>
        <w:spacing w:line="360" w:lineRule="auto"/>
        <w:rPr>
          <w:rFonts w:hAnsi="宋体"/>
          <w:bCs/>
          <w:color w:val="auto"/>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rPr>
          <w:rFonts w:hint="eastAsia" w:ascii="宋体" w:hAnsi="宋体" w:cs="宋体"/>
          <w:b/>
          <w:bCs/>
          <w:color w:val="auto"/>
          <w:szCs w:val="21"/>
          <w:highlight w:val="none"/>
        </w:rPr>
      </w:pPr>
      <w:r>
        <w:rPr>
          <w:rFonts w:hint="eastAsia" w:ascii="宋体" w:hAnsi="宋体" w:cs="宋体"/>
          <w:b/>
          <w:bCs/>
          <w:color w:val="auto"/>
          <w:kern w:val="0"/>
          <w:sz w:val="24"/>
          <w:highlight w:val="none"/>
        </w:rPr>
        <w:t xml:space="preserve">附件19  磋商保证金汇款声明函 </w:t>
      </w:r>
      <w:r>
        <w:rPr>
          <w:rFonts w:hint="eastAsia" w:ascii="宋体" w:hAnsi="宋体" w:cs="宋体"/>
          <w:b/>
          <w:bCs/>
          <w:color w:val="auto"/>
          <w:kern w:val="0"/>
          <w:szCs w:val="21"/>
          <w:highlight w:val="none"/>
        </w:rPr>
        <w:t xml:space="preserve"> </w:t>
      </w:r>
      <w:r>
        <w:rPr>
          <w:rFonts w:hint="eastAsia" w:ascii="宋体" w:hAnsi="宋体" w:cs="宋体"/>
          <w:color w:val="auto"/>
          <w:szCs w:val="21"/>
          <w:highlight w:val="none"/>
        </w:rPr>
        <w:t xml:space="preserve">                          </w:t>
      </w:r>
    </w:p>
    <w:p>
      <w:pPr>
        <w:spacing w:line="360" w:lineRule="auto"/>
        <w:rPr>
          <w:rFonts w:hint="eastAsia" w:ascii="宋体" w:hAnsi="宋体" w:cs="宋体"/>
          <w:b/>
          <w:color w:val="auto"/>
          <w:szCs w:val="21"/>
          <w:highlight w:val="none"/>
        </w:rPr>
      </w:pPr>
    </w:p>
    <w:p>
      <w:pPr>
        <w:spacing w:line="360" w:lineRule="auto"/>
        <w:rPr>
          <w:rFonts w:hint="eastAsia" w:ascii="宋体" w:hAnsi="宋体" w:cs="宋体"/>
          <w:b/>
          <w:color w:val="auto"/>
          <w:szCs w:val="21"/>
          <w:highlight w:val="none"/>
        </w:rPr>
      </w:pPr>
      <w:r>
        <w:rPr>
          <w:rFonts w:hint="eastAsia" w:ascii="宋体" w:hAnsi="宋体" w:cs="宋体"/>
          <w:b/>
          <w:color w:val="auto"/>
          <w:szCs w:val="21"/>
          <w:highlight w:val="none"/>
        </w:rPr>
        <w:t>致：广州市信怡招标代理有限公司</w:t>
      </w:r>
    </w:p>
    <w:p>
      <w:pPr>
        <w:tabs>
          <w:tab w:val="left" w:pos="1560"/>
        </w:tabs>
        <w:rPr>
          <w:rFonts w:hint="eastAsia" w:ascii="宋体" w:hAnsi="宋体" w:cs="宋体"/>
          <w:color w:val="auto"/>
          <w:szCs w:val="21"/>
          <w:highlight w:val="none"/>
        </w:rPr>
      </w:pPr>
      <w:r>
        <w:rPr>
          <w:rFonts w:hint="eastAsia" w:ascii="宋体" w:hAnsi="宋体" w:cs="宋体"/>
          <w:color w:val="auto"/>
          <w:szCs w:val="21"/>
          <w:highlight w:val="none"/>
        </w:rPr>
        <w:tab/>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我方为</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项目（项目编号：</w:t>
      </w:r>
      <w:r>
        <w:rPr>
          <w:rFonts w:hint="eastAsia" w:ascii="宋体" w:hAnsi="宋体" w:cs="宋体"/>
          <w:color w:val="auto"/>
          <w:szCs w:val="21"/>
          <w:highlight w:val="none"/>
          <w:u w:val="single"/>
        </w:rPr>
        <w:t xml:space="preserve">                  </w:t>
      </w:r>
      <w:r>
        <w:rPr>
          <w:rFonts w:hint="eastAsia" w:ascii="宋体"/>
          <w:color w:val="auto"/>
          <w:szCs w:val="21"/>
          <w:highlight w:val="none"/>
          <w:u w:val="single"/>
        </w:rPr>
        <w:t xml:space="preserve">         </w:t>
      </w:r>
      <w:r>
        <w:rPr>
          <w:rFonts w:hint="eastAsia" w:ascii="宋体" w:hAnsi="宋体" w:cs="宋体"/>
          <w:color w:val="auto"/>
          <w:szCs w:val="21"/>
          <w:highlight w:val="none"/>
        </w:rPr>
        <w:t>）递交公开招标保证金人民币</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元（大写：人民币</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元）已于</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日以</w:t>
      </w:r>
      <w:r>
        <w:rPr>
          <w:rFonts w:hint="eastAsia" w:ascii="宋体" w:hAnsi="宋体" w:cs="宋体"/>
          <w:color w:val="auto"/>
          <w:szCs w:val="21"/>
          <w:highlight w:val="none"/>
          <w:u w:val="single"/>
        </w:rPr>
        <w:sym w:font="Wingdings" w:char="00A8"/>
      </w:r>
      <w:r>
        <w:rPr>
          <w:rFonts w:hint="eastAsia" w:ascii="宋体" w:hAnsi="宋体" w:cs="宋体"/>
          <w:color w:val="auto"/>
          <w:szCs w:val="21"/>
          <w:highlight w:val="none"/>
          <w:u w:val="single"/>
        </w:rPr>
        <w:t>支票</w:t>
      </w:r>
      <w:r>
        <w:rPr>
          <w:rFonts w:hint="eastAsia" w:ascii="宋体" w:hAnsi="宋体" w:cs="宋体"/>
          <w:color w:val="auto"/>
          <w:szCs w:val="21"/>
          <w:highlight w:val="none"/>
          <w:u w:val="single"/>
        </w:rPr>
        <w:sym w:font="Wingdings" w:char="00A8"/>
      </w:r>
      <w:r>
        <w:rPr>
          <w:rFonts w:hint="eastAsia" w:ascii="宋体" w:hAnsi="宋体" w:cs="宋体"/>
          <w:color w:val="auto"/>
          <w:szCs w:val="21"/>
          <w:highlight w:val="none"/>
          <w:u w:val="single"/>
        </w:rPr>
        <w:t>汇票</w:t>
      </w:r>
      <w:r>
        <w:rPr>
          <w:rFonts w:hint="eastAsia" w:ascii="宋体" w:hAnsi="宋体" w:cs="宋体"/>
          <w:color w:val="auto"/>
          <w:szCs w:val="21"/>
          <w:highlight w:val="none"/>
          <w:u w:val="single"/>
        </w:rPr>
        <w:sym w:font="Wingdings" w:char="00A8"/>
      </w:r>
      <w:r>
        <w:rPr>
          <w:rFonts w:hint="eastAsia" w:ascii="宋体" w:hAnsi="宋体" w:cs="宋体"/>
          <w:color w:val="auto"/>
          <w:szCs w:val="21"/>
          <w:highlight w:val="none"/>
          <w:u w:val="single"/>
        </w:rPr>
        <w:t>本票</w:t>
      </w:r>
      <w:r>
        <w:rPr>
          <w:rFonts w:hint="eastAsia" w:ascii="宋体" w:hAnsi="宋体" w:cs="宋体"/>
          <w:color w:val="auto"/>
          <w:szCs w:val="21"/>
          <w:highlight w:val="none"/>
          <w:u w:val="single"/>
        </w:rPr>
        <w:sym w:font="Wingdings" w:char="00A8"/>
      </w:r>
      <w:r>
        <w:rPr>
          <w:rFonts w:hint="eastAsia" w:ascii="宋体" w:hAnsi="宋体" w:cs="宋体"/>
          <w:color w:val="auto"/>
          <w:szCs w:val="21"/>
          <w:highlight w:val="none"/>
          <w:u w:val="single"/>
        </w:rPr>
        <w:t>金融机构出具的保函</w:t>
      </w:r>
      <w:r>
        <w:rPr>
          <w:rFonts w:hint="eastAsia" w:ascii="宋体" w:hAnsi="宋体" w:cs="宋体"/>
          <w:color w:val="auto"/>
          <w:szCs w:val="21"/>
          <w:highlight w:val="none"/>
          <w:u w:val="single"/>
        </w:rPr>
        <w:sym w:font="Wingdings" w:char="00A8"/>
      </w:r>
      <w:r>
        <w:rPr>
          <w:rFonts w:hint="eastAsia" w:ascii="宋体" w:hAnsi="宋体" w:cs="宋体"/>
          <w:color w:val="auto"/>
          <w:szCs w:val="21"/>
          <w:highlight w:val="none"/>
          <w:u w:val="single"/>
        </w:rPr>
        <w:t>担保机构出具的保函</w:t>
      </w:r>
      <w:r>
        <w:rPr>
          <w:rFonts w:hint="eastAsia" w:ascii="宋体" w:hAnsi="宋体" w:cs="宋体"/>
          <w:color w:val="auto"/>
          <w:szCs w:val="21"/>
          <w:highlight w:val="none"/>
          <w:u w:val="single"/>
        </w:rPr>
        <w:sym w:font="Wingdings" w:char="00A8"/>
      </w:r>
      <w:r>
        <w:rPr>
          <w:rFonts w:hint="eastAsia" w:ascii="宋体" w:hAnsi="宋体" w:cs="宋体"/>
          <w:color w:val="auto"/>
          <w:szCs w:val="21"/>
          <w:highlight w:val="none"/>
          <w:u w:val="single"/>
        </w:rPr>
        <w:t>其他</w:t>
      </w:r>
      <w:r>
        <w:rPr>
          <w:rFonts w:hint="eastAsia" w:ascii="宋体" w:hAnsi="宋体" w:cs="宋体"/>
          <w:color w:val="auto"/>
          <w:szCs w:val="21"/>
          <w:highlight w:val="none"/>
        </w:rPr>
        <w:t>等非现金形式提交。</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退还保证金时请按以下内容划入我方账户。若因内容不全、错误、字迹潦草模糊导致该项目保证金未能及时退还或退还过程中发生错误，我方将自行承担全部责任和损失。</w:t>
      </w:r>
    </w:p>
    <w:tbl>
      <w:tblPr>
        <w:tblStyle w:val="8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8"/>
        <w:gridCol w:w="1611"/>
        <w:gridCol w:w="4097"/>
        <w:gridCol w:w="1080"/>
        <w:gridCol w:w="15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48" w:type="dxa"/>
            <w:vMerge w:val="restart"/>
            <w:noWrap w:val="0"/>
            <w:textDirection w:val="tbRlV"/>
            <w:vAlign w:val="center"/>
          </w:tcPr>
          <w:p>
            <w:pPr>
              <w:ind w:left="113" w:right="113"/>
              <w:jc w:val="center"/>
              <w:rPr>
                <w:rFonts w:hint="eastAsia" w:ascii="宋体" w:hAnsi="宋体" w:cs="宋体"/>
                <w:color w:val="auto"/>
                <w:szCs w:val="21"/>
                <w:highlight w:val="none"/>
              </w:rPr>
            </w:pPr>
            <w:r>
              <w:rPr>
                <w:rFonts w:hint="eastAsia" w:ascii="宋体" w:hAnsi="宋体" w:cs="宋体"/>
                <w:color w:val="auto"/>
                <w:szCs w:val="21"/>
                <w:highlight w:val="none"/>
              </w:rPr>
              <w:t>收 款 人</w:t>
            </w:r>
          </w:p>
        </w:tc>
        <w:tc>
          <w:tcPr>
            <w:tcW w:w="1611" w:type="dxa"/>
            <w:noWrap w:val="0"/>
            <w:vAlign w:val="center"/>
          </w:tcPr>
          <w:p>
            <w:pPr>
              <w:jc w:val="center"/>
              <w:rPr>
                <w:rFonts w:hint="eastAsia" w:ascii="宋体" w:hAnsi="宋体" w:cs="宋体"/>
                <w:color w:val="auto"/>
                <w:szCs w:val="21"/>
                <w:highlight w:val="none"/>
              </w:rPr>
            </w:pPr>
            <w:r>
              <w:rPr>
                <w:rFonts w:hint="eastAsia" w:ascii="宋体" w:hAnsi="宋体" w:cs="宋体"/>
                <w:color w:val="auto"/>
                <w:szCs w:val="21"/>
                <w:highlight w:val="none"/>
              </w:rPr>
              <w:t>收款人名称</w:t>
            </w:r>
          </w:p>
        </w:tc>
        <w:tc>
          <w:tcPr>
            <w:tcW w:w="6701" w:type="dxa"/>
            <w:gridSpan w:val="3"/>
            <w:noWrap w:val="0"/>
            <w:vAlign w:val="center"/>
          </w:tcPr>
          <w:p>
            <w:pPr>
              <w:jc w:val="center"/>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48" w:type="dxa"/>
            <w:vMerge w:val="continue"/>
            <w:noWrap w:val="0"/>
            <w:vAlign w:val="center"/>
          </w:tcPr>
          <w:p>
            <w:pPr>
              <w:jc w:val="center"/>
              <w:rPr>
                <w:rFonts w:hint="eastAsia" w:ascii="宋体" w:hAnsi="宋体" w:cs="宋体"/>
                <w:color w:val="auto"/>
                <w:szCs w:val="21"/>
                <w:highlight w:val="none"/>
              </w:rPr>
            </w:pPr>
          </w:p>
        </w:tc>
        <w:tc>
          <w:tcPr>
            <w:tcW w:w="1611" w:type="dxa"/>
            <w:noWrap w:val="0"/>
            <w:vAlign w:val="center"/>
          </w:tcPr>
          <w:p>
            <w:pPr>
              <w:jc w:val="center"/>
              <w:rPr>
                <w:rFonts w:hint="eastAsia" w:ascii="宋体" w:hAnsi="宋体" w:cs="宋体"/>
                <w:color w:val="auto"/>
                <w:szCs w:val="21"/>
                <w:highlight w:val="none"/>
              </w:rPr>
            </w:pPr>
            <w:r>
              <w:rPr>
                <w:rFonts w:hint="eastAsia" w:ascii="宋体" w:hAnsi="宋体" w:cs="宋体"/>
                <w:color w:val="auto"/>
                <w:szCs w:val="21"/>
                <w:highlight w:val="none"/>
              </w:rPr>
              <w:t>收款人地址</w:t>
            </w:r>
          </w:p>
        </w:tc>
        <w:tc>
          <w:tcPr>
            <w:tcW w:w="6701" w:type="dxa"/>
            <w:gridSpan w:val="3"/>
            <w:noWrap w:val="0"/>
            <w:vAlign w:val="center"/>
          </w:tcPr>
          <w:p>
            <w:pPr>
              <w:jc w:val="center"/>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8" w:hRule="atLeast"/>
          <w:jc w:val="center"/>
        </w:trPr>
        <w:tc>
          <w:tcPr>
            <w:tcW w:w="548" w:type="dxa"/>
            <w:vMerge w:val="continue"/>
            <w:noWrap w:val="0"/>
            <w:vAlign w:val="center"/>
          </w:tcPr>
          <w:p>
            <w:pPr>
              <w:jc w:val="center"/>
              <w:rPr>
                <w:rFonts w:hint="eastAsia" w:ascii="宋体" w:hAnsi="宋体" w:cs="宋体"/>
                <w:color w:val="auto"/>
                <w:szCs w:val="21"/>
                <w:highlight w:val="none"/>
              </w:rPr>
            </w:pPr>
          </w:p>
        </w:tc>
        <w:tc>
          <w:tcPr>
            <w:tcW w:w="1611" w:type="dxa"/>
            <w:noWrap w:val="0"/>
            <w:vAlign w:val="center"/>
          </w:tcPr>
          <w:p>
            <w:pPr>
              <w:jc w:val="center"/>
              <w:rPr>
                <w:rFonts w:hint="eastAsia" w:ascii="宋体" w:hAnsi="宋体" w:cs="宋体"/>
                <w:color w:val="auto"/>
                <w:szCs w:val="21"/>
                <w:highlight w:val="none"/>
              </w:rPr>
            </w:pPr>
            <w:r>
              <w:rPr>
                <w:rFonts w:hint="eastAsia" w:ascii="宋体" w:hAnsi="宋体" w:cs="宋体"/>
                <w:color w:val="auto"/>
                <w:szCs w:val="21"/>
                <w:highlight w:val="none"/>
              </w:rPr>
              <w:t>开户银行</w:t>
            </w:r>
            <w:r>
              <w:rPr>
                <w:rFonts w:hint="eastAsia" w:ascii="宋体" w:hAnsi="宋体" w:cs="宋体"/>
                <w:color w:val="auto"/>
                <w:szCs w:val="21"/>
                <w:highlight w:val="none"/>
              </w:rPr>
              <w:br w:type="textWrapping"/>
            </w:r>
            <w:r>
              <w:rPr>
                <w:rFonts w:hint="eastAsia" w:ascii="宋体" w:hAnsi="宋体" w:cs="宋体"/>
                <w:color w:val="auto"/>
                <w:szCs w:val="21"/>
                <w:highlight w:val="none"/>
              </w:rPr>
              <w:t>（含汇入地点）</w:t>
            </w:r>
          </w:p>
        </w:tc>
        <w:tc>
          <w:tcPr>
            <w:tcW w:w="4097" w:type="dxa"/>
            <w:noWrap w:val="0"/>
            <w:vAlign w:val="center"/>
          </w:tcPr>
          <w:p>
            <w:pPr>
              <w:jc w:val="center"/>
              <w:rPr>
                <w:rFonts w:hint="eastAsia" w:ascii="宋体" w:hAnsi="宋体" w:cs="宋体"/>
                <w:color w:val="auto"/>
                <w:szCs w:val="21"/>
                <w:highlight w:val="none"/>
              </w:rPr>
            </w:pPr>
          </w:p>
        </w:tc>
        <w:tc>
          <w:tcPr>
            <w:tcW w:w="1080" w:type="dxa"/>
            <w:noWrap w:val="0"/>
            <w:vAlign w:val="center"/>
          </w:tcPr>
          <w:p>
            <w:pPr>
              <w:jc w:val="center"/>
              <w:rPr>
                <w:rFonts w:hint="eastAsia" w:ascii="宋体" w:hAnsi="宋体" w:cs="宋体"/>
                <w:color w:val="auto"/>
                <w:szCs w:val="21"/>
                <w:highlight w:val="none"/>
              </w:rPr>
            </w:pPr>
            <w:r>
              <w:rPr>
                <w:rFonts w:hint="eastAsia" w:ascii="宋体" w:hAnsi="宋体" w:cs="宋体"/>
                <w:color w:val="auto"/>
                <w:szCs w:val="21"/>
                <w:highlight w:val="none"/>
              </w:rPr>
              <w:t>联系人</w:t>
            </w:r>
          </w:p>
        </w:tc>
        <w:tc>
          <w:tcPr>
            <w:tcW w:w="1524" w:type="dxa"/>
            <w:noWrap w:val="0"/>
            <w:vAlign w:val="center"/>
          </w:tcPr>
          <w:p>
            <w:pPr>
              <w:jc w:val="center"/>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48" w:type="dxa"/>
            <w:vMerge w:val="continue"/>
            <w:noWrap w:val="0"/>
            <w:vAlign w:val="center"/>
          </w:tcPr>
          <w:p>
            <w:pPr>
              <w:jc w:val="center"/>
              <w:rPr>
                <w:rFonts w:hint="eastAsia" w:ascii="宋体" w:hAnsi="宋体" w:cs="宋体"/>
                <w:color w:val="auto"/>
                <w:szCs w:val="21"/>
                <w:highlight w:val="none"/>
              </w:rPr>
            </w:pPr>
          </w:p>
        </w:tc>
        <w:tc>
          <w:tcPr>
            <w:tcW w:w="1611" w:type="dxa"/>
            <w:noWrap w:val="0"/>
            <w:vAlign w:val="center"/>
          </w:tcPr>
          <w:p>
            <w:pPr>
              <w:jc w:val="center"/>
              <w:rPr>
                <w:rFonts w:hint="eastAsia" w:ascii="宋体" w:hAnsi="宋体" w:cs="宋体"/>
                <w:color w:val="auto"/>
                <w:szCs w:val="21"/>
                <w:highlight w:val="none"/>
              </w:rPr>
            </w:pPr>
            <w:r>
              <w:rPr>
                <w:rFonts w:hint="eastAsia" w:ascii="宋体" w:hAnsi="宋体" w:cs="宋体"/>
                <w:color w:val="auto"/>
                <w:szCs w:val="21"/>
                <w:highlight w:val="none"/>
              </w:rPr>
              <w:t>帐    号</w:t>
            </w:r>
          </w:p>
        </w:tc>
        <w:tc>
          <w:tcPr>
            <w:tcW w:w="4097" w:type="dxa"/>
            <w:noWrap w:val="0"/>
            <w:vAlign w:val="center"/>
          </w:tcPr>
          <w:p>
            <w:pPr>
              <w:jc w:val="center"/>
              <w:rPr>
                <w:rFonts w:hint="eastAsia" w:ascii="宋体" w:hAnsi="宋体" w:cs="宋体"/>
                <w:color w:val="auto"/>
                <w:szCs w:val="21"/>
                <w:highlight w:val="none"/>
              </w:rPr>
            </w:pPr>
          </w:p>
        </w:tc>
        <w:tc>
          <w:tcPr>
            <w:tcW w:w="1080" w:type="dxa"/>
            <w:noWrap w:val="0"/>
            <w:vAlign w:val="center"/>
          </w:tcPr>
          <w:p>
            <w:pPr>
              <w:jc w:val="center"/>
              <w:rPr>
                <w:rFonts w:hint="eastAsia" w:ascii="宋体" w:hAnsi="宋体" w:cs="宋体"/>
                <w:color w:val="auto"/>
                <w:szCs w:val="21"/>
                <w:highlight w:val="none"/>
              </w:rPr>
            </w:pPr>
            <w:r>
              <w:rPr>
                <w:rFonts w:hint="eastAsia" w:ascii="宋体" w:hAnsi="宋体" w:cs="宋体"/>
                <w:color w:val="auto"/>
                <w:szCs w:val="21"/>
                <w:highlight w:val="none"/>
              </w:rPr>
              <w:t>联系电话</w:t>
            </w:r>
          </w:p>
        </w:tc>
        <w:tc>
          <w:tcPr>
            <w:tcW w:w="1524" w:type="dxa"/>
            <w:noWrap w:val="0"/>
            <w:vAlign w:val="center"/>
          </w:tcPr>
          <w:p>
            <w:pPr>
              <w:jc w:val="center"/>
              <w:rPr>
                <w:rFonts w:hint="eastAsia" w:ascii="宋体" w:hAnsi="宋体" w:cs="宋体"/>
                <w:color w:val="auto"/>
                <w:szCs w:val="21"/>
                <w:highlight w:val="none"/>
              </w:rPr>
            </w:pPr>
          </w:p>
        </w:tc>
      </w:tr>
    </w:tbl>
    <w:p>
      <w:pPr>
        <w:rPr>
          <w:rFonts w:hint="eastAsia" w:ascii="宋体" w:hAnsi="宋体" w:cs="宋体"/>
          <w:vanish/>
          <w:color w:val="auto"/>
          <w:highlight w:val="none"/>
        </w:rPr>
      </w:pPr>
    </w:p>
    <w:tbl>
      <w:tblPr>
        <w:tblStyle w:val="89"/>
        <w:tblpPr w:leftFromText="180" w:rightFromText="180" w:vertAnchor="text" w:horzAnchor="margin" w:tblpXSpec="center" w:tblpY="50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7" w:hRule="atLeast"/>
        </w:trPr>
        <w:tc>
          <w:tcPr>
            <w:tcW w:w="9236" w:type="dxa"/>
            <w:noWrap w:val="0"/>
            <w:vAlign w:val="top"/>
          </w:tcPr>
          <w:p>
            <w:pPr>
              <w:spacing w:line="360" w:lineRule="auto"/>
              <w:rPr>
                <w:rFonts w:hint="eastAsia" w:ascii="宋体" w:hAnsi="宋体" w:cs="宋体"/>
                <w:b/>
                <w:color w:val="auto"/>
                <w:szCs w:val="21"/>
                <w:highlight w:val="none"/>
              </w:rPr>
            </w:pPr>
          </w:p>
          <w:p>
            <w:pPr>
              <w:spacing w:line="360" w:lineRule="auto"/>
              <w:ind w:firstLine="3373" w:firstLineChars="1600"/>
              <w:jc w:val="center"/>
              <w:rPr>
                <w:rFonts w:hint="eastAsia" w:ascii="宋体" w:hAnsi="宋体" w:cs="宋体"/>
                <w:b/>
                <w:color w:val="auto"/>
                <w:szCs w:val="21"/>
                <w:highlight w:val="none"/>
              </w:rPr>
            </w:pPr>
          </w:p>
          <w:p>
            <w:pPr>
              <w:spacing w:line="360" w:lineRule="auto"/>
              <w:ind w:firstLine="2165" w:firstLineChars="1027"/>
              <w:rPr>
                <w:rFonts w:hint="eastAsia" w:ascii="宋体" w:hAnsi="宋体" w:cs="宋体"/>
                <w:b/>
                <w:color w:val="auto"/>
                <w:szCs w:val="21"/>
                <w:highlight w:val="none"/>
              </w:rPr>
            </w:pPr>
            <w:r>
              <w:rPr>
                <w:rFonts w:hint="eastAsia" w:ascii="宋体" w:hAnsi="宋体" w:cs="宋体"/>
                <w:b/>
                <w:color w:val="auto"/>
                <w:szCs w:val="21"/>
                <w:highlight w:val="none"/>
              </w:rPr>
              <w:t>磋商保证金提交凭证复印件粘贴处</w:t>
            </w:r>
          </w:p>
          <w:p>
            <w:pPr>
              <w:spacing w:line="360" w:lineRule="auto"/>
              <w:ind w:firstLine="4498"/>
              <w:rPr>
                <w:rFonts w:hint="eastAsia" w:ascii="宋体" w:hAnsi="宋体" w:cs="宋体"/>
                <w:b/>
                <w:color w:val="auto"/>
                <w:szCs w:val="21"/>
                <w:highlight w:val="none"/>
              </w:rPr>
            </w:pPr>
          </w:p>
        </w:tc>
      </w:tr>
    </w:tbl>
    <w:p>
      <w:pPr>
        <w:spacing w:line="360" w:lineRule="auto"/>
        <w:ind w:firstLine="3373" w:firstLineChars="1600"/>
        <w:rPr>
          <w:rFonts w:hint="eastAsia" w:ascii="宋体" w:hAnsi="宋体" w:cs="宋体"/>
          <w:b/>
          <w:color w:val="auto"/>
          <w:szCs w:val="21"/>
          <w:highlight w:val="none"/>
        </w:rPr>
      </w:pPr>
    </w:p>
    <w:p>
      <w:pPr>
        <w:spacing w:line="360" w:lineRule="auto"/>
        <w:ind w:firstLine="3373" w:firstLineChars="1600"/>
        <w:rPr>
          <w:rFonts w:hint="eastAsia" w:ascii="宋体" w:hAnsi="宋体" w:cs="宋体"/>
          <w:b/>
          <w:color w:val="auto"/>
          <w:szCs w:val="21"/>
          <w:highlight w:val="none"/>
        </w:rPr>
      </w:pPr>
    </w:p>
    <w:p>
      <w:pPr>
        <w:spacing w:line="360" w:lineRule="auto"/>
        <w:rPr>
          <w:rFonts w:hint="eastAsia" w:ascii="宋体" w:hAnsi="宋体" w:cs="宋体"/>
          <w:color w:val="auto"/>
          <w:szCs w:val="21"/>
          <w:highlight w:val="none"/>
        </w:rPr>
      </w:pPr>
      <w:r>
        <w:rPr>
          <w:rFonts w:hint="eastAsia" w:ascii="宋体" w:hAnsi="宋体" w:cs="宋体"/>
          <w:color w:val="auto"/>
          <w:szCs w:val="21"/>
          <w:highlight w:val="none"/>
        </w:rPr>
        <w:t>投标人全称（加盖公章）：</w:t>
      </w:r>
    </w:p>
    <w:p>
      <w:pPr>
        <w:spacing w:line="360" w:lineRule="auto"/>
        <w:rPr>
          <w:rFonts w:hint="eastAsia" w:ascii="宋体" w:hAnsi="宋体" w:cs="宋体"/>
          <w:color w:val="auto"/>
          <w:szCs w:val="21"/>
          <w:highlight w:val="none"/>
        </w:rPr>
      </w:pPr>
      <w:r>
        <w:rPr>
          <w:rFonts w:hint="eastAsia" w:ascii="宋体" w:hAnsi="宋体" w:cs="宋体"/>
          <w:color w:val="auto"/>
          <w:szCs w:val="21"/>
          <w:highlight w:val="none"/>
        </w:rPr>
        <w:t>法定代表或其授权代表</w:t>
      </w:r>
      <w:r>
        <w:rPr>
          <w:rFonts w:hint="eastAsia" w:ascii="宋体" w:hAnsi="宋体" w:cs="宋体"/>
          <w:bCs/>
          <w:color w:val="auto"/>
          <w:szCs w:val="21"/>
          <w:highlight w:val="none"/>
        </w:rPr>
        <w:t>(</w:t>
      </w:r>
      <w:r>
        <w:rPr>
          <w:rFonts w:hint="eastAsia" w:ascii="宋体" w:hAnsi="宋体" w:cs="宋体"/>
          <w:color w:val="auto"/>
          <w:szCs w:val="21"/>
          <w:highlight w:val="none"/>
        </w:rPr>
        <w:t>签字或签章</w:t>
      </w:r>
      <w:r>
        <w:rPr>
          <w:rFonts w:hint="eastAsia" w:ascii="宋体" w:hAnsi="宋体" w:cs="宋体"/>
          <w:bCs/>
          <w:color w:val="auto"/>
          <w:szCs w:val="21"/>
          <w:highlight w:val="none"/>
        </w:rPr>
        <w:t>)</w:t>
      </w:r>
      <w:r>
        <w:rPr>
          <w:rFonts w:hint="eastAsia" w:ascii="宋体" w:hAnsi="宋体" w:cs="宋体"/>
          <w:color w:val="auto"/>
          <w:szCs w:val="21"/>
          <w:highlight w:val="none"/>
        </w:rPr>
        <w:t>：</w:t>
      </w:r>
    </w:p>
    <w:p>
      <w:pPr>
        <w:tabs>
          <w:tab w:val="left" w:pos="3885"/>
        </w:tabs>
        <w:spacing w:line="360" w:lineRule="auto"/>
        <w:rPr>
          <w:rFonts w:hint="eastAsia" w:ascii="宋体" w:hAnsi="宋体" w:cs="宋体"/>
          <w:color w:val="auto"/>
          <w:szCs w:val="21"/>
          <w:highlight w:val="none"/>
        </w:rPr>
      </w:pPr>
      <w:r>
        <w:rPr>
          <w:rFonts w:hint="eastAsia" w:ascii="宋体" w:hAnsi="宋体" w:cs="宋体"/>
          <w:color w:val="auto"/>
          <w:szCs w:val="21"/>
          <w:highlight w:val="none"/>
        </w:rPr>
        <w:t>地      址：</w:t>
      </w:r>
    </w:p>
    <w:p>
      <w:pPr>
        <w:tabs>
          <w:tab w:val="left" w:pos="3885"/>
        </w:tabs>
        <w:spacing w:line="360" w:lineRule="auto"/>
        <w:rPr>
          <w:rFonts w:hint="eastAsia" w:ascii="宋体" w:hAnsi="宋体" w:cs="宋体"/>
          <w:color w:val="auto"/>
          <w:szCs w:val="21"/>
          <w:highlight w:val="none"/>
        </w:rPr>
      </w:pPr>
      <w:r>
        <w:rPr>
          <w:rFonts w:hint="eastAsia" w:ascii="宋体" w:hAnsi="宋体" w:cs="宋体"/>
          <w:bCs/>
          <w:color w:val="auto"/>
          <w:szCs w:val="21"/>
          <w:highlight w:val="none"/>
        </w:rPr>
        <w:t>年        月      日</w:t>
      </w:r>
    </w:p>
    <w:p>
      <w:pPr>
        <w:pStyle w:val="2"/>
        <w:outlineLvl w:val="0"/>
        <w:rPr>
          <w:rFonts w:hint="eastAsia" w:hAnsi="宋体" w:cs="宋体"/>
          <w:bCs/>
          <w:color w:val="auto"/>
          <w:kern w:val="0"/>
          <w:szCs w:val="21"/>
          <w:highlight w:val="none"/>
        </w:rPr>
      </w:pPr>
      <w:bookmarkStart w:id="368" w:name="_Toc333236687"/>
      <w:bookmarkStart w:id="369" w:name="_Toc322680391"/>
      <w:bookmarkStart w:id="370" w:name="_Toc323111024"/>
      <w:r>
        <w:rPr>
          <w:rFonts w:hint="eastAsia" w:hAnsi="宋体" w:cs="宋体"/>
          <w:b/>
          <w:color w:val="auto"/>
          <w:szCs w:val="21"/>
          <w:highlight w:val="none"/>
        </w:rPr>
        <w:t>注：供应商应详细填写本文件，并按要求粘贴凭证复印件。</w:t>
      </w:r>
      <w:bookmarkEnd w:id="368"/>
      <w:bookmarkEnd w:id="369"/>
      <w:bookmarkEnd w:id="370"/>
      <w:r>
        <w:rPr>
          <w:rFonts w:hint="eastAsia" w:hAnsi="宋体" w:cs="宋体"/>
          <w:b/>
          <w:color w:val="auto"/>
          <w:szCs w:val="21"/>
          <w:highlight w:val="none"/>
        </w:rPr>
        <w:t>本表格须附在正副的投标文件中，并另封装一份在 “唱标信封”内。</w:t>
      </w:r>
    </w:p>
    <w:p>
      <w:pPr>
        <w:rPr>
          <w:rFonts w:hint="eastAsia" w:ascii="宋体" w:hAnsi="宋体" w:cs="宋体"/>
          <w:b/>
          <w:bCs/>
          <w:color w:val="auto"/>
          <w:kern w:val="0"/>
          <w:sz w:val="24"/>
          <w:highlight w:val="none"/>
        </w:rPr>
      </w:pPr>
    </w:p>
    <w:p>
      <w:pPr>
        <w:pStyle w:val="2"/>
        <w:jc w:val="left"/>
        <w:outlineLvl w:val="0"/>
        <w:rPr>
          <w:rFonts w:hint="eastAsia" w:hAnsi="宋体" w:cs="宋体"/>
          <w:b/>
          <w:bCs/>
          <w:color w:val="auto"/>
          <w:kern w:val="0"/>
          <w:sz w:val="24"/>
          <w:highlight w:val="none"/>
        </w:rPr>
      </w:pPr>
      <w:r>
        <w:rPr>
          <w:rFonts w:hint="eastAsia" w:hAnsi="宋体" w:cs="宋体"/>
          <w:b/>
          <w:bCs/>
          <w:color w:val="auto"/>
          <w:kern w:val="0"/>
          <w:sz w:val="24"/>
          <w:highlight w:val="none"/>
        </w:rPr>
        <w:br w:type="page"/>
      </w:r>
      <w:r>
        <w:rPr>
          <w:rFonts w:hint="eastAsia" w:hAnsi="宋体" w:cs="宋体"/>
          <w:b/>
          <w:bCs/>
          <w:color w:val="auto"/>
          <w:kern w:val="0"/>
          <w:sz w:val="24"/>
          <w:highlight w:val="none"/>
        </w:rPr>
        <w:t>附件20                         政府采购投标担保函</w:t>
      </w:r>
    </w:p>
    <w:p>
      <w:pPr>
        <w:pStyle w:val="2"/>
        <w:jc w:val="center"/>
        <w:outlineLvl w:val="0"/>
        <w:rPr>
          <w:rFonts w:hint="eastAsia" w:hAnsi="宋体" w:cs="宋体"/>
          <w:bCs/>
          <w:color w:val="auto"/>
          <w:kern w:val="0"/>
          <w:szCs w:val="21"/>
          <w:highlight w:val="none"/>
        </w:rPr>
      </w:pPr>
    </w:p>
    <w:p>
      <w:pPr>
        <w:pStyle w:val="2"/>
        <w:jc w:val="center"/>
        <w:outlineLvl w:val="0"/>
        <w:rPr>
          <w:rFonts w:hint="eastAsia" w:hAnsi="宋体" w:cs="宋体"/>
          <w:b/>
          <w:bCs/>
          <w:color w:val="auto"/>
          <w:kern w:val="0"/>
          <w:sz w:val="24"/>
          <w:highlight w:val="none"/>
        </w:rPr>
      </w:pPr>
      <w:r>
        <w:rPr>
          <w:rFonts w:hint="eastAsia" w:hAnsi="宋体" w:cs="宋体"/>
          <w:b/>
          <w:bCs/>
          <w:color w:val="auto"/>
          <w:kern w:val="0"/>
          <w:sz w:val="24"/>
          <w:highlight w:val="none"/>
        </w:rPr>
        <w:t>（若用其他方式缴纳磋商保证金，可不递交该投标担保函）</w:t>
      </w:r>
    </w:p>
    <w:p>
      <w:pPr>
        <w:spacing w:line="276" w:lineRule="auto"/>
        <w:rPr>
          <w:rFonts w:hint="eastAsia" w:ascii="宋体" w:hAnsi="宋体" w:cs="宋体"/>
          <w:color w:val="auto"/>
          <w:highlight w:val="none"/>
        </w:rPr>
      </w:pPr>
      <w:r>
        <w:rPr>
          <w:rFonts w:hint="eastAsia" w:ascii="宋体" w:hAnsi="宋体" w:cs="宋体"/>
          <w:color w:val="auto"/>
          <w:highlight w:val="none"/>
        </w:rPr>
        <w:t>（采购人或采购代理机构）：</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鉴于（以下简称‘投标人’）拟参加</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项目编号：   ）（以下简称‘本项目’）投标，根据本项目采购文件，供应商参加投标时应向你方缴纳磋商保证金，且可以投标担保函的形式缴纳磋商保证金。应供应商的申请，我方以保证的方式向你方提供如下磋商保证金担保：</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一、保证责任的情形及保证金额</w:t>
      </w:r>
    </w:p>
    <w:p>
      <w:pPr>
        <w:spacing w:line="360" w:lineRule="auto"/>
        <w:ind w:firstLine="210" w:firstLineChars="100"/>
        <w:rPr>
          <w:rFonts w:hint="eastAsia" w:ascii="宋体" w:hAnsi="宋体" w:cs="宋体"/>
          <w:color w:val="auto"/>
          <w:szCs w:val="21"/>
          <w:highlight w:val="none"/>
        </w:rPr>
      </w:pPr>
      <w:r>
        <w:rPr>
          <w:rFonts w:hint="eastAsia" w:ascii="宋体" w:hAnsi="宋体" w:cs="宋体"/>
          <w:color w:val="auto"/>
          <w:szCs w:val="21"/>
          <w:highlight w:val="none"/>
        </w:rPr>
        <w:t>（一）在投标人出现下列情形之一时，我方承担保证责任：</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1．中标后投标人无正当理由不与采购人或者采购代理机构签订《政府采购合同》；</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2．采购文件规定的投标人应当缴纳保证金的其他情形。</w:t>
      </w:r>
    </w:p>
    <w:p>
      <w:pPr>
        <w:spacing w:line="360" w:lineRule="auto"/>
        <w:ind w:firstLine="210" w:firstLineChars="100"/>
        <w:rPr>
          <w:rFonts w:hint="eastAsia" w:ascii="宋体" w:hAnsi="宋体" w:cs="宋体"/>
          <w:color w:val="auto"/>
          <w:szCs w:val="21"/>
          <w:highlight w:val="none"/>
        </w:rPr>
      </w:pPr>
      <w:r>
        <w:rPr>
          <w:rFonts w:hint="eastAsia" w:ascii="宋体" w:hAnsi="宋体" w:cs="宋体"/>
          <w:color w:val="auto"/>
          <w:szCs w:val="21"/>
          <w:highlight w:val="none"/>
        </w:rPr>
        <w:t>（二）我方承担保证责任的最高金额为人民币元（大写），即本项目的磋商保证金金额。</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二、保证的方式及保证期间</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我方保证的方式为：连带责任保证。</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我方的保证期间为：自本保函生效之日起个月止。</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三、承担保证责任的程序</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1．你方要求我方承担保证责任的，应在本保函保证期间内向我方发出书面索赔通知。索赔通知应写明要求索赔的金额，支付款项应到达的账号，并附有证明投标人发生我方应承担保证责任情形的事实材料。</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2．我方在收到索赔通知及相关证明材料后，在</w:t>
      </w:r>
      <w:r>
        <w:rPr>
          <w:rFonts w:hint="eastAsia" w:ascii="宋体" w:hAnsi="宋体" w:cs="宋体"/>
          <w:color w:val="auto"/>
          <w:szCs w:val="21"/>
          <w:highlight w:val="none"/>
          <w:u w:val="single"/>
        </w:rPr>
        <w:t>　　　</w:t>
      </w:r>
      <w:r>
        <w:rPr>
          <w:rFonts w:hint="eastAsia" w:ascii="宋体" w:hAnsi="宋体" w:cs="宋体"/>
          <w:color w:val="auto"/>
          <w:szCs w:val="21"/>
          <w:highlight w:val="none"/>
        </w:rPr>
        <w:t>个工作日内进行审查，符合应承担保证责任情形的，我方应按照你方的要求代投标人向你方支付磋商保证金。</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四、保证责任的终止</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1．保证期间届满你方未向我方书面主张保证责任的，自保证期间届满次日起，我方保证责任自动终止。</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2．我方按照本保函向你贵方履行了保证责任后，自我方向你贵方支付款项（支付款项从我方账户划出）之日起，保证责任终止。</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3．按照法律法规的规定或出现我方保证责任终止的其它情形的，我方在本保函项下的保证责任亦终止。</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五、免责条款</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1．依照法律规定或你方与投标人的另行约定，全部或者部分免除投标人磋商保证金义务时，我方亦免除相应的保证责任。</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2．因你方原因致使投标人发生本保函第一条第（一）款约定情形的，我方不承担保证责任。</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3．因不可抗力造成投标人发生本保函第一条约定情形的，我方不承担保证责任。</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4．你方或其他有权机关对采购文件进行任何澄清或修改，加重我方保证责任的，我方对加重部分不承担保证责任，但该澄清或修改经我方事先书面同意的除外。</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六、争议的解决</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因本保函发生的纠纷，由你我双方协商解决，协商不成的，通过诉讼程序解决，诉讼管辖地法院为法院。</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七、保函的生效</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本保函自我方加盖公章之日起生效。</w:t>
      </w:r>
    </w:p>
    <w:p>
      <w:pPr>
        <w:spacing w:line="360" w:lineRule="auto"/>
        <w:ind w:firstLine="5565" w:firstLineChars="2650"/>
        <w:rPr>
          <w:rFonts w:hint="eastAsia" w:ascii="宋体" w:hAnsi="宋体" w:cs="宋体"/>
          <w:color w:val="auto"/>
          <w:szCs w:val="21"/>
          <w:highlight w:val="none"/>
        </w:rPr>
      </w:pPr>
    </w:p>
    <w:p>
      <w:pPr>
        <w:spacing w:line="360" w:lineRule="auto"/>
        <w:ind w:firstLine="5565" w:firstLineChars="2650"/>
        <w:rPr>
          <w:rFonts w:hint="eastAsia" w:ascii="宋体" w:hAnsi="宋体" w:cs="宋体"/>
          <w:color w:val="auto"/>
          <w:szCs w:val="21"/>
          <w:highlight w:val="none"/>
        </w:rPr>
      </w:pPr>
      <w:r>
        <w:rPr>
          <w:rFonts w:hint="eastAsia" w:ascii="宋体" w:hAnsi="宋体" w:cs="宋体"/>
          <w:color w:val="auto"/>
          <w:szCs w:val="21"/>
          <w:highlight w:val="none"/>
        </w:rPr>
        <w:t>保证人：（公章）</w:t>
      </w:r>
    </w:p>
    <w:p>
      <w:pPr>
        <w:widowControl/>
        <w:jc w:val="left"/>
        <w:rPr>
          <w:rFonts w:ascii="宋体" w:hAnsi="宋体"/>
          <w:b/>
          <w:bCs/>
          <w:color w:val="auto"/>
          <w:kern w:val="0"/>
          <w:sz w:val="28"/>
          <w:szCs w:val="28"/>
          <w:highlight w:val="none"/>
        </w:rPr>
      </w:pPr>
      <w:r>
        <w:rPr>
          <w:rFonts w:hint="eastAsia" w:hAnsi="宋体" w:cs="宋体"/>
          <w:color w:val="auto"/>
          <w:szCs w:val="21"/>
          <w:highlight w:val="none"/>
        </w:rPr>
        <w:t xml:space="preserve">            年     月      日</w:t>
      </w:r>
      <w:r>
        <w:rPr>
          <w:rFonts w:ascii="宋体" w:hAnsi="宋体"/>
          <w:b/>
          <w:bCs/>
          <w:color w:val="auto"/>
          <w:kern w:val="0"/>
          <w:sz w:val="28"/>
          <w:szCs w:val="28"/>
          <w:highlight w:val="none"/>
        </w:rPr>
        <w:br w:type="page"/>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w:t>
      </w:r>
      <w:r>
        <w:rPr>
          <w:rFonts w:hint="eastAsia" w:ascii="宋体" w:hAnsi="宋体"/>
          <w:b/>
          <w:bCs/>
          <w:color w:val="auto"/>
          <w:kern w:val="0"/>
          <w:sz w:val="28"/>
          <w:szCs w:val="28"/>
          <w:highlight w:val="none"/>
          <w:lang w:val="en-US" w:eastAsia="zh-CN"/>
        </w:rPr>
        <w:t>21</w:t>
      </w:r>
      <w:r>
        <w:rPr>
          <w:rFonts w:hint="eastAsia" w:ascii="宋体" w:hAnsi="宋体"/>
          <w:b/>
          <w:bCs/>
          <w:color w:val="auto"/>
          <w:kern w:val="0"/>
          <w:sz w:val="28"/>
          <w:szCs w:val="28"/>
          <w:highlight w:val="none"/>
        </w:rPr>
        <w:t xml:space="preserve"> 拟派本项目负责人及主要人员情况表</w:t>
      </w:r>
    </w:p>
    <w:p>
      <w:pPr>
        <w:spacing w:line="360" w:lineRule="auto"/>
        <w:rPr>
          <w:rFonts w:ascii="宋体" w:hAnsi="宋体"/>
          <w:color w:val="auto"/>
          <w:szCs w:val="21"/>
          <w:highlight w:val="none"/>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p>
    <w:p>
      <w:pPr>
        <w:pStyle w:val="2"/>
        <w:spacing w:line="360" w:lineRule="auto"/>
        <w:rPr>
          <w:bCs/>
          <w:color w:val="auto"/>
          <w:szCs w:val="21"/>
          <w:highlight w:val="none"/>
        </w:rPr>
      </w:pPr>
      <w:r>
        <w:rPr>
          <w:rFonts w:hint="eastAsia" w:cs="Tahoma"/>
          <w:color w:val="auto"/>
          <w:szCs w:val="21"/>
          <w:highlight w:val="none"/>
        </w:rPr>
        <w:t>项目编号：</w:t>
      </w:r>
    </w:p>
    <w:tbl>
      <w:tblPr>
        <w:tblStyle w:val="8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71"/>
        <w:gridCol w:w="1071"/>
        <w:gridCol w:w="216"/>
        <w:gridCol w:w="660"/>
        <w:gridCol w:w="204"/>
        <w:gridCol w:w="461"/>
        <w:gridCol w:w="619"/>
        <w:gridCol w:w="894"/>
        <w:gridCol w:w="184"/>
        <w:gridCol w:w="329"/>
        <w:gridCol w:w="774"/>
        <w:gridCol w:w="694"/>
        <w:gridCol w:w="152"/>
        <w:gridCol w:w="342"/>
        <w:gridCol w:w="1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拟派项目经理资料情况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姓名</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性别</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年龄</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职务</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职称</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学历</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电话</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参加工作时间</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4819" w:type="dxa"/>
            <w:gridSpan w:val="9"/>
            <w:tcBorders>
              <w:top w:val="single" w:color="auto" w:sz="4" w:space="0"/>
              <w:left w:val="single" w:color="auto" w:sz="4" w:space="0"/>
              <w:bottom w:val="single" w:color="auto" w:sz="4" w:space="0"/>
              <w:right w:val="single" w:color="auto" w:sz="4" w:space="0"/>
            </w:tcBorders>
            <w:vAlign w:val="center"/>
          </w:tcPr>
          <w:p>
            <w:pPr>
              <w:pStyle w:val="158"/>
              <w:widowControl w:val="0"/>
              <w:pBdr>
                <w:bottom w:val="none" w:color="auto" w:sz="0" w:space="0"/>
                <w:right w:val="none" w:color="auto" w:sz="0" w:space="0"/>
              </w:pBdr>
              <w:spacing w:before="0" w:beforeAutospacing="0" w:after="0" w:afterAutospacing="0" w:line="360" w:lineRule="auto"/>
              <w:jc w:val="both"/>
              <w:rPr>
                <w:rFonts w:hint="default" w:ascii="Times New Roman" w:hAnsi="Times New Roman" w:eastAsia="宋体"/>
                <w:color w:val="auto"/>
                <w:kern w:val="2"/>
                <w:highlight w:val="none"/>
              </w:rPr>
            </w:pPr>
            <w:r>
              <w:rPr>
                <w:rFonts w:ascii="Times New Roman" w:hAnsi="Times New Roman" w:eastAsia="宋体"/>
                <w:color w:val="auto"/>
                <w:kern w:val="2"/>
                <w:highlight w:val="none"/>
              </w:rPr>
              <w:t>从事</w:t>
            </w:r>
            <w:r>
              <w:rPr>
                <w:rFonts w:ascii="宋体" w:eastAsia="宋体"/>
                <w:color w:val="auto"/>
                <w:highlight w:val="none"/>
              </w:rPr>
              <w:t>同类</w:t>
            </w:r>
            <w:r>
              <w:rPr>
                <w:rFonts w:ascii="Times New Roman" w:hAnsi="Times New Roman" w:eastAsia="宋体"/>
                <w:color w:val="auto"/>
                <w:kern w:val="2"/>
                <w:highlight w:val="none"/>
              </w:rPr>
              <w:t>项目负责人年限</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6"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具有认证资质</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已完成的部分</w:t>
            </w:r>
            <w:r>
              <w:rPr>
                <w:rFonts w:hint="eastAsia" w:ascii="宋体" w:hAnsi="宋体"/>
                <w:color w:val="auto"/>
                <w:sz w:val="24"/>
                <w:highlight w:val="none"/>
              </w:rPr>
              <w:t>同类项目</w:t>
            </w:r>
            <w:r>
              <w:rPr>
                <w:rFonts w:hint="eastAsia"/>
                <w:color w:val="auto"/>
                <w:sz w:val="24"/>
                <w:highlight w:val="none"/>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项目</w:t>
            </w:r>
          </w:p>
          <w:p>
            <w:pPr>
              <w:spacing w:line="360" w:lineRule="auto"/>
              <w:jc w:val="center"/>
              <w:rPr>
                <w:color w:val="auto"/>
                <w:sz w:val="24"/>
                <w:highlight w:val="none"/>
              </w:rPr>
            </w:pPr>
            <w:r>
              <w:rPr>
                <w:rFonts w:hint="eastAsia"/>
                <w:color w:val="auto"/>
                <w:sz w:val="24"/>
                <w:highlight w:val="none"/>
              </w:rPr>
              <w:t>单位</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项目名称</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主要工作内容</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项目金额</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完工日期</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成果质量</w:t>
            </w:r>
          </w:p>
          <w:p>
            <w:pPr>
              <w:spacing w:line="360" w:lineRule="auto"/>
              <w:jc w:val="center"/>
              <w:rPr>
                <w:color w:val="auto"/>
                <w:sz w:val="24"/>
                <w:highlight w:val="none"/>
              </w:rPr>
            </w:pPr>
            <w:r>
              <w:rPr>
                <w:rFonts w:hint="eastAsia"/>
                <w:color w:val="auto"/>
                <w:sz w:val="24"/>
                <w:highlight w:val="none"/>
              </w:rPr>
              <w:t>等级评定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color w:val="auto"/>
                <w:sz w:val="24"/>
                <w:highlight w:val="none"/>
              </w:rPr>
              <w:t>1</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color w:val="auto"/>
                <w:sz w:val="24"/>
                <w:highlight w:val="none"/>
              </w:rPr>
              <w:t>2</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拟参与本项目主要技术人员情况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姓名</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性别</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年龄</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职称</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专业</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学历</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ascii="宋体" w:hAnsi="宋体"/>
                <w:color w:val="auto"/>
                <w:sz w:val="24"/>
                <w:highlight w:val="none"/>
              </w:rPr>
              <w:t>经验年限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1</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2</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p>
            <w:pPr>
              <w:spacing w:line="360" w:lineRule="auto"/>
              <w:jc w:val="center"/>
              <w:rPr>
                <w:rFonts w:ascii="宋体" w:hAnsi="宋体"/>
                <w:color w:val="auto"/>
                <w:sz w:val="24"/>
                <w:highlight w:val="none"/>
              </w:rPr>
            </w:pPr>
            <w:r>
              <w:rPr>
                <w:rFonts w:hint="eastAsia" w:ascii="宋体" w:hAnsi="宋体"/>
                <w:color w:val="auto"/>
                <w:sz w:val="24"/>
                <w:highlight w:val="none"/>
              </w:rPr>
              <w:t>…</w:t>
            </w:r>
          </w:p>
        </w:tc>
      </w:tr>
    </w:tbl>
    <w:p>
      <w:pPr>
        <w:pStyle w:val="2"/>
        <w:spacing w:line="360" w:lineRule="auto"/>
        <w:rPr>
          <w:bCs/>
          <w:color w:val="auto"/>
          <w:szCs w:val="21"/>
          <w:highlight w:val="none"/>
        </w:rPr>
      </w:pPr>
    </w:p>
    <w:p>
      <w:pPr>
        <w:spacing w:before="120" w:line="360" w:lineRule="auto"/>
        <w:ind w:left="620" w:hanging="620" w:hangingChars="294"/>
        <w:rPr>
          <w:rFonts w:ascii="宋体" w:hAnsi="宋体"/>
          <w:b/>
          <w:color w:val="auto"/>
          <w:szCs w:val="21"/>
          <w:highlight w:val="none"/>
        </w:rPr>
      </w:pPr>
      <w:r>
        <w:rPr>
          <w:rFonts w:hint="eastAsia" w:ascii="宋体" w:hAnsi="宋体"/>
          <w:b/>
          <w:color w:val="auto"/>
          <w:szCs w:val="21"/>
          <w:highlight w:val="none"/>
        </w:rPr>
        <w:t>注：1.在合同执行期间，成交供应商须设立驻场项目负责人和专业专职的主要技术及服务人员，并在上表中列明；</w:t>
      </w:r>
    </w:p>
    <w:p>
      <w:pPr>
        <w:spacing w:line="360" w:lineRule="auto"/>
        <w:ind w:firstLine="413" w:firstLineChars="196"/>
        <w:rPr>
          <w:rFonts w:ascii="宋体" w:hAnsi="宋体"/>
          <w:b/>
          <w:color w:val="auto"/>
          <w:szCs w:val="21"/>
          <w:highlight w:val="none"/>
        </w:rPr>
      </w:pPr>
      <w:r>
        <w:rPr>
          <w:rFonts w:hint="eastAsia" w:ascii="宋体" w:hAnsi="宋体"/>
          <w:b/>
          <w:color w:val="auto"/>
          <w:szCs w:val="21"/>
          <w:highlight w:val="none"/>
        </w:rPr>
        <w:t>2.需附上上表所列人员的相关证书复印件。</w:t>
      </w: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sectPr>
          <w:pgSz w:w="11906" w:h="16838"/>
          <w:pgMar w:top="567" w:right="1304" w:bottom="567" w:left="1361" w:header="567" w:footer="737" w:gutter="0"/>
          <w:cols w:space="720" w:num="1"/>
          <w:docGrid w:linePitch="312" w:charSpace="0"/>
        </w:sectPr>
      </w:pPr>
      <w:r>
        <w:rPr>
          <w:rFonts w:hint="eastAsia" w:ascii="宋体" w:hAnsi="宋体"/>
          <w:bCs/>
          <w:color w:val="auto"/>
          <w:szCs w:val="21"/>
          <w:highlight w:val="none"/>
        </w:rPr>
        <w:t xml:space="preserve">日    期： </w:t>
      </w:r>
      <w:r>
        <w:rPr>
          <w:rFonts w:hint="eastAsia" w:ascii="宋体" w:hAnsi="宋体"/>
          <w:bCs/>
          <w:color w:val="auto"/>
          <w:szCs w:val="21"/>
          <w:highlight w:val="none"/>
          <w:lang w:eastAsia="zh-CN"/>
        </w:rPr>
        <w:t>2020</w:t>
      </w:r>
      <w:r>
        <w:rPr>
          <w:rFonts w:hint="eastAsia" w:ascii="宋体" w:hAnsi="宋体"/>
          <w:bCs/>
          <w:color w:val="auto"/>
          <w:szCs w:val="21"/>
          <w:highlight w:val="none"/>
        </w:rPr>
        <w:t>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2</w:t>
      </w:r>
      <w:r>
        <w:rPr>
          <w:rFonts w:hint="eastAsia" w:ascii="宋体" w:hAnsi="宋体"/>
          <w:b/>
          <w:bCs/>
          <w:color w:val="auto"/>
          <w:kern w:val="0"/>
          <w:sz w:val="28"/>
          <w:szCs w:val="28"/>
          <w:highlight w:val="none"/>
        </w:rPr>
        <w:t xml:space="preserve"> 实质性条款响应一览表</w:t>
      </w:r>
    </w:p>
    <w:p>
      <w:pPr>
        <w:spacing w:line="360" w:lineRule="auto"/>
        <w:rPr>
          <w:rFonts w:ascii="宋体" w:hAnsi="宋体"/>
          <w:color w:val="auto"/>
          <w:szCs w:val="21"/>
          <w:highlight w:val="none"/>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p>
    <w:p>
      <w:pPr>
        <w:spacing w:line="360" w:lineRule="auto"/>
        <w:rPr>
          <w:rFonts w:ascii="宋体" w:hAnsi="宋体" w:cs="Arial Unicode MS"/>
          <w:bCs/>
          <w:color w:val="auto"/>
          <w:szCs w:val="21"/>
          <w:highlight w:val="none"/>
        </w:rPr>
      </w:pPr>
      <w:r>
        <w:rPr>
          <w:rFonts w:ascii="宋体" w:hAnsi="宋体" w:cs="Tahoma"/>
          <w:color w:val="auto"/>
          <w:szCs w:val="21"/>
          <w:highlight w:val="none"/>
        </w:rPr>
        <w:t>项目编号：</w:t>
      </w:r>
    </w:p>
    <w:tbl>
      <w:tblPr>
        <w:tblStyle w:val="8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4952"/>
        <w:gridCol w:w="1134"/>
        <w:gridCol w:w="1134"/>
        <w:gridCol w:w="1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序号</w:t>
            </w:r>
          </w:p>
        </w:tc>
        <w:tc>
          <w:tcPr>
            <w:tcW w:w="4952" w:type="dxa"/>
            <w:tcBorders>
              <w:left w:val="single" w:color="000000" w:sz="4" w:space="0"/>
            </w:tcBorders>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带“★”号响应内容</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是否响应</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偏离说明</w:t>
            </w:r>
          </w:p>
        </w:tc>
        <w:tc>
          <w:tcPr>
            <w:tcW w:w="10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w:t>
            </w:r>
          </w:p>
        </w:tc>
        <w:tc>
          <w:tcPr>
            <w:tcW w:w="4952" w:type="dxa"/>
            <w:tcBorders>
              <w:left w:val="single" w:color="000000" w:sz="4" w:space="0"/>
            </w:tcBorders>
            <w:vAlign w:val="center"/>
          </w:tcPr>
          <w:p>
            <w:pPr>
              <w:widowControl/>
              <w:snapToGrid w:val="0"/>
              <w:spacing w:line="360" w:lineRule="auto"/>
              <w:rPr>
                <w:rFonts w:ascii="宋体" w:hAnsi="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2</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具有独立承担民事责任的能力【提供法人或者其他组织的营业执照等证明文件，自然人的身份证明；）复印件，如依法经国务院批准免予登记的社会组织的，应提供相应文件证明其依法免予登记】</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3</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具有良好的商业信誉和健全的财务会计制度【近两年年度内任意一年的年度财务报告(新成立公司提供成立至今的月或季度财务报表复印件)或银行出具的资信证明】</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4</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具有履行合同所必需的设备和专业技术能力【提供书面承诺证明材料】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5</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color w:val="auto"/>
                <w:highlight w:val="none"/>
              </w:rPr>
              <w:t>★有依法缴纳税收和社会保障资金的良好记录</w:t>
            </w:r>
            <w:r>
              <w:rPr>
                <w:rFonts w:hint="eastAsia" w:ascii="宋体" w:hAnsi="宋体" w:cs="宋体"/>
                <w:color w:val="auto"/>
                <w:szCs w:val="20"/>
                <w:highlight w:val="none"/>
              </w:rPr>
              <w:t>【①税收部门出具的至投标截止时间前一年内任意一个月的缴纳税收证明；②至投标截止时间前一年内任意一个月内开具的缴纳社会保险凭据】</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6</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参加政府采购活动前三年内，在经营活动中没有重大违法记录【提供书面承诺证明材料】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7</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供应商《公平竞争承诺书》原件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8</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0"/>
                <w:highlight w:val="none"/>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供应商为非独立法人（即由合法法人依法建立的分公司），除了对供应商进行信息查询外，同时对总公司的信息查询记录和证据截图或下载存档）。</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9</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r>
              <w:rPr>
                <w:rFonts w:hint="eastAsia" w:ascii="宋体" w:hAnsi="宋体" w:cs="宋体"/>
                <w:color w:val="auto"/>
                <w:szCs w:val="20"/>
                <w:highlight w:val="none"/>
              </w:rPr>
              <w:t>【提供书面承诺证明材料】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eastAsia="zh-CN"/>
              </w:rPr>
            </w:pPr>
            <w:r>
              <w:rPr>
                <w:rFonts w:hint="eastAsia" w:ascii="宋体" w:hAnsi="宋体"/>
                <w:color w:val="auto"/>
                <w:szCs w:val="21"/>
                <w:highlight w:val="none"/>
              </w:rPr>
              <w:t>1</w:t>
            </w:r>
            <w:r>
              <w:rPr>
                <w:rFonts w:hint="eastAsia" w:ascii="宋体" w:hAnsi="宋体"/>
                <w:color w:val="auto"/>
                <w:szCs w:val="21"/>
                <w:highlight w:val="none"/>
                <w:lang w:val="en-US" w:eastAsia="zh-CN"/>
              </w:rPr>
              <w:t>0</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本项目不接受联合体投标。</w:t>
            </w:r>
            <w:r>
              <w:rPr>
                <w:rFonts w:hint="eastAsia" w:ascii="宋体" w:hAnsi="宋体" w:cs="宋体"/>
                <w:color w:val="auto"/>
                <w:szCs w:val="20"/>
                <w:highlight w:val="none"/>
              </w:rPr>
              <w:t>【提供书面承诺证明材料】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eastAsia="zh-CN"/>
              </w:rPr>
            </w:pPr>
            <w:r>
              <w:rPr>
                <w:rFonts w:hint="eastAsia" w:ascii="宋体" w:hAnsi="宋体"/>
                <w:color w:val="auto"/>
                <w:szCs w:val="21"/>
                <w:highlight w:val="none"/>
              </w:rPr>
              <w:t>1</w:t>
            </w:r>
            <w:r>
              <w:rPr>
                <w:rFonts w:hint="eastAsia" w:ascii="宋体" w:hAnsi="宋体"/>
                <w:color w:val="auto"/>
                <w:szCs w:val="21"/>
                <w:highlight w:val="none"/>
                <w:lang w:val="en-US" w:eastAsia="zh-CN"/>
              </w:rPr>
              <w:t>1</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s="宋体"/>
                <w:color w:val="auto"/>
                <w:kern w:val="0"/>
                <w:szCs w:val="21"/>
                <w:highlight w:val="none"/>
                <w:lang w:val="hr-HR"/>
              </w:rPr>
              <w:t>★</w:t>
            </w:r>
            <w:r>
              <w:rPr>
                <w:rFonts w:hint="eastAsia" w:ascii="宋体" w:hAnsi="宋体"/>
                <w:color w:val="auto"/>
                <w:kern w:val="0"/>
                <w:szCs w:val="21"/>
                <w:highlight w:val="none"/>
              </w:rPr>
              <w:t>《</w:t>
            </w:r>
            <w:r>
              <w:rPr>
                <w:rFonts w:hint="eastAsia" w:ascii="宋体" w:hAnsi="宋体" w:cs="宋体"/>
                <w:color w:val="auto"/>
                <w:szCs w:val="21"/>
                <w:highlight w:val="none"/>
              </w:rPr>
              <w:t>清单报价表</w:t>
            </w:r>
            <w:r>
              <w:rPr>
                <w:rFonts w:hint="eastAsia" w:ascii="宋体" w:hAnsi="宋体"/>
                <w:color w:val="auto"/>
                <w:kern w:val="0"/>
                <w:szCs w:val="21"/>
                <w:highlight w:val="none"/>
              </w:rPr>
              <w:t>》</w:t>
            </w:r>
            <w:r>
              <w:rPr>
                <w:rFonts w:hint="eastAsia" w:ascii="宋体" w:hAnsi="宋体" w:cs="宋体"/>
                <w:color w:val="auto"/>
                <w:kern w:val="0"/>
                <w:szCs w:val="21"/>
                <w:highlight w:val="none"/>
                <w:lang w:val="hr-HR"/>
              </w:rPr>
              <w:t>（含封面）原件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eastAsia="zh-CN"/>
              </w:rPr>
            </w:pPr>
            <w:r>
              <w:rPr>
                <w:rFonts w:hint="eastAsia" w:ascii="宋体" w:hAnsi="宋体"/>
                <w:color w:val="auto"/>
                <w:szCs w:val="21"/>
                <w:highlight w:val="none"/>
              </w:rPr>
              <w:t>1</w:t>
            </w:r>
            <w:r>
              <w:rPr>
                <w:rFonts w:hint="eastAsia" w:ascii="宋体" w:hAnsi="宋体"/>
                <w:color w:val="auto"/>
                <w:szCs w:val="21"/>
                <w:highlight w:val="none"/>
                <w:lang w:val="en-US" w:eastAsia="zh-CN"/>
              </w:rPr>
              <w:t>2</w:t>
            </w:r>
          </w:p>
        </w:tc>
        <w:tc>
          <w:tcPr>
            <w:tcW w:w="4952" w:type="dxa"/>
            <w:tcBorders>
              <w:left w:val="single" w:color="000000" w:sz="4" w:space="0"/>
            </w:tcBorders>
          </w:tcPr>
          <w:p>
            <w:pPr>
              <w:spacing w:line="360" w:lineRule="auto"/>
              <w:rPr>
                <w:rFonts w:ascii="宋体" w:hAnsi="宋体"/>
                <w:color w:val="auto"/>
                <w:szCs w:val="21"/>
                <w:highlight w:val="none"/>
              </w:rPr>
            </w:pPr>
            <w:r>
              <w:rPr>
                <w:rFonts w:hint="eastAsia" w:ascii="宋体" w:hAnsi="宋体" w:cs="宋体"/>
                <w:color w:val="auto"/>
                <w:kern w:val="0"/>
                <w:szCs w:val="21"/>
                <w:highlight w:val="none"/>
                <w:lang w:val="hr-HR"/>
              </w:rPr>
              <w:t>★</w:t>
            </w:r>
            <w:r>
              <w:rPr>
                <w:rFonts w:hint="eastAsia" w:ascii="宋体" w:hAnsi="宋体" w:cs="宋体"/>
                <w:color w:val="auto"/>
                <w:szCs w:val="21"/>
                <w:highlight w:val="none"/>
              </w:rPr>
              <w:t>投标人《清单报价表》正本须用采购人提供的原件手工填写（含封面），并逐页加盖法人公章确认，投标人不得修改《清单报价表》中项目内容及工程数量；副本可以采用正本复印并逐页加盖法人公章确认。</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bl>
    <w:p>
      <w:pPr>
        <w:spacing w:line="360" w:lineRule="auto"/>
        <w:rPr>
          <w:rFonts w:ascii="宋体" w:hAnsi="宋体"/>
          <w:b/>
          <w:bCs/>
          <w:color w:val="auto"/>
          <w:szCs w:val="21"/>
          <w:highlight w:val="none"/>
        </w:rPr>
      </w:pPr>
    </w:p>
    <w:p>
      <w:pPr>
        <w:spacing w:line="360" w:lineRule="auto"/>
        <w:rPr>
          <w:rFonts w:ascii="宋体" w:hAnsi="宋体"/>
          <w:b/>
          <w:bCs/>
          <w:color w:val="auto"/>
          <w:szCs w:val="21"/>
          <w:highlight w:val="none"/>
        </w:rPr>
      </w:pPr>
      <w:r>
        <w:rPr>
          <w:rFonts w:hint="eastAsia" w:ascii="宋体" w:hAnsi="宋体"/>
          <w:b/>
          <w:bCs/>
          <w:color w:val="auto"/>
          <w:szCs w:val="21"/>
          <w:highlight w:val="none"/>
        </w:rPr>
        <w:t>说明：1、供应商必须对应竞争性磋商文件的 “★”号条款逐条应答并按要求填写下表。</w:t>
      </w:r>
    </w:p>
    <w:p>
      <w:pPr>
        <w:spacing w:line="360" w:lineRule="auto"/>
        <w:ind w:left="718" w:leftChars="342"/>
        <w:rPr>
          <w:rFonts w:ascii="宋体" w:hAnsi="宋体"/>
          <w:b/>
          <w:bCs/>
          <w:color w:val="auto"/>
          <w:szCs w:val="21"/>
          <w:highlight w:val="none"/>
        </w:rPr>
      </w:pPr>
      <w:r>
        <w:rPr>
          <w:rFonts w:hint="eastAsia" w:ascii="宋体" w:hAnsi="宋体"/>
          <w:b/>
          <w:bCs/>
          <w:color w:val="auto"/>
          <w:szCs w:val="21"/>
          <w:highlight w:val="none"/>
        </w:rPr>
        <w:t>2、对完全响应的条目在下表相应列中标注“○”。对有偏离的条目在下表相应列中标注“×”，并简述偏离内容。</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法定代表人或其授权代表(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hAnsi="宋体"/>
          <w:bCs/>
          <w:color w:val="auto"/>
          <w:szCs w:val="21"/>
          <w:highlight w:val="none"/>
        </w:rPr>
      </w:pPr>
      <w:r>
        <w:rPr>
          <w:rFonts w:hint="eastAsia" w:hAnsi="宋体"/>
          <w:bCs/>
          <w:color w:val="auto"/>
          <w:szCs w:val="21"/>
          <w:highlight w:val="none"/>
        </w:rPr>
        <w:t>日    期：     年   月   日</w:t>
      </w:r>
      <w:bookmarkEnd w:id="284"/>
      <w:bookmarkEnd w:id="343"/>
      <w:bookmarkEnd w:id="344"/>
      <w:bookmarkEnd w:id="345"/>
      <w:bookmarkEnd w:id="346"/>
      <w:bookmarkEnd w:id="347"/>
      <w:bookmarkEnd w:id="349"/>
      <w:bookmarkEnd w:id="350"/>
      <w:bookmarkEnd w:id="351"/>
      <w:bookmarkEnd w:id="352"/>
      <w:bookmarkEnd w:id="353"/>
      <w:bookmarkEnd w:id="354"/>
      <w:bookmarkEnd w:id="355"/>
      <w:bookmarkEnd w:id="356"/>
      <w:bookmarkEnd w:id="357"/>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br w:type="page"/>
      </w:r>
      <w:r>
        <w:rPr>
          <w:rFonts w:hint="eastAsia" w:ascii="宋体" w:hAnsi="宋体"/>
          <w:b/>
          <w:bCs/>
          <w:color w:val="auto"/>
          <w:kern w:val="0"/>
          <w:sz w:val="28"/>
          <w:szCs w:val="28"/>
          <w:highlight w:val="none"/>
        </w:rPr>
        <w:t>附件21  采购人配合的条件及伴随服务</w:t>
      </w:r>
    </w:p>
    <w:p>
      <w:pPr>
        <w:spacing w:line="360" w:lineRule="auto"/>
        <w:rPr>
          <w:rFonts w:ascii="黑体" w:hAnsi="宋体" w:eastAsia="黑体"/>
          <w:b/>
          <w:bCs/>
          <w:color w:val="auto"/>
          <w:kern w:val="0"/>
          <w:szCs w:val="21"/>
          <w:highlight w:val="none"/>
        </w:rPr>
      </w:pPr>
    </w:p>
    <w:p>
      <w:pPr>
        <w:spacing w:line="360" w:lineRule="auto"/>
        <w:ind w:firstLine="403"/>
        <w:rPr>
          <w:rFonts w:ascii="宋体"/>
          <w:color w:val="auto"/>
          <w:szCs w:val="21"/>
          <w:highlight w:val="none"/>
        </w:rPr>
      </w:pPr>
      <w:r>
        <w:rPr>
          <w:rFonts w:hint="eastAsia"/>
          <w:color w:val="auto"/>
          <w:szCs w:val="21"/>
          <w:highlight w:val="none"/>
        </w:rPr>
        <w:t>为配合本服务计划进度时间表所进行的各阶段工作，</w:t>
      </w:r>
      <w:r>
        <w:rPr>
          <w:rFonts w:hint="eastAsia" w:ascii="宋体" w:hAnsi="宋体" w:cs="宋体"/>
          <w:color w:val="auto"/>
          <w:kern w:val="0"/>
          <w:szCs w:val="21"/>
          <w:highlight w:val="none"/>
        </w:rPr>
        <w:t>供应商</w:t>
      </w:r>
      <w:r>
        <w:rPr>
          <w:rFonts w:hint="eastAsia"/>
          <w:color w:val="auto"/>
          <w:szCs w:val="21"/>
          <w:highlight w:val="none"/>
        </w:rPr>
        <w:t>必须列明需要采购人配合的工作内容和具体要求。</w:t>
      </w: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 xml:space="preserve">日    期： </w:t>
      </w:r>
      <w:r>
        <w:rPr>
          <w:rFonts w:hint="eastAsia" w:ascii="宋体" w:hAnsi="宋体"/>
          <w:bCs/>
          <w:color w:val="auto"/>
          <w:szCs w:val="21"/>
          <w:highlight w:val="none"/>
          <w:lang w:eastAsia="zh-CN"/>
        </w:rPr>
        <w:t>2020</w:t>
      </w:r>
      <w:r>
        <w:rPr>
          <w:rFonts w:hint="eastAsia" w:ascii="宋体" w:hAnsi="宋体"/>
          <w:bCs/>
          <w:color w:val="auto"/>
          <w:szCs w:val="21"/>
          <w:highlight w:val="none"/>
        </w:rPr>
        <w:t>年  月  日</w:t>
      </w: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br w:type="page"/>
      </w:r>
      <w:r>
        <w:rPr>
          <w:rFonts w:hint="eastAsia" w:ascii="宋体" w:hAnsi="宋体"/>
          <w:b/>
          <w:bCs/>
          <w:color w:val="auto"/>
          <w:kern w:val="0"/>
          <w:sz w:val="28"/>
          <w:szCs w:val="28"/>
          <w:highlight w:val="none"/>
        </w:rPr>
        <w:t>附件22  供应商认为有必要说明的其他文件</w:t>
      </w:r>
    </w:p>
    <w:p>
      <w:pPr>
        <w:widowControl/>
        <w:snapToGrid w:val="0"/>
        <w:spacing w:line="360" w:lineRule="auto"/>
        <w:rPr>
          <w:rFonts w:ascii="宋体"/>
          <w:color w:val="auto"/>
          <w:szCs w:val="21"/>
          <w:highlight w:val="none"/>
        </w:rPr>
      </w:pPr>
    </w:p>
    <w:p>
      <w:pPr>
        <w:spacing w:line="360" w:lineRule="auto"/>
        <w:rPr>
          <w:rFonts w:hAnsi="宋体"/>
          <w:bCs/>
          <w:color w:val="auto"/>
          <w:szCs w:val="21"/>
          <w:highlight w:val="none"/>
        </w:rPr>
      </w:pPr>
    </w:p>
    <w:p>
      <w:pPr>
        <w:rPr>
          <w:color w:val="auto"/>
          <w:highlight w:val="none"/>
        </w:rPr>
      </w:pPr>
    </w:p>
    <w:sectPr>
      <w:pgSz w:w="11906" w:h="16838"/>
      <w:pgMar w:top="567" w:right="1304" w:bottom="567" w:left="1361" w:header="567" w:footer="73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楷体_GB2312">
    <w:altName w:val="楷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003F01FF" w:csb1="00000000"/>
  </w:font>
  <w:font w:name="文鼎CS书宋二">
    <w:altName w:val="宋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ZWAdobeF">
    <w:altName w:val="Courier New"/>
    <w:panose1 w:val="00000000000000000000"/>
    <w:charset w:val="00"/>
    <w:family w:val="auto"/>
    <w:pitch w:val="default"/>
    <w:sig w:usb0="00000000" w:usb1="00000000" w:usb2="00000000" w:usb3="00000000" w:csb0="000001FF" w:csb1="00000000"/>
  </w:font>
  <w:font w:name="Courier New">
    <w:panose1 w:val="02070309020205020404"/>
    <w:charset w:val="00"/>
    <w:family w:val="auto"/>
    <w:pitch w:val="default"/>
    <w:sig w:usb0="E0002AFF" w:usb1="C0007843" w:usb2="00000009" w:usb3="00000000" w:csb0="400001FF" w:csb1="FFFF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16" name="文本框 416"/>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pPr>
                            <w:pStyle w:val="56"/>
                          </w:pPr>
                          <w:r>
                            <w:fldChar w:fldCharType="begin"/>
                          </w:r>
                          <w:r>
                            <w:instrText xml:space="preserve"> PAGE  \* MERGEFORMAT </w:instrText>
                          </w:r>
                          <w:r>
                            <w:fldChar w:fldCharType="separate"/>
                          </w:r>
                          <w:r>
                            <w:t>154</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zql5uc8AAAAF&#10;AQAADwAAAAAAAAABACAAAAAiAAAAZHJzL2Rvd25yZXYueG1sUEsBAhQAFAAAAAgAh07iQDAqpFPs&#10;AQAAugMAAA4AAAAAAAAAAQAgAAAAHgEAAGRycy9lMm9Eb2MueG1sUEsFBgAAAAAGAAYAWQEAAHwF&#10;AAAAAA==&#10;">
              <v:fill on="f" focussize="0,0"/>
              <v:stroke on="f"/>
              <v:imagedata o:title=""/>
              <o:lock v:ext="edit" aspectratio="f"/>
              <v:textbox inset="0mm,0mm,0mm,0mm" style="mso-fit-shape-to-text:t;">
                <w:txbxContent>
                  <w:p>
                    <w:pPr>
                      <w:pStyle w:val="56"/>
                    </w:pPr>
                    <w:r>
                      <w:fldChar w:fldCharType="begin"/>
                    </w:r>
                    <w:r>
                      <w:instrText xml:space="preserve"> PAGE  \* MERGEFORMAT </w:instrText>
                    </w:r>
                    <w:r>
                      <w:fldChar w:fldCharType="separate"/>
                    </w:r>
                    <w:r>
                      <w:t>154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framePr w:wrap="around" w:vAnchor="text" w:hAnchor="margin" w:xAlign="right" w:y="1"/>
      <w:rPr>
        <w:rStyle w:val="93"/>
      </w:rPr>
    </w:pPr>
    <w:r>
      <w:fldChar w:fldCharType="begin"/>
    </w:r>
    <w:r>
      <w:rPr>
        <w:rStyle w:val="93"/>
      </w:rPr>
      <w:instrText xml:space="preserve">PAGE  </w:instrText>
    </w:r>
    <w:r>
      <w:fldChar w:fldCharType="end"/>
    </w:r>
  </w:p>
  <w:p>
    <w:pPr>
      <w:pStyle w:val="56"/>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ind w:right="360" w:firstLine="270" w:firstLineChars="150"/>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03505" cy="152400"/>
              <wp:effectExtent l="0" t="3810" r="1905" b="0"/>
              <wp:wrapNone/>
              <wp:docPr id="415" name="文本框 415"/>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wps:spPr>
                    <wps:txbx>
                      <w:txbxContent>
                        <w:p>
                          <w:pPr>
                            <w:pStyle w:val="56"/>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0288;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dVWm&#10;mNEAAAADAQAADwAAAAAAAAABACAAAAAiAAAAZHJzL2Rvd25yZXYueG1sUEsBAhQAFAAAAAgAh07i&#10;QBVxQqHwAQAAuAMAAA4AAAAAAAAAAQAgAAAAIAEAAGRycy9lMm9Eb2MueG1sUEsFBgAAAAAGAAYA&#10;WQEAAIIFAAAAAA==&#10;">
              <v:fill on="f" focussize="0,0"/>
              <v:stroke on="f"/>
              <v:imagedata o:title=""/>
              <o:lock v:ext="edit" aspectratio="f"/>
              <v:textbox inset="0mm,0mm,0mm,0mm" style="mso-fit-shape-to-text:t;">
                <w:txbxContent>
                  <w:p>
                    <w:pPr>
                      <w:pStyle w:val="56"/>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pBdr>
        <w:top w:val="single" w:color="auto" w:sz="4" w:space="1"/>
      </w:pBdr>
      <w:tabs>
        <w:tab w:val="right" w:pos="8400"/>
        <w:tab w:val="clear" w:pos="8306"/>
      </w:tabs>
      <w:ind w:right="1"/>
      <w:rPr>
        <w:color w:val="000000"/>
        <w:szCs w:val="18"/>
      </w:rPr>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03505" cy="152400"/>
              <wp:effectExtent l="0" t="3810" r="3175" b="0"/>
              <wp:wrapNone/>
              <wp:docPr id="414" name="文本框 414"/>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wps:spPr>
                    <wps:txbx>
                      <w:txbxContent>
                        <w:p>
                          <w:pPr>
                            <w:pStyle w:val="56"/>
                            <w:rPr>
                              <w:rStyle w:val="93"/>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1312;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dVWm&#10;mNEAAAADAQAADwAAAAAAAAABACAAAAAiAAAAZHJzL2Rvd25yZXYueG1sUEsBAhQAFAAAAAgAh07i&#10;QERoV9fwAQAAuAMAAA4AAAAAAAAAAQAgAAAAIAEAAGRycy9lMm9Eb2MueG1sUEsFBgAAAAAGAAYA&#10;WQEAAIIFAAAAAA==&#10;">
              <v:fill on="f" focussize="0,0"/>
              <v:stroke on="f"/>
              <v:imagedata o:title=""/>
              <o:lock v:ext="edit" aspectratio="f"/>
              <v:textbox inset="0mm,0mm,0mm,0mm" style="mso-fit-shape-to-text:t;">
                <w:txbxContent>
                  <w:p>
                    <w:pPr>
                      <w:pStyle w:val="56"/>
                      <w:rPr>
                        <w:rStyle w:val="93"/>
                      </w:rPr>
                    </w:pPr>
                  </w:p>
                </w:txbxContent>
              </v:textbox>
            </v:shape>
          </w:pict>
        </mc:Fallback>
      </mc:AlternateContent>
    </w:r>
    <w:r>
      <w:rPr>
        <w:rFonts w:hint="eastAsia"/>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pBdr>
        <w:top w:val="single" w:color="auto" w:sz="4" w:space="1"/>
      </w:pBdr>
      <w:tabs>
        <w:tab w:val="right" w:pos="8400"/>
        <w:tab w:val="clear" w:pos="8306"/>
      </w:tabs>
      <w:ind w:right="360"/>
      <w:rPr>
        <w:color w:val="000000"/>
        <w:szCs w:val="18"/>
      </w:rPr>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413" name="文本框 41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pPr>
                            <w:pStyle w:val="56"/>
                          </w:pPr>
                          <w:r>
                            <w:fldChar w:fldCharType="begin"/>
                          </w:r>
                          <w:r>
                            <w:instrText xml:space="preserve"> PAGE  \* MERGEFORMAT </w:instrText>
                          </w:r>
                          <w:r>
                            <w:fldChar w:fldCharType="separate"/>
                          </w:r>
                          <w:r>
                            <w:t>2</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zql5uc8AAAAF&#10;AQAADwAAAAAAAAABACAAAAAiAAAAZHJzL2Rvd25yZXYueG1sUEsBAhQAFAAAAAgAh07iQHJfoz3s&#10;AQAAugMAAA4AAAAAAAAAAQAgAAAAHgEAAGRycy9lMm9Eb2MueG1sUEsFBgAAAAAGAAYAWQEAAHwF&#10;AAAAAA==&#10;">
              <v:fill on="f" focussize="0,0"/>
              <v:stroke on="f"/>
              <v:imagedata o:title=""/>
              <o:lock v:ext="edit" aspectratio="f"/>
              <v:textbox inset="0mm,0mm,0mm,0mm" style="mso-fit-shape-to-text:t;">
                <w:txbxContent>
                  <w:p>
                    <w:pPr>
                      <w:pStyle w:val="56"/>
                    </w:pPr>
                    <w:r>
                      <w:fldChar w:fldCharType="begin"/>
                    </w:r>
                    <w:r>
                      <w:instrText xml:space="preserve"> PAGE  \* MERGEFORMAT </w:instrText>
                    </w:r>
                    <w:r>
                      <w:fldChar w:fldCharType="separate"/>
                    </w:r>
                    <w:r>
                      <w:t>2</w:t>
                    </w:r>
                    <w:r>
                      <w:fldChar w:fldCharType="end"/>
                    </w:r>
                  </w:p>
                </w:txbxContent>
              </v:textbox>
            </v:shape>
          </w:pict>
        </mc:Fallback>
      </mc:AlternateContent>
    </w:r>
    <w:r>
      <w:rPr>
        <w:rFonts w:hint="eastAsia" w:ascii="宋体" w:hAnsi="宋体"/>
      </w:rPr>
      <w:t>广州市司法局广州地铁普法宣传公益广告发布项目</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pBdr>
        <w:top w:val="single" w:color="auto" w:sz="4" w:space="1"/>
      </w:pBdr>
      <w:tabs>
        <w:tab w:val="right" w:pos="8400"/>
        <w:tab w:val="clear" w:pos="8306"/>
      </w:tabs>
      <w:ind w:right="1" w:firstLine="90" w:firstLineChars="50"/>
      <w:jc w:val="center"/>
      <w:rPr>
        <w:szCs w:val="18"/>
      </w:rPr>
    </w:pPr>
    <w: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0</wp:posOffset>
              </wp:positionV>
              <wp:extent cx="103505" cy="152400"/>
              <wp:effectExtent l="0" t="3810" r="3175" b="0"/>
              <wp:wrapNone/>
              <wp:docPr id="412" name="文本框 412"/>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wps:spPr>
                    <wps:txbx>
                      <w:txbxContent>
                        <w:p>
                          <w:pPr>
                            <w:pStyle w:val="56"/>
                            <w:rPr>
                              <w:rStyle w:val="93"/>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4384;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HVV&#10;ppjRAAAAAwEAAA8AAAAAAAAAAQAgAAAAIgAAAGRycy9kb3ducmV2LnhtbFBLAQIUABQAAAAIAIdO&#10;4kDjOVg48QEAALgDAAAOAAAAAAAAAAEAIAAAACABAABkcnMvZTJvRG9jLnhtbFBLBQYAAAAABgAG&#10;AFkBAACDBQAAAAA=&#10;">
              <v:fill on="f" focussize="0,0"/>
              <v:stroke on="f"/>
              <v:imagedata o:title=""/>
              <o:lock v:ext="edit" aspectratio="f"/>
              <v:textbox inset="0mm,0mm,0mm,0mm" style="mso-fit-shape-to-text:t;">
                <w:txbxContent>
                  <w:p>
                    <w:pPr>
                      <w:pStyle w:val="56"/>
                      <w:rPr>
                        <w:rStyle w:val="93"/>
                      </w:rPr>
                    </w:pPr>
                  </w:p>
                </w:txbxContent>
              </v:textbox>
            </v:shape>
          </w:pict>
        </mc:Fallback>
      </mc:AlternateContent>
    </w:r>
    <w:r>
      <w:fldChar w:fldCharType="begin"/>
    </w:r>
    <w:r>
      <w:rPr>
        <w:rStyle w:val="93"/>
      </w:rPr>
      <w:instrText xml:space="preserve"> PAGE </w:instrText>
    </w:r>
    <w:r>
      <w:fldChar w:fldCharType="separate"/>
    </w:r>
    <w:r>
      <w:rPr>
        <w:rStyle w:val="93"/>
      </w:rPr>
      <w:t>4</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pBdr>
        <w:top w:val="single" w:color="auto" w:sz="4" w:space="1"/>
      </w:pBdr>
      <w:tabs>
        <w:tab w:val="right" w:pos="8400"/>
        <w:tab w:val="clear" w:pos="8306"/>
      </w:tabs>
      <w:ind w:right="360"/>
      <w:rPr>
        <w:color w:val="000000"/>
        <w:szCs w:val="18"/>
      </w:rPr>
    </w:pPr>
    <w:r>
      <mc:AlternateContent>
        <mc:Choice Requires="wps">
          <w:drawing>
            <wp:anchor distT="0" distB="0" distL="114300" distR="114300" simplePos="0" relativeHeight="251663360" behindDoc="0" locked="0" layoutInCell="1" allowOverlap="1">
              <wp:simplePos x="0" y="0"/>
              <wp:positionH relativeFrom="margin">
                <wp:posOffset>2709545</wp:posOffset>
              </wp:positionH>
              <wp:positionV relativeFrom="paragraph">
                <wp:posOffset>-9525</wp:posOffset>
              </wp:positionV>
              <wp:extent cx="58420" cy="152400"/>
              <wp:effectExtent l="1905" t="3810" r="0" b="0"/>
              <wp:wrapNone/>
              <wp:docPr id="411" name="文本框 411"/>
              <wp:cNvGraphicFramePr/>
              <a:graphic xmlns:a="http://schemas.openxmlformats.org/drawingml/2006/main">
                <a:graphicData uri="http://schemas.microsoft.com/office/word/2010/wordprocessingShape">
                  <wps:wsp>
                    <wps:cNvSpPr txBox="1">
                      <a:spLocks noChangeArrowheads="1"/>
                    </wps:cNvSpPr>
                    <wps:spPr bwMode="auto">
                      <a:xfrm>
                        <a:off x="0" y="0"/>
                        <a:ext cx="58420" cy="152400"/>
                      </a:xfrm>
                      <a:prstGeom prst="rect">
                        <a:avLst/>
                      </a:prstGeom>
                      <a:noFill/>
                      <a:ln>
                        <a:noFill/>
                      </a:ln>
                    </wps:spPr>
                    <wps:txbx>
                      <w:txbxContent>
                        <w:p>
                          <w:pPr>
                            <w:pStyle w:val="56"/>
                            <w:jc w:val="center"/>
                          </w:pPr>
                          <w:r>
                            <w:fldChar w:fldCharType="begin"/>
                          </w:r>
                          <w:r>
                            <w:instrText xml:space="preserve"> PAGE  \* MERGEFORMAT </w:instrText>
                          </w:r>
                          <w:r>
                            <w:fldChar w:fldCharType="separate"/>
                          </w:r>
                          <w:r>
                            <w:t>1</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left:213.35pt;margin-top:-0.75pt;height:12pt;width:4.6pt;mso-position-horizontal-relative:margin;mso-wrap-style:none;z-index:251663360;mso-width-relative:page;mso-height-relative:page;" filled="f" stroked="f" coordsize="21600,21600" o:gfxdata="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aMVY+1wAAAAkBAAAPAAAAAAAAAAEAIAAAACIAAABkcnMvZG93bnJldi54bWxQSwECFAAUAAAA&#10;CACHTuJAJrnITe8BAAC3AwAADgAAAAAAAAABACAAAAAmAQAAZHJzL2Uyb0RvYy54bWxQSwUGAAAA&#10;AAYABgBZAQAAhwUAAAAA&#10;">
              <v:fill on="f" focussize="0,0"/>
              <v:stroke on="f"/>
              <v:imagedata o:title=""/>
              <o:lock v:ext="edit" aspectratio="f"/>
              <v:textbox inset="0mm,0mm,0mm,0mm" style="mso-fit-shape-to-text:t;">
                <w:txbxContent>
                  <w:p>
                    <w:pPr>
                      <w:pStyle w:val="56"/>
                      <w:jc w:val="center"/>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rPr>
      <w:t xml:space="preserve">                                               </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jc w:val="center"/>
      <w:rPr>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73990" cy="152400"/>
              <wp:effectExtent l="0" t="0" r="635" b="4445"/>
              <wp:wrapNone/>
              <wp:docPr id="408" name="文本框 408"/>
              <wp:cNvGraphicFramePr/>
              <a:graphic xmlns:a="http://schemas.openxmlformats.org/drawingml/2006/main">
                <a:graphicData uri="http://schemas.microsoft.com/office/word/2010/wordprocessingShape">
                  <wps:wsp>
                    <wps:cNvSpPr txBox="1">
                      <a:spLocks noChangeArrowheads="1"/>
                    </wps:cNvSpPr>
                    <wps:spPr bwMode="auto">
                      <a:xfrm>
                        <a:off x="0" y="0"/>
                        <a:ext cx="173990" cy="152400"/>
                      </a:xfrm>
                      <a:prstGeom prst="rect">
                        <a:avLst/>
                      </a:prstGeom>
                      <a:noFill/>
                      <a:ln>
                        <a:noFill/>
                      </a:ln>
                    </wps:spPr>
                    <wps:txbx>
                      <w:txbxContent>
                        <w:p>
                          <w:pPr>
                            <w:pStyle w:val="56"/>
                          </w:pPr>
                          <w:r>
                            <w:rPr>
                              <w:rFonts w:hint="eastAsia"/>
                            </w:rPr>
                            <w:fldChar w:fldCharType="begin"/>
                          </w:r>
                          <w:r>
                            <w:rPr>
                              <w:rFonts w:hint="eastAsia"/>
                            </w:rPr>
                            <w:instrText xml:space="preserve"> PAGE  \* MERGEFORMAT </w:instrText>
                          </w:r>
                          <w:r>
                            <w:rPr>
                              <w:rFonts w:hint="eastAsia"/>
                            </w:rPr>
                            <w:fldChar w:fldCharType="separate"/>
                          </w:r>
                          <w:r>
                            <w:t>186</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13.7pt;mso-position-horizontal:center;mso-position-horizontal-relative:margin;mso-wrap-style:none;z-index:251667456;mso-width-relative:page;mso-height-relative:page;" filled="f" stroked="f" coordsize="21600,21600" o:gfxdata="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IKF&#10;zu7RAAAAAwEAAA8AAAAAAAAAAQAgAAAAIgAAAGRycy9kb3ducmV2LnhtbFBLAQIUABQAAAAIAIdO&#10;4kCYmory8QEAALgDAAAOAAAAAAAAAAEAIAAAACABAABkcnMvZTJvRG9jLnhtbFBLBQYAAAAABgAG&#10;AFkBAACDBQAAAAA=&#10;">
              <v:fill on="f" focussize="0,0"/>
              <v:stroke on="f"/>
              <v:imagedata o:title=""/>
              <o:lock v:ext="edit" aspectratio="f"/>
              <v:textbox inset="0mm,0mm,0mm,0mm" style="mso-fit-shape-to-text:t;">
                <w:txbxContent>
                  <w:p>
                    <w:pPr>
                      <w:pStyle w:val="56"/>
                    </w:pPr>
                    <w:r>
                      <w:rPr>
                        <w:rFonts w:hint="eastAsia"/>
                      </w:rPr>
                      <w:fldChar w:fldCharType="begin"/>
                    </w:r>
                    <w:r>
                      <w:rPr>
                        <w:rFonts w:hint="eastAsia"/>
                      </w:rPr>
                      <w:instrText xml:space="preserve"> PAGE  \* MERGEFORMAT </w:instrText>
                    </w:r>
                    <w:r>
                      <w:rPr>
                        <w:rFonts w:hint="eastAsia"/>
                      </w:rPr>
                      <w:fldChar w:fldCharType="separate"/>
                    </w:r>
                    <w:r>
                      <w:t>186</w:t>
                    </w:r>
                    <w:r>
                      <w:rPr>
                        <w:rFonts w:hint="eastAsia"/>
                      </w:rPr>
                      <w:fldChar w:fldCharType="end"/>
                    </w:r>
                  </w:p>
                </w:txbxContent>
              </v:textbox>
            </v:shape>
          </w:pict>
        </mc:Fallback>
      </mc:AlternateContent>
    </w:r>
  </w:p>
  <w:p>
    <w:pPr>
      <w:autoSpaceDE w:val="0"/>
      <w:autoSpaceDN w:val="0"/>
      <w:adjustRightInd w:val="0"/>
      <w:spacing w:line="200" w:lineRule="exact"/>
      <w:jc w:val="center"/>
      <w:rPr>
        <w:kern w:val="0"/>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pBdr>
        <w:bottom w:val="none" w:color="auto" w:sz="0" w:space="0"/>
      </w:pBdr>
      <w:jc w:val="left"/>
    </w:pPr>
    <w:r>
      <w:rPr>
        <w:rFonts w:hint="eastAsia"/>
      </w:rPr>
      <w:drawing>
        <wp:inline distT="0" distB="0" distL="0" distR="0">
          <wp:extent cx="923925" cy="257175"/>
          <wp:effectExtent l="0" t="0" r="9525" b="9525"/>
          <wp:docPr id="407" name="图片 407"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图片 407"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pPr>
    <w:r>
      <w:rPr>
        <w:rFonts w:hint="eastAsia"/>
      </w:rPr>
      <w:drawing>
        <wp:inline distT="0" distB="0" distL="0" distR="0">
          <wp:extent cx="923925" cy="257175"/>
          <wp:effectExtent l="0" t="0" r="9525" b="9525"/>
          <wp:docPr id="406" name="图片 406"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 name="图片 406"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rPr>
        <w:rFonts w:ascii="宋体" w:hAnsi="宋体"/>
        <w:szCs w:val="21"/>
      </w:rPr>
    </w:pPr>
    <w:r>
      <w:rPr>
        <w:rFonts w:hint="eastAsia"/>
      </w:rPr>
      <w:drawing>
        <wp:inline distT="0" distB="0" distL="0" distR="0">
          <wp:extent cx="923925" cy="257175"/>
          <wp:effectExtent l="0" t="0" r="9525" b="9525"/>
          <wp:docPr id="405" name="图片 405"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图片 405"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420"/>
      <w:rPr>
        <w:rFonts w:ascii="宋体" w:hAnsi="宋体"/>
        <w:szCs w:val="18"/>
      </w:rPr>
    </w:pPr>
    <w:r>
      <w:rPr>
        <w:rFonts w:hint="eastAsia"/>
      </w:rPr>
      <w:drawing>
        <wp:inline distT="0" distB="0" distL="0" distR="0">
          <wp:extent cx="923925" cy="257175"/>
          <wp:effectExtent l="0" t="0" r="9525" b="9525"/>
          <wp:docPr id="404" name="图片 404"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 name="图片 404"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F9BEDB4"/>
    <w:multiLevelType w:val="singleLevel"/>
    <w:tmpl w:val="8F9BEDB4"/>
    <w:lvl w:ilvl="0" w:tentative="0">
      <w:start w:val="2"/>
      <w:numFmt w:val="decimal"/>
      <w:suff w:val="nothing"/>
      <w:lvlText w:val="（%1）"/>
      <w:lvlJc w:val="left"/>
    </w:lvl>
  </w:abstractNum>
  <w:abstractNum w:abstractNumId="1">
    <w:nsid w:val="0000000A"/>
    <w:multiLevelType w:val="multilevel"/>
    <w:tmpl w:val="0000000A"/>
    <w:lvl w:ilvl="0" w:tentative="0">
      <w:start w:val="1"/>
      <w:numFmt w:val="japaneseCounting"/>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000001D"/>
    <w:multiLevelType w:val="multilevel"/>
    <w:tmpl w:val="0000001D"/>
    <w:lvl w:ilvl="0" w:tentative="0">
      <w:start w:val="1"/>
      <w:numFmt w:val="decimal"/>
      <w:lvlText w:val="%1."/>
      <w:lvlJc w:val="left"/>
      <w:pPr>
        <w:tabs>
          <w:tab w:val="left" w:pos="420"/>
        </w:tabs>
        <w:ind w:left="420" w:hanging="420"/>
      </w:pPr>
    </w:lvl>
    <w:lvl w:ilvl="1" w:tentative="0">
      <w:start w:val="1"/>
      <w:numFmt w:val="chineseCountingThousand"/>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3406D0D"/>
    <w:multiLevelType w:val="multilevel"/>
    <w:tmpl w:val="03406D0D"/>
    <w:lvl w:ilvl="0" w:tentative="0">
      <w:start w:val="1"/>
      <w:numFmt w:val="decimal"/>
      <w:lvlText w:val="（%1）"/>
      <w:lvlJc w:val="left"/>
      <w:pPr>
        <w:tabs>
          <w:tab w:val="left" w:pos="1261"/>
        </w:tabs>
        <w:ind w:left="1261" w:hanging="420"/>
      </w:pPr>
      <w:rPr>
        <w:rFonts w:hint="eastAsia"/>
      </w:rPr>
    </w:lvl>
    <w:lvl w:ilvl="1" w:tentative="0">
      <w:start w:val="1"/>
      <w:numFmt w:val="decimal"/>
      <w:lvlText w:val="%2、"/>
      <w:lvlJc w:val="left"/>
      <w:pPr>
        <w:tabs>
          <w:tab w:val="left" w:pos="1981"/>
        </w:tabs>
        <w:ind w:left="1981" w:hanging="720"/>
      </w:pPr>
      <w:rPr>
        <w:rFonts w:hint="eastAsia"/>
        <w:b/>
        <w:i w:val="0"/>
      </w:rPr>
    </w:lvl>
    <w:lvl w:ilvl="2" w:tentative="0">
      <w:start w:val="1"/>
      <w:numFmt w:val="decimal"/>
      <w:lvlText w:val="(%3)"/>
      <w:lvlJc w:val="left"/>
      <w:pPr>
        <w:tabs>
          <w:tab w:val="left" w:pos="360"/>
        </w:tabs>
        <w:ind w:left="360" w:hanging="360"/>
      </w:pPr>
      <w:rPr>
        <w:rFonts w:hint="default"/>
      </w:rPr>
    </w:lvl>
    <w:lvl w:ilvl="3" w:tentative="0">
      <w:start w:val="1"/>
      <w:numFmt w:val="decimal"/>
      <w:lvlText w:val="%4."/>
      <w:lvlJc w:val="left"/>
      <w:pPr>
        <w:tabs>
          <w:tab w:val="left" w:pos="946"/>
        </w:tabs>
        <w:ind w:left="946" w:hanging="420"/>
      </w:pPr>
      <w:rPr>
        <w:rFonts w:hint="eastAsia"/>
      </w:rPr>
    </w:lvl>
    <w:lvl w:ilvl="4" w:tentative="0">
      <w:start w:val="1"/>
      <w:numFmt w:val="lowerLetter"/>
      <w:lvlText w:val="%5)"/>
      <w:lvlJc w:val="left"/>
      <w:pPr>
        <w:tabs>
          <w:tab w:val="left" w:pos="2941"/>
        </w:tabs>
        <w:ind w:left="2941" w:hanging="420"/>
      </w:pPr>
    </w:lvl>
    <w:lvl w:ilvl="5" w:tentative="0">
      <w:start w:val="1"/>
      <w:numFmt w:val="lowerRoman"/>
      <w:lvlText w:val="%6."/>
      <w:lvlJc w:val="right"/>
      <w:pPr>
        <w:tabs>
          <w:tab w:val="left" w:pos="3361"/>
        </w:tabs>
        <w:ind w:left="3361" w:hanging="420"/>
      </w:pPr>
    </w:lvl>
    <w:lvl w:ilvl="6" w:tentative="0">
      <w:start w:val="1"/>
      <w:numFmt w:val="decimal"/>
      <w:lvlText w:val="%7."/>
      <w:lvlJc w:val="left"/>
      <w:pPr>
        <w:tabs>
          <w:tab w:val="left" w:pos="3781"/>
        </w:tabs>
        <w:ind w:left="3781" w:hanging="420"/>
      </w:pPr>
    </w:lvl>
    <w:lvl w:ilvl="7" w:tentative="0">
      <w:start w:val="1"/>
      <w:numFmt w:val="lowerLetter"/>
      <w:lvlText w:val="%8)"/>
      <w:lvlJc w:val="left"/>
      <w:pPr>
        <w:tabs>
          <w:tab w:val="left" w:pos="4201"/>
        </w:tabs>
        <w:ind w:left="4201" w:hanging="420"/>
      </w:pPr>
    </w:lvl>
    <w:lvl w:ilvl="8" w:tentative="0">
      <w:start w:val="1"/>
      <w:numFmt w:val="lowerRoman"/>
      <w:lvlText w:val="%9."/>
      <w:lvlJc w:val="right"/>
      <w:pPr>
        <w:tabs>
          <w:tab w:val="left" w:pos="4621"/>
        </w:tabs>
        <w:ind w:left="4621" w:hanging="420"/>
      </w:pPr>
    </w:lvl>
  </w:abstractNum>
  <w:abstractNum w:abstractNumId="4">
    <w:nsid w:val="0AAD48F0"/>
    <w:multiLevelType w:val="multilevel"/>
    <w:tmpl w:val="0AAD48F0"/>
    <w:lvl w:ilvl="0" w:tentative="0">
      <w:start w:val="1"/>
      <w:numFmt w:val="decimal"/>
      <w:lvlText w:val="%1)"/>
      <w:lvlJc w:val="left"/>
      <w:pPr>
        <w:tabs>
          <w:tab w:val="left" w:pos="1215"/>
        </w:tabs>
        <w:ind w:left="1215" w:hanging="420"/>
      </w:pPr>
      <w:rPr>
        <w:rFonts w:hint="eastAsia"/>
        <w:color w:val="auto"/>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5">
    <w:nsid w:val="15B21310"/>
    <w:multiLevelType w:val="multilevel"/>
    <w:tmpl w:val="15B21310"/>
    <w:lvl w:ilvl="0" w:tentative="0">
      <w:start w:val="1"/>
      <w:numFmt w:val="decimal"/>
      <w:lvlText w:val="%1)"/>
      <w:lvlJc w:val="left"/>
      <w:pPr>
        <w:tabs>
          <w:tab w:val="left" w:pos="1215"/>
        </w:tabs>
        <w:ind w:left="1215" w:hanging="42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6">
    <w:nsid w:val="1D027DEC"/>
    <w:multiLevelType w:val="multilevel"/>
    <w:tmpl w:val="1D027DEC"/>
    <w:lvl w:ilvl="0" w:tentative="0">
      <w:start w:val="1"/>
      <w:numFmt w:val="chineseCountingThousand"/>
      <w:lvlText w:val="%1"/>
      <w:lvlJc w:val="left"/>
      <w:pPr>
        <w:tabs>
          <w:tab w:val="left" w:pos="420"/>
        </w:tabs>
        <w:ind w:left="420" w:hanging="420"/>
      </w:pPr>
      <w:rPr>
        <w:rFonts w:hint="eastAsia" w:ascii="黑体" w:hAnsi="宋体" w:eastAsia="黑体"/>
        <w:b/>
        <w:i w:val="0"/>
        <w:sz w:val="30"/>
        <w:szCs w:val="30"/>
      </w:rPr>
    </w:lvl>
    <w:lvl w:ilvl="1" w:tentative="0">
      <w:start w:val="1"/>
      <w:numFmt w:val="decimal"/>
      <w:lvlText w:val="附件1-%2"/>
      <w:lvlJc w:val="left"/>
      <w:pPr>
        <w:tabs>
          <w:tab w:val="left" w:pos="1260"/>
        </w:tabs>
        <w:ind w:left="1260" w:hanging="840"/>
      </w:pPr>
      <w:rPr>
        <w:rFonts w:hint="eastAsia" w:ascii="宋体" w:hAnsi="宋体" w:eastAsia="宋体"/>
        <w:b/>
        <w:i w:val="0"/>
        <w:sz w:val="28"/>
        <w:szCs w:val="28"/>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7">
    <w:nsid w:val="1D0B7790"/>
    <w:multiLevelType w:val="multilevel"/>
    <w:tmpl w:val="1D0B7790"/>
    <w:lvl w:ilvl="0" w:tentative="0">
      <w:start w:val="1"/>
      <w:numFmt w:val="decimal"/>
      <w:lvlText w:val="8.%1"/>
      <w:lvlJc w:val="left"/>
      <w:pPr>
        <w:tabs>
          <w:tab w:val="left" w:pos="720"/>
        </w:tabs>
        <w:ind w:left="720" w:hanging="720"/>
      </w:pPr>
      <w:rPr>
        <w:rFonts w:hint="eastAsia" w:eastAsia="楷体_GB2312"/>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FDA3539"/>
    <w:multiLevelType w:val="multilevel"/>
    <w:tmpl w:val="1FDA3539"/>
    <w:lvl w:ilvl="0" w:tentative="0">
      <w:start w:val="1"/>
      <w:numFmt w:val="decimal"/>
      <w:lvlText w:val="%1."/>
      <w:lvlJc w:val="left"/>
      <w:pPr>
        <w:tabs>
          <w:tab w:val="left" w:pos="0"/>
        </w:tabs>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9">
    <w:nsid w:val="22084352"/>
    <w:multiLevelType w:val="multilevel"/>
    <w:tmpl w:val="22084352"/>
    <w:lvl w:ilvl="0" w:tentative="0">
      <w:start w:val="1"/>
      <w:numFmt w:val="decimal"/>
      <w:lvlText w:val="%1."/>
      <w:lvlJc w:val="left"/>
      <w:pPr>
        <w:tabs>
          <w:tab w:val="left" w:pos="1264"/>
        </w:tabs>
        <w:ind w:left="1264" w:hanging="4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0">
    <w:nsid w:val="27FB0DF5"/>
    <w:multiLevelType w:val="multilevel"/>
    <w:tmpl w:val="27FB0DF5"/>
    <w:lvl w:ilvl="0" w:tentative="0">
      <w:start w:val="1"/>
      <w:numFmt w:val="decimal"/>
      <w:lvlText w:val="%1)"/>
      <w:lvlJc w:val="left"/>
      <w:pPr>
        <w:tabs>
          <w:tab w:val="left" w:pos="1352"/>
        </w:tabs>
        <w:ind w:left="1352" w:hanging="420"/>
      </w:pPr>
      <w:rPr>
        <w:rFonts w:hint="eastAsia"/>
      </w:rPr>
    </w:lvl>
    <w:lvl w:ilvl="1" w:tentative="0">
      <w:start w:val="1"/>
      <w:numFmt w:val="lowerLetter"/>
      <w:lvlText w:val="%2)"/>
      <w:lvlJc w:val="left"/>
      <w:pPr>
        <w:tabs>
          <w:tab w:val="left" w:pos="1457"/>
        </w:tabs>
        <w:ind w:left="1457" w:hanging="420"/>
      </w:pPr>
    </w:lvl>
    <w:lvl w:ilvl="2" w:tentative="0">
      <w:start w:val="1"/>
      <w:numFmt w:val="lowerRoman"/>
      <w:lvlText w:val="%3."/>
      <w:lvlJc w:val="right"/>
      <w:pPr>
        <w:tabs>
          <w:tab w:val="left" w:pos="1877"/>
        </w:tabs>
        <w:ind w:left="1877" w:hanging="420"/>
      </w:pPr>
    </w:lvl>
    <w:lvl w:ilvl="3" w:tentative="0">
      <w:start w:val="1"/>
      <w:numFmt w:val="decimal"/>
      <w:lvlText w:val="%4."/>
      <w:lvlJc w:val="left"/>
      <w:pPr>
        <w:tabs>
          <w:tab w:val="left" w:pos="2297"/>
        </w:tabs>
        <w:ind w:left="2297" w:hanging="420"/>
      </w:pPr>
    </w:lvl>
    <w:lvl w:ilvl="4" w:tentative="0">
      <w:start w:val="1"/>
      <w:numFmt w:val="lowerLetter"/>
      <w:lvlText w:val="%5)"/>
      <w:lvlJc w:val="left"/>
      <w:pPr>
        <w:tabs>
          <w:tab w:val="left" w:pos="2717"/>
        </w:tabs>
        <w:ind w:left="2717" w:hanging="420"/>
      </w:pPr>
    </w:lvl>
    <w:lvl w:ilvl="5" w:tentative="0">
      <w:start w:val="1"/>
      <w:numFmt w:val="lowerRoman"/>
      <w:lvlText w:val="%6."/>
      <w:lvlJc w:val="right"/>
      <w:pPr>
        <w:tabs>
          <w:tab w:val="left" w:pos="3137"/>
        </w:tabs>
        <w:ind w:left="3137" w:hanging="420"/>
      </w:pPr>
    </w:lvl>
    <w:lvl w:ilvl="6" w:tentative="0">
      <w:start w:val="1"/>
      <w:numFmt w:val="decimal"/>
      <w:lvlText w:val="%7."/>
      <w:lvlJc w:val="left"/>
      <w:pPr>
        <w:tabs>
          <w:tab w:val="left" w:pos="3557"/>
        </w:tabs>
        <w:ind w:left="3557" w:hanging="420"/>
      </w:pPr>
    </w:lvl>
    <w:lvl w:ilvl="7" w:tentative="0">
      <w:start w:val="1"/>
      <w:numFmt w:val="lowerLetter"/>
      <w:lvlText w:val="%8)"/>
      <w:lvlJc w:val="left"/>
      <w:pPr>
        <w:tabs>
          <w:tab w:val="left" w:pos="3977"/>
        </w:tabs>
        <w:ind w:left="3977" w:hanging="420"/>
      </w:pPr>
    </w:lvl>
    <w:lvl w:ilvl="8" w:tentative="0">
      <w:start w:val="1"/>
      <w:numFmt w:val="lowerRoman"/>
      <w:lvlText w:val="%9."/>
      <w:lvlJc w:val="right"/>
      <w:pPr>
        <w:tabs>
          <w:tab w:val="left" w:pos="4397"/>
        </w:tabs>
        <w:ind w:left="4397" w:hanging="420"/>
      </w:pPr>
    </w:lvl>
  </w:abstractNum>
  <w:abstractNum w:abstractNumId="11">
    <w:nsid w:val="33BB5A99"/>
    <w:multiLevelType w:val="multilevel"/>
    <w:tmpl w:val="33BB5A99"/>
    <w:lvl w:ilvl="0" w:tentative="0">
      <w:start w:val="1"/>
      <w:numFmt w:val="chineseCountingThousand"/>
      <w:lvlText w:val="%1、"/>
      <w:lvlJc w:val="left"/>
      <w:pPr>
        <w:tabs>
          <w:tab w:val="left" w:pos="420"/>
        </w:tabs>
        <w:ind w:left="420" w:hanging="420"/>
      </w:pPr>
      <w:rPr>
        <w:rFonts w:hint="eastAsia"/>
        <w:b w:val="0"/>
        <w:i w:val="0"/>
        <w:color w:val="auto"/>
        <w:sz w:val="21"/>
        <w:szCs w:val="21"/>
      </w:rPr>
    </w:lvl>
    <w:lvl w:ilvl="1" w:tentative="0">
      <w:start w:val="1"/>
      <w:numFmt w:val="lowerLetter"/>
      <w:lvlText w:val="%2)"/>
      <w:lvlJc w:val="left"/>
      <w:pPr>
        <w:tabs>
          <w:tab w:val="left" w:pos="-46"/>
        </w:tabs>
        <w:ind w:left="-46" w:hanging="420"/>
      </w:pPr>
    </w:lvl>
    <w:lvl w:ilvl="2" w:tentative="0">
      <w:start w:val="1"/>
      <w:numFmt w:val="lowerRoman"/>
      <w:lvlText w:val="%3."/>
      <w:lvlJc w:val="right"/>
      <w:pPr>
        <w:tabs>
          <w:tab w:val="left" w:pos="374"/>
        </w:tabs>
        <w:ind w:left="374" w:hanging="420"/>
      </w:pPr>
    </w:lvl>
    <w:lvl w:ilvl="3" w:tentative="0">
      <w:start w:val="1"/>
      <w:numFmt w:val="decimal"/>
      <w:lvlText w:val="%4."/>
      <w:lvlJc w:val="left"/>
      <w:pPr>
        <w:tabs>
          <w:tab w:val="left" w:pos="794"/>
        </w:tabs>
        <w:ind w:left="794" w:hanging="420"/>
      </w:pPr>
    </w:lvl>
    <w:lvl w:ilvl="4" w:tentative="0">
      <w:start w:val="1"/>
      <w:numFmt w:val="lowerLetter"/>
      <w:lvlText w:val="%5)"/>
      <w:lvlJc w:val="left"/>
      <w:pPr>
        <w:tabs>
          <w:tab w:val="left" w:pos="1214"/>
        </w:tabs>
        <w:ind w:left="1214" w:hanging="420"/>
      </w:pPr>
    </w:lvl>
    <w:lvl w:ilvl="5" w:tentative="0">
      <w:start w:val="1"/>
      <w:numFmt w:val="lowerRoman"/>
      <w:lvlText w:val="%6."/>
      <w:lvlJc w:val="right"/>
      <w:pPr>
        <w:tabs>
          <w:tab w:val="left" w:pos="1634"/>
        </w:tabs>
        <w:ind w:left="1634" w:hanging="420"/>
      </w:pPr>
    </w:lvl>
    <w:lvl w:ilvl="6" w:tentative="0">
      <w:start w:val="1"/>
      <w:numFmt w:val="decimal"/>
      <w:lvlText w:val="%7."/>
      <w:lvlJc w:val="left"/>
      <w:pPr>
        <w:tabs>
          <w:tab w:val="left" w:pos="2054"/>
        </w:tabs>
        <w:ind w:left="2054" w:hanging="420"/>
      </w:pPr>
    </w:lvl>
    <w:lvl w:ilvl="7" w:tentative="0">
      <w:start w:val="1"/>
      <w:numFmt w:val="lowerLetter"/>
      <w:lvlText w:val="%8)"/>
      <w:lvlJc w:val="left"/>
      <w:pPr>
        <w:tabs>
          <w:tab w:val="left" w:pos="2474"/>
        </w:tabs>
        <w:ind w:left="2474" w:hanging="420"/>
      </w:pPr>
    </w:lvl>
    <w:lvl w:ilvl="8" w:tentative="0">
      <w:start w:val="1"/>
      <w:numFmt w:val="lowerRoman"/>
      <w:lvlText w:val="%9."/>
      <w:lvlJc w:val="right"/>
      <w:pPr>
        <w:tabs>
          <w:tab w:val="left" w:pos="2894"/>
        </w:tabs>
        <w:ind w:left="2894" w:hanging="420"/>
      </w:pPr>
    </w:lvl>
  </w:abstractNum>
  <w:abstractNum w:abstractNumId="12">
    <w:nsid w:val="396B058F"/>
    <w:multiLevelType w:val="singleLevel"/>
    <w:tmpl w:val="396B058F"/>
    <w:lvl w:ilvl="0" w:tentative="0">
      <w:start w:val="1"/>
      <w:numFmt w:val="decimal"/>
      <w:suff w:val="nothing"/>
      <w:lvlText w:val="（%1）"/>
      <w:lvlJc w:val="left"/>
    </w:lvl>
  </w:abstractNum>
  <w:abstractNum w:abstractNumId="13">
    <w:nsid w:val="46C666F9"/>
    <w:multiLevelType w:val="multilevel"/>
    <w:tmpl w:val="46C666F9"/>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4">
    <w:nsid w:val="52F42418"/>
    <w:multiLevelType w:val="multilevel"/>
    <w:tmpl w:val="52F42418"/>
    <w:lvl w:ilvl="0" w:tentative="0">
      <w:start w:val="1"/>
      <w:numFmt w:val="decimal"/>
      <w:lvlText w:val="%1."/>
      <w:lvlJc w:val="left"/>
      <w:pPr>
        <w:tabs>
          <w:tab w:val="left" w:pos="420"/>
        </w:tabs>
        <w:ind w:left="420" w:hanging="420"/>
      </w:pPr>
      <w:rPr>
        <w:rFonts w:hint="eastAsia" w:ascii="宋体" w:hAnsi="宋体" w:eastAsia="宋体"/>
        <w:b w:val="0"/>
        <w:color w:val="auto"/>
      </w:rPr>
    </w:lvl>
    <w:lvl w:ilvl="1" w:tentative="0">
      <w:start w:val="1"/>
      <w:numFmt w:val="decimal"/>
      <w:lvlText w:val="%2、"/>
      <w:lvlJc w:val="left"/>
      <w:pPr>
        <w:tabs>
          <w:tab w:val="left" w:pos="885"/>
        </w:tabs>
        <w:ind w:left="885" w:hanging="360"/>
      </w:pPr>
      <w:rPr>
        <w:rFonts w:hint="default" w:cs="Arial"/>
        <w:b w:val="0"/>
        <w:color w:val="auto"/>
        <w:sz w:val="21"/>
        <w:szCs w:val="21"/>
      </w:rPr>
    </w:lvl>
    <w:lvl w:ilvl="2" w:tentative="0">
      <w:start w:val="1"/>
      <w:numFmt w:val="decimal"/>
      <w:lvlText w:val="%1.%2.%3"/>
      <w:lvlJc w:val="left"/>
      <w:pPr>
        <w:tabs>
          <w:tab w:val="left" w:pos="1418"/>
        </w:tabs>
        <w:ind w:left="1418" w:hanging="567"/>
      </w:pPr>
      <w:rPr>
        <w:rFonts w:hint="eastAsia" w:ascii="宋体" w:hAnsi="宋体" w:eastAsia="宋体"/>
      </w:rPr>
    </w:lvl>
    <w:lvl w:ilvl="3" w:tentative="0">
      <w:start w:val="1"/>
      <w:numFmt w:val="decimal"/>
      <w:lvlText w:val="%1.%2.%3.%4"/>
      <w:lvlJc w:val="left"/>
      <w:pPr>
        <w:tabs>
          <w:tab w:val="left" w:pos="2356"/>
        </w:tabs>
        <w:ind w:left="1984" w:hanging="708"/>
      </w:pPr>
      <w:rPr>
        <w:rFonts w:hint="eastAsia"/>
      </w:rPr>
    </w:lvl>
    <w:lvl w:ilvl="4" w:tentative="0">
      <w:start w:val="1"/>
      <w:numFmt w:val="decimal"/>
      <w:lvlText w:val="%1.%2.%3.%4.%5"/>
      <w:lvlJc w:val="left"/>
      <w:pPr>
        <w:tabs>
          <w:tab w:val="left" w:pos="278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3991"/>
        </w:tabs>
        <w:ind w:left="3827" w:hanging="1276"/>
      </w:pPr>
      <w:rPr>
        <w:rFonts w:hint="eastAsia"/>
      </w:rPr>
    </w:lvl>
    <w:lvl w:ilvl="7" w:tentative="0">
      <w:start w:val="1"/>
      <w:numFmt w:val="decimal"/>
      <w:lvlText w:val="%1.%2.%3.%4.%5.%6.%7.%8"/>
      <w:lvlJc w:val="left"/>
      <w:pPr>
        <w:tabs>
          <w:tab w:val="left" w:pos="4776"/>
        </w:tabs>
        <w:ind w:left="4394" w:hanging="1418"/>
      </w:pPr>
      <w:rPr>
        <w:rFonts w:hint="eastAsia"/>
      </w:rPr>
    </w:lvl>
    <w:lvl w:ilvl="8" w:tentative="0">
      <w:start w:val="1"/>
      <w:numFmt w:val="decimal"/>
      <w:lvlText w:val="%1.%2.%3.%4.%5.%6.%7.%8.%9"/>
      <w:lvlJc w:val="left"/>
      <w:pPr>
        <w:tabs>
          <w:tab w:val="left" w:pos="5202"/>
        </w:tabs>
        <w:ind w:left="5102" w:hanging="1700"/>
      </w:pPr>
      <w:rPr>
        <w:rFonts w:hint="eastAsia"/>
      </w:rPr>
    </w:lvl>
  </w:abstractNum>
  <w:abstractNum w:abstractNumId="15">
    <w:nsid w:val="55392391"/>
    <w:multiLevelType w:val="multilevel"/>
    <w:tmpl w:val="55392391"/>
    <w:lvl w:ilvl="0" w:tentative="0">
      <w:start w:val="1"/>
      <w:numFmt w:val="decimal"/>
      <w:lvlText w:val="%1)"/>
      <w:lvlJc w:val="left"/>
      <w:pPr>
        <w:tabs>
          <w:tab w:val="left" w:pos="1215"/>
        </w:tabs>
        <w:ind w:left="1215" w:hanging="42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6">
    <w:nsid w:val="56DFFC1F"/>
    <w:multiLevelType w:val="singleLevel"/>
    <w:tmpl w:val="56DFFC1F"/>
    <w:lvl w:ilvl="0" w:tentative="0">
      <w:start w:val="1"/>
      <w:numFmt w:val="decimal"/>
      <w:suff w:val="space"/>
      <w:lvlText w:val="(%1)"/>
      <w:lvlJc w:val="left"/>
    </w:lvl>
  </w:abstractNum>
  <w:abstractNum w:abstractNumId="17">
    <w:nsid w:val="59031762"/>
    <w:multiLevelType w:val="multilevel"/>
    <w:tmpl w:val="59031762"/>
    <w:lvl w:ilvl="0" w:tentative="0">
      <w:start w:val="1"/>
      <w:numFmt w:val="decimal"/>
      <w:lvlText w:val="%1"/>
      <w:lvlJc w:val="left"/>
      <w:pPr>
        <w:tabs>
          <w:tab w:val="left" w:pos="425"/>
        </w:tabs>
        <w:ind w:left="425" w:hanging="425"/>
      </w:pPr>
      <w:rPr>
        <w:rFonts w:hint="eastAsia"/>
        <w:b/>
      </w:rPr>
    </w:lvl>
    <w:lvl w:ilvl="1" w:tentative="0">
      <w:start w:val="1"/>
      <w:numFmt w:val="decimal"/>
      <w:lvlText w:val="%1.%2."/>
      <w:lvlJc w:val="left"/>
      <w:pPr>
        <w:tabs>
          <w:tab w:val="left" w:pos="567"/>
        </w:tabs>
        <w:ind w:left="567" w:hanging="567"/>
      </w:pPr>
      <w:rPr>
        <w:rFonts w:hint="eastAsia"/>
        <w:b w:val="0"/>
        <w:dstrike w:val="0"/>
        <w:color w:val="auto"/>
        <w:sz w:val="21"/>
        <w:szCs w:val="21"/>
      </w:rPr>
    </w:lvl>
    <w:lvl w:ilvl="2" w:tentative="0">
      <w:start w:val="1"/>
      <w:numFmt w:val="decimal"/>
      <w:lvlText w:val="%1.%2.%3."/>
      <w:lvlJc w:val="left"/>
      <w:pPr>
        <w:tabs>
          <w:tab w:val="left" w:pos="709"/>
        </w:tabs>
        <w:ind w:left="709" w:hanging="709"/>
      </w:pPr>
      <w:rPr>
        <w:rFonts w:hint="eastAsia"/>
        <w:b w:val="0"/>
        <w:dstrike w:val="0"/>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8">
    <w:nsid w:val="59F803EB"/>
    <w:multiLevelType w:val="singleLevel"/>
    <w:tmpl w:val="59F803EB"/>
    <w:lvl w:ilvl="0" w:tentative="0">
      <w:start w:val="3"/>
      <w:numFmt w:val="chineseCounting"/>
      <w:suff w:val="nothing"/>
      <w:lvlText w:val="（%1）"/>
      <w:lvlJc w:val="left"/>
    </w:lvl>
  </w:abstractNum>
  <w:abstractNum w:abstractNumId="19">
    <w:nsid w:val="763E7D68"/>
    <w:multiLevelType w:val="multilevel"/>
    <w:tmpl w:val="763E7D68"/>
    <w:lvl w:ilvl="0" w:tentative="0">
      <w:start w:val="1"/>
      <w:numFmt w:val="japaneseCounting"/>
      <w:lvlText w:val="%1、"/>
      <w:lvlJc w:val="left"/>
      <w:pPr>
        <w:ind w:left="600" w:hanging="600"/>
      </w:pPr>
      <w:rPr>
        <w:rFonts w:hint="default" w:cs="Times New Roman"/>
        <w:b/>
        <w:sz w:val="28"/>
      </w:rPr>
    </w:lvl>
    <w:lvl w:ilvl="1" w:tentative="0">
      <w:start w:val="1"/>
      <w:numFmt w:val="decimal"/>
      <w:lvlText w:val="%2、"/>
      <w:lvlJc w:val="left"/>
      <w:pPr>
        <w:tabs>
          <w:tab w:val="left" w:pos="1125"/>
        </w:tabs>
        <w:ind w:left="1125" w:hanging="705"/>
      </w:pPr>
      <w:rPr>
        <w:rFonts w:hint="default"/>
        <w:b/>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779E4400"/>
    <w:multiLevelType w:val="multilevel"/>
    <w:tmpl w:val="779E4400"/>
    <w:lvl w:ilvl="0" w:tentative="0">
      <w:start w:val="1"/>
      <w:numFmt w:val="decimal"/>
      <w:lvlText w:val="7.%1"/>
      <w:lvlJc w:val="left"/>
      <w:pPr>
        <w:tabs>
          <w:tab w:val="left" w:pos="720"/>
        </w:tabs>
        <w:ind w:left="720" w:hanging="720"/>
      </w:pPr>
      <w:rPr>
        <w:rFonts w:hint="eastAsia" w:eastAsia="楷体_GB2312"/>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1">
    <w:nsid w:val="7DB56DF2"/>
    <w:multiLevelType w:val="multilevel"/>
    <w:tmpl w:val="7DB56DF2"/>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ascii="宋体" w:hAnsi="宋体" w:eastAsia="宋体"/>
        <w:b w:val="0"/>
        <w:dstrike w:val="0"/>
        <w:color w:val="auto"/>
      </w:rPr>
    </w:lvl>
    <w:lvl w:ilvl="2" w:tentative="0">
      <w:start w:val="1"/>
      <w:numFmt w:val="decimal"/>
      <w:lvlText w:val="%1.%2.%3."/>
      <w:lvlJc w:val="left"/>
      <w:pPr>
        <w:tabs>
          <w:tab w:val="left" w:pos="709"/>
        </w:tabs>
        <w:ind w:left="709" w:hanging="709"/>
      </w:pPr>
      <w:rPr>
        <w:rFonts w:hint="eastAsia" w:ascii="宋体" w:hAnsi="宋体" w:eastAsia="宋体"/>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2">
    <w:nsid w:val="7E5E3B11"/>
    <w:multiLevelType w:val="multilevel"/>
    <w:tmpl w:val="7E5E3B11"/>
    <w:lvl w:ilvl="0" w:tentative="0">
      <w:start w:val="1"/>
      <w:numFmt w:val="decimal"/>
      <w:lvlText w:val="%1)"/>
      <w:lvlJc w:val="left"/>
      <w:pPr>
        <w:tabs>
          <w:tab w:val="left" w:pos="1215"/>
        </w:tabs>
        <w:ind w:left="1215" w:hanging="420"/>
      </w:pPr>
      <w:rPr>
        <w:rFonts w:hint="eastAsia"/>
      </w:rPr>
    </w:lvl>
    <w:lvl w:ilvl="1" w:tentative="0">
      <w:start w:val="1"/>
      <w:numFmt w:val="decimal"/>
      <w:lvlText w:val="%2）"/>
      <w:lvlJc w:val="left"/>
      <w:pPr>
        <w:tabs>
          <w:tab w:val="left" w:pos="1260"/>
        </w:tabs>
        <w:ind w:left="1260" w:hanging="360"/>
      </w:pPr>
      <w:rPr>
        <w:rFonts w:hint="default"/>
      </w:rPr>
    </w:lvl>
    <w:lvl w:ilvl="2" w:tentative="0">
      <w:start w:val="1"/>
      <w:numFmt w:val="decimal"/>
      <w:lvlText w:val="%3."/>
      <w:lvlJc w:val="left"/>
      <w:pPr>
        <w:tabs>
          <w:tab w:val="left" w:pos="1680"/>
        </w:tabs>
        <w:ind w:left="1680" w:hanging="360"/>
      </w:pPr>
      <w:rPr>
        <w:rFonts w:hint="default"/>
      </w:r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num w:numId="1">
    <w:abstractNumId w:val="1"/>
    <w:lvlOverride w:ilvl="0">
      <w:startOverride w:val="1"/>
    </w:lvlOverride>
  </w:num>
  <w:num w:numId="2">
    <w:abstractNumId w:val="11"/>
  </w:num>
  <w:num w:numId="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8"/>
  </w:num>
  <w:num w:numId="5">
    <w:abstractNumId w:val="3"/>
  </w:num>
  <w:num w:numId="6">
    <w:abstractNumId w:val="19"/>
  </w:num>
  <w:num w:numId="7">
    <w:abstractNumId w:val="17"/>
  </w:num>
  <w:num w:numId="8">
    <w:abstractNumId w:val="13"/>
  </w:num>
  <w:num w:numId="9">
    <w:abstractNumId w:val="2"/>
  </w:num>
  <w:num w:numId="10">
    <w:abstractNumId w:val="0"/>
  </w:num>
  <w:num w:numId="11">
    <w:abstractNumId w:val="12"/>
  </w:num>
  <w:num w:numId="12">
    <w:abstractNumId w:val="10"/>
  </w:num>
  <w:num w:numId="13">
    <w:abstractNumId w:val="22"/>
  </w:num>
  <w:num w:numId="14">
    <w:abstractNumId w:val="4"/>
  </w:num>
  <w:num w:numId="15">
    <w:abstractNumId w:val="20"/>
  </w:num>
  <w:num w:numId="16">
    <w:abstractNumId w:val="7"/>
  </w:num>
  <w:num w:numId="17">
    <w:abstractNumId w:val="15"/>
  </w:num>
  <w:num w:numId="18">
    <w:abstractNumId w:val="5"/>
  </w:num>
  <w:num w:numId="19">
    <w:abstractNumId w:val="21"/>
  </w:num>
  <w:num w:numId="2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hideSpelling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73FB"/>
    <w:rsid w:val="00007587"/>
    <w:rsid w:val="00090FEB"/>
    <w:rsid w:val="000B73FB"/>
    <w:rsid w:val="001D6D92"/>
    <w:rsid w:val="001F053A"/>
    <w:rsid w:val="002075A9"/>
    <w:rsid w:val="00422C1A"/>
    <w:rsid w:val="00542854"/>
    <w:rsid w:val="006E4DAE"/>
    <w:rsid w:val="007A5220"/>
    <w:rsid w:val="007C756C"/>
    <w:rsid w:val="00801945"/>
    <w:rsid w:val="00822326"/>
    <w:rsid w:val="008E4121"/>
    <w:rsid w:val="009F7297"/>
    <w:rsid w:val="00C86501"/>
    <w:rsid w:val="00D71D8C"/>
    <w:rsid w:val="00FA526C"/>
    <w:rsid w:val="0E294FAB"/>
    <w:rsid w:val="13015EAF"/>
    <w:rsid w:val="199B7D6D"/>
    <w:rsid w:val="1B4670A6"/>
    <w:rsid w:val="213C08B7"/>
    <w:rsid w:val="2CC3315B"/>
    <w:rsid w:val="2E086DFA"/>
    <w:rsid w:val="348E0D5D"/>
    <w:rsid w:val="42C639B2"/>
    <w:rsid w:val="4AB976CE"/>
    <w:rsid w:val="4CAE4443"/>
    <w:rsid w:val="4EFD621C"/>
    <w:rsid w:val="508274EA"/>
    <w:rsid w:val="51B37FE0"/>
    <w:rsid w:val="580D1D0A"/>
    <w:rsid w:val="5AE23360"/>
    <w:rsid w:val="5DA219B8"/>
    <w:rsid w:val="777937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qFormat="1" w:unhideWhenUsed="0" w:uiPriority="39"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qFormat="1" w:unhideWhenUsed="0" w:uiPriority="0" w:name="index heading"/>
    <w:lsdException w:qFormat="1" w:unhideWhenUsed="0" w:uiPriority="0" w:semiHidden="0" w:name="caption"/>
    <w:lsdException w:qFormat="1" w:unhideWhenUsed="0" w:uiPriority="0" w:name="table of figures"/>
    <w:lsdException w:qFormat="1" w:unhideWhenUsed="0" w:uiPriority="0" w:semiHidden="0" w:name="envelope address"/>
    <w:lsdException w:qFormat="1" w:unhideWhenUsed="0" w:uiPriority="0"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qFormat="1" w:unhideWhenUsed="0" w:uiPriority="0" w:name="endnote text"/>
    <w:lsdException w:qFormat="1" w:unhideWhenUsed="0" w:uiPriority="0" w:name="table of authorities"/>
    <w:lsdException w:qFormat="1" w:unhideWhenUsed="0" w:uiPriority="0" w:name="macro"/>
    <w:lsdException w:qFormat="1" w:unhideWhenUsed="0" w:uiPriority="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5">
    <w:name w:val="heading 1"/>
    <w:basedOn w:val="1"/>
    <w:next w:val="1"/>
    <w:link w:val="97"/>
    <w:qFormat/>
    <w:uiPriority w:val="0"/>
    <w:pPr>
      <w:keepNext/>
      <w:spacing w:line="360" w:lineRule="auto"/>
      <w:ind w:right="-441" w:rightChars="-210"/>
      <w:jc w:val="center"/>
      <w:outlineLvl w:val="0"/>
    </w:pPr>
    <w:rPr>
      <w:rFonts w:ascii="宋体" w:hAnsi="宋体"/>
      <w:b/>
      <w:bCs/>
      <w:sz w:val="48"/>
    </w:rPr>
  </w:style>
  <w:style w:type="paragraph" w:styleId="6">
    <w:name w:val="heading 2"/>
    <w:basedOn w:val="1"/>
    <w:next w:val="1"/>
    <w:link w:val="98"/>
    <w:qFormat/>
    <w:uiPriority w:val="0"/>
    <w:pPr>
      <w:keepNext/>
      <w:keepLines/>
      <w:adjustRightInd w:val="0"/>
      <w:spacing w:beforeLines="20" w:afterLines="20" w:line="360" w:lineRule="auto"/>
      <w:textAlignment w:val="baseline"/>
      <w:outlineLvl w:val="1"/>
    </w:pPr>
    <w:rPr>
      <w:rFonts w:ascii="宋体" w:hAnsi="宋体"/>
      <w:b/>
      <w:kern w:val="0"/>
      <w:sz w:val="30"/>
      <w:szCs w:val="20"/>
    </w:rPr>
  </w:style>
  <w:style w:type="paragraph" w:styleId="7">
    <w:name w:val="heading 3"/>
    <w:basedOn w:val="1"/>
    <w:next w:val="1"/>
    <w:link w:val="99"/>
    <w:qFormat/>
    <w:uiPriority w:val="0"/>
    <w:pPr>
      <w:keepNext/>
      <w:keepLines/>
      <w:adjustRightInd w:val="0"/>
      <w:spacing w:before="40" w:after="40" w:line="360" w:lineRule="auto"/>
      <w:textAlignment w:val="baseline"/>
      <w:outlineLvl w:val="2"/>
    </w:pPr>
    <w:rPr>
      <w:rFonts w:ascii="宋体" w:hAnsi="宋体"/>
      <w:b/>
      <w:kern w:val="0"/>
      <w:sz w:val="28"/>
      <w:szCs w:val="20"/>
    </w:rPr>
  </w:style>
  <w:style w:type="paragraph" w:styleId="8">
    <w:name w:val="heading 4"/>
    <w:basedOn w:val="1"/>
    <w:next w:val="1"/>
    <w:link w:val="100"/>
    <w:qFormat/>
    <w:uiPriority w:val="0"/>
    <w:pPr>
      <w:keepNext/>
      <w:keepLines/>
      <w:spacing w:before="280" w:after="290" w:line="376" w:lineRule="auto"/>
      <w:outlineLvl w:val="3"/>
    </w:pPr>
    <w:rPr>
      <w:rFonts w:ascii="Arial" w:hAnsi="Arial" w:eastAsia="黑体"/>
      <w:b/>
      <w:bCs/>
      <w:sz w:val="28"/>
      <w:szCs w:val="28"/>
    </w:rPr>
  </w:style>
  <w:style w:type="paragraph" w:styleId="9">
    <w:name w:val="heading 5"/>
    <w:basedOn w:val="1"/>
    <w:next w:val="1"/>
    <w:link w:val="101"/>
    <w:qFormat/>
    <w:uiPriority w:val="0"/>
    <w:pPr>
      <w:widowControl/>
      <w:tabs>
        <w:tab w:val="left" w:pos="709"/>
        <w:tab w:val="left" w:pos="1008"/>
      </w:tabs>
      <w:spacing w:before="240" w:afterLines="50"/>
      <w:ind w:left="1008" w:hanging="1008"/>
      <w:outlineLvl w:val="4"/>
    </w:pPr>
    <w:rPr>
      <w:rFonts w:ascii="Arial" w:hAnsi="Arial"/>
      <w:kern w:val="0"/>
      <w:sz w:val="22"/>
      <w:szCs w:val="20"/>
    </w:rPr>
  </w:style>
  <w:style w:type="paragraph" w:styleId="10">
    <w:name w:val="heading 6"/>
    <w:basedOn w:val="1"/>
    <w:next w:val="1"/>
    <w:link w:val="102"/>
    <w:qFormat/>
    <w:uiPriority w:val="0"/>
    <w:pPr>
      <w:widowControl/>
      <w:tabs>
        <w:tab w:val="left" w:pos="709"/>
        <w:tab w:val="left" w:pos="1152"/>
      </w:tabs>
      <w:spacing w:before="240" w:afterLines="50"/>
      <w:ind w:left="1152" w:hanging="1152"/>
      <w:outlineLvl w:val="5"/>
    </w:pPr>
    <w:rPr>
      <w:rFonts w:hAnsi="Arial"/>
      <w:i/>
      <w:kern w:val="0"/>
      <w:sz w:val="22"/>
      <w:szCs w:val="20"/>
    </w:rPr>
  </w:style>
  <w:style w:type="paragraph" w:styleId="11">
    <w:name w:val="heading 7"/>
    <w:basedOn w:val="1"/>
    <w:next w:val="1"/>
    <w:link w:val="103"/>
    <w:qFormat/>
    <w:uiPriority w:val="0"/>
    <w:pPr>
      <w:widowControl/>
      <w:tabs>
        <w:tab w:val="left" w:pos="709"/>
        <w:tab w:val="left" w:pos="1296"/>
      </w:tabs>
      <w:spacing w:before="240" w:afterLines="50"/>
      <w:ind w:left="1296" w:hanging="1296"/>
      <w:outlineLvl w:val="6"/>
    </w:pPr>
    <w:rPr>
      <w:rFonts w:ascii="Arial" w:hAnsi="Arial"/>
      <w:kern w:val="0"/>
      <w:sz w:val="20"/>
      <w:szCs w:val="20"/>
    </w:rPr>
  </w:style>
  <w:style w:type="paragraph" w:styleId="12">
    <w:name w:val="heading 8"/>
    <w:basedOn w:val="1"/>
    <w:next w:val="1"/>
    <w:link w:val="104"/>
    <w:qFormat/>
    <w:uiPriority w:val="0"/>
    <w:pPr>
      <w:widowControl/>
      <w:tabs>
        <w:tab w:val="left" w:pos="709"/>
        <w:tab w:val="left" w:pos="1440"/>
      </w:tabs>
      <w:spacing w:before="240" w:afterLines="50"/>
      <w:ind w:left="1440" w:hanging="1440"/>
      <w:outlineLvl w:val="7"/>
    </w:pPr>
    <w:rPr>
      <w:rFonts w:ascii="Arial" w:hAnsi="Arial"/>
      <w:i/>
      <w:kern w:val="0"/>
      <w:sz w:val="20"/>
      <w:szCs w:val="20"/>
    </w:rPr>
  </w:style>
  <w:style w:type="paragraph" w:styleId="13">
    <w:name w:val="heading 9"/>
    <w:basedOn w:val="1"/>
    <w:next w:val="1"/>
    <w:link w:val="105"/>
    <w:qFormat/>
    <w:uiPriority w:val="0"/>
    <w:pPr>
      <w:widowControl/>
      <w:tabs>
        <w:tab w:val="left" w:pos="709"/>
        <w:tab w:val="left" w:pos="1584"/>
      </w:tabs>
      <w:spacing w:before="240" w:afterLines="50"/>
      <w:ind w:left="1584" w:hanging="1584"/>
      <w:outlineLvl w:val="8"/>
    </w:pPr>
    <w:rPr>
      <w:rFonts w:ascii="Arial" w:hAnsi="Arial"/>
      <w:b/>
      <w:i/>
      <w:kern w:val="0"/>
      <w:sz w:val="18"/>
      <w:szCs w:val="20"/>
    </w:rPr>
  </w:style>
  <w:style w:type="character" w:default="1" w:styleId="91">
    <w:name w:val="Default Paragraph Font"/>
    <w:semiHidden/>
    <w:unhideWhenUsed/>
    <w:qFormat/>
    <w:uiPriority w:val="1"/>
  </w:style>
  <w:style w:type="table" w:default="1" w:styleId="89">
    <w:name w:val="Normal Table"/>
    <w:semiHidden/>
    <w:unhideWhenUsed/>
    <w:qFormat/>
    <w:uiPriority w:val="99"/>
    <w:tblPr>
      <w:tblCellMar>
        <w:top w:w="0" w:type="dxa"/>
        <w:left w:w="108" w:type="dxa"/>
        <w:bottom w:w="0" w:type="dxa"/>
        <w:right w:w="108" w:type="dxa"/>
      </w:tblCellMar>
    </w:tblPr>
  </w:style>
  <w:style w:type="paragraph" w:styleId="2">
    <w:name w:val="Plain Text"/>
    <w:basedOn w:val="1"/>
    <w:next w:val="3"/>
    <w:link w:val="108"/>
    <w:qFormat/>
    <w:uiPriority w:val="0"/>
    <w:rPr>
      <w:rFonts w:ascii="宋体" w:hAnsi="Courier New" w:cstheme="minorBidi"/>
      <w:szCs w:val="22"/>
    </w:rPr>
  </w:style>
  <w:style w:type="paragraph" w:customStyle="1" w:styleId="3">
    <w:name w:val="Default"/>
    <w:qFormat/>
    <w:uiPriority w:val="0"/>
    <w:pPr>
      <w:widowControl w:val="0"/>
      <w:autoSpaceDE w:val="0"/>
      <w:autoSpaceDN w:val="0"/>
      <w:adjustRightInd w:val="0"/>
    </w:pPr>
    <w:rPr>
      <w:rFonts w:ascii="宋体" w:hAnsi="Calibri" w:eastAsia="宋体" w:cs="宋体"/>
      <w:color w:val="000000"/>
      <w:kern w:val="0"/>
      <w:sz w:val="24"/>
      <w:szCs w:val="24"/>
      <w:lang w:val="en-US" w:eastAsia="zh-CN" w:bidi="ar-SA"/>
    </w:rPr>
  </w:style>
  <w:style w:type="paragraph" w:styleId="4">
    <w:name w:val="macro"/>
    <w:link w:val="150"/>
    <w:semiHidden/>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4">
    <w:name w:val="List 3"/>
    <w:basedOn w:val="1"/>
    <w:qFormat/>
    <w:uiPriority w:val="0"/>
    <w:pPr>
      <w:ind w:left="100" w:leftChars="400" w:hanging="200" w:hangingChars="200"/>
    </w:pPr>
  </w:style>
  <w:style w:type="paragraph" w:styleId="15">
    <w:name w:val="toc 7"/>
    <w:basedOn w:val="1"/>
    <w:next w:val="1"/>
    <w:qFormat/>
    <w:uiPriority w:val="0"/>
    <w:pPr>
      <w:ind w:left="1260"/>
      <w:jc w:val="left"/>
    </w:pPr>
    <w:rPr>
      <w:sz w:val="18"/>
      <w:szCs w:val="18"/>
    </w:rPr>
  </w:style>
  <w:style w:type="paragraph" w:styleId="16">
    <w:name w:val="List Number 2"/>
    <w:basedOn w:val="1"/>
    <w:qFormat/>
    <w:uiPriority w:val="0"/>
    <w:pPr>
      <w:tabs>
        <w:tab w:val="left" w:pos="780"/>
      </w:tabs>
      <w:ind w:left="780" w:hanging="360"/>
    </w:pPr>
  </w:style>
  <w:style w:type="paragraph" w:styleId="17">
    <w:name w:val="table of authorities"/>
    <w:basedOn w:val="1"/>
    <w:next w:val="1"/>
    <w:semiHidden/>
    <w:qFormat/>
    <w:uiPriority w:val="0"/>
    <w:pPr>
      <w:ind w:left="420" w:leftChars="200"/>
    </w:pPr>
  </w:style>
  <w:style w:type="paragraph" w:styleId="18">
    <w:name w:val="Note Heading"/>
    <w:basedOn w:val="1"/>
    <w:next w:val="1"/>
    <w:link w:val="143"/>
    <w:qFormat/>
    <w:uiPriority w:val="0"/>
    <w:pPr>
      <w:jc w:val="center"/>
    </w:pPr>
  </w:style>
  <w:style w:type="paragraph" w:styleId="19">
    <w:name w:val="List Bullet 4"/>
    <w:basedOn w:val="1"/>
    <w:qFormat/>
    <w:uiPriority w:val="0"/>
    <w:pPr>
      <w:tabs>
        <w:tab w:val="left" w:pos="1620"/>
      </w:tabs>
      <w:ind w:left="1620" w:hanging="360"/>
    </w:pPr>
  </w:style>
  <w:style w:type="paragraph" w:styleId="20">
    <w:name w:val="index 8"/>
    <w:basedOn w:val="1"/>
    <w:next w:val="1"/>
    <w:semiHidden/>
    <w:qFormat/>
    <w:uiPriority w:val="0"/>
    <w:pPr>
      <w:ind w:left="1400" w:leftChars="1400"/>
    </w:pPr>
  </w:style>
  <w:style w:type="paragraph" w:styleId="21">
    <w:name w:val="E-mail Signature"/>
    <w:basedOn w:val="1"/>
    <w:link w:val="154"/>
    <w:qFormat/>
    <w:uiPriority w:val="0"/>
  </w:style>
  <w:style w:type="paragraph" w:styleId="22">
    <w:name w:val="List Number"/>
    <w:basedOn w:val="1"/>
    <w:qFormat/>
    <w:uiPriority w:val="0"/>
    <w:pPr>
      <w:tabs>
        <w:tab w:val="left" w:pos="360"/>
      </w:tabs>
      <w:ind w:left="360" w:hanging="360"/>
    </w:pPr>
  </w:style>
  <w:style w:type="paragraph" w:styleId="23">
    <w:name w:val="Normal Indent"/>
    <w:basedOn w:val="1"/>
    <w:link w:val="120"/>
    <w:qFormat/>
    <w:uiPriority w:val="0"/>
    <w:pPr>
      <w:widowControl/>
      <w:ind w:firstLine="420"/>
      <w:jc w:val="left"/>
    </w:pPr>
    <w:rPr>
      <w:rFonts w:asciiTheme="minorHAnsi" w:hAnsiTheme="minorHAnsi" w:eastAsiaTheme="minorEastAsia" w:cstheme="minorBidi"/>
      <w:szCs w:val="22"/>
    </w:rPr>
  </w:style>
  <w:style w:type="paragraph" w:styleId="24">
    <w:name w:val="caption"/>
    <w:basedOn w:val="1"/>
    <w:next w:val="1"/>
    <w:qFormat/>
    <w:uiPriority w:val="0"/>
    <w:rPr>
      <w:rFonts w:ascii="Arial" w:hAnsi="Arial" w:eastAsia="黑体" w:cs="Arial"/>
      <w:sz w:val="20"/>
      <w:szCs w:val="20"/>
    </w:rPr>
  </w:style>
  <w:style w:type="paragraph" w:styleId="25">
    <w:name w:val="index 5"/>
    <w:basedOn w:val="1"/>
    <w:next w:val="1"/>
    <w:semiHidden/>
    <w:qFormat/>
    <w:uiPriority w:val="0"/>
    <w:pPr>
      <w:ind w:left="800" w:leftChars="800"/>
    </w:pPr>
  </w:style>
  <w:style w:type="paragraph" w:styleId="26">
    <w:name w:val="List Bullet"/>
    <w:basedOn w:val="1"/>
    <w:qFormat/>
    <w:uiPriority w:val="0"/>
    <w:pPr>
      <w:tabs>
        <w:tab w:val="left" w:pos="358"/>
        <w:tab w:val="left" w:pos="1261"/>
      </w:tabs>
      <w:autoSpaceDE w:val="0"/>
      <w:autoSpaceDN w:val="0"/>
      <w:adjustRightInd w:val="0"/>
      <w:snapToGrid w:val="0"/>
      <w:spacing w:line="360" w:lineRule="auto"/>
      <w:ind w:left="480" w:hanging="480" w:hangingChars="200"/>
      <w:textAlignment w:val="baseline"/>
    </w:pPr>
    <w:rPr>
      <w:rFonts w:ascii="宋体" w:hAnsi="Tms Rmn"/>
      <w:snapToGrid w:val="0"/>
      <w:color w:val="000000"/>
      <w:kern w:val="24"/>
      <w:sz w:val="24"/>
      <w:szCs w:val="20"/>
    </w:rPr>
  </w:style>
  <w:style w:type="paragraph" w:styleId="27">
    <w:name w:val="envelope address"/>
    <w:basedOn w:val="1"/>
    <w:qFormat/>
    <w:uiPriority w:val="0"/>
    <w:pPr>
      <w:framePr w:w="7920" w:h="1980" w:hRule="exact" w:hSpace="180" w:wrap="around" w:vAnchor="margin" w:hAnchor="page" w:xAlign="center" w:yAlign="bottom"/>
      <w:snapToGrid w:val="0"/>
      <w:ind w:left="100" w:leftChars="1400"/>
    </w:pPr>
    <w:rPr>
      <w:rFonts w:ascii="Arial" w:hAnsi="Arial" w:cs="Arial"/>
      <w:sz w:val="24"/>
    </w:rPr>
  </w:style>
  <w:style w:type="paragraph" w:styleId="28">
    <w:name w:val="Document Map"/>
    <w:basedOn w:val="1"/>
    <w:link w:val="115"/>
    <w:qFormat/>
    <w:uiPriority w:val="0"/>
    <w:pPr>
      <w:shd w:val="clear" w:color="auto" w:fill="000080"/>
    </w:pPr>
    <w:rPr>
      <w:rFonts w:asciiTheme="minorHAnsi" w:hAnsiTheme="minorHAnsi" w:eastAsiaTheme="minorEastAsia" w:cstheme="minorBidi"/>
      <w:shd w:val="clear" w:color="auto" w:fill="000080"/>
    </w:rPr>
  </w:style>
  <w:style w:type="paragraph" w:styleId="29">
    <w:name w:val="toa heading"/>
    <w:basedOn w:val="1"/>
    <w:next w:val="1"/>
    <w:semiHidden/>
    <w:qFormat/>
    <w:uiPriority w:val="0"/>
    <w:pPr>
      <w:spacing w:before="120"/>
    </w:pPr>
    <w:rPr>
      <w:rFonts w:ascii="Arial" w:hAnsi="Arial" w:cs="Arial"/>
      <w:sz w:val="24"/>
    </w:rPr>
  </w:style>
  <w:style w:type="paragraph" w:styleId="30">
    <w:name w:val="annotation text"/>
    <w:basedOn w:val="1"/>
    <w:link w:val="113"/>
    <w:semiHidden/>
    <w:qFormat/>
    <w:uiPriority w:val="0"/>
    <w:pPr>
      <w:jc w:val="left"/>
    </w:pPr>
    <w:rPr>
      <w:rFonts w:asciiTheme="minorHAnsi" w:hAnsiTheme="minorHAnsi" w:cstheme="minorBidi"/>
    </w:rPr>
  </w:style>
  <w:style w:type="paragraph" w:styleId="31">
    <w:name w:val="index 6"/>
    <w:basedOn w:val="1"/>
    <w:next w:val="1"/>
    <w:semiHidden/>
    <w:qFormat/>
    <w:uiPriority w:val="0"/>
    <w:pPr>
      <w:ind w:left="1000" w:leftChars="1000"/>
    </w:pPr>
  </w:style>
  <w:style w:type="paragraph" w:styleId="32">
    <w:name w:val="Salutation"/>
    <w:basedOn w:val="1"/>
    <w:next w:val="1"/>
    <w:link w:val="131"/>
    <w:qFormat/>
    <w:uiPriority w:val="0"/>
  </w:style>
  <w:style w:type="paragraph" w:styleId="33">
    <w:name w:val="Body Text 3"/>
    <w:basedOn w:val="1"/>
    <w:link w:val="118"/>
    <w:qFormat/>
    <w:uiPriority w:val="0"/>
    <w:pPr>
      <w:widowControl/>
      <w:jc w:val="left"/>
    </w:pPr>
    <w:rPr>
      <w:rFonts w:asciiTheme="minorHAnsi" w:hAnsiTheme="minorHAnsi" w:eastAsiaTheme="minorEastAsia" w:cstheme="minorBidi"/>
      <w:sz w:val="24"/>
      <w:szCs w:val="22"/>
    </w:rPr>
  </w:style>
  <w:style w:type="paragraph" w:styleId="34">
    <w:name w:val="Closing"/>
    <w:basedOn w:val="1"/>
    <w:link w:val="142"/>
    <w:qFormat/>
    <w:uiPriority w:val="0"/>
    <w:pPr>
      <w:ind w:left="100" w:leftChars="2100"/>
    </w:pPr>
  </w:style>
  <w:style w:type="paragraph" w:styleId="35">
    <w:name w:val="List Bullet 3"/>
    <w:basedOn w:val="1"/>
    <w:qFormat/>
    <w:uiPriority w:val="0"/>
    <w:pPr>
      <w:tabs>
        <w:tab w:val="left" w:pos="905"/>
      </w:tabs>
      <w:ind w:left="905" w:hanging="425"/>
    </w:pPr>
    <w:rPr>
      <w:sz w:val="24"/>
      <w:szCs w:val="20"/>
    </w:rPr>
  </w:style>
  <w:style w:type="paragraph" w:styleId="36">
    <w:name w:val="Body Text"/>
    <w:basedOn w:val="1"/>
    <w:link w:val="109"/>
    <w:qFormat/>
    <w:uiPriority w:val="0"/>
    <w:pPr>
      <w:spacing w:after="120"/>
    </w:pPr>
    <w:rPr>
      <w:rFonts w:asciiTheme="minorHAnsi" w:hAnsiTheme="minorHAnsi" w:cstheme="minorBidi"/>
    </w:rPr>
  </w:style>
  <w:style w:type="paragraph" w:styleId="37">
    <w:name w:val="Body Text Indent"/>
    <w:basedOn w:val="1"/>
    <w:link w:val="126"/>
    <w:unhideWhenUsed/>
    <w:qFormat/>
    <w:uiPriority w:val="0"/>
    <w:pPr>
      <w:spacing w:after="120"/>
      <w:ind w:left="420" w:leftChars="200"/>
    </w:pPr>
  </w:style>
  <w:style w:type="paragraph" w:styleId="38">
    <w:name w:val="List Number 3"/>
    <w:basedOn w:val="1"/>
    <w:qFormat/>
    <w:uiPriority w:val="0"/>
    <w:pPr>
      <w:tabs>
        <w:tab w:val="left" w:pos="1200"/>
      </w:tabs>
      <w:ind w:left="1200" w:hanging="360"/>
    </w:pPr>
  </w:style>
  <w:style w:type="paragraph" w:styleId="39">
    <w:name w:val="List 2"/>
    <w:basedOn w:val="1"/>
    <w:qFormat/>
    <w:uiPriority w:val="0"/>
    <w:pPr>
      <w:ind w:left="100" w:leftChars="200" w:hanging="200" w:hangingChars="200"/>
    </w:pPr>
  </w:style>
  <w:style w:type="paragraph" w:styleId="40">
    <w:name w:val="List Continue"/>
    <w:basedOn w:val="1"/>
    <w:qFormat/>
    <w:uiPriority w:val="0"/>
    <w:pPr>
      <w:spacing w:after="120"/>
      <w:ind w:left="420" w:leftChars="200"/>
    </w:pPr>
  </w:style>
  <w:style w:type="paragraph" w:styleId="41">
    <w:name w:val="Block Text"/>
    <w:basedOn w:val="1"/>
    <w:qFormat/>
    <w:uiPriority w:val="0"/>
    <w:pPr>
      <w:spacing w:after="120"/>
      <w:ind w:left="1440" w:leftChars="700" w:right="1440" w:rightChars="700"/>
    </w:pPr>
  </w:style>
  <w:style w:type="paragraph" w:styleId="42">
    <w:name w:val="List Bullet 2"/>
    <w:basedOn w:val="1"/>
    <w:qFormat/>
    <w:uiPriority w:val="0"/>
    <w:pPr>
      <w:tabs>
        <w:tab w:val="left" w:pos="780"/>
      </w:tabs>
      <w:ind w:left="780" w:hanging="360"/>
    </w:pPr>
  </w:style>
  <w:style w:type="paragraph" w:styleId="43">
    <w:name w:val="HTML Address"/>
    <w:basedOn w:val="1"/>
    <w:link w:val="135"/>
    <w:qFormat/>
    <w:uiPriority w:val="0"/>
    <w:rPr>
      <w:i/>
      <w:iCs/>
    </w:rPr>
  </w:style>
  <w:style w:type="paragraph" w:styleId="44">
    <w:name w:val="index 4"/>
    <w:basedOn w:val="1"/>
    <w:next w:val="1"/>
    <w:semiHidden/>
    <w:qFormat/>
    <w:uiPriority w:val="0"/>
    <w:pPr>
      <w:ind w:left="600" w:leftChars="600"/>
    </w:pPr>
  </w:style>
  <w:style w:type="paragraph" w:styleId="45">
    <w:name w:val="toc 5"/>
    <w:basedOn w:val="1"/>
    <w:next w:val="1"/>
    <w:qFormat/>
    <w:uiPriority w:val="0"/>
    <w:pPr>
      <w:ind w:left="840"/>
      <w:jc w:val="left"/>
    </w:pPr>
    <w:rPr>
      <w:sz w:val="18"/>
      <w:szCs w:val="18"/>
    </w:rPr>
  </w:style>
  <w:style w:type="paragraph" w:styleId="46">
    <w:name w:val="toc 3"/>
    <w:basedOn w:val="1"/>
    <w:next w:val="1"/>
    <w:qFormat/>
    <w:uiPriority w:val="0"/>
    <w:pPr>
      <w:ind w:left="420"/>
      <w:jc w:val="left"/>
    </w:pPr>
    <w:rPr>
      <w:i/>
      <w:iCs/>
      <w:sz w:val="20"/>
      <w:szCs w:val="20"/>
    </w:rPr>
  </w:style>
  <w:style w:type="paragraph" w:styleId="47">
    <w:name w:val="List Bullet 5"/>
    <w:basedOn w:val="1"/>
    <w:qFormat/>
    <w:uiPriority w:val="0"/>
    <w:pPr>
      <w:tabs>
        <w:tab w:val="left" w:pos="2040"/>
      </w:tabs>
      <w:ind w:left="2040" w:hanging="360"/>
    </w:pPr>
  </w:style>
  <w:style w:type="paragraph" w:styleId="48">
    <w:name w:val="List Number 4"/>
    <w:basedOn w:val="1"/>
    <w:qFormat/>
    <w:uiPriority w:val="0"/>
    <w:pPr>
      <w:tabs>
        <w:tab w:val="left" w:pos="1620"/>
      </w:tabs>
      <w:ind w:left="1620" w:hanging="360"/>
    </w:pPr>
  </w:style>
  <w:style w:type="paragraph" w:styleId="49">
    <w:name w:val="toc 8"/>
    <w:basedOn w:val="1"/>
    <w:next w:val="1"/>
    <w:qFormat/>
    <w:uiPriority w:val="0"/>
    <w:pPr>
      <w:ind w:left="1470"/>
      <w:jc w:val="left"/>
    </w:pPr>
    <w:rPr>
      <w:sz w:val="18"/>
      <w:szCs w:val="18"/>
    </w:rPr>
  </w:style>
  <w:style w:type="paragraph" w:styleId="50">
    <w:name w:val="index 3"/>
    <w:basedOn w:val="1"/>
    <w:next w:val="1"/>
    <w:semiHidden/>
    <w:qFormat/>
    <w:uiPriority w:val="0"/>
    <w:pPr>
      <w:ind w:left="400" w:leftChars="400"/>
    </w:pPr>
  </w:style>
  <w:style w:type="paragraph" w:styleId="51">
    <w:name w:val="Date"/>
    <w:basedOn w:val="1"/>
    <w:next w:val="1"/>
    <w:link w:val="137"/>
    <w:qFormat/>
    <w:uiPriority w:val="0"/>
    <w:pPr>
      <w:autoSpaceDE w:val="0"/>
      <w:autoSpaceDN w:val="0"/>
      <w:adjustRightInd w:val="0"/>
      <w:spacing w:line="312" w:lineRule="atLeast"/>
      <w:textAlignment w:val="baseline"/>
    </w:pPr>
    <w:rPr>
      <w:kern w:val="0"/>
      <w:sz w:val="32"/>
      <w:szCs w:val="20"/>
    </w:rPr>
  </w:style>
  <w:style w:type="paragraph" w:styleId="52">
    <w:name w:val="Body Text Indent 2"/>
    <w:basedOn w:val="1"/>
    <w:link w:val="134"/>
    <w:qFormat/>
    <w:uiPriority w:val="0"/>
    <w:pPr>
      <w:spacing w:line="360" w:lineRule="auto"/>
      <w:ind w:left="718" w:leftChars="342"/>
    </w:pPr>
    <w:rPr>
      <w:rFonts w:ascii="宋体" w:hAnsi="宋体"/>
      <w:sz w:val="24"/>
    </w:rPr>
  </w:style>
  <w:style w:type="paragraph" w:styleId="53">
    <w:name w:val="endnote text"/>
    <w:basedOn w:val="1"/>
    <w:link w:val="141"/>
    <w:semiHidden/>
    <w:qFormat/>
    <w:uiPriority w:val="0"/>
    <w:pPr>
      <w:snapToGrid w:val="0"/>
      <w:jc w:val="left"/>
    </w:pPr>
  </w:style>
  <w:style w:type="paragraph" w:styleId="54">
    <w:name w:val="List Continue 5"/>
    <w:basedOn w:val="1"/>
    <w:qFormat/>
    <w:uiPriority w:val="0"/>
    <w:pPr>
      <w:spacing w:after="120"/>
      <w:ind w:left="2100" w:leftChars="1000"/>
    </w:pPr>
  </w:style>
  <w:style w:type="paragraph" w:styleId="55">
    <w:name w:val="Balloon Text"/>
    <w:basedOn w:val="1"/>
    <w:link w:val="114"/>
    <w:qFormat/>
    <w:uiPriority w:val="0"/>
    <w:rPr>
      <w:rFonts w:asciiTheme="minorHAnsi" w:hAnsiTheme="minorHAnsi" w:eastAsiaTheme="minorEastAsia" w:cstheme="minorBidi"/>
      <w:sz w:val="18"/>
      <w:szCs w:val="18"/>
    </w:rPr>
  </w:style>
  <w:style w:type="paragraph" w:styleId="56">
    <w:name w:val="footer"/>
    <w:basedOn w:val="1"/>
    <w:link w:val="111"/>
    <w:qFormat/>
    <w:uiPriority w:val="0"/>
    <w:pPr>
      <w:tabs>
        <w:tab w:val="center" w:pos="4153"/>
        <w:tab w:val="right" w:pos="8306"/>
      </w:tabs>
      <w:adjustRightInd w:val="0"/>
      <w:spacing w:line="240" w:lineRule="atLeast"/>
      <w:jc w:val="left"/>
      <w:textAlignment w:val="baseline"/>
    </w:pPr>
    <w:rPr>
      <w:rFonts w:asciiTheme="minorHAnsi" w:hAnsiTheme="minorHAnsi" w:eastAsiaTheme="minorEastAsia" w:cstheme="minorBidi"/>
      <w:sz w:val="18"/>
      <w:szCs w:val="22"/>
    </w:rPr>
  </w:style>
  <w:style w:type="paragraph" w:styleId="57">
    <w:name w:val="envelope return"/>
    <w:basedOn w:val="1"/>
    <w:qFormat/>
    <w:uiPriority w:val="0"/>
    <w:pPr>
      <w:snapToGrid w:val="0"/>
    </w:pPr>
    <w:rPr>
      <w:rFonts w:ascii="Arial" w:hAnsi="Arial" w:cs="Arial"/>
    </w:rPr>
  </w:style>
  <w:style w:type="paragraph" w:styleId="58">
    <w:name w:val="header"/>
    <w:basedOn w:val="1"/>
    <w:link w:val="112"/>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59">
    <w:name w:val="Signature"/>
    <w:basedOn w:val="1"/>
    <w:link w:val="146"/>
    <w:qFormat/>
    <w:uiPriority w:val="0"/>
    <w:pPr>
      <w:ind w:left="100" w:leftChars="2100"/>
    </w:pPr>
  </w:style>
  <w:style w:type="paragraph" w:styleId="60">
    <w:name w:val="toc 1"/>
    <w:basedOn w:val="1"/>
    <w:next w:val="1"/>
    <w:qFormat/>
    <w:uiPriority w:val="39"/>
    <w:pPr>
      <w:spacing w:before="120" w:after="120"/>
      <w:jc w:val="left"/>
    </w:pPr>
    <w:rPr>
      <w:b/>
      <w:bCs/>
      <w:caps/>
      <w:sz w:val="20"/>
      <w:szCs w:val="20"/>
    </w:rPr>
  </w:style>
  <w:style w:type="paragraph" w:styleId="61">
    <w:name w:val="List Continue 4"/>
    <w:basedOn w:val="1"/>
    <w:qFormat/>
    <w:uiPriority w:val="0"/>
    <w:pPr>
      <w:spacing w:after="120"/>
      <w:ind w:left="1680" w:leftChars="800"/>
    </w:pPr>
  </w:style>
  <w:style w:type="paragraph" w:styleId="62">
    <w:name w:val="toc 4"/>
    <w:basedOn w:val="1"/>
    <w:next w:val="1"/>
    <w:qFormat/>
    <w:uiPriority w:val="0"/>
    <w:pPr>
      <w:ind w:left="630"/>
      <w:jc w:val="left"/>
    </w:pPr>
    <w:rPr>
      <w:sz w:val="18"/>
      <w:szCs w:val="18"/>
    </w:rPr>
  </w:style>
  <w:style w:type="paragraph" w:styleId="63">
    <w:name w:val="index heading"/>
    <w:basedOn w:val="1"/>
    <w:next w:val="64"/>
    <w:semiHidden/>
    <w:qFormat/>
    <w:uiPriority w:val="0"/>
    <w:rPr>
      <w:rFonts w:ascii="Arial" w:hAnsi="Arial" w:cs="Arial"/>
      <w:b/>
      <w:bCs/>
    </w:rPr>
  </w:style>
  <w:style w:type="paragraph" w:styleId="64">
    <w:name w:val="index 1"/>
    <w:basedOn w:val="1"/>
    <w:next w:val="1"/>
    <w:semiHidden/>
    <w:qFormat/>
    <w:uiPriority w:val="0"/>
  </w:style>
  <w:style w:type="paragraph" w:styleId="65">
    <w:name w:val="Subtitle"/>
    <w:basedOn w:val="1"/>
    <w:link w:val="133"/>
    <w:qFormat/>
    <w:uiPriority w:val="0"/>
    <w:pPr>
      <w:spacing w:before="240" w:after="60" w:line="312" w:lineRule="auto"/>
      <w:jc w:val="center"/>
      <w:outlineLvl w:val="1"/>
    </w:pPr>
    <w:rPr>
      <w:rFonts w:ascii="Arial" w:hAnsi="Arial" w:cs="Arial"/>
      <w:b/>
      <w:bCs/>
      <w:kern w:val="28"/>
      <w:sz w:val="32"/>
      <w:szCs w:val="32"/>
    </w:rPr>
  </w:style>
  <w:style w:type="paragraph" w:styleId="66">
    <w:name w:val="List Number 5"/>
    <w:basedOn w:val="1"/>
    <w:qFormat/>
    <w:uiPriority w:val="0"/>
    <w:pPr>
      <w:tabs>
        <w:tab w:val="left" w:pos="2040"/>
      </w:tabs>
      <w:ind w:left="2040" w:hanging="360"/>
    </w:pPr>
  </w:style>
  <w:style w:type="paragraph" w:styleId="67">
    <w:name w:val="List"/>
    <w:basedOn w:val="1"/>
    <w:qFormat/>
    <w:uiPriority w:val="0"/>
    <w:pPr>
      <w:tabs>
        <w:tab w:val="left" w:pos="360"/>
        <w:tab w:val="left" w:pos="709"/>
      </w:tabs>
      <w:spacing w:line="300" w:lineRule="auto"/>
      <w:ind w:left="363" w:hanging="170"/>
    </w:pPr>
    <w:rPr>
      <w:spacing w:val="20"/>
      <w:szCs w:val="20"/>
    </w:rPr>
  </w:style>
  <w:style w:type="paragraph" w:styleId="68">
    <w:name w:val="footnote text"/>
    <w:basedOn w:val="1"/>
    <w:link w:val="156"/>
    <w:semiHidden/>
    <w:qFormat/>
    <w:uiPriority w:val="0"/>
    <w:pPr>
      <w:snapToGrid w:val="0"/>
      <w:jc w:val="left"/>
    </w:pPr>
    <w:rPr>
      <w:sz w:val="18"/>
      <w:szCs w:val="18"/>
    </w:rPr>
  </w:style>
  <w:style w:type="paragraph" w:styleId="69">
    <w:name w:val="toc 6"/>
    <w:basedOn w:val="1"/>
    <w:next w:val="1"/>
    <w:qFormat/>
    <w:uiPriority w:val="0"/>
    <w:pPr>
      <w:ind w:left="1050"/>
      <w:jc w:val="left"/>
    </w:pPr>
    <w:rPr>
      <w:sz w:val="18"/>
      <w:szCs w:val="18"/>
    </w:rPr>
  </w:style>
  <w:style w:type="paragraph" w:styleId="70">
    <w:name w:val="List 5"/>
    <w:basedOn w:val="1"/>
    <w:qFormat/>
    <w:uiPriority w:val="0"/>
    <w:pPr>
      <w:ind w:left="100" w:leftChars="800" w:hanging="200" w:hangingChars="200"/>
    </w:pPr>
  </w:style>
  <w:style w:type="paragraph" w:styleId="71">
    <w:name w:val="Body Text Indent 3"/>
    <w:basedOn w:val="1"/>
    <w:link w:val="157"/>
    <w:qFormat/>
    <w:uiPriority w:val="0"/>
    <w:pPr>
      <w:spacing w:line="360" w:lineRule="auto"/>
      <w:ind w:firstLine="480" w:firstLineChars="200"/>
    </w:pPr>
    <w:rPr>
      <w:rFonts w:ascii="宋体" w:hAnsi="宋体"/>
      <w:sz w:val="24"/>
    </w:rPr>
  </w:style>
  <w:style w:type="paragraph" w:styleId="72">
    <w:name w:val="index 7"/>
    <w:basedOn w:val="1"/>
    <w:next w:val="1"/>
    <w:semiHidden/>
    <w:qFormat/>
    <w:uiPriority w:val="0"/>
    <w:pPr>
      <w:ind w:left="1200" w:leftChars="1200"/>
    </w:pPr>
  </w:style>
  <w:style w:type="paragraph" w:styleId="73">
    <w:name w:val="index 9"/>
    <w:basedOn w:val="1"/>
    <w:next w:val="1"/>
    <w:semiHidden/>
    <w:qFormat/>
    <w:uiPriority w:val="0"/>
    <w:pPr>
      <w:ind w:left="1600" w:leftChars="1600"/>
    </w:pPr>
  </w:style>
  <w:style w:type="paragraph" w:styleId="74">
    <w:name w:val="table of figures"/>
    <w:basedOn w:val="1"/>
    <w:next w:val="1"/>
    <w:semiHidden/>
    <w:qFormat/>
    <w:uiPriority w:val="0"/>
    <w:pPr>
      <w:ind w:left="200" w:leftChars="200" w:hanging="200" w:hangingChars="200"/>
    </w:pPr>
  </w:style>
  <w:style w:type="paragraph" w:styleId="75">
    <w:name w:val="toc 2"/>
    <w:basedOn w:val="1"/>
    <w:next w:val="1"/>
    <w:qFormat/>
    <w:uiPriority w:val="0"/>
    <w:pPr>
      <w:ind w:left="210"/>
      <w:jc w:val="left"/>
    </w:pPr>
    <w:rPr>
      <w:smallCaps/>
      <w:sz w:val="20"/>
      <w:szCs w:val="20"/>
    </w:rPr>
  </w:style>
  <w:style w:type="paragraph" w:styleId="76">
    <w:name w:val="toc 9"/>
    <w:basedOn w:val="1"/>
    <w:next w:val="1"/>
    <w:qFormat/>
    <w:uiPriority w:val="0"/>
    <w:pPr>
      <w:ind w:left="1680"/>
      <w:jc w:val="left"/>
    </w:pPr>
    <w:rPr>
      <w:sz w:val="18"/>
      <w:szCs w:val="18"/>
    </w:rPr>
  </w:style>
  <w:style w:type="paragraph" w:styleId="77">
    <w:name w:val="Body Text 2"/>
    <w:basedOn w:val="1"/>
    <w:link w:val="119"/>
    <w:qFormat/>
    <w:uiPriority w:val="0"/>
    <w:rPr>
      <w:rFonts w:asciiTheme="minorHAnsi" w:hAnsiTheme="minorHAnsi" w:eastAsiaTheme="minorEastAsia" w:cstheme="minorBidi"/>
      <w:sz w:val="18"/>
    </w:rPr>
  </w:style>
  <w:style w:type="paragraph" w:styleId="78">
    <w:name w:val="List 4"/>
    <w:basedOn w:val="1"/>
    <w:qFormat/>
    <w:uiPriority w:val="0"/>
    <w:pPr>
      <w:ind w:left="100" w:leftChars="600" w:hanging="200" w:hangingChars="200"/>
    </w:pPr>
  </w:style>
  <w:style w:type="paragraph" w:styleId="79">
    <w:name w:val="List Continue 2"/>
    <w:basedOn w:val="1"/>
    <w:qFormat/>
    <w:uiPriority w:val="0"/>
    <w:pPr>
      <w:spacing w:after="120"/>
      <w:ind w:left="840" w:leftChars="400"/>
    </w:pPr>
  </w:style>
  <w:style w:type="paragraph" w:styleId="80">
    <w:name w:val="Message Header"/>
    <w:basedOn w:val="1"/>
    <w:link w:val="147"/>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1">
    <w:name w:val="HTML Preformatted"/>
    <w:basedOn w:val="1"/>
    <w:link w:val="12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kern w:val="0"/>
      <w:sz w:val="20"/>
      <w:szCs w:val="20"/>
    </w:rPr>
  </w:style>
  <w:style w:type="paragraph" w:styleId="82">
    <w:name w:val="Normal (Web)"/>
    <w:basedOn w:val="1"/>
    <w:qFormat/>
    <w:uiPriority w:val="0"/>
    <w:pPr>
      <w:widowControl/>
      <w:spacing w:before="100" w:beforeAutospacing="1" w:after="100" w:afterAutospacing="1"/>
      <w:jc w:val="left"/>
    </w:pPr>
    <w:rPr>
      <w:rFonts w:ascii="宋体" w:hAnsi="宋体"/>
      <w:kern w:val="0"/>
      <w:sz w:val="24"/>
    </w:rPr>
  </w:style>
  <w:style w:type="paragraph" w:styleId="83">
    <w:name w:val="List Continue 3"/>
    <w:basedOn w:val="1"/>
    <w:qFormat/>
    <w:uiPriority w:val="0"/>
    <w:pPr>
      <w:spacing w:after="120"/>
      <w:ind w:left="1260" w:leftChars="600"/>
    </w:pPr>
  </w:style>
  <w:style w:type="paragraph" w:styleId="84">
    <w:name w:val="index 2"/>
    <w:basedOn w:val="1"/>
    <w:next w:val="1"/>
    <w:semiHidden/>
    <w:qFormat/>
    <w:uiPriority w:val="0"/>
    <w:pPr>
      <w:ind w:left="200" w:leftChars="200"/>
    </w:pPr>
  </w:style>
  <w:style w:type="paragraph" w:styleId="85">
    <w:name w:val="Title"/>
    <w:basedOn w:val="1"/>
    <w:link w:val="123"/>
    <w:qFormat/>
    <w:uiPriority w:val="0"/>
    <w:pPr>
      <w:spacing w:before="240" w:after="60"/>
      <w:jc w:val="center"/>
      <w:outlineLvl w:val="0"/>
    </w:pPr>
    <w:rPr>
      <w:rFonts w:ascii="Arial" w:hAnsi="Arial" w:eastAsiaTheme="minorEastAsia" w:cstheme="minorBidi"/>
      <w:b/>
      <w:bCs/>
      <w:sz w:val="32"/>
      <w:szCs w:val="32"/>
    </w:rPr>
  </w:style>
  <w:style w:type="paragraph" w:styleId="86">
    <w:name w:val="annotation subject"/>
    <w:basedOn w:val="30"/>
    <w:next w:val="30"/>
    <w:link w:val="116"/>
    <w:qFormat/>
    <w:uiPriority w:val="0"/>
    <w:rPr>
      <w:rFonts w:eastAsiaTheme="minorEastAsia"/>
      <w:b/>
      <w:bCs/>
    </w:rPr>
  </w:style>
  <w:style w:type="paragraph" w:styleId="87">
    <w:name w:val="Body Text First Indent"/>
    <w:basedOn w:val="36"/>
    <w:link w:val="117"/>
    <w:qFormat/>
    <w:uiPriority w:val="0"/>
    <w:pPr>
      <w:widowControl/>
      <w:ind w:firstLine="420" w:firstLineChars="100"/>
      <w:jc w:val="left"/>
    </w:pPr>
    <w:rPr>
      <w:rFonts w:ascii="楷体_GB2312" w:eastAsia="楷体_GB2312"/>
      <w:b/>
      <w:sz w:val="30"/>
    </w:rPr>
  </w:style>
  <w:style w:type="paragraph" w:styleId="88">
    <w:name w:val="Body Text First Indent 2"/>
    <w:basedOn w:val="37"/>
    <w:link w:val="127"/>
    <w:qFormat/>
    <w:uiPriority w:val="0"/>
    <w:pPr>
      <w:ind w:firstLine="420" w:firstLineChars="200"/>
    </w:pPr>
    <w:rPr>
      <w:rFonts w:ascii="Times New Roman" w:hAnsi="Times New Roman"/>
    </w:rPr>
  </w:style>
  <w:style w:type="table" w:styleId="90">
    <w:name w:val="Table Grid"/>
    <w:basedOn w:val="89"/>
    <w:qFormat/>
    <w:uiPriority w:val="0"/>
    <w:pPr>
      <w:widowControl w:val="0"/>
      <w:jc w:val="both"/>
    </w:pPr>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2">
    <w:name w:val="Strong"/>
    <w:qFormat/>
    <w:uiPriority w:val="0"/>
    <w:rPr>
      <w:rFonts w:eastAsia="黑体"/>
      <w:b/>
      <w:bCs/>
      <w:sz w:val="44"/>
    </w:rPr>
  </w:style>
  <w:style w:type="character" w:styleId="93">
    <w:name w:val="page number"/>
    <w:basedOn w:val="91"/>
    <w:qFormat/>
    <w:uiPriority w:val="0"/>
  </w:style>
  <w:style w:type="character" w:styleId="94">
    <w:name w:val="Hyperlink"/>
    <w:qFormat/>
    <w:uiPriority w:val="99"/>
    <w:rPr>
      <w:color w:val="0000FF"/>
      <w:u w:val="single"/>
    </w:rPr>
  </w:style>
  <w:style w:type="character" w:styleId="95">
    <w:name w:val="annotation reference"/>
    <w:qFormat/>
    <w:uiPriority w:val="0"/>
    <w:rPr>
      <w:sz w:val="21"/>
      <w:szCs w:val="21"/>
    </w:rPr>
  </w:style>
  <w:style w:type="paragraph" w:customStyle="1" w:styleId="96">
    <w:name w:val="样式 宋体 小四 行距: 1.5 倍行距"/>
    <w:basedOn w:val="1"/>
    <w:qFormat/>
    <w:uiPriority w:val="0"/>
    <w:rPr>
      <w:rFonts w:ascii="宋体" w:hAnsi="宋体" w:cs="宋体"/>
      <w:sz w:val="28"/>
    </w:rPr>
  </w:style>
  <w:style w:type="character" w:customStyle="1" w:styleId="97">
    <w:name w:val="标题 1 Char"/>
    <w:basedOn w:val="91"/>
    <w:link w:val="5"/>
    <w:qFormat/>
    <w:uiPriority w:val="0"/>
    <w:rPr>
      <w:rFonts w:ascii="宋体" w:hAnsi="宋体" w:eastAsia="宋体" w:cs="Times New Roman"/>
      <w:b/>
      <w:bCs/>
      <w:sz w:val="48"/>
      <w:szCs w:val="24"/>
    </w:rPr>
  </w:style>
  <w:style w:type="character" w:customStyle="1" w:styleId="98">
    <w:name w:val="标题 2 Char"/>
    <w:basedOn w:val="91"/>
    <w:link w:val="6"/>
    <w:qFormat/>
    <w:uiPriority w:val="0"/>
    <w:rPr>
      <w:rFonts w:ascii="宋体" w:hAnsi="宋体" w:eastAsia="宋体" w:cs="Times New Roman"/>
      <w:b/>
      <w:kern w:val="0"/>
      <w:sz w:val="30"/>
      <w:szCs w:val="20"/>
    </w:rPr>
  </w:style>
  <w:style w:type="character" w:customStyle="1" w:styleId="99">
    <w:name w:val="标题 3 Char"/>
    <w:basedOn w:val="91"/>
    <w:link w:val="7"/>
    <w:qFormat/>
    <w:uiPriority w:val="0"/>
    <w:rPr>
      <w:rFonts w:ascii="宋体" w:hAnsi="宋体" w:eastAsia="宋体" w:cs="Times New Roman"/>
      <w:b/>
      <w:kern w:val="0"/>
      <w:sz w:val="28"/>
      <w:szCs w:val="20"/>
    </w:rPr>
  </w:style>
  <w:style w:type="character" w:customStyle="1" w:styleId="100">
    <w:name w:val="标题 4 Char"/>
    <w:basedOn w:val="91"/>
    <w:link w:val="8"/>
    <w:qFormat/>
    <w:uiPriority w:val="0"/>
    <w:rPr>
      <w:rFonts w:ascii="Arial" w:hAnsi="Arial" w:eastAsia="黑体" w:cs="Times New Roman"/>
      <w:b/>
      <w:bCs/>
      <w:sz w:val="28"/>
      <w:szCs w:val="28"/>
    </w:rPr>
  </w:style>
  <w:style w:type="character" w:customStyle="1" w:styleId="101">
    <w:name w:val="标题 5 Char"/>
    <w:basedOn w:val="91"/>
    <w:link w:val="9"/>
    <w:qFormat/>
    <w:uiPriority w:val="0"/>
    <w:rPr>
      <w:rFonts w:ascii="Arial" w:hAnsi="Arial" w:eastAsia="宋体" w:cs="Times New Roman"/>
      <w:kern w:val="0"/>
      <w:sz w:val="22"/>
      <w:szCs w:val="20"/>
    </w:rPr>
  </w:style>
  <w:style w:type="character" w:customStyle="1" w:styleId="102">
    <w:name w:val="标题 6 Char"/>
    <w:basedOn w:val="91"/>
    <w:link w:val="10"/>
    <w:qFormat/>
    <w:uiPriority w:val="0"/>
    <w:rPr>
      <w:rFonts w:ascii="Calibri" w:hAnsi="Arial" w:eastAsia="宋体" w:cs="Times New Roman"/>
      <w:i/>
      <w:kern w:val="0"/>
      <w:sz w:val="22"/>
      <w:szCs w:val="20"/>
    </w:rPr>
  </w:style>
  <w:style w:type="character" w:customStyle="1" w:styleId="103">
    <w:name w:val="标题 7 Char"/>
    <w:basedOn w:val="91"/>
    <w:link w:val="11"/>
    <w:qFormat/>
    <w:uiPriority w:val="0"/>
    <w:rPr>
      <w:rFonts w:ascii="Arial" w:hAnsi="Arial" w:eastAsia="宋体" w:cs="Times New Roman"/>
      <w:kern w:val="0"/>
      <w:sz w:val="20"/>
      <w:szCs w:val="20"/>
    </w:rPr>
  </w:style>
  <w:style w:type="character" w:customStyle="1" w:styleId="104">
    <w:name w:val="标题 8 Char"/>
    <w:basedOn w:val="91"/>
    <w:link w:val="12"/>
    <w:qFormat/>
    <w:uiPriority w:val="0"/>
    <w:rPr>
      <w:rFonts w:ascii="Arial" w:hAnsi="Arial" w:eastAsia="宋体" w:cs="Times New Roman"/>
      <w:i/>
      <w:kern w:val="0"/>
      <w:sz w:val="20"/>
      <w:szCs w:val="20"/>
    </w:rPr>
  </w:style>
  <w:style w:type="character" w:customStyle="1" w:styleId="105">
    <w:name w:val="标题 9 Char"/>
    <w:basedOn w:val="91"/>
    <w:link w:val="13"/>
    <w:qFormat/>
    <w:uiPriority w:val="0"/>
    <w:rPr>
      <w:rFonts w:ascii="Arial" w:hAnsi="Arial" w:eastAsia="宋体" w:cs="Times New Roman"/>
      <w:b/>
      <w:i/>
      <w:kern w:val="0"/>
      <w:sz w:val="18"/>
      <w:szCs w:val="20"/>
    </w:rPr>
  </w:style>
  <w:style w:type="character" w:customStyle="1" w:styleId="106">
    <w:name w:val="页脚2 Char"/>
    <w:link w:val="107"/>
    <w:qFormat/>
    <w:uiPriority w:val="0"/>
    <w:rPr>
      <w:rFonts w:ascii="宋体" w:hAnsi="宋体" w:eastAsia="宋体"/>
      <w:sz w:val="18"/>
      <w:szCs w:val="18"/>
    </w:rPr>
  </w:style>
  <w:style w:type="paragraph" w:customStyle="1" w:styleId="107">
    <w:name w:val="页脚2"/>
    <w:basedOn w:val="1"/>
    <w:link w:val="106"/>
    <w:qFormat/>
    <w:uiPriority w:val="0"/>
    <w:pPr>
      <w:widowControl/>
      <w:pBdr>
        <w:top w:val="single" w:color="auto" w:sz="6" w:space="0"/>
      </w:pBdr>
      <w:jc w:val="right"/>
      <w:textAlignment w:val="center"/>
    </w:pPr>
    <w:rPr>
      <w:rFonts w:ascii="宋体" w:hAnsi="宋体" w:cstheme="minorBidi"/>
      <w:sz w:val="18"/>
      <w:szCs w:val="18"/>
    </w:rPr>
  </w:style>
  <w:style w:type="character" w:customStyle="1" w:styleId="108">
    <w:name w:val="纯文本 Char"/>
    <w:link w:val="2"/>
    <w:qFormat/>
    <w:locked/>
    <w:uiPriority w:val="0"/>
    <w:rPr>
      <w:rFonts w:ascii="宋体" w:hAnsi="Courier New" w:eastAsia="宋体"/>
    </w:rPr>
  </w:style>
  <w:style w:type="character" w:customStyle="1" w:styleId="109">
    <w:name w:val="正文文本 Char"/>
    <w:link w:val="36"/>
    <w:qFormat/>
    <w:uiPriority w:val="0"/>
    <w:rPr>
      <w:rFonts w:eastAsia="宋体"/>
      <w:szCs w:val="24"/>
    </w:rPr>
  </w:style>
  <w:style w:type="character" w:customStyle="1" w:styleId="110">
    <w:name w:val="正文文本缩进 Char"/>
    <w:qFormat/>
    <w:uiPriority w:val="0"/>
    <w:rPr>
      <w:rFonts w:ascii="Arial" w:hAnsi="Arial" w:eastAsia="宋体"/>
      <w:kern w:val="2"/>
      <w:sz w:val="21"/>
      <w:szCs w:val="24"/>
      <w:lang w:val="en-US" w:eastAsia="zh-CN" w:bidi="ar-SA"/>
    </w:rPr>
  </w:style>
  <w:style w:type="character" w:customStyle="1" w:styleId="111">
    <w:name w:val="页脚 Char"/>
    <w:link w:val="56"/>
    <w:qFormat/>
    <w:uiPriority w:val="0"/>
    <w:rPr>
      <w:sz w:val="18"/>
    </w:rPr>
  </w:style>
  <w:style w:type="character" w:customStyle="1" w:styleId="112">
    <w:name w:val="页眉 Char"/>
    <w:link w:val="58"/>
    <w:qFormat/>
    <w:uiPriority w:val="0"/>
    <w:rPr>
      <w:sz w:val="18"/>
      <w:szCs w:val="18"/>
    </w:rPr>
  </w:style>
  <w:style w:type="character" w:customStyle="1" w:styleId="113">
    <w:name w:val="批注文字 Char"/>
    <w:link w:val="30"/>
    <w:semiHidden/>
    <w:qFormat/>
    <w:uiPriority w:val="0"/>
    <w:rPr>
      <w:rFonts w:eastAsia="宋体"/>
      <w:szCs w:val="24"/>
    </w:rPr>
  </w:style>
  <w:style w:type="character" w:customStyle="1" w:styleId="114">
    <w:name w:val="批注框文本 Char"/>
    <w:link w:val="55"/>
    <w:qFormat/>
    <w:uiPriority w:val="0"/>
    <w:rPr>
      <w:sz w:val="18"/>
      <w:szCs w:val="18"/>
    </w:rPr>
  </w:style>
  <w:style w:type="character" w:customStyle="1" w:styleId="115">
    <w:name w:val="文档结构图 Char"/>
    <w:link w:val="28"/>
    <w:qFormat/>
    <w:uiPriority w:val="0"/>
    <w:rPr>
      <w:szCs w:val="24"/>
      <w:shd w:val="clear" w:color="auto" w:fill="000080"/>
    </w:rPr>
  </w:style>
  <w:style w:type="character" w:customStyle="1" w:styleId="116">
    <w:name w:val="批注主题 Char"/>
    <w:link w:val="86"/>
    <w:qFormat/>
    <w:uiPriority w:val="0"/>
    <w:rPr>
      <w:b/>
      <w:bCs/>
      <w:szCs w:val="24"/>
    </w:rPr>
  </w:style>
  <w:style w:type="character" w:customStyle="1" w:styleId="117">
    <w:name w:val="正文首行缩进 Char"/>
    <w:link w:val="87"/>
    <w:qFormat/>
    <w:uiPriority w:val="0"/>
    <w:rPr>
      <w:rFonts w:ascii="楷体_GB2312" w:eastAsia="楷体_GB2312"/>
      <w:b/>
      <w:sz w:val="30"/>
      <w:szCs w:val="24"/>
    </w:rPr>
  </w:style>
  <w:style w:type="character" w:customStyle="1" w:styleId="118">
    <w:name w:val="正文文本 3 Char"/>
    <w:link w:val="33"/>
    <w:qFormat/>
    <w:uiPriority w:val="0"/>
    <w:rPr>
      <w:sz w:val="24"/>
    </w:rPr>
  </w:style>
  <w:style w:type="character" w:customStyle="1" w:styleId="119">
    <w:name w:val="正文文本 2 Char"/>
    <w:link w:val="77"/>
    <w:qFormat/>
    <w:uiPriority w:val="0"/>
    <w:rPr>
      <w:sz w:val="18"/>
      <w:szCs w:val="24"/>
    </w:rPr>
  </w:style>
  <w:style w:type="character" w:customStyle="1" w:styleId="120">
    <w:name w:val="正文缩进 Char"/>
    <w:link w:val="23"/>
    <w:qFormat/>
    <w:uiPriority w:val="0"/>
  </w:style>
  <w:style w:type="character" w:customStyle="1" w:styleId="121">
    <w:name w:val="列出段落 Char"/>
    <w:link w:val="122"/>
    <w:qFormat/>
    <w:uiPriority w:val="0"/>
    <w:rPr>
      <w:rFonts w:ascii="Calibri" w:hAnsi="Calibri"/>
    </w:rPr>
  </w:style>
  <w:style w:type="paragraph" w:styleId="122">
    <w:name w:val="List Paragraph"/>
    <w:basedOn w:val="1"/>
    <w:link w:val="121"/>
    <w:qFormat/>
    <w:uiPriority w:val="0"/>
    <w:pPr>
      <w:ind w:firstLine="420" w:firstLineChars="200"/>
    </w:pPr>
    <w:rPr>
      <w:rFonts w:eastAsiaTheme="minorEastAsia" w:cstheme="minorBidi"/>
      <w:szCs w:val="22"/>
    </w:rPr>
  </w:style>
  <w:style w:type="character" w:customStyle="1" w:styleId="123">
    <w:name w:val="标题 Char"/>
    <w:link w:val="85"/>
    <w:qFormat/>
    <w:uiPriority w:val="0"/>
    <w:rPr>
      <w:rFonts w:ascii="Arial" w:hAnsi="Arial"/>
      <w:b/>
      <w:bCs/>
      <w:sz w:val="32"/>
      <w:szCs w:val="32"/>
    </w:rPr>
  </w:style>
  <w:style w:type="character" w:customStyle="1" w:styleId="124">
    <w:name w:val="页眉 Char1"/>
    <w:basedOn w:val="91"/>
    <w:semiHidden/>
    <w:qFormat/>
    <w:uiPriority w:val="99"/>
    <w:rPr>
      <w:rFonts w:ascii="Calibri" w:hAnsi="Calibri" w:eastAsia="宋体" w:cs="Times New Roman"/>
      <w:sz w:val="18"/>
      <w:szCs w:val="18"/>
    </w:rPr>
  </w:style>
  <w:style w:type="character" w:customStyle="1" w:styleId="125">
    <w:name w:val="HTML 预设格式 Char"/>
    <w:basedOn w:val="91"/>
    <w:link w:val="81"/>
    <w:qFormat/>
    <w:uiPriority w:val="0"/>
    <w:rPr>
      <w:rFonts w:ascii="黑体" w:hAnsi="Courier New" w:eastAsia="黑体" w:cs="Courier New"/>
      <w:kern w:val="0"/>
      <w:sz w:val="20"/>
      <w:szCs w:val="20"/>
    </w:rPr>
  </w:style>
  <w:style w:type="character" w:customStyle="1" w:styleId="126">
    <w:name w:val="正文文本缩进 Char1"/>
    <w:basedOn w:val="91"/>
    <w:link w:val="37"/>
    <w:semiHidden/>
    <w:qFormat/>
    <w:uiPriority w:val="99"/>
    <w:rPr>
      <w:rFonts w:ascii="Calibri" w:hAnsi="Calibri" w:eastAsia="宋体" w:cs="Times New Roman"/>
      <w:szCs w:val="24"/>
    </w:rPr>
  </w:style>
  <w:style w:type="character" w:customStyle="1" w:styleId="127">
    <w:name w:val="正文首行缩进 2 Char"/>
    <w:basedOn w:val="126"/>
    <w:link w:val="88"/>
    <w:qFormat/>
    <w:uiPriority w:val="0"/>
    <w:rPr>
      <w:rFonts w:ascii="Times New Roman" w:hAnsi="Times New Roman" w:eastAsia="宋体" w:cs="Times New Roman"/>
      <w:szCs w:val="24"/>
    </w:rPr>
  </w:style>
  <w:style w:type="character" w:customStyle="1" w:styleId="128">
    <w:name w:val="正文文本 3 Char1"/>
    <w:basedOn w:val="91"/>
    <w:semiHidden/>
    <w:qFormat/>
    <w:uiPriority w:val="99"/>
    <w:rPr>
      <w:rFonts w:ascii="Calibri" w:hAnsi="Calibri" w:eastAsia="宋体" w:cs="Times New Roman"/>
      <w:sz w:val="16"/>
      <w:szCs w:val="16"/>
    </w:rPr>
  </w:style>
  <w:style w:type="paragraph" w:customStyle="1" w:styleId="129">
    <w:name w:val="Char Char2 Char1"/>
    <w:basedOn w:val="1"/>
    <w:qFormat/>
    <w:uiPriority w:val="0"/>
  </w:style>
  <w:style w:type="character" w:customStyle="1" w:styleId="130">
    <w:name w:val="正文文本 Char1"/>
    <w:basedOn w:val="91"/>
    <w:semiHidden/>
    <w:qFormat/>
    <w:uiPriority w:val="99"/>
    <w:rPr>
      <w:rFonts w:ascii="Calibri" w:hAnsi="Calibri" w:eastAsia="宋体" w:cs="Times New Roman"/>
      <w:szCs w:val="24"/>
    </w:rPr>
  </w:style>
  <w:style w:type="character" w:customStyle="1" w:styleId="131">
    <w:name w:val="称呼 Char"/>
    <w:basedOn w:val="91"/>
    <w:link w:val="32"/>
    <w:qFormat/>
    <w:uiPriority w:val="0"/>
    <w:rPr>
      <w:rFonts w:ascii="Calibri" w:hAnsi="Calibri" w:eastAsia="宋体" w:cs="Times New Roman"/>
      <w:szCs w:val="24"/>
    </w:rPr>
  </w:style>
  <w:style w:type="character" w:customStyle="1" w:styleId="132">
    <w:name w:val="正文文本 2 Char1"/>
    <w:basedOn w:val="91"/>
    <w:semiHidden/>
    <w:qFormat/>
    <w:uiPriority w:val="99"/>
    <w:rPr>
      <w:rFonts w:ascii="Calibri" w:hAnsi="Calibri" w:eastAsia="宋体" w:cs="Times New Roman"/>
      <w:szCs w:val="24"/>
    </w:rPr>
  </w:style>
  <w:style w:type="character" w:customStyle="1" w:styleId="133">
    <w:name w:val="副标题 Char"/>
    <w:basedOn w:val="91"/>
    <w:link w:val="65"/>
    <w:qFormat/>
    <w:uiPriority w:val="0"/>
    <w:rPr>
      <w:rFonts w:ascii="Arial" w:hAnsi="Arial" w:eastAsia="宋体" w:cs="Arial"/>
      <w:b/>
      <w:bCs/>
      <w:kern w:val="28"/>
      <w:sz w:val="32"/>
      <w:szCs w:val="32"/>
    </w:rPr>
  </w:style>
  <w:style w:type="character" w:customStyle="1" w:styleId="134">
    <w:name w:val="正文文本缩进 2 Char"/>
    <w:basedOn w:val="91"/>
    <w:link w:val="52"/>
    <w:qFormat/>
    <w:uiPriority w:val="0"/>
    <w:rPr>
      <w:rFonts w:ascii="宋体" w:hAnsi="宋体" w:eastAsia="宋体" w:cs="Times New Roman"/>
      <w:sz w:val="24"/>
      <w:szCs w:val="24"/>
    </w:rPr>
  </w:style>
  <w:style w:type="character" w:customStyle="1" w:styleId="135">
    <w:name w:val="HTML 地址 Char"/>
    <w:basedOn w:val="91"/>
    <w:link w:val="43"/>
    <w:qFormat/>
    <w:uiPriority w:val="0"/>
    <w:rPr>
      <w:rFonts w:ascii="Calibri" w:hAnsi="Calibri" w:eastAsia="宋体" w:cs="Times New Roman"/>
      <w:i/>
      <w:iCs/>
      <w:szCs w:val="24"/>
    </w:rPr>
  </w:style>
  <w:style w:type="character" w:customStyle="1" w:styleId="136">
    <w:name w:val="批注文字 Char1"/>
    <w:basedOn w:val="91"/>
    <w:semiHidden/>
    <w:qFormat/>
    <w:uiPriority w:val="99"/>
    <w:rPr>
      <w:rFonts w:ascii="Calibri" w:hAnsi="Calibri" w:eastAsia="宋体" w:cs="Times New Roman"/>
      <w:szCs w:val="24"/>
    </w:rPr>
  </w:style>
  <w:style w:type="character" w:customStyle="1" w:styleId="137">
    <w:name w:val="日期 Char"/>
    <w:basedOn w:val="91"/>
    <w:link w:val="51"/>
    <w:qFormat/>
    <w:uiPriority w:val="0"/>
    <w:rPr>
      <w:rFonts w:ascii="Calibri" w:hAnsi="Calibri" w:eastAsia="宋体" w:cs="Times New Roman"/>
      <w:kern w:val="0"/>
      <w:sz w:val="32"/>
      <w:szCs w:val="20"/>
    </w:rPr>
  </w:style>
  <w:style w:type="paragraph" w:customStyle="1" w:styleId="138">
    <w:name w:val="Char Char Char Char"/>
    <w:basedOn w:val="1"/>
    <w:qFormat/>
    <w:uiPriority w:val="0"/>
    <w:pPr>
      <w:widowControl/>
      <w:spacing w:after="160" w:line="240" w:lineRule="exact"/>
      <w:jc w:val="left"/>
    </w:pPr>
    <w:rPr>
      <w:szCs w:val="20"/>
    </w:rPr>
  </w:style>
  <w:style w:type="character" w:customStyle="1" w:styleId="139">
    <w:name w:val="文档结构图 Char1"/>
    <w:basedOn w:val="91"/>
    <w:semiHidden/>
    <w:qFormat/>
    <w:uiPriority w:val="99"/>
    <w:rPr>
      <w:rFonts w:ascii="宋体" w:hAnsi="Calibri" w:eastAsia="宋体" w:cs="Times New Roman"/>
      <w:sz w:val="18"/>
      <w:szCs w:val="18"/>
    </w:rPr>
  </w:style>
  <w:style w:type="paragraph" w:customStyle="1" w:styleId="140">
    <w:name w:val="Char Char Char Char Char Char Char Char Char Char Char Char Char"/>
    <w:basedOn w:val="28"/>
    <w:qFormat/>
    <w:uiPriority w:val="0"/>
    <w:rPr>
      <w:szCs w:val="20"/>
    </w:rPr>
  </w:style>
  <w:style w:type="character" w:customStyle="1" w:styleId="141">
    <w:name w:val="尾注文本 Char"/>
    <w:basedOn w:val="91"/>
    <w:link w:val="53"/>
    <w:semiHidden/>
    <w:qFormat/>
    <w:uiPriority w:val="0"/>
    <w:rPr>
      <w:rFonts w:ascii="Calibri" w:hAnsi="Calibri" w:eastAsia="宋体" w:cs="Times New Roman"/>
      <w:szCs w:val="24"/>
    </w:rPr>
  </w:style>
  <w:style w:type="character" w:customStyle="1" w:styleId="142">
    <w:name w:val="结束语 Char"/>
    <w:basedOn w:val="91"/>
    <w:link w:val="34"/>
    <w:qFormat/>
    <w:uiPriority w:val="0"/>
    <w:rPr>
      <w:rFonts w:ascii="Calibri" w:hAnsi="Calibri" w:eastAsia="宋体" w:cs="Times New Roman"/>
      <w:szCs w:val="24"/>
    </w:rPr>
  </w:style>
  <w:style w:type="character" w:customStyle="1" w:styleId="143">
    <w:name w:val="注释标题 Char"/>
    <w:basedOn w:val="91"/>
    <w:link w:val="18"/>
    <w:qFormat/>
    <w:uiPriority w:val="0"/>
    <w:rPr>
      <w:rFonts w:ascii="Calibri" w:hAnsi="Calibri" w:eastAsia="宋体" w:cs="Times New Roman"/>
      <w:szCs w:val="24"/>
    </w:rPr>
  </w:style>
  <w:style w:type="paragraph" w:customStyle="1" w:styleId="144">
    <w:name w:val="样式 小四 段前: 5 磅 段后: 5 磅 首行缩进:  2 字符"/>
    <w:basedOn w:val="1"/>
    <w:qFormat/>
    <w:uiPriority w:val="0"/>
    <w:pPr>
      <w:spacing w:line="360" w:lineRule="auto"/>
    </w:pPr>
    <w:rPr>
      <w:rFonts w:ascii="宋体" w:hAnsi="宋体"/>
      <w:color w:val="000000"/>
      <w:sz w:val="24"/>
    </w:rPr>
  </w:style>
  <w:style w:type="character" w:customStyle="1" w:styleId="145">
    <w:name w:val="标题 Char1"/>
    <w:basedOn w:val="91"/>
    <w:qFormat/>
    <w:uiPriority w:val="10"/>
    <w:rPr>
      <w:rFonts w:eastAsia="宋体" w:asciiTheme="majorHAnsi" w:hAnsiTheme="majorHAnsi" w:cstheme="majorBidi"/>
      <w:b/>
      <w:bCs/>
      <w:sz w:val="32"/>
      <w:szCs w:val="32"/>
    </w:rPr>
  </w:style>
  <w:style w:type="character" w:customStyle="1" w:styleId="146">
    <w:name w:val="签名 Char"/>
    <w:basedOn w:val="91"/>
    <w:link w:val="59"/>
    <w:qFormat/>
    <w:uiPriority w:val="0"/>
    <w:rPr>
      <w:rFonts w:ascii="Calibri" w:hAnsi="Calibri" w:eastAsia="宋体" w:cs="Times New Roman"/>
      <w:szCs w:val="24"/>
    </w:rPr>
  </w:style>
  <w:style w:type="character" w:customStyle="1" w:styleId="147">
    <w:name w:val="信息标题 Char"/>
    <w:basedOn w:val="91"/>
    <w:link w:val="80"/>
    <w:qFormat/>
    <w:uiPriority w:val="0"/>
    <w:rPr>
      <w:rFonts w:ascii="Arial" w:hAnsi="Arial" w:eastAsia="宋体" w:cs="Arial"/>
      <w:sz w:val="24"/>
      <w:szCs w:val="24"/>
      <w:shd w:val="pct20" w:color="auto" w:fill="auto"/>
    </w:rPr>
  </w:style>
  <w:style w:type="character" w:customStyle="1" w:styleId="148">
    <w:name w:val="批注框文本 Char1"/>
    <w:basedOn w:val="91"/>
    <w:semiHidden/>
    <w:qFormat/>
    <w:uiPriority w:val="99"/>
    <w:rPr>
      <w:rFonts w:ascii="Calibri" w:hAnsi="Calibri" w:eastAsia="宋体" w:cs="Times New Roman"/>
      <w:sz w:val="18"/>
      <w:szCs w:val="18"/>
    </w:rPr>
  </w:style>
  <w:style w:type="character" w:customStyle="1" w:styleId="149">
    <w:name w:val="正文首行缩进 Char1"/>
    <w:basedOn w:val="130"/>
    <w:semiHidden/>
    <w:qFormat/>
    <w:uiPriority w:val="99"/>
    <w:rPr>
      <w:rFonts w:ascii="Calibri" w:hAnsi="Calibri" w:eastAsia="宋体" w:cs="Times New Roman"/>
      <w:szCs w:val="24"/>
    </w:rPr>
  </w:style>
  <w:style w:type="character" w:customStyle="1" w:styleId="150">
    <w:name w:val="宏文本 Char"/>
    <w:basedOn w:val="91"/>
    <w:link w:val="4"/>
    <w:semiHidden/>
    <w:qFormat/>
    <w:uiPriority w:val="0"/>
    <w:rPr>
      <w:rFonts w:ascii="Courier New" w:hAnsi="Courier New" w:eastAsia="宋体" w:cs="Courier New"/>
      <w:sz w:val="24"/>
      <w:szCs w:val="24"/>
    </w:rPr>
  </w:style>
  <w:style w:type="character" w:customStyle="1" w:styleId="151">
    <w:name w:val="页脚 Char1"/>
    <w:basedOn w:val="91"/>
    <w:semiHidden/>
    <w:qFormat/>
    <w:uiPriority w:val="99"/>
    <w:rPr>
      <w:rFonts w:ascii="Calibri" w:hAnsi="Calibri" w:eastAsia="宋体" w:cs="Times New Roman"/>
      <w:sz w:val="18"/>
      <w:szCs w:val="18"/>
    </w:rPr>
  </w:style>
  <w:style w:type="character" w:customStyle="1" w:styleId="152">
    <w:name w:val="批注主题 Char1"/>
    <w:basedOn w:val="136"/>
    <w:semiHidden/>
    <w:qFormat/>
    <w:uiPriority w:val="99"/>
    <w:rPr>
      <w:rFonts w:ascii="Calibri" w:hAnsi="Calibri" w:eastAsia="宋体" w:cs="Times New Roman"/>
      <w:b/>
      <w:bCs/>
      <w:szCs w:val="24"/>
    </w:rPr>
  </w:style>
  <w:style w:type="character" w:customStyle="1" w:styleId="153">
    <w:name w:val="纯文本 Char1"/>
    <w:basedOn w:val="91"/>
    <w:semiHidden/>
    <w:qFormat/>
    <w:uiPriority w:val="99"/>
    <w:rPr>
      <w:rFonts w:ascii="宋体" w:hAnsi="Courier New" w:eastAsia="宋体" w:cs="Courier New"/>
      <w:szCs w:val="21"/>
    </w:rPr>
  </w:style>
  <w:style w:type="character" w:customStyle="1" w:styleId="154">
    <w:name w:val="电子邮件签名 Char"/>
    <w:basedOn w:val="91"/>
    <w:link w:val="21"/>
    <w:qFormat/>
    <w:uiPriority w:val="0"/>
    <w:rPr>
      <w:rFonts w:ascii="Calibri" w:hAnsi="Calibri" w:eastAsia="宋体" w:cs="Times New Roman"/>
      <w:szCs w:val="24"/>
    </w:rPr>
  </w:style>
  <w:style w:type="paragraph" w:customStyle="1" w:styleId="155">
    <w:name w:val="样式4"/>
    <w:basedOn w:val="1"/>
    <w:qFormat/>
    <w:uiPriority w:val="0"/>
    <w:pPr>
      <w:tabs>
        <w:tab w:val="left" w:pos="2328"/>
      </w:tabs>
      <w:ind w:left="2328" w:hanging="708"/>
    </w:pPr>
  </w:style>
  <w:style w:type="character" w:customStyle="1" w:styleId="156">
    <w:name w:val="脚注文本 Char"/>
    <w:basedOn w:val="91"/>
    <w:link w:val="68"/>
    <w:semiHidden/>
    <w:qFormat/>
    <w:uiPriority w:val="0"/>
    <w:rPr>
      <w:rFonts w:ascii="Calibri" w:hAnsi="Calibri" w:eastAsia="宋体" w:cs="Times New Roman"/>
      <w:sz w:val="18"/>
      <w:szCs w:val="18"/>
    </w:rPr>
  </w:style>
  <w:style w:type="character" w:customStyle="1" w:styleId="157">
    <w:name w:val="正文文本缩进 3 Char"/>
    <w:basedOn w:val="91"/>
    <w:link w:val="71"/>
    <w:qFormat/>
    <w:uiPriority w:val="0"/>
    <w:rPr>
      <w:rFonts w:ascii="宋体" w:hAnsi="宋体" w:eastAsia="宋体" w:cs="Times New Roman"/>
      <w:sz w:val="24"/>
      <w:szCs w:val="24"/>
    </w:rPr>
  </w:style>
  <w:style w:type="paragraph" w:customStyle="1" w:styleId="158">
    <w:name w:val="xl24"/>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hint="eastAsia" w:ascii="楷体_GB2312" w:hAnsi="宋体" w:eastAsia="楷体_GB2312"/>
      <w:kern w:val="0"/>
      <w:sz w:val="24"/>
    </w:rPr>
  </w:style>
  <w:style w:type="paragraph" w:customStyle="1" w:styleId="159">
    <w:name w:val="Char2"/>
    <w:basedOn w:val="1"/>
    <w:qFormat/>
    <w:uiPriority w:val="0"/>
    <w:rPr>
      <w:rFonts w:ascii="Tahoma" w:hAnsi="Tahoma"/>
      <w:sz w:val="24"/>
      <w:szCs w:val="20"/>
    </w:rPr>
  </w:style>
  <w:style w:type="paragraph" w:customStyle="1" w:styleId="160">
    <w:name w:val="xl30"/>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eastAsia="Arial Unicode MS"/>
      <w:kern w:val="0"/>
      <w:sz w:val="20"/>
      <w:szCs w:val="20"/>
    </w:rPr>
  </w:style>
  <w:style w:type="paragraph" w:customStyle="1" w:styleId="161">
    <w:name w:val="列出段落1"/>
    <w:basedOn w:val="1"/>
    <w:qFormat/>
    <w:uiPriority w:val="0"/>
    <w:pPr>
      <w:ind w:firstLine="420" w:firstLineChars="200"/>
    </w:pPr>
  </w:style>
  <w:style w:type="paragraph" w:customStyle="1" w:styleId="162">
    <w:name w:val="内正文"/>
    <w:basedOn w:val="1"/>
    <w:qFormat/>
    <w:uiPriority w:val="0"/>
    <w:pPr>
      <w:ind w:firstLine="420"/>
    </w:pPr>
    <w:rPr>
      <w:rFonts w:eastAsia="文鼎CS书宋二"/>
      <w:szCs w:val="20"/>
    </w:rPr>
  </w:style>
  <w:style w:type="paragraph" w:customStyle="1" w:styleId="163">
    <w:name w:val="Char Char Char Char Char Char Char Char Char Char"/>
    <w:basedOn w:val="1"/>
    <w:qFormat/>
    <w:uiPriority w:val="0"/>
    <w:rPr>
      <w:rFonts w:ascii="Tahoma" w:hAnsi="Tahoma"/>
      <w:sz w:val="24"/>
      <w:szCs w:val="20"/>
    </w:rPr>
  </w:style>
  <w:style w:type="paragraph" w:customStyle="1" w:styleId="164">
    <w:name w:val="5"/>
    <w:basedOn w:val="1"/>
    <w:qFormat/>
    <w:uiPriority w:val="0"/>
    <w:rPr>
      <w:rFonts w:ascii="Tahoma" w:hAnsi="Tahoma"/>
      <w:sz w:val="24"/>
      <w:szCs w:val="20"/>
    </w:rPr>
  </w:style>
  <w:style w:type="paragraph" w:customStyle="1" w:styleId="165">
    <w:name w:val="Char"/>
    <w:basedOn w:val="1"/>
    <w:qFormat/>
    <w:uiPriority w:val="0"/>
    <w:pPr>
      <w:adjustRightInd w:val="0"/>
      <w:spacing w:line="360" w:lineRule="auto"/>
    </w:pPr>
    <w:rPr>
      <w:kern w:val="0"/>
      <w:sz w:val="24"/>
      <w:szCs w:val="20"/>
    </w:rPr>
  </w:style>
  <w:style w:type="paragraph" w:customStyle="1" w:styleId="166">
    <w:name w:val="Char Char Char1"/>
    <w:basedOn w:val="1"/>
    <w:qFormat/>
    <w:uiPriority w:val="0"/>
    <w:rPr>
      <w:rFonts w:ascii="宋体" w:hAnsi="宋体"/>
      <w:b/>
      <w:sz w:val="28"/>
      <w:szCs w:val="28"/>
    </w:rPr>
  </w:style>
  <w:style w:type="paragraph" w:customStyle="1" w:styleId="167">
    <w:name w:val="表"/>
    <w:basedOn w:val="1"/>
    <w:qFormat/>
    <w:uiPriority w:val="0"/>
    <w:pPr>
      <w:spacing w:line="460" w:lineRule="exact"/>
    </w:pPr>
    <w:rPr>
      <w:rFonts w:ascii="宋体" w:hAnsi="宋体"/>
      <w:b/>
      <w:bCs/>
      <w:szCs w:val="20"/>
    </w:rPr>
  </w:style>
  <w:style w:type="paragraph" w:customStyle="1" w:styleId="168">
    <w:name w:val="样式"/>
    <w:basedOn w:val="1"/>
    <w:next w:val="37"/>
    <w:qFormat/>
    <w:uiPriority w:val="0"/>
    <w:pPr>
      <w:jc w:val="center"/>
    </w:pPr>
    <w:rPr>
      <w:rFonts w:ascii="宋体" w:hAnsi="宋体"/>
      <w:color w:val="FF0000"/>
      <w:sz w:val="24"/>
    </w:rPr>
  </w:style>
  <w:style w:type="paragraph" w:customStyle="1" w:styleId="169">
    <w:name w:val="Char1 Char Char Char"/>
    <w:basedOn w:val="1"/>
    <w:qFormat/>
    <w:uiPriority w:val="0"/>
    <w:rPr>
      <w:szCs w:val="20"/>
    </w:rPr>
  </w:style>
  <w:style w:type="paragraph" w:customStyle="1" w:styleId="170">
    <w:name w:val="列出段落111"/>
    <w:basedOn w:val="1"/>
    <w:qFormat/>
    <w:uiPriority w:val="0"/>
    <w:pPr>
      <w:ind w:firstLine="420" w:firstLineChars="200"/>
    </w:pPr>
  </w:style>
  <w:style w:type="paragraph" w:customStyle="1" w:styleId="171">
    <w:name w:val="默认段落字体 Para Char Char Char Char Char Char Char"/>
    <w:basedOn w:val="1"/>
    <w:qFormat/>
    <w:uiPriority w:val="0"/>
    <w:rPr>
      <w:rFonts w:ascii="Tahoma" w:hAnsi="Tahoma"/>
      <w:sz w:val="24"/>
      <w:szCs w:val="20"/>
    </w:rPr>
  </w:style>
  <w:style w:type="paragraph" w:customStyle="1" w:styleId="172">
    <w:name w:val="Style Body Text + 12 pt"/>
    <w:basedOn w:val="36"/>
    <w:qFormat/>
    <w:uiPriority w:val="0"/>
    <w:pPr>
      <w:widowControl/>
      <w:tabs>
        <w:tab w:val="left" w:pos="2487"/>
      </w:tabs>
      <w:spacing w:before="120"/>
      <w:ind w:left="2487" w:hanging="360"/>
    </w:pPr>
    <w:rPr>
      <w:kern w:val="0"/>
      <w:sz w:val="24"/>
      <w:szCs w:val="20"/>
      <w:lang w:val="zh-CN"/>
    </w:rPr>
  </w:style>
  <w:style w:type="paragraph" w:customStyle="1" w:styleId="173">
    <w:name w:val="Table Paragraph"/>
    <w:basedOn w:val="1"/>
    <w:qFormat/>
    <w:uiPriority w:val="0"/>
    <w:pPr>
      <w:jc w:val="left"/>
    </w:pPr>
    <w:rPr>
      <w:kern w:val="0"/>
      <w:sz w:val="22"/>
      <w:szCs w:val="22"/>
      <w:lang w:eastAsia="en-US"/>
    </w:rPr>
  </w:style>
  <w:style w:type="paragraph" w:customStyle="1" w:styleId="174">
    <w:name w:val="qw"/>
    <w:qFormat/>
    <w:uiPriority w:val="0"/>
    <w:pPr>
      <w:widowControl w:val="0"/>
      <w:adjustRightInd w:val="0"/>
      <w:spacing w:line="312" w:lineRule="atLeast"/>
      <w:jc w:val="both"/>
      <w:textAlignment w:val="baseline"/>
    </w:pPr>
    <w:rPr>
      <w:rFonts w:ascii="宋体" w:hAnsi="Calibri" w:eastAsia="宋体" w:cs="Times New Roman"/>
      <w:kern w:val="0"/>
      <w:sz w:val="24"/>
      <w:szCs w:val="20"/>
      <w:lang w:val="en-US" w:eastAsia="zh-CN" w:bidi="ar-SA"/>
    </w:rPr>
  </w:style>
  <w:style w:type="paragraph" w:customStyle="1" w:styleId="175">
    <w:name w:val="xl29"/>
    <w:basedOn w:val="1"/>
    <w:qFormat/>
    <w:uiPriority w:val="0"/>
    <w:pPr>
      <w:widowControl/>
      <w:spacing w:before="100" w:beforeAutospacing="1" w:after="100" w:afterAutospacing="1"/>
      <w:jc w:val="center"/>
    </w:pPr>
    <w:rPr>
      <w:rFonts w:ascii="宋体" w:hAnsi="宋体"/>
      <w:kern w:val="0"/>
      <w:sz w:val="28"/>
      <w:szCs w:val="28"/>
    </w:rPr>
  </w:style>
  <w:style w:type="paragraph" w:customStyle="1" w:styleId="176">
    <w:name w:val="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77">
    <w:name w:val="样式1"/>
    <w:basedOn w:val="1"/>
    <w:qFormat/>
    <w:uiPriority w:val="0"/>
    <w:pPr>
      <w:spacing w:line="440" w:lineRule="atLeast"/>
      <w:outlineLvl w:val="0"/>
    </w:pPr>
    <w:rPr>
      <w:rFonts w:ascii="宋体" w:hAnsi="宋体"/>
      <w:sz w:val="24"/>
    </w:rPr>
  </w:style>
  <w:style w:type="paragraph" w:customStyle="1" w:styleId="178">
    <w:name w:val="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179">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80">
    <w:name w:val="Char Char Char Char Char Char1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81">
    <w:name w:val="tabletext"/>
    <w:basedOn w:val="1"/>
    <w:qFormat/>
    <w:uiPriority w:val="0"/>
    <w:pPr>
      <w:widowControl/>
      <w:spacing w:before="100" w:beforeAutospacing="1" w:after="100" w:afterAutospacing="1" w:line="268" w:lineRule="atLeast"/>
      <w:jc w:val="left"/>
    </w:pPr>
    <w:rPr>
      <w:rFonts w:ascii="Arial Unicode MS" w:hAnsi="Arial Unicode MS" w:eastAsia="Arial Unicode MS"/>
      <w:kern w:val="0"/>
      <w:sz w:val="20"/>
      <w:szCs w:val="20"/>
    </w:rPr>
  </w:style>
  <w:style w:type="paragraph" w:customStyle="1" w:styleId="182">
    <w:name w:val="Char Char Char Char Char Char1 Char1"/>
    <w:basedOn w:val="1"/>
    <w:qFormat/>
    <w:uiPriority w:val="0"/>
    <w:pPr>
      <w:widowControl/>
      <w:spacing w:after="160" w:line="240" w:lineRule="exact"/>
      <w:jc w:val="left"/>
    </w:pPr>
    <w:rPr>
      <w:rFonts w:ascii="Arial" w:hAnsi="Arial" w:eastAsia="楷体_GB2312" w:cs="Verdana"/>
      <w:b/>
      <w:kern w:val="0"/>
      <w:sz w:val="24"/>
      <w:lang w:eastAsia="en-US"/>
    </w:rPr>
  </w:style>
  <w:style w:type="paragraph" w:customStyle="1" w:styleId="183">
    <w:name w:val="正文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4">
    <w:name w:val="列出段落11"/>
    <w:basedOn w:val="1"/>
    <w:qFormat/>
    <w:uiPriority w:val="0"/>
    <w:pPr>
      <w:ind w:firstLine="420" w:firstLineChars="200"/>
    </w:pPr>
    <w:rPr>
      <w:szCs w:val="22"/>
    </w:rPr>
  </w:style>
  <w:style w:type="paragraph" w:customStyle="1" w:styleId="185">
    <w:name w:val="表格和图形名称"/>
    <w:basedOn w:val="1"/>
    <w:next w:val="1"/>
    <w:qFormat/>
    <w:uiPriority w:val="0"/>
    <w:pPr>
      <w:widowControl/>
      <w:spacing w:afterLines="50" w:line="360" w:lineRule="auto"/>
      <w:jc w:val="center"/>
    </w:pPr>
    <w:rPr>
      <w:kern w:val="0"/>
      <w:szCs w:val="20"/>
    </w:rPr>
  </w:style>
  <w:style w:type="paragraph" w:customStyle="1" w:styleId="186">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187">
    <w:name w:val="正文1"/>
    <w:basedOn w:val="1"/>
    <w:qFormat/>
    <w:uiPriority w:val="0"/>
    <w:pPr>
      <w:adjustRightInd w:val="0"/>
      <w:spacing w:line="312" w:lineRule="atLeast"/>
    </w:pPr>
    <w:rPr>
      <w:kern w:val="0"/>
      <w:sz w:val="28"/>
      <w:szCs w:val="20"/>
    </w:rPr>
  </w:style>
  <w:style w:type="paragraph" w:customStyle="1" w:styleId="188">
    <w:name w:val="排列"/>
    <w:basedOn w:val="67"/>
    <w:next w:val="67"/>
    <w:qFormat/>
    <w:uiPriority w:val="0"/>
    <w:pPr>
      <w:tabs>
        <w:tab w:val="left" w:pos="1261"/>
        <w:tab w:val="clear" w:pos="360"/>
      </w:tabs>
      <w:ind w:left="1261" w:hanging="420"/>
    </w:pPr>
  </w:style>
  <w:style w:type="paragraph" w:customStyle="1" w:styleId="189">
    <w:name w:val="Char1 Char Char Char1"/>
    <w:basedOn w:val="1"/>
    <w:qFormat/>
    <w:uiPriority w:val="0"/>
    <w:pPr>
      <w:ind w:left="420" w:hanging="420"/>
    </w:pPr>
    <w:rPr>
      <w:sz w:val="24"/>
    </w:rPr>
  </w:style>
  <w:style w:type="paragraph" w:customStyle="1" w:styleId="190">
    <w:name w:val="修订1"/>
    <w:semiHidden/>
    <w:qFormat/>
    <w:uiPriority w:val="0"/>
    <w:rPr>
      <w:rFonts w:ascii="Calibri" w:hAnsi="Calibri" w:eastAsia="宋体" w:cs="Times New Roman"/>
      <w:kern w:val="2"/>
      <w:sz w:val="21"/>
      <w:szCs w:val="24"/>
      <w:lang w:val="en-US" w:eastAsia="zh-CN" w:bidi="ar-SA"/>
    </w:rPr>
  </w:style>
  <w:style w:type="paragraph" w:customStyle="1" w:styleId="191">
    <w:name w:val="Char Char Char Char Char Char Char Char Char Char Char Char Char1"/>
    <w:basedOn w:val="28"/>
    <w:qFormat/>
    <w:uiPriority w:val="0"/>
    <w:rPr>
      <w:szCs w:val="20"/>
    </w:rPr>
  </w:style>
  <w:style w:type="paragraph" w:customStyle="1" w:styleId="192">
    <w:name w:val="Char Char1 Char Char Char Char"/>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3">
    <w:name w:val="封面2"/>
    <w:basedOn w:val="1"/>
    <w:qFormat/>
    <w:uiPriority w:val="0"/>
    <w:pPr>
      <w:spacing w:line="360" w:lineRule="auto"/>
      <w:jc w:val="center"/>
    </w:pPr>
    <w:rPr>
      <w:rFonts w:ascii="黑体" w:hAnsi="宋体" w:eastAsia="黑体"/>
      <w:b/>
      <w:spacing w:val="-30"/>
      <w:sz w:val="96"/>
    </w:rPr>
  </w:style>
  <w:style w:type="paragraph" w:customStyle="1" w:styleId="194">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95">
    <w:name w:val="Char Char1 Char Char Char Char1"/>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6">
    <w:name w:val="Char Char2 Char"/>
    <w:basedOn w:val="1"/>
    <w:qFormat/>
    <w:uiPriority w:val="0"/>
  </w:style>
  <w:style w:type="paragraph" w:customStyle="1" w:styleId="197">
    <w:name w:val="Char Char Char Char Char Char Char Char Char Char1"/>
    <w:basedOn w:val="1"/>
    <w:qFormat/>
    <w:uiPriority w:val="0"/>
    <w:rPr>
      <w:rFonts w:ascii="Tahoma" w:hAnsi="Tahoma"/>
      <w:sz w:val="24"/>
      <w:szCs w:val="20"/>
    </w:rPr>
  </w:style>
  <w:style w:type="paragraph" w:customStyle="1" w:styleId="198">
    <w:name w:val="p1215"/>
    <w:basedOn w:val="1"/>
    <w:qFormat/>
    <w:uiPriority w:val="0"/>
    <w:pPr>
      <w:widowControl/>
      <w:spacing w:before="100" w:beforeAutospacing="1" w:after="100" w:afterAutospacing="1"/>
      <w:jc w:val="left"/>
    </w:pPr>
    <w:rPr>
      <w:rFonts w:ascii="宋体" w:hAnsi="宋体"/>
      <w:color w:val="003399"/>
      <w:kern w:val="0"/>
      <w:sz w:val="24"/>
    </w:rPr>
  </w:style>
  <w:style w:type="paragraph" w:customStyle="1" w:styleId="199">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36"/>
      <w:szCs w:val="36"/>
    </w:rPr>
  </w:style>
  <w:style w:type="paragraph" w:customStyle="1" w:styleId="200">
    <w:name w:val="Char Char Char"/>
    <w:basedOn w:val="1"/>
    <w:qFormat/>
    <w:uiPriority w:val="0"/>
    <w:rPr>
      <w:rFonts w:ascii="宋体" w:hAnsi="宋体"/>
      <w:b/>
      <w:sz w:val="28"/>
      <w:szCs w:val="28"/>
    </w:rPr>
  </w:style>
  <w:style w:type="paragraph" w:customStyle="1" w:styleId="201">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02">
    <w:name w:val="Char Char Char1 Char"/>
    <w:basedOn w:val="1"/>
    <w:qFormat/>
    <w:uiPriority w:val="0"/>
    <w:pPr>
      <w:tabs>
        <w:tab w:val="left" w:pos="425"/>
      </w:tabs>
      <w:ind w:left="425" w:hanging="425"/>
    </w:pPr>
    <w:rPr>
      <w:rFonts w:eastAsia="仿宋_GB2312"/>
      <w:kern w:val="24"/>
      <w:sz w:val="24"/>
    </w:rPr>
  </w:style>
  <w:style w:type="paragraph" w:customStyle="1" w:styleId="203">
    <w:name w:val="样式 样式 正文首行缩进 + (符号) 宋体 + 左侧:  2 字符 首行缩进:  2 字符"/>
    <w:basedOn w:val="1"/>
    <w:qFormat/>
    <w:uiPriority w:val="0"/>
    <w:pPr>
      <w:spacing w:line="360" w:lineRule="auto"/>
      <w:ind w:firstLine="200" w:firstLineChars="200"/>
      <w:jc w:val="left"/>
    </w:pPr>
    <w:rPr>
      <w:rFonts w:hAnsi="宋体"/>
      <w:kern w:val="0"/>
      <w:szCs w:val="20"/>
      <w:lang w:eastAsia="en-US"/>
    </w:rPr>
  </w:style>
  <w:style w:type="paragraph" w:customStyle="1" w:styleId="204">
    <w:name w:val="130"/>
    <w:basedOn w:val="1"/>
    <w:qFormat/>
    <w:uiPriority w:val="0"/>
    <w:pPr>
      <w:widowControl/>
      <w:spacing w:before="100" w:beforeAutospacing="1" w:after="100" w:afterAutospacing="1" w:line="324" w:lineRule="auto"/>
      <w:jc w:val="left"/>
    </w:pPr>
    <w:rPr>
      <w:rFonts w:ascii="宋体" w:hAnsi="宋体"/>
      <w:color w:val="000000"/>
      <w:kern w:val="0"/>
      <w:sz w:val="24"/>
    </w:rPr>
  </w:style>
  <w:style w:type="paragraph" w:customStyle="1" w:styleId="205">
    <w:name w:val="标准"/>
    <w:basedOn w:val="1"/>
    <w:qFormat/>
    <w:uiPriority w:val="0"/>
    <w:pPr>
      <w:overflowPunct w:val="0"/>
      <w:autoSpaceDE w:val="0"/>
      <w:autoSpaceDN w:val="0"/>
      <w:adjustRightInd w:val="0"/>
      <w:spacing w:line="240" w:lineRule="atLeast"/>
      <w:textAlignment w:val="baseline"/>
    </w:pPr>
    <w:rPr>
      <w:rFonts w:eastAsia="楷体_GB2312"/>
      <w:kern w:val="0"/>
      <w:sz w:val="24"/>
      <w:szCs w:val="20"/>
    </w:rPr>
  </w:style>
  <w:style w:type="paragraph" w:customStyle="1" w:styleId="206">
    <w:name w:val="xl2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table" w:customStyle="1" w:styleId="207">
    <w:name w:val="网格型1"/>
    <w:basedOn w:val="89"/>
    <w:qFormat/>
    <w:uiPriority w:val="0"/>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8">
    <w:name w:val="网格型2"/>
    <w:basedOn w:val="89"/>
    <w:qFormat/>
    <w:uiPriority w:val="0"/>
    <w:pPr>
      <w:spacing w:beforeAutospacing="1" w:afterAutospacing="1"/>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09">
    <w:name w:val="Revision"/>
    <w:hidden/>
    <w:semiHidden/>
    <w:qFormat/>
    <w:uiPriority w:val="99"/>
    <w:rPr>
      <w:rFonts w:ascii="Calibri" w:hAnsi="Calibri" w:eastAsia="宋体" w:cs="Times New Roman"/>
      <w:kern w:val="2"/>
      <w:sz w:val="21"/>
      <w:szCs w:val="24"/>
      <w:lang w:val="en-US" w:eastAsia="zh-CN" w:bidi="ar-SA"/>
    </w:rPr>
  </w:style>
  <w:style w:type="paragraph" w:customStyle="1" w:styleId="210">
    <w:name w:val="表格文字"/>
    <w:basedOn w:val="1"/>
    <w:qFormat/>
    <w:uiPriority w:val="0"/>
    <w:pPr>
      <w:spacing w:before="25" w:after="25"/>
      <w:jc w:val="left"/>
    </w:pPr>
    <w:rPr>
      <w:bCs/>
      <w:spacing w:val="10"/>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8.xml"/><Relationship Id="rId14" Type="http://schemas.openxmlformats.org/officeDocument/2006/relationships/header" Target="header5.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189</Pages>
  <Words>26882</Words>
  <Characters>153228</Characters>
  <Lines>1276</Lines>
  <Paragraphs>359</Paragraphs>
  <TotalTime>87</TotalTime>
  <ScaleCrop>false</ScaleCrop>
  <LinksUpToDate>false</LinksUpToDate>
  <CharactersWithSpaces>179751</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2019-10-23T10:23:00Z</dcterms:created>
  <dc:creator>LBDZ</dc:creator>
  <cp:lastModifiedBy>小笼包</cp:lastModifiedBy>
  <cp:lastPrinted>2020-01-07T05:08:00Z</cp:lastPrinted>
  <dcterms:modified xsi:type="dcterms:W3CDTF">2020-01-08T06:18:32Z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