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广东省农业科学院动物科学研究所系统微生物实验室排风设备采购及配套服务项目</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202006-184098-0046</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5"/>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5"/>
          <w:rFonts w:hint="eastAsia" w:ascii="宋体" w:hAnsi="宋体"/>
          <w:b/>
          <w:color w:val="auto"/>
          <w:sz w:val="30"/>
          <w:szCs w:val="30"/>
          <w:highlight w:val="none"/>
          <w:u w:val="none"/>
        </w:rPr>
        <w:t xml:space="preserve"> 二○二○年</w:t>
      </w:r>
      <w:r>
        <w:rPr>
          <w:rStyle w:val="95"/>
          <w:rFonts w:hint="eastAsia" w:ascii="宋体" w:hAnsi="宋体"/>
          <w:b/>
          <w:color w:val="auto"/>
          <w:sz w:val="30"/>
          <w:szCs w:val="30"/>
          <w:highlight w:val="none"/>
          <w:u w:val="none"/>
          <w:lang w:eastAsia="zh-CN"/>
        </w:rPr>
        <w:t>七</w:t>
      </w:r>
      <w:r>
        <w:rPr>
          <w:rStyle w:val="95"/>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w:t>
      </w:r>
      <w:r>
        <w:rPr>
          <w:rFonts w:hint="eastAsia" w:ascii="Arial" w:hAnsi="宋体" w:cs="Arial"/>
          <w:color w:val="auto"/>
          <w:szCs w:val="21"/>
          <w:highlight w:val="none"/>
          <w:lang w:eastAsia="zh-CN"/>
        </w:rPr>
        <w:t>报价人</w:t>
      </w:r>
      <w:r>
        <w:rPr>
          <w:rFonts w:hint="eastAsia" w:ascii="Arial" w:hAnsi="宋体" w:cs="Arial"/>
          <w:color w:val="auto"/>
          <w:szCs w:val="21"/>
          <w:highlight w:val="none"/>
        </w:rPr>
        <w:t>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w:t>
      </w:r>
      <w:r>
        <w:rPr>
          <w:rFonts w:hint="eastAsia" w:ascii="宋体" w:hAnsi="宋体"/>
          <w:color w:val="auto"/>
          <w:szCs w:val="21"/>
          <w:highlight w:val="none"/>
          <w:lang w:eastAsia="zh-CN"/>
        </w:rPr>
        <w:t>报价人</w:t>
      </w:r>
      <w:r>
        <w:rPr>
          <w:rFonts w:hint="eastAsia" w:ascii="宋体" w:hAnsi="宋体"/>
          <w:color w:val="auto"/>
          <w:szCs w:val="21"/>
          <w:highlight w:val="none"/>
        </w:rPr>
        <w:t>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w:t>
      </w:r>
      <w:r>
        <w:rPr>
          <w:rFonts w:hint="eastAsia" w:ascii="宋体" w:hAnsi="宋体"/>
          <w:color w:val="auto"/>
          <w:szCs w:val="21"/>
          <w:highlight w:val="none"/>
          <w:lang w:eastAsia="zh-CN"/>
        </w:rPr>
        <w:t>报价人</w:t>
      </w:r>
      <w:r>
        <w:rPr>
          <w:rFonts w:hint="eastAsia" w:ascii="宋体" w:hAnsi="宋体"/>
          <w:color w:val="auto"/>
          <w:szCs w:val="21"/>
          <w:highlight w:val="none"/>
        </w:rPr>
        <w:t>，在投标/报价文件递交截止时间的3日前，按《投标/报价邀请函》中的联系方式，以书面形式告知采购代理机构。对您的支持与配合，谨此致谢。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5"/>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5"/>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5"/>
          <w:rFonts w:hint="eastAsia"/>
          <w:color w:val="auto"/>
          <w:sz w:val="28"/>
          <w:szCs w:val="28"/>
          <w:highlight w:val="none"/>
        </w:rPr>
        <w:t>第一章 竞争性磋商</w:t>
      </w:r>
      <w:r>
        <w:rPr>
          <w:rStyle w:val="95"/>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5"/>
          <w:rFonts w:hint="eastAsia"/>
          <w:color w:val="auto"/>
          <w:sz w:val="28"/>
          <w:szCs w:val="28"/>
          <w:highlight w:val="none"/>
        </w:rPr>
        <w:t>第二章 竞争性磋商须</w:t>
      </w:r>
      <w:bookmarkStart w:id="2" w:name="_Hlt509928387"/>
      <w:r>
        <w:rPr>
          <w:rStyle w:val="95"/>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9</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5"/>
          <w:rFonts w:hint="eastAsia"/>
          <w:color w:val="auto"/>
          <w:sz w:val="28"/>
          <w:szCs w:val="28"/>
          <w:highlight w:val="none"/>
        </w:rPr>
        <w:t>第三章 采购人</w:t>
      </w:r>
      <w:bookmarkStart w:id="3" w:name="_Hlt510014101"/>
      <w:r>
        <w:rPr>
          <w:rStyle w:val="95"/>
          <w:rFonts w:hint="eastAsia"/>
          <w:color w:val="auto"/>
          <w:sz w:val="28"/>
          <w:szCs w:val="28"/>
          <w:highlight w:val="none"/>
        </w:rPr>
        <w:t>需</w:t>
      </w:r>
      <w:bookmarkEnd w:id="3"/>
      <w:bookmarkStart w:id="4" w:name="_Hlt510971526"/>
      <w:r>
        <w:rPr>
          <w:rStyle w:val="95"/>
          <w:rFonts w:hint="eastAsia"/>
          <w:color w:val="auto"/>
          <w:sz w:val="28"/>
          <w:szCs w:val="28"/>
          <w:highlight w:val="none"/>
        </w:rPr>
        <w:t>求</w:t>
      </w:r>
      <w:bookmarkEnd w:id="4"/>
      <w:bookmarkStart w:id="5" w:name="_Hlt510014036"/>
      <w:bookmarkStart w:id="6" w:name="_Hlt510014037"/>
      <w:r>
        <w:rPr>
          <w:rStyle w:val="95"/>
          <w:rFonts w:hint="eastAsia"/>
          <w:color w:val="auto"/>
          <w:sz w:val="28"/>
          <w:szCs w:val="28"/>
          <w:highlight w:val="none"/>
        </w:rPr>
        <w:t>书</w:t>
      </w:r>
      <w:bookmarkEnd w:id="5"/>
      <w:bookmarkEnd w:id="6"/>
      <w:bookmarkStart w:id="7" w:name="_Hlt509994710"/>
      <w:bookmarkStart w:id="8" w:name="_Hlt509991847"/>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6</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5"/>
          <w:rFonts w:hint="eastAsia"/>
          <w:color w:val="auto"/>
          <w:sz w:val="28"/>
          <w:szCs w:val="28"/>
          <w:highlight w:val="none"/>
        </w:rPr>
        <w:t xml:space="preserve">第四章 </w:t>
      </w:r>
      <w:bookmarkStart w:id="10" w:name="_Hlt511828826"/>
      <w:r>
        <w:rPr>
          <w:rStyle w:val="95"/>
          <w:rFonts w:hint="eastAsia"/>
          <w:color w:val="auto"/>
          <w:sz w:val="28"/>
          <w:szCs w:val="28"/>
          <w:highlight w:val="none"/>
        </w:rPr>
        <w:t>政府采购合同（</w:t>
      </w:r>
      <w:bookmarkEnd w:id="10"/>
      <w:r>
        <w:rPr>
          <w:rStyle w:val="95"/>
          <w:rFonts w:hint="eastAsia"/>
          <w:color w:val="auto"/>
          <w:sz w:val="28"/>
          <w:szCs w:val="28"/>
          <w:highlight w:val="none"/>
        </w:rPr>
        <w:t>样本）</w:t>
      </w:r>
      <w:r>
        <w:rPr>
          <w:rStyle w:val="95"/>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49</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5"/>
          <w:rFonts w:hint="eastAsia"/>
          <w:color w:val="auto"/>
          <w:sz w:val="28"/>
          <w:szCs w:val="28"/>
          <w:highlight w:val="none"/>
        </w:rPr>
        <w:t>第五章 评分</w:t>
      </w:r>
      <w:bookmarkStart w:id="11" w:name="_Hlt509997395"/>
      <w:r>
        <w:rPr>
          <w:rStyle w:val="95"/>
          <w:rFonts w:hint="eastAsia"/>
          <w:color w:val="auto"/>
          <w:sz w:val="28"/>
          <w:szCs w:val="28"/>
          <w:highlight w:val="none"/>
        </w:rPr>
        <w:t>体</w:t>
      </w:r>
      <w:bookmarkEnd w:id="11"/>
      <w:bookmarkStart w:id="12" w:name="_Hlt475104622"/>
      <w:r>
        <w:rPr>
          <w:rStyle w:val="95"/>
          <w:rFonts w:hint="eastAsia"/>
          <w:color w:val="auto"/>
          <w:sz w:val="28"/>
          <w:szCs w:val="28"/>
          <w:highlight w:val="none"/>
        </w:rPr>
        <w:t>系</w:t>
      </w:r>
      <w:bookmarkEnd w:id="12"/>
      <w:bookmarkStart w:id="13" w:name="_Hlt509932461"/>
      <w:bookmarkStart w:id="14" w:name="_Hlt510014093"/>
      <w:bookmarkStart w:id="15" w:name="_Hlt509932460"/>
      <w:r>
        <w:rPr>
          <w:rStyle w:val="95"/>
          <w:rFonts w:hint="eastAsia"/>
          <w:color w:val="auto"/>
          <w:sz w:val="28"/>
          <w:szCs w:val="28"/>
          <w:highlight w:val="none"/>
        </w:rPr>
        <w:t>与</w:t>
      </w:r>
      <w:bookmarkEnd w:id="13"/>
      <w:bookmarkEnd w:id="14"/>
      <w:bookmarkEnd w:id="15"/>
      <w:bookmarkStart w:id="16" w:name="_Hlt509994748"/>
      <w:r>
        <w:rPr>
          <w:rStyle w:val="95"/>
          <w:rFonts w:hint="eastAsia"/>
          <w:color w:val="auto"/>
          <w:sz w:val="28"/>
          <w:szCs w:val="28"/>
          <w:highlight w:val="none"/>
        </w:rPr>
        <w:t>标</w:t>
      </w:r>
      <w:bookmarkEnd w:id="16"/>
      <w:bookmarkStart w:id="17" w:name="_Hlt510014176"/>
      <w:bookmarkStart w:id="18" w:name="_Hlt509992254"/>
      <w:r>
        <w:rPr>
          <w:rStyle w:val="95"/>
          <w:rFonts w:hint="eastAsia"/>
          <w:color w:val="auto"/>
          <w:sz w:val="28"/>
          <w:szCs w:val="28"/>
          <w:highlight w:val="none"/>
        </w:rPr>
        <w:t>准</w:t>
      </w:r>
      <w:bookmarkEnd w:id="17"/>
      <w:bookmarkEnd w:id="18"/>
      <w:bookmarkStart w:id="19" w:name="_Hlt509991721"/>
      <w:bookmarkStart w:id="20" w:name="_Hlt509991939"/>
      <w:bookmarkStart w:id="21" w:name="_Hlt509991722"/>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54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5"/>
          <w:rFonts w:hint="eastAsia"/>
          <w:color w:val="auto"/>
          <w:sz w:val="28"/>
          <w:szCs w:val="28"/>
          <w:highlight w:val="none"/>
        </w:rPr>
        <w:t>第六章 附件（格</w:t>
      </w:r>
      <w:bookmarkStart w:id="22" w:name="_Hlt510014049"/>
      <w:r>
        <w:rPr>
          <w:rStyle w:val="95"/>
          <w:rFonts w:hint="eastAsia"/>
          <w:color w:val="auto"/>
          <w:sz w:val="28"/>
          <w:szCs w:val="28"/>
          <w:highlight w:val="none"/>
        </w:rPr>
        <w:t>式</w:t>
      </w:r>
      <w:bookmarkEnd w:id="22"/>
      <w:r>
        <w:rPr>
          <w:rStyle w:val="95"/>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62</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eastAsia="zh-CN"/>
        </w:rPr>
        <w:t>广东省农业科学院动物科学研究所系统微生物实验室排风设备采购及配套服务项目</w:t>
      </w:r>
      <w:r>
        <w:rPr>
          <w:rFonts w:hint="eastAsia" w:ascii="宋体" w:hAnsi="宋体" w:cs="宋体"/>
          <w:color w:val="auto"/>
          <w:szCs w:val="21"/>
          <w:highlight w:val="none"/>
        </w:rPr>
        <w:t xml:space="preserve"> 招标项目的潜在</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应在广</w:t>
      </w:r>
      <w:bookmarkStart w:id="369" w:name="_GoBack"/>
      <w:bookmarkEnd w:id="369"/>
      <w:r>
        <w:rPr>
          <w:rFonts w:hint="eastAsia" w:ascii="宋体" w:hAnsi="宋体" w:cs="宋体"/>
          <w:color w:val="auto"/>
          <w:szCs w:val="21"/>
          <w:highlight w:val="none"/>
        </w:rPr>
        <w:t>州市海珠区红卫新村西路29号UP智谷D栋503房获取</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rPr>
        <w:t>，并于2020年</w:t>
      </w:r>
      <w:r>
        <w:rPr>
          <w:rFonts w:hint="eastAsia" w:ascii="宋体" w:hAnsi="宋体" w:cs="宋体"/>
          <w:color w:val="auto"/>
          <w:szCs w:val="21"/>
          <w:highlight w:val="none"/>
          <w:lang w:val="en-US" w:eastAsia="zh-CN"/>
        </w:rPr>
        <w:t>08</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03</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202006-184098-0046</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广东省农业科学院动物科学研究所系统微生物实验室排风设备采购及配套服务项目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486357.02</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486357.02</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广东省农业科学院动物科学研究所系统微生物实验室排风设备采购及配套服务项目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广东省农业科学院动物科学研究所系统微生物实验室排风设备采购及配套服务项目</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486357.02</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486357.02</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广东省农业科学院动物科学研究所系统微生物实验室排风设备采购及配套服务项目</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60</w:t>
      </w:r>
      <w:r>
        <w:rPr>
          <w:rFonts w:hint="eastAsia" w:ascii="宋体" w:hAnsi="宋体" w:cs="宋体"/>
          <w:bCs/>
          <w:color w:val="auto"/>
          <w:szCs w:val="20"/>
          <w:highlight w:val="none"/>
          <w:lang w:eastAsia="zh-CN"/>
        </w:rPr>
        <w:t>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rPr>
        <w:t>1）满足《中华人民共和国政府采购法》第二十二条规定；</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）具有良好的商业信誉和健全的财务会计制度；（提供2018年或2019年的财务状况报告或基本开户行（提供开户许可证）出具的资信证明复印件。如</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为新注册的，提供成立至今的月或季度财务状况报告复印件）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）具有履行合同所必需的设备和专业技术能力；（提供履行合同所必需的设备清单以及技术人员的名单材料）</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）有依法缴纳税收和社会保障资金的良好记录；（提供缴纳税收和社会保险的凭证。如依法免税或不需要缴纳社会保障资金的，应提供相应文件证明）</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）法律、行政法规规定的其他条件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《公平竞争承诺书》原件。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）本项目</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为非独立法人（即由合法法人依法建立的分公司），除了对</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单位负责人为同一人或者存在直接控股、管理关系的不同</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，不得参加同一合同项下的政府采购活动。为采购项目提供整体设计、规范编制或者项目管理、监理、检测等服务的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，不得再参加该采购项目的其他采购活动。</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22</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28</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08</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03</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点30分（北京时间）（从磋商文件开始发出之日起至</w:t>
      </w:r>
      <w:r>
        <w:rPr>
          <w:rFonts w:hint="eastAsia" w:ascii="宋体" w:hAnsi="宋体" w:cs="宋体"/>
          <w:bCs/>
          <w:color w:val="auto"/>
          <w:szCs w:val="20"/>
          <w:highlight w:val="none"/>
          <w:lang w:eastAsia="zh-CN"/>
        </w:rPr>
        <w:t>报价人</w:t>
      </w:r>
      <w:r>
        <w:rPr>
          <w:rFonts w:ascii="宋体" w:hAnsi="宋体" w:cs="宋体"/>
          <w:bCs/>
          <w:color w:val="auto"/>
          <w:szCs w:val="20"/>
          <w:highlight w:val="none"/>
        </w:rPr>
        <w:t>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35393633"/>
      <w:bookmarkStart w:id="27" w:name="_Toc35393802"/>
      <w:bookmarkStart w:id="28" w:name="_Toc28359093"/>
      <w:bookmarkStart w:id="29" w:name="_Toc28359016"/>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08</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03</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1.只接受登记及领购采购文件的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参加投标的，不代表通过资格性、符合性审查。投标资格最终根据</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，应在开标前三日以书面形式（书面材料、信函或传真加盖</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4.采购文件的公示，根据《广东省实施〈中华人民共和国政府采购法〉办法》第三十五条的规定，</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认为政府采购文件的内容损害其权益的，可以在公示期间或者自期满之日起七个工作日内以书面形式向采购人或者代理机构提出质疑。质疑书应当署名。质疑</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为自然人的，应当由本人签字；质疑</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联系方式：020-89001297</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ascii="宋体" w:hAnsi="宋体" w:cs="宋体"/>
          <w:bCs/>
          <w:color w:val="auto"/>
          <w:szCs w:val="20"/>
          <w:highlight w:val="none"/>
        </w:rPr>
        <w:t>   电话：020-89001297</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21</w:t>
      </w:r>
      <w:r>
        <w:rPr>
          <w:rFonts w:ascii="宋体" w:hAnsi="宋体" w:cs="宋体"/>
          <w:bCs/>
          <w:color w:val="auto"/>
          <w:szCs w:val="20"/>
          <w:highlight w:val="none"/>
        </w:rPr>
        <w:t>日</w:t>
      </w:r>
      <w:bookmarkStart w:id="30" w:name="_Toc14450807"/>
      <w:bookmarkStart w:id="31" w:name="_Toc28489434"/>
    </w:p>
    <w:p>
      <w:pPr>
        <w:rPr>
          <w:rFonts w:ascii="宋体" w:hAnsi="宋体"/>
          <w:color w:val="auto"/>
          <w:sz w:val="28"/>
          <w:highlight w:val="none"/>
        </w:rPr>
      </w:pPr>
      <w:r>
        <w:rPr>
          <w:rFonts w:ascii="宋体" w:hAnsi="宋体"/>
          <w:color w:val="auto"/>
          <w:sz w:val="28"/>
          <w:highlight w:val="none"/>
        </w:rPr>
        <w:br w:type="page"/>
      </w: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320515015"/>
      <w:bookmarkStart w:id="33" w:name="_Toc475104467"/>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eastAsia="宋体" w:cs="宋体"/>
                <w:b/>
                <w:bCs/>
                <w:color w:val="auto"/>
                <w:szCs w:val="21"/>
                <w:highlight w:val="none"/>
                <w:lang w:eastAsia="zh-CN"/>
              </w:rPr>
              <w:t>收费依据及方法：</w:t>
            </w:r>
            <w:r>
              <w:rPr>
                <w:rFonts w:hint="eastAsia" w:ascii="宋体" w:hAnsi="宋体" w:eastAsia="宋体" w:cs="宋体"/>
                <w:color w:val="auto"/>
                <w:szCs w:val="21"/>
                <w:highlight w:val="none"/>
                <w:lang w:eastAsia="zh-CN"/>
              </w:rPr>
              <w:t>招标代理服务费按中华人民共和国国家发展计划委员会颁发的计价格[2002]1980号、国家发改委[2003]857号及发改价格</w:t>
            </w:r>
            <w:r>
              <w:rPr>
                <w:rFonts w:hint="eastAsia" w:ascii="宋体" w:hAnsi="宋体" w:eastAsia="宋体" w:cs="宋体"/>
                <w:color w:val="auto"/>
                <w:szCs w:val="21"/>
                <w:highlight w:val="none"/>
              </w:rPr>
              <w:sym w:font="Symbol" w:char="F05B"/>
            </w:r>
            <w:r>
              <w:rPr>
                <w:rFonts w:hint="eastAsia" w:ascii="宋体" w:hAnsi="宋体" w:eastAsia="宋体" w:cs="宋体"/>
                <w:color w:val="auto"/>
                <w:szCs w:val="21"/>
                <w:highlight w:val="none"/>
              </w:rPr>
              <w:t>2011</w:t>
            </w:r>
            <w:r>
              <w:rPr>
                <w:rFonts w:hint="eastAsia" w:ascii="宋体" w:hAnsi="宋体" w:eastAsia="宋体" w:cs="宋体"/>
                <w:color w:val="auto"/>
                <w:szCs w:val="21"/>
                <w:highlight w:val="none"/>
              </w:rPr>
              <w:sym w:font="Symbol" w:char="F05D"/>
            </w:r>
            <w:r>
              <w:rPr>
                <w:rFonts w:hint="eastAsia" w:ascii="宋体" w:hAnsi="宋体" w:eastAsia="宋体" w:cs="宋体"/>
                <w:color w:val="auto"/>
                <w:szCs w:val="21"/>
                <w:highlight w:val="none"/>
              </w:rPr>
              <w:t>534</w:t>
            </w:r>
            <w:r>
              <w:rPr>
                <w:rFonts w:hint="eastAsia" w:ascii="宋体" w:hAnsi="宋体" w:eastAsia="宋体" w:cs="宋体"/>
                <w:color w:val="auto"/>
                <w:szCs w:val="21"/>
                <w:highlight w:val="none"/>
                <w:lang w:eastAsia="zh-CN"/>
              </w:rPr>
              <w:t>号文规定</w:t>
            </w:r>
            <w:r>
              <w:rPr>
                <w:rFonts w:hint="eastAsia" w:ascii="宋体" w:hAnsi="宋体" w:cs="宋体"/>
                <w:color w:val="auto"/>
                <w:szCs w:val="21"/>
                <w:highlight w:val="none"/>
                <w:lang w:eastAsia="zh-CN"/>
              </w:rPr>
              <w:t>进行</w:t>
            </w:r>
            <w:r>
              <w:rPr>
                <w:rFonts w:hint="eastAsia" w:ascii="宋体" w:hAnsi="宋体" w:eastAsia="宋体" w:cs="宋体"/>
                <w:color w:val="auto"/>
                <w:szCs w:val="21"/>
                <w:highlight w:val="none"/>
                <w:lang w:eastAsia="zh-CN"/>
              </w:rPr>
              <w:t>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在领取《中标通知书》前直接一次性向采购代理机构足额支付招标代理服务费及专家费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w:t>
            </w:r>
            <w:r>
              <w:rPr>
                <w:rFonts w:hint="eastAsia" w:ascii="宋体" w:hAnsi="宋体"/>
                <w:color w:val="auto"/>
                <w:szCs w:val="21"/>
                <w:highlight w:val="none"/>
                <w:lang w:eastAsia="zh-CN"/>
              </w:rPr>
              <w:t>报价人</w:t>
            </w:r>
            <w:r>
              <w:rPr>
                <w:rFonts w:hint="eastAsia" w:ascii="宋体" w:hAnsi="宋体"/>
                <w:color w:val="auto"/>
                <w:szCs w:val="21"/>
                <w:highlight w:val="none"/>
              </w:rPr>
              <w:t>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w:t>
            </w:r>
            <w:r>
              <w:rPr>
                <w:rFonts w:hint="eastAsia" w:ascii="宋体" w:hAnsi="宋体"/>
                <w:color w:val="auto"/>
                <w:szCs w:val="21"/>
                <w:highlight w:val="none"/>
                <w:lang w:eastAsia="zh-CN"/>
              </w:rPr>
              <w:t>报价人</w:t>
            </w:r>
            <w:r>
              <w:rPr>
                <w:rFonts w:hint="eastAsia" w:ascii="宋体" w:hAnsi="宋体"/>
                <w:color w:val="auto"/>
                <w:szCs w:val="21"/>
                <w:highlight w:val="none"/>
              </w:rPr>
              <w:t>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22680342"/>
      <w:bookmarkStart w:id="36" w:name="_Toc320515016"/>
      <w:bookmarkStart w:id="37" w:name="_Toc475104468"/>
      <w:bookmarkStart w:id="38" w:name="_Toc363737682"/>
      <w:bookmarkStart w:id="39" w:name="_Toc323110975"/>
      <w:bookmarkStart w:id="40" w:name="_Toc320515065"/>
      <w:bookmarkStart w:id="41" w:name="_Toc315793450"/>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15793451"/>
      <w:bookmarkStart w:id="43" w:name="_Toc475104469"/>
      <w:bookmarkStart w:id="44" w:name="_Toc323110976"/>
      <w:bookmarkStart w:id="45" w:name="_Toc363737683"/>
      <w:bookmarkStart w:id="46" w:name="_Toc320515017"/>
      <w:bookmarkStart w:id="47" w:name="_Toc322680343"/>
      <w:bookmarkStart w:id="48" w:name="_Toc320515066"/>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20515018"/>
      <w:bookmarkStart w:id="50" w:name="_Toc363737684"/>
      <w:bookmarkStart w:id="51" w:name="_Toc475104470"/>
      <w:bookmarkStart w:id="52" w:name="_Toc323110977"/>
      <w:bookmarkStart w:id="53" w:name="_Toc322680344"/>
      <w:bookmarkStart w:id="54" w:name="_Toc320515067"/>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lang w:eastAsia="zh-CN"/>
        </w:rPr>
        <w:t>报价人</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”系指</w:t>
      </w:r>
      <w:r>
        <w:rPr>
          <w:rFonts w:hint="eastAsia" w:ascii="宋体" w:hAnsi="宋体"/>
          <w:color w:val="auto"/>
          <w:szCs w:val="21"/>
          <w:highlight w:val="none"/>
        </w:rPr>
        <w:t>法定程序确定并授予合同的</w:t>
      </w:r>
      <w:r>
        <w:rPr>
          <w:rFonts w:hint="eastAsia" w:ascii="宋体" w:hAnsi="宋体"/>
          <w:color w:val="auto"/>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lang w:eastAsia="zh-CN"/>
        </w:rPr>
        <w:t>报价人</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lang w:eastAsia="zh-CN"/>
        </w:rPr>
        <w:t>报价人</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20515068"/>
      <w:bookmarkStart w:id="56" w:name="_Toc475104471"/>
      <w:bookmarkStart w:id="57" w:name="_Toc363737685"/>
      <w:bookmarkStart w:id="58" w:name="_Toc315793453"/>
      <w:bookmarkStart w:id="59" w:name="_Toc323110978"/>
      <w:bookmarkStart w:id="60" w:name="_Toc322680345"/>
      <w:bookmarkStart w:id="61" w:name="_Toc320515019"/>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lang w:eastAsia="zh-CN"/>
        </w:rPr>
        <w:t>报价人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lang w:eastAsia="zh-CN"/>
        </w:rPr>
        <w:t>报价人</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lang w:eastAsia="zh-CN"/>
        </w:rPr>
        <w:t>报价人</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w:t>
      </w:r>
      <w:r>
        <w:rPr>
          <w:rFonts w:hint="eastAsia" w:ascii="宋体" w:hAnsi="宋体" w:cs="黑体"/>
          <w:color w:val="auto"/>
          <w:szCs w:val="21"/>
          <w:highlight w:val="none"/>
          <w:lang w:eastAsia="zh-CN"/>
        </w:rPr>
        <w:t>报价人</w:t>
      </w:r>
      <w:r>
        <w:rPr>
          <w:rFonts w:hint="eastAsia" w:ascii="宋体" w:hAnsi="宋体" w:cs="黑体"/>
          <w:color w:val="auto"/>
          <w:szCs w:val="21"/>
          <w:highlight w:val="none"/>
        </w:rPr>
        <w:t>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lang w:eastAsia="zh-CN"/>
        </w:rPr>
        <w:t>报价人</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lang w:eastAsia="zh-CN"/>
        </w:rPr>
        <w:t>报价人</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lang w:eastAsia="zh-CN"/>
        </w:rPr>
        <w:t>报价人</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lang w:eastAsia="zh-CN"/>
        </w:rPr>
        <w:t>报价人</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lang w:eastAsia="zh-CN"/>
        </w:rPr>
        <w:t>报价人</w:t>
      </w:r>
      <w:r>
        <w:rPr>
          <w:rFonts w:hint="eastAsia" w:ascii="宋体" w:hAnsi="宋体"/>
          <w:color w:val="auto"/>
          <w:szCs w:val="21"/>
          <w:highlight w:val="none"/>
        </w:rPr>
        <w:t>参加竞争，但只作为一家</w:t>
      </w:r>
      <w:r>
        <w:rPr>
          <w:rFonts w:hint="eastAsia" w:ascii="宋体" w:hAnsi="宋体"/>
          <w:color w:val="auto"/>
          <w:highlight w:val="none"/>
          <w:lang w:eastAsia="zh-CN"/>
        </w:rPr>
        <w:t>报价人</w:t>
      </w:r>
      <w:r>
        <w:rPr>
          <w:rFonts w:hint="eastAsia" w:ascii="宋体" w:hAnsi="宋体"/>
          <w:color w:val="auto"/>
          <w:szCs w:val="21"/>
          <w:highlight w:val="none"/>
        </w:rPr>
        <w:t>计算。同一品牌不同型号的产品由多家</w:t>
      </w:r>
      <w:r>
        <w:rPr>
          <w:rFonts w:hint="eastAsia" w:ascii="宋体" w:hAnsi="宋体"/>
          <w:color w:val="auto"/>
          <w:highlight w:val="none"/>
          <w:lang w:eastAsia="zh-CN"/>
        </w:rPr>
        <w:t>报价人</w:t>
      </w:r>
      <w:r>
        <w:rPr>
          <w:rFonts w:hint="eastAsia" w:ascii="宋体" w:hAnsi="宋体"/>
          <w:color w:val="auto"/>
          <w:szCs w:val="21"/>
          <w:highlight w:val="none"/>
        </w:rPr>
        <w:t>参加竞争，作为不同的</w:t>
      </w:r>
      <w:r>
        <w:rPr>
          <w:rFonts w:hint="eastAsia" w:ascii="宋体" w:hAnsi="宋体"/>
          <w:color w:val="auto"/>
          <w:highlight w:val="none"/>
          <w:lang w:eastAsia="zh-CN"/>
        </w:rPr>
        <w:t>报价人</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475104472"/>
      <w:bookmarkStart w:id="63" w:name="_Toc333236630"/>
      <w:bookmarkStart w:id="64" w:name="_Toc363737686"/>
      <w:bookmarkStart w:id="65" w:name="_Toc322680347"/>
      <w:bookmarkStart w:id="66" w:name="_Toc323110980"/>
      <w:bookmarkStart w:id="67" w:name="_Toc320515021"/>
      <w:bookmarkStart w:id="68" w:name="_Toc320515070"/>
      <w:bookmarkStart w:id="69" w:name="_Toc315793455"/>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lang w:eastAsia="zh-CN"/>
        </w:rPr>
        <w:t>报价人</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lang w:eastAsia="zh-CN"/>
        </w:rPr>
        <w:t>报价人</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lang w:eastAsia="zh-CN"/>
        </w:rPr>
        <w:t>报价人</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lang w:eastAsia="zh-CN"/>
        </w:rPr>
        <w:t>报价人</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lang w:eastAsia="zh-CN"/>
        </w:rPr>
        <w:t>报价人</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475104473"/>
      <w:bookmarkStart w:id="71" w:name="_Toc363737687"/>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0515022"/>
      <w:bookmarkStart w:id="73" w:name="_Toc322680348"/>
      <w:bookmarkStart w:id="74" w:name="_Toc323110981"/>
      <w:bookmarkStart w:id="75" w:name="_Toc320515071"/>
      <w:bookmarkStart w:id="76" w:name="_Toc315793456"/>
      <w:r>
        <w:rPr>
          <w:rFonts w:hint="eastAsia" w:ascii="宋体" w:hAnsi="宋体"/>
          <w:color w:val="auto"/>
          <w:highlight w:val="none"/>
          <w:lang w:eastAsia="zh-CN"/>
        </w:rPr>
        <w:t>报价人</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20515073"/>
      <w:bookmarkStart w:id="79" w:name="_Toc322680350"/>
      <w:bookmarkStart w:id="80" w:name="_Toc315793458"/>
      <w:bookmarkStart w:id="81" w:name="_Toc323110983"/>
      <w:bookmarkStart w:id="82" w:name="_Toc475104475"/>
      <w:bookmarkStart w:id="83" w:name="_Toc320515024"/>
      <w:bookmarkStart w:id="84" w:name="_Toc363737689"/>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lang w:eastAsia="zh-CN"/>
        </w:rPr>
        <w:t>报价人</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lang w:eastAsia="zh-CN"/>
        </w:rPr>
        <w:t>报价人</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2680351"/>
      <w:bookmarkStart w:id="86" w:name="_Toc320515074"/>
      <w:bookmarkStart w:id="87" w:name="_Toc323110984"/>
      <w:bookmarkStart w:id="88" w:name="_Toc475104476"/>
      <w:bookmarkStart w:id="89" w:name="_Toc363737690"/>
      <w:bookmarkStart w:id="90" w:name="_Toc320515025"/>
      <w:bookmarkStart w:id="91" w:name="_Toc315793459"/>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lang w:eastAsia="zh-CN"/>
        </w:rPr>
        <w:t>报价人</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lang w:eastAsia="zh-CN"/>
        </w:rPr>
        <w:t>报价人</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lang w:eastAsia="zh-CN"/>
        </w:rPr>
        <w:t>报价人</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lang w:eastAsia="zh-CN"/>
        </w:rPr>
        <w:t>报价人</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lang w:eastAsia="zh-CN"/>
        </w:rPr>
        <w:t>报价人</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2680352"/>
      <w:bookmarkStart w:id="93" w:name="_Toc323110985"/>
      <w:bookmarkStart w:id="94" w:name="_Toc363737691"/>
      <w:bookmarkStart w:id="95" w:name="_Toc315793460"/>
      <w:bookmarkStart w:id="96" w:name="_Toc475104477"/>
      <w:bookmarkStart w:id="97" w:name="_Toc320515075"/>
      <w:bookmarkStart w:id="98" w:name="_Toc320515026"/>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lang w:eastAsia="zh-CN"/>
        </w:rPr>
        <w:t>报价人</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lang w:eastAsia="zh-CN"/>
        </w:rPr>
        <w:t>报价人</w:t>
      </w:r>
      <w:r>
        <w:rPr>
          <w:rFonts w:hint="eastAsia" w:ascii="宋体" w:hAnsi="宋体"/>
          <w:bCs/>
          <w:color w:val="auto"/>
          <w:szCs w:val="21"/>
          <w:highlight w:val="none"/>
        </w:rPr>
        <w:t>，</w:t>
      </w:r>
      <w:r>
        <w:rPr>
          <w:rFonts w:hint="eastAsia" w:ascii="宋体" w:hAnsi="宋体"/>
          <w:color w:val="auto"/>
          <w:highlight w:val="none"/>
          <w:lang w:eastAsia="zh-CN"/>
        </w:rPr>
        <w:t>报价人</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6"/>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lang w:eastAsia="zh-CN"/>
        </w:rPr>
        <w:t>报价人</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lang w:eastAsia="zh-CN"/>
        </w:rPr>
        <w:t>报价人</w:t>
      </w:r>
      <w:r>
        <w:rPr>
          <w:rFonts w:hint="eastAsia" w:ascii="宋体" w:hAnsi="宋体" w:cs="宋体"/>
          <w:color w:val="auto"/>
          <w:szCs w:val="21"/>
          <w:highlight w:val="none"/>
        </w:rPr>
        <w:t>，并对潜在</w:t>
      </w:r>
      <w:r>
        <w:rPr>
          <w:rFonts w:hint="eastAsia" w:ascii="宋体" w:hAnsi="宋体"/>
          <w:color w:val="auto"/>
          <w:highlight w:val="none"/>
          <w:lang w:eastAsia="zh-CN"/>
        </w:rPr>
        <w:t>报价人</w:t>
      </w:r>
      <w:r>
        <w:rPr>
          <w:rFonts w:hint="eastAsia" w:ascii="宋体" w:hAnsi="宋体" w:cs="宋体"/>
          <w:color w:val="auto"/>
          <w:szCs w:val="21"/>
          <w:highlight w:val="none"/>
        </w:rPr>
        <w:t>具有约束力。潜在</w:t>
      </w:r>
      <w:r>
        <w:rPr>
          <w:rFonts w:hint="eastAsia" w:ascii="宋体" w:hAnsi="宋体"/>
          <w:color w:val="auto"/>
          <w:highlight w:val="none"/>
          <w:lang w:eastAsia="zh-CN"/>
        </w:rPr>
        <w:t>报价人</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63737692"/>
      <w:bookmarkStart w:id="100" w:name="_Toc323110986"/>
      <w:bookmarkStart w:id="101" w:name="_Toc322680353"/>
      <w:bookmarkStart w:id="102" w:name="_Toc320515027"/>
      <w:bookmarkStart w:id="103" w:name="_Toc315793461"/>
      <w:bookmarkStart w:id="104" w:name="_Toc475104478"/>
      <w:bookmarkStart w:id="105" w:name="_Toc320515076"/>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15793462"/>
      <w:bookmarkStart w:id="107" w:name="_Toc323110987"/>
      <w:bookmarkStart w:id="108" w:name="_Toc475104479"/>
      <w:bookmarkStart w:id="109" w:name="_Toc322680354"/>
      <w:bookmarkStart w:id="110" w:name="_Toc363737693"/>
      <w:bookmarkStart w:id="111" w:name="_Toc320515028"/>
      <w:bookmarkStart w:id="112" w:name="_Toc320515077"/>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提交的磋商响应文件以及</w:t>
      </w:r>
      <w:r>
        <w:rPr>
          <w:rFonts w:hint="eastAsia" w:ascii="宋体" w:hAnsi="宋体"/>
          <w:color w:val="auto"/>
          <w:highlight w:val="none"/>
          <w:lang w:eastAsia="zh-CN"/>
        </w:rPr>
        <w:t>报价人</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lang w:eastAsia="zh-CN"/>
        </w:rPr>
        <w:t>报价人</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15793463"/>
      <w:bookmarkStart w:id="114" w:name="_Toc323110988"/>
      <w:bookmarkStart w:id="115" w:name="_Toc320515029"/>
      <w:bookmarkStart w:id="116" w:name="_Toc322680355"/>
      <w:bookmarkStart w:id="117" w:name="_Toc320515078"/>
      <w:bookmarkStart w:id="118" w:name="_Toc363737694"/>
      <w:bookmarkStart w:id="119" w:name="_Toc475104480"/>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lang w:eastAsia="zh-CN"/>
        </w:rPr>
        <w:t>报价人</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lang w:eastAsia="zh-CN"/>
        </w:rPr>
        <w:t>报价人</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lang w:eastAsia="zh-CN"/>
        </w:rPr>
        <w:t>报价人</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w:t>
      </w:r>
      <w:r>
        <w:rPr>
          <w:rFonts w:hint="eastAsia" w:cs="宋体"/>
          <w:color w:val="auto"/>
          <w:sz w:val="21"/>
          <w:szCs w:val="21"/>
          <w:highlight w:val="none"/>
          <w:lang w:eastAsia="zh-CN"/>
        </w:rPr>
        <w:t>报价人</w:t>
      </w:r>
      <w:r>
        <w:rPr>
          <w:rFonts w:hint="eastAsia" w:cs="宋体"/>
          <w:color w:val="auto"/>
          <w:sz w:val="21"/>
          <w:szCs w:val="21"/>
          <w:highlight w:val="none"/>
        </w:rPr>
        <w:t>提交的证明</w:t>
      </w:r>
      <w:r>
        <w:rPr>
          <w:rFonts w:hint="eastAsia" w:cs="宋体"/>
          <w:color w:val="auto"/>
          <w:sz w:val="21"/>
          <w:szCs w:val="21"/>
          <w:highlight w:val="none"/>
          <w:lang w:eastAsia="zh-CN"/>
        </w:rPr>
        <w:t>报价人</w:t>
      </w:r>
      <w:r>
        <w:rPr>
          <w:rFonts w:hint="eastAsia" w:cs="宋体"/>
          <w:color w:val="auto"/>
          <w:sz w:val="21"/>
          <w:szCs w:val="21"/>
          <w:highlight w:val="none"/>
        </w:rPr>
        <w:t>的资格合格，且获得成交资格后有能力履行合同的文件。服务部分文件是指证明</w:t>
      </w:r>
      <w:r>
        <w:rPr>
          <w:rFonts w:hint="eastAsia" w:cs="宋体"/>
          <w:color w:val="auto"/>
          <w:sz w:val="21"/>
          <w:szCs w:val="21"/>
          <w:highlight w:val="none"/>
          <w:lang w:eastAsia="zh-CN"/>
        </w:rPr>
        <w:t>报价人</w:t>
      </w:r>
      <w:r>
        <w:rPr>
          <w:rFonts w:hint="eastAsia" w:cs="宋体"/>
          <w:color w:val="auto"/>
          <w:sz w:val="21"/>
          <w:szCs w:val="21"/>
          <w:highlight w:val="none"/>
        </w:rPr>
        <w:t>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30"/>
      <w:bookmarkStart w:id="122" w:name="_Toc315793464"/>
      <w:bookmarkStart w:id="123" w:name="_Toc320515079"/>
      <w:bookmarkStart w:id="124" w:name="_Toc363737695"/>
      <w:bookmarkStart w:id="125" w:name="_Toc323110989"/>
      <w:bookmarkStart w:id="126" w:name="_Toc322680356"/>
      <w:bookmarkStart w:id="127" w:name="_Toc475104482"/>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lang w:eastAsia="zh-CN"/>
        </w:rPr>
        <w:t>报价人</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lang w:eastAsia="zh-CN"/>
        </w:rPr>
        <w:t>报价人</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lang w:eastAsia="zh-CN"/>
        </w:rPr>
        <w:t>报价人</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lang w:eastAsia="zh-CN"/>
        </w:rPr>
        <w:t>报价人</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lang w:eastAsia="zh-CN"/>
        </w:rPr>
        <w:t>报价人</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23110990"/>
      <w:bookmarkStart w:id="129" w:name="_Toc363737696"/>
      <w:bookmarkStart w:id="130" w:name="_Toc475104483"/>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15793468"/>
      <w:bookmarkStart w:id="132" w:name="_Toc322680358"/>
      <w:bookmarkStart w:id="133" w:name="_Toc323110991"/>
      <w:bookmarkStart w:id="134" w:name="_Toc320515081"/>
      <w:bookmarkStart w:id="135" w:name="_Toc320515032"/>
      <w:r>
        <w:rPr>
          <w:rFonts w:hint="eastAsia" w:cs="宋体"/>
          <w:color w:val="auto"/>
          <w:szCs w:val="21"/>
          <w:highlight w:val="none"/>
          <w:lang w:eastAsia="zh-CN"/>
        </w:rPr>
        <w:t>报价人</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lang w:eastAsia="zh-CN"/>
        </w:rPr>
        <w:t>报价人</w:t>
      </w:r>
      <w:r>
        <w:rPr>
          <w:rFonts w:hint="eastAsia" w:ascii="宋体" w:hAnsi="宋体" w:cs="宋体"/>
          <w:color w:val="auto"/>
          <w:szCs w:val="21"/>
          <w:highlight w:val="none"/>
        </w:rPr>
        <w:t>作出书面说明并提供相关证明材料。</w:t>
      </w:r>
      <w:r>
        <w:rPr>
          <w:rFonts w:hint="eastAsia" w:cs="宋体"/>
          <w:color w:val="auto"/>
          <w:szCs w:val="21"/>
          <w:highlight w:val="none"/>
          <w:lang w:eastAsia="zh-CN"/>
        </w:rPr>
        <w:t>报价人</w:t>
      </w:r>
      <w:r>
        <w:rPr>
          <w:rFonts w:hint="eastAsia" w:ascii="宋体" w:hAnsi="宋体" w:cs="宋体"/>
          <w:color w:val="auto"/>
          <w:szCs w:val="21"/>
          <w:highlight w:val="none"/>
        </w:rPr>
        <w:t>不能合理说明或者不能提供相关证明材料的，由磋商小组认定该</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lang w:eastAsia="zh-CN"/>
        </w:rPr>
        <w:t>报价人</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lang w:eastAsia="zh-CN"/>
        </w:rPr>
        <w:t>报价人</w:t>
      </w:r>
      <w:r>
        <w:rPr>
          <w:rFonts w:hint="eastAsia" w:ascii="宋体" w:hAnsi="宋体" w:cs="宋体"/>
          <w:color w:val="auto"/>
          <w:szCs w:val="21"/>
          <w:highlight w:val="none"/>
        </w:rPr>
        <w:t>在获得成交资格并签署合同后，服务期限内出现的任何遗漏，均由成交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363737697"/>
      <w:bookmarkStart w:id="137" w:name="_Toc475104484"/>
      <w:r>
        <w:rPr>
          <w:rFonts w:hint="eastAsia" w:ascii="宋体" w:hAnsi="宋体"/>
          <w:b/>
          <w:bCs/>
          <w:color w:val="auto"/>
          <w:sz w:val="24"/>
          <w:highlight w:val="none"/>
        </w:rPr>
        <w:t>证明</w:t>
      </w:r>
      <w:r>
        <w:rPr>
          <w:rFonts w:hint="eastAsia" w:ascii="宋体" w:hAnsi="宋体"/>
          <w:b/>
          <w:bCs/>
          <w:color w:val="auto"/>
          <w:sz w:val="24"/>
          <w:highlight w:val="none"/>
          <w:lang w:eastAsia="zh-CN"/>
        </w:rPr>
        <w:t>报价人</w:t>
      </w:r>
      <w:r>
        <w:rPr>
          <w:rFonts w:hint="eastAsia" w:ascii="宋体" w:hAnsi="宋体"/>
          <w:b/>
          <w:bCs/>
          <w:color w:val="auto"/>
          <w:sz w:val="24"/>
          <w:highlight w:val="none"/>
        </w:rPr>
        <w:t>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lang w:eastAsia="zh-CN"/>
        </w:rPr>
        <w:t>报价人</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提交的资格证明文件应证明其满足本须知定义的合格</w:t>
      </w:r>
      <w:r>
        <w:rPr>
          <w:rFonts w:hint="eastAsia" w:cs="宋体"/>
          <w:color w:val="auto"/>
          <w:szCs w:val="21"/>
          <w:highlight w:val="none"/>
          <w:lang w:eastAsia="zh-CN"/>
        </w:rPr>
        <w:t>报价人</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63737698"/>
      <w:bookmarkStart w:id="139" w:name="_Toc320515082"/>
      <w:bookmarkStart w:id="140" w:name="_Toc320515033"/>
      <w:bookmarkStart w:id="141" w:name="_Toc333236642"/>
      <w:bookmarkStart w:id="142" w:name="_Toc475104485"/>
      <w:bookmarkStart w:id="143" w:name="_Toc315793469"/>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lang w:eastAsia="zh-CN"/>
        </w:rPr>
        <w:t>报价人</w:t>
      </w:r>
      <w:r>
        <w:rPr>
          <w:rFonts w:hint="eastAsia" w:ascii="宋体" w:hAnsi="宋体" w:cs="宋体"/>
          <w:color w:val="auto"/>
          <w:szCs w:val="21"/>
          <w:highlight w:val="none"/>
        </w:rPr>
        <w:t>须提供所投服务的具体参数值。</w:t>
      </w:r>
      <w:r>
        <w:rPr>
          <w:rFonts w:hint="eastAsia" w:cs="宋体"/>
          <w:color w:val="auto"/>
          <w:szCs w:val="21"/>
          <w:highlight w:val="none"/>
          <w:lang w:eastAsia="zh-CN"/>
        </w:rPr>
        <w:t>报价人</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lang w:eastAsia="zh-CN"/>
        </w:rPr>
        <w:t>报价人</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475104487"/>
      <w:bookmarkStart w:id="147" w:name="_Toc394926941"/>
      <w:bookmarkStart w:id="148" w:name="_Toc351550769"/>
      <w:bookmarkStart w:id="149" w:name="_Toc320515035"/>
      <w:bookmarkStart w:id="150" w:name="_Toc315793471"/>
      <w:bookmarkStart w:id="151" w:name="_Toc322680361"/>
      <w:bookmarkStart w:id="152" w:name="_Toc323110994"/>
      <w:bookmarkStart w:id="153" w:name="_Toc320515084"/>
      <w:bookmarkStart w:id="154" w:name="_Toc363737700"/>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lang w:eastAsia="zh-CN"/>
        </w:rPr>
        <w:t>报价人</w:t>
      </w:r>
      <w:r>
        <w:rPr>
          <w:rFonts w:hint="eastAsia" w:ascii="宋体" w:hAnsi="宋体"/>
          <w:color w:val="auto"/>
          <w:szCs w:val="21"/>
          <w:highlight w:val="none"/>
        </w:rPr>
        <w:t>支付履约保证金的义务向采购人提供的保证担保。</w:t>
      </w:r>
      <w:r>
        <w:rPr>
          <w:rFonts w:hint="eastAsia" w:cs="宋体"/>
          <w:color w:val="auto"/>
          <w:szCs w:val="21"/>
          <w:highlight w:val="none"/>
          <w:lang w:eastAsia="zh-CN"/>
        </w:rPr>
        <w:t>报价人</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lang w:eastAsia="zh-CN"/>
        </w:rPr>
        <w:t>报价人</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lang w:eastAsia="zh-CN"/>
        </w:rPr>
        <w:t>报价人</w:t>
      </w:r>
      <w:r>
        <w:rPr>
          <w:rFonts w:hint="eastAsia"/>
          <w:color w:val="auto"/>
          <w:szCs w:val="21"/>
          <w:highlight w:val="none"/>
        </w:rPr>
        <w:t>向银行融资提供的保证担保。</w:t>
      </w:r>
      <w:r>
        <w:rPr>
          <w:rFonts w:hint="eastAsia" w:cs="宋体"/>
          <w:color w:val="auto"/>
          <w:szCs w:val="21"/>
          <w:highlight w:val="none"/>
          <w:lang w:eastAsia="zh-CN"/>
        </w:rPr>
        <w:t>报价人</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lang w:eastAsia="zh-CN"/>
        </w:rPr>
        <w:t>报价人</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lang w:eastAsia="zh-CN"/>
        </w:rPr>
        <w:t>报价人</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lang w:eastAsia="zh-CN"/>
        </w:rPr>
        <w:t>报价人</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lang w:eastAsia="zh-CN"/>
        </w:rPr>
        <w:t>报价人</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36"/>
      <w:bookmarkStart w:id="160" w:name="_Toc475104494"/>
      <w:bookmarkStart w:id="161" w:name="_Toc315793472"/>
      <w:bookmarkStart w:id="162" w:name="_Toc320515085"/>
      <w:bookmarkStart w:id="163" w:name="_Toc363737701"/>
      <w:bookmarkStart w:id="164" w:name="_Toc320515086"/>
      <w:bookmarkStart w:id="165" w:name="_Toc320515037"/>
      <w:bookmarkStart w:id="166" w:name="_Toc315793473"/>
      <w:bookmarkStart w:id="167" w:name="_Toc323110996"/>
      <w:bookmarkStart w:id="168" w:name="_Toc322680363"/>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lang w:eastAsia="zh-CN"/>
        </w:rPr>
        <w:t>报价人</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w:t>
      </w:r>
      <w:r>
        <w:rPr>
          <w:rFonts w:hint="eastAsia" w:ascii="宋体" w:hAnsi="宋体" w:cs="宋体"/>
          <w:b/>
          <w:color w:val="auto"/>
          <w:szCs w:val="21"/>
          <w:highlight w:val="none"/>
          <w:u w:val="single"/>
          <w:lang w:eastAsia="zh-CN"/>
        </w:rPr>
        <w:t>报价人</w:t>
      </w:r>
      <w:r>
        <w:rPr>
          <w:rFonts w:hint="eastAsia" w:ascii="宋体" w:hAnsi="宋体" w:cs="宋体"/>
          <w:b/>
          <w:color w:val="auto"/>
          <w:szCs w:val="21"/>
          <w:highlight w:val="none"/>
          <w:u w:val="single"/>
        </w:rPr>
        <w:t>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363737702"/>
      <w:bookmarkStart w:id="170" w:name="_Toc475104495"/>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475104496"/>
      <w:bookmarkStart w:id="172" w:name="_Toc320515038"/>
      <w:bookmarkStart w:id="173" w:name="_Toc315793474"/>
      <w:bookmarkStart w:id="174" w:name="_Toc320515087"/>
      <w:bookmarkStart w:id="175" w:name="_Toc363737703"/>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lang w:eastAsia="zh-CN"/>
              </w:rPr>
              <w:t>报价人</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lang w:eastAsia="zh-CN"/>
              </w:rPr>
              <w:t>报价人</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15793476"/>
      <w:bookmarkStart w:id="177" w:name="_Toc323110999"/>
      <w:bookmarkStart w:id="178" w:name="_Toc320515089"/>
      <w:bookmarkStart w:id="179" w:name="_Toc320515040"/>
      <w:bookmarkStart w:id="180" w:name="_Toc32268036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363737705"/>
      <w:bookmarkStart w:id="182" w:name="_Toc475104498"/>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lang w:eastAsia="zh-CN"/>
        </w:rPr>
        <w:t>报价人</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475104499"/>
      <w:bookmarkStart w:id="185" w:name="_Toc363737706"/>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475104500"/>
      <w:bookmarkStart w:id="187" w:name="_Toc363737707"/>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w:t>
      </w:r>
      <w:r>
        <w:rPr>
          <w:rFonts w:hint="eastAsia" w:ascii="宋体" w:hAnsi="宋体" w:cs="宋体"/>
          <w:b/>
          <w:color w:val="auto"/>
          <w:szCs w:val="21"/>
          <w:highlight w:val="none"/>
          <w:lang w:eastAsia="zh-CN"/>
        </w:rPr>
        <w:t>报价人</w:t>
      </w:r>
      <w:r>
        <w:rPr>
          <w:rFonts w:hint="eastAsia" w:ascii="宋体" w:hAnsi="宋体" w:cs="宋体"/>
          <w:b/>
          <w:color w:val="auto"/>
          <w:szCs w:val="21"/>
          <w:highlight w:val="none"/>
          <w:lang w:eastAsia="zh-TW"/>
        </w:rPr>
        <w:t>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lang w:eastAsia="zh-CN"/>
        </w:rPr>
        <w:t>报价人</w:t>
      </w:r>
      <w:r>
        <w:rPr>
          <w:rFonts w:hint="eastAsia" w:ascii="宋体" w:hAnsi="宋体" w:cs="宋体"/>
          <w:color w:val="auto"/>
          <w:kern w:val="0"/>
          <w:szCs w:val="21"/>
          <w:highlight w:val="none"/>
        </w:rPr>
        <w:t>授权代表作为全体</w:t>
      </w:r>
      <w:r>
        <w:rPr>
          <w:rFonts w:hint="eastAsia" w:cs="宋体"/>
          <w:color w:val="auto"/>
          <w:szCs w:val="21"/>
          <w:highlight w:val="none"/>
          <w:lang w:eastAsia="zh-CN"/>
        </w:rPr>
        <w:t>报价人</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lang w:eastAsia="zh-CN"/>
        </w:rPr>
        <w:t>报价人</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lang w:eastAsia="zh-CN"/>
        </w:rPr>
        <w:t>报价人</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23111002"/>
      <w:bookmarkStart w:id="190" w:name="_Toc475104501"/>
      <w:bookmarkStart w:id="191" w:name="_Toc363737708"/>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15793480"/>
      <w:bookmarkStart w:id="193" w:name="_Toc323111003"/>
      <w:bookmarkStart w:id="194" w:name="_Toc363737709"/>
      <w:bookmarkStart w:id="195" w:name="_Toc320515093"/>
      <w:bookmarkStart w:id="196" w:name="_Toc320515044"/>
      <w:bookmarkStart w:id="197" w:name="_Toc322680370"/>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lang w:eastAsia="zh-CN"/>
        </w:rPr>
        <w:t>报价人</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lang w:eastAsia="zh-CN"/>
        </w:rPr>
        <w:t>报价人</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lang w:eastAsia="zh-CN"/>
        </w:rPr>
        <w:t>报价人</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lang w:eastAsia="zh-CN"/>
        </w:rPr>
        <w:t>报价人</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lang w:eastAsia="zh-CN"/>
        </w:rPr>
        <w:t>报价人</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lang w:eastAsia="zh-CN"/>
        </w:rPr>
        <w:t>报价人</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lang w:eastAsia="zh-CN"/>
        </w:rPr>
        <w:t>报价人</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lang w:eastAsia="zh-CN"/>
        </w:rPr>
        <w:t>报价人</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lang w:eastAsia="zh-CN"/>
        </w:rPr>
        <w:t>报价人</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lang w:eastAsia="zh-CN"/>
        </w:rPr>
        <w:t>报价人</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lang w:eastAsia="zh-CN"/>
        </w:rPr>
        <w:t>报价人</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lang w:eastAsia="zh-CN"/>
        </w:rPr>
        <w:t>报价人</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63737710"/>
      <w:bookmarkStart w:id="201" w:name="_Toc351716665"/>
      <w:bookmarkStart w:id="202" w:name="_Toc475104503"/>
      <w:bookmarkStart w:id="203" w:name="_Toc322680372"/>
      <w:bookmarkStart w:id="204" w:name="_Toc320515096"/>
      <w:bookmarkStart w:id="205" w:name="_Toc320515047"/>
      <w:bookmarkStart w:id="206" w:name="_Toc315793483"/>
      <w:bookmarkStart w:id="207" w:name="_Toc323111005"/>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lang w:eastAsia="zh-CN"/>
        </w:rPr>
        <w:t>报价人</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lang w:eastAsia="zh-CN"/>
        </w:rPr>
        <w:t>报价人</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lang w:eastAsia="zh-CN"/>
        </w:rPr>
        <w:t>报价人</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lang w:eastAsia="zh-CN"/>
        </w:rPr>
        <w:t>报价人</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w:t>
      </w:r>
      <w:r>
        <w:rPr>
          <w:rFonts w:hint="eastAsia" w:ascii="宋体" w:hAnsi="宋体"/>
          <w:color w:val="auto"/>
          <w:szCs w:val="21"/>
          <w:highlight w:val="none"/>
          <w:lang w:eastAsia="zh-CN"/>
        </w:rPr>
        <w:t>报价人</w:t>
      </w:r>
      <w:r>
        <w:rPr>
          <w:rFonts w:hint="eastAsia" w:ascii="宋体" w:hAnsi="宋体"/>
          <w:color w:val="auto"/>
          <w:szCs w:val="21"/>
          <w:highlight w:val="none"/>
        </w:rPr>
        <w:t>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w:t>
      </w:r>
      <w:r>
        <w:rPr>
          <w:rFonts w:hint="eastAsia" w:ascii="宋体" w:hAnsi="宋体"/>
          <w:color w:val="auto"/>
          <w:szCs w:val="21"/>
          <w:highlight w:val="none"/>
          <w:lang w:eastAsia="zh-CN"/>
        </w:rPr>
        <w:t>报价人</w:t>
      </w:r>
      <w:r>
        <w:rPr>
          <w:rFonts w:hint="eastAsia" w:ascii="宋体" w:hAnsi="宋体"/>
          <w:color w:val="auto"/>
          <w:szCs w:val="21"/>
          <w:highlight w:val="none"/>
        </w:rPr>
        <w:t>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lang w:eastAsia="zh-CN"/>
        </w:rPr>
        <w:t>报价人</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lang w:eastAsia="zh-CN"/>
        </w:rPr>
        <w:t>报价人</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lang w:eastAsia="zh-CN"/>
        </w:rPr>
        <w:t>报价人</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lang w:eastAsia="zh-CN"/>
        </w:rPr>
        <w:t>报价人</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lang w:eastAsia="zh-CN"/>
        </w:rPr>
        <w:t>报价人</w:t>
      </w:r>
      <w:r>
        <w:rPr>
          <w:rFonts w:hint="eastAsia" w:ascii="宋体" w:hAnsi="宋体"/>
          <w:color w:val="auto"/>
          <w:szCs w:val="21"/>
          <w:highlight w:val="none"/>
        </w:rPr>
        <w:t>提交的澄清文件和最后报价文件，由</w:t>
      </w:r>
      <w:r>
        <w:rPr>
          <w:rFonts w:hint="eastAsia" w:cs="宋体"/>
          <w:color w:val="auto"/>
          <w:szCs w:val="21"/>
          <w:highlight w:val="none"/>
          <w:lang w:eastAsia="zh-CN"/>
        </w:rPr>
        <w:t>报价人</w:t>
      </w:r>
      <w:r>
        <w:rPr>
          <w:rFonts w:hint="eastAsia" w:ascii="宋体" w:hAnsi="宋体"/>
          <w:color w:val="auto"/>
          <w:szCs w:val="21"/>
          <w:highlight w:val="none"/>
        </w:rPr>
        <w:t>法人代表或其授权代表签字或加盖公章后生效。</w:t>
      </w:r>
      <w:r>
        <w:rPr>
          <w:rFonts w:hint="eastAsia" w:ascii="宋体" w:hAnsi="宋体"/>
          <w:color w:val="auto"/>
          <w:szCs w:val="21"/>
          <w:highlight w:val="none"/>
          <w:lang w:eastAsia="zh-CN"/>
        </w:rPr>
        <w:t>报价人</w:t>
      </w:r>
      <w:r>
        <w:rPr>
          <w:rFonts w:hint="eastAsia" w:ascii="宋体" w:hAnsi="宋体"/>
          <w:color w:val="auto"/>
          <w:szCs w:val="21"/>
          <w:highlight w:val="none"/>
        </w:rPr>
        <w:t>为自然人的，应当由本人签字并附身份证明。</w:t>
      </w:r>
      <w:r>
        <w:rPr>
          <w:rFonts w:hint="eastAsia" w:cs="宋体"/>
          <w:color w:val="auto"/>
          <w:szCs w:val="21"/>
          <w:highlight w:val="none"/>
          <w:lang w:eastAsia="zh-CN"/>
        </w:rPr>
        <w:t>报价人</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w:t>
      </w:r>
      <w:r>
        <w:rPr>
          <w:rFonts w:hint="eastAsia" w:ascii="宋体" w:hAnsi="宋体"/>
          <w:color w:val="auto"/>
          <w:szCs w:val="21"/>
          <w:highlight w:val="none"/>
          <w:lang w:eastAsia="zh-CN"/>
        </w:rPr>
        <w:t>报价人</w:t>
      </w:r>
      <w:r>
        <w:rPr>
          <w:rFonts w:hint="eastAsia" w:ascii="宋体" w:hAnsi="宋体"/>
          <w:color w:val="auto"/>
          <w:szCs w:val="21"/>
          <w:highlight w:val="none"/>
        </w:rPr>
        <w:t>后，由磋商小组采用综合评分法对提交最后报价的</w:t>
      </w:r>
      <w:r>
        <w:rPr>
          <w:rFonts w:hint="eastAsia" w:ascii="宋体" w:hAnsi="宋体"/>
          <w:color w:val="auto"/>
          <w:szCs w:val="21"/>
          <w:highlight w:val="none"/>
          <w:lang w:eastAsia="zh-CN"/>
        </w:rPr>
        <w:t>报价人</w:t>
      </w:r>
      <w:r>
        <w:rPr>
          <w:rFonts w:hint="eastAsia" w:ascii="宋体" w:hAnsi="宋体"/>
          <w:color w:val="auto"/>
          <w:szCs w:val="21"/>
          <w:highlight w:val="none"/>
        </w:rPr>
        <w:t>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51716666"/>
      <w:bookmarkStart w:id="211" w:name="_Toc363737711"/>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w:t>
      </w:r>
      <w:r>
        <w:rPr>
          <w:rFonts w:hint="eastAsia" w:ascii="宋体" w:hAnsi="宋体"/>
          <w:bCs/>
          <w:color w:val="auto"/>
          <w:highlight w:val="none"/>
          <w:lang w:eastAsia="zh-CN"/>
        </w:rPr>
        <w:t>报价人</w:t>
      </w:r>
      <w:r>
        <w:rPr>
          <w:rFonts w:hint="eastAsia" w:ascii="宋体" w:hAnsi="宋体"/>
          <w:bCs/>
          <w:color w:val="auto"/>
          <w:highlight w:val="none"/>
        </w:rPr>
        <w:t>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lang w:eastAsia="zh-CN"/>
        </w:rPr>
        <w:t>报价人</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20515048"/>
      <w:bookmarkStart w:id="216" w:name="_Toc315793484"/>
      <w:bookmarkStart w:id="217" w:name="_Toc320515097"/>
      <w:bookmarkStart w:id="218" w:name="_Toc363737713"/>
      <w:bookmarkStart w:id="219" w:name="_Toc475104508"/>
      <w:bookmarkStart w:id="220" w:name="_Toc322680374"/>
      <w:bookmarkStart w:id="221"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w:t>
      </w:r>
      <w:r>
        <w:rPr>
          <w:rFonts w:hint="eastAsia" w:ascii="宋体" w:hAnsi="宋体"/>
          <w:color w:val="auto"/>
          <w:szCs w:val="21"/>
          <w:highlight w:val="none"/>
          <w:lang w:eastAsia="zh-CN"/>
        </w:rPr>
        <w:t>报价人</w:t>
      </w:r>
      <w:r>
        <w:rPr>
          <w:rFonts w:hint="eastAsia" w:ascii="宋体" w:hAnsi="宋体"/>
          <w:color w:val="auto"/>
          <w:szCs w:val="21"/>
          <w:highlight w:val="none"/>
        </w:rPr>
        <w:t>，也可以事先授权磋商小组直接确定成交</w:t>
      </w:r>
      <w:r>
        <w:rPr>
          <w:rFonts w:hint="eastAsia" w:ascii="宋体" w:hAnsi="宋体"/>
          <w:color w:val="auto"/>
          <w:szCs w:val="21"/>
          <w:highlight w:val="none"/>
          <w:lang w:eastAsia="zh-CN"/>
        </w:rPr>
        <w:t>报价人</w:t>
      </w:r>
      <w:r>
        <w:rPr>
          <w:rFonts w:hint="eastAsia" w:ascii="宋体" w:hAnsi="宋体"/>
          <w:color w:val="auto"/>
          <w:szCs w:val="21"/>
          <w:highlight w:val="none"/>
        </w:rPr>
        <w:t>。确认后政府采购代理机构将在政府采购指定媒体上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w:t>
      </w:r>
      <w:r>
        <w:rPr>
          <w:rFonts w:hint="eastAsia" w:ascii="宋体" w:hAnsi="宋体"/>
          <w:color w:val="auto"/>
          <w:szCs w:val="21"/>
          <w:highlight w:val="none"/>
          <w:lang w:eastAsia="zh-CN"/>
        </w:rPr>
        <w:t>报价人</w:t>
      </w:r>
      <w:r>
        <w:rPr>
          <w:rFonts w:hint="eastAsia" w:ascii="宋体" w:hAnsi="宋体"/>
          <w:color w:val="auto"/>
          <w:szCs w:val="21"/>
          <w:highlight w:val="none"/>
        </w:rPr>
        <w:t>，政府采购代理机构不再以其他方式另行通知。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lang w:eastAsia="zh-CN"/>
        </w:rPr>
        <w:t>报价人</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w:t>
      </w:r>
      <w:r>
        <w:rPr>
          <w:rFonts w:hint="eastAsia" w:ascii="宋体" w:hAnsi="宋体"/>
          <w:color w:val="auto"/>
          <w:highlight w:val="none"/>
          <w:lang w:eastAsia="zh-CN"/>
        </w:rPr>
        <w:t>报价人</w:t>
      </w:r>
      <w:r>
        <w:rPr>
          <w:rFonts w:hint="eastAsia" w:ascii="宋体" w:hAnsi="宋体"/>
          <w:color w:val="auto"/>
          <w:highlight w:val="none"/>
        </w:rPr>
        <w:t>放弃成交、成交资格被依法确认无效的，采购人可以与排位在成交</w:t>
      </w:r>
      <w:r>
        <w:rPr>
          <w:rFonts w:hint="eastAsia" w:ascii="宋体" w:hAnsi="宋体"/>
          <w:color w:val="auto"/>
          <w:highlight w:val="none"/>
          <w:lang w:eastAsia="zh-CN"/>
        </w:rPr>
        <w:t>报价人</w:t>
      </w:r>
      <w:r>
        <w:rPr>
          <w:rFonts w:hint="eastAsia" w:ascii="宋体" w:hAnsi="宋体"/>
          <w:color w:val="auto"/>
          <w:highlight w:val="none"/>
        </w:rPr>
        <w:t>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w:t>
      </w:r>
      <w:r>
        <w:rPr>
          <w:rFonts w:hint="eastAsia" w:ascii="宋体" w:hAnsi="宋体"/>
          <w:color w:val="auto"/>
          <w:szCs w:val="21"/>
          <w:highlight w:val="none"/>
          <w:lang w:eastAsia="zh-CN"/>
        </w:rPr>
        <w:t>报价人</w:t>
      </w:r>
      <w:r>
        <w:rPr>
          <w:rFonts w:hint="eastAsia" w:ascii="宋体" w:hAnsi="宋体"/>
          <w:color w:val="auto"/>
          <w:szCs w:val="21"/>
          <w:highlight w:val="none"/>
        </w:rPr>
        <w:t>为自然人的，应当由本人签字；</w:t>
      </w:r>
      <w:r>
        <w:rPr>
          <w:rFonts w:hint="eastAsia" w:ascii="宋体" w:hAnsi="宋体"/>
          <w:color w:val="auto"/>
          <w:szCs w:val="21"/>
          <w:highlight w:val="none"/>
          <w:lang w:eastAsia="zh-CN"/>
        </w:rPr>
        <w:t>报价人</w:t>
      </w:r>
      <w:r>
        <w:rPr>
          <w:rFonts w:hint="eastAsia" w:ascii="宋体" w:hAnsi="宋体"/>
          <w:color w:val="auto"/>
          <w:szCs w:val="21"/>
          <w:highlight w:val="none"/>
        </w:rPr>
        <w:t>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lang w:eastAsia="zh-CN"/>
        </w:rPr>
        <w:t>报价人</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lang w:eastAsia="zh-CN"/>
        </w:rPr>
        <w:t>报价人</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lang w:eastAsia="zh-CN"/>
        </w:rPr>
        <w:t>报价人</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lang w:eastAsia="zh-CN"/>
        </w:rPr>
        <w:t>报价人</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lang w:eastAsia="zh-CN"/>
        </w:rPr>
        <w:t>报价人</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lang w:eastAsia="zh-CN"/>
        </w:rPr>
        <w:t>报价人</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lang w:eastAsia="zh-CN"/>
        </w:rPr>
        <w:t>报价人</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lang w:eastAsia="zh-CN"/>
        </w:rPr>
        <w:t>报价人</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lang w:eastAsia="zh-CN"/>
        </w:rPr>
        <w:t>报价人</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lang w:eastAsia="zh-CN"/>
        </w:rPr>
        <w:t>报价人</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363737714"/>
      <w:bookmarkStart w:id="223" w:name="_Toc475104509"/>
      <w:r>
        <w:rPr>
          <w:rFonts w:hint="eastAsia" w:ascii="宋体" w:hAnsi="宋体" w:cs="宋体"/>
          <w:b/>
          <w:bCs/>
          <w:color w:val="auto"/>
          <w:sz w:val="24"/>
          <w:highlight w:val="none"/>
          <w:lang w:eastAsia="zh-CN"/>
        </w:rPr>
        <w:t>报价人</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20515099"/>
      <w:bookmarkStart w:id="225" w:name="_Toc363737715"/>
      <w:bookmarkStart w:id="226" w:name="_Toc315793486"/>
      <w:bookmarkStart w:id="227" w:name="_Toc320515050"/>
      <w:bookmarkStart w:id="228" w:name="_Toc475104510"/>
      <w:bookmarkStart w:id="229" w:name="_Toc14450813"/>
      <w:bookmarkStart w:id="230" w:name="_Toc28489462"/>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320515051"/>
      <w:bookmarkStart w:id="233" w:name="_Toc320515100"/>
      <w:bookmarkStart w:id="234" w:name="_Toc363737716"/>
      <w:bookmarkStart w:id="235" w:name="_Toc47510451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15793488"/>
      <w:bookmarkStart w:id="238" w:name="_Toc320515052"/>
      <w:bookmarkStart w:id="239" w:name="_Toc363737717"/>
      <w:bookmarkStart w:id="240" w:name="_Toc320515101"/>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w:t>
      </w:r>
      <w:r>
        <w:rPr>
          <w:rFonts w:hint="eastAsia" w:ascii="宋体" w:hAnsi="宋体" w:cs="宋体"/>
          <w:color w:val="auto"/>
          <w:szCs w:val="21"/>
          <w:highlight w:val="none"/>
          <w:lang w:eastAsia="zh-CN"/>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签订书面合同。所签订的合同不得对竞争性磋商文件和成交</w:t>
      </w:r>
      <w:r>
        <w:rPr>
          <w:rFonts w:hint="eastAsia" w:ascii="宋体" w:hAnsi="宋体" w:cs="宋体"/>
          <w:color w:val="auto"/>
          <w:szCs w:val="21"/>
          <w:highlight w:val="none"/>
          <w:lang w:eastAsia="zh-CN"/>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招标采购单位不得向成交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提出任何不合理的要求，作为签订合同的条件，不得与成交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 xml:space="preserve">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475104518"/>
      <w:bookmarkStart w:id="244" w:name="_Toc363737723"/>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w:t>
      </w:r>
      <w:r>
        <w:rPr>
          <w:rFonts w:hint="eastAsia" w:ascii="宋体" w:hAnsi="宋体"/>
          <w:b/>
          <w:color w:val="auto"/>
          <w:szCs w:val="21"/>
          <w:highlight w:val="none"/>
          <w:lang w:eastAsia="zh-CN"/>
        </w:rPr>
        <w:t>报价人</w:t>
      </w:r>
      <w:r>
        <w:rPr>
          <w:rFonts w:hint="eastAsia" w:ascii="宋体" w:hAnsi="宋体"/>
          <w:b/>
          <w:color w:val="auto"/>
          <w:szCs w:val="21"/>
          <w:highlight w:val="none"/>
        </w:rPr>
        <w:t>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w:t>
      </w:r>
      <w:r>
        <w:rPr>
          <w:rFonts w:hint="eastAsia" w:ascii="宋体" w:hAnsi="宋体"/>
          <w:color w:val="auto"/>
          <w:szCs w:val="21"/>
          <w:highlight w:val="none"/>
          <w:lang w:eastAsia="zh-CN"/>
        </w:rPr>
        <w:t>报价人</w:t>
      </w:r>
      <w:r>
        <w:rPr>
          <w:rFonts w:hint="eastAsia" w:ascii="宋体" w:hAnsi="宋体"/>
          <w:color w:val="auto"/>
          <w:szCs w:val="21"/>
          <w:highlight w:val="none"/>
        </w:rPr>
        <w:t>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w:t>
      </w:r>
      <w:r>
        <w:rPr>
          <w:rFonts w:hint="eastAsia" w:ascii="宋体" w:hAnsi="宋体"/>
          <w:color w:val="auto"/>
          <w:szCs w:val="21"/>
          <w:highlight w:val="none"/>
          <w:lang w:eastAsia="zh-CN"/>
        </w:rPr>
        <w:t>报价人</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w:t>
      </w:r>
      <w:r>
        <w:rPr>
          <w:rFonts w:hint="eastAsia" w:ascii="宋体" w:hAnsi="宋体"/>
          <w:color w:val="auto"/>
          <w:szCs w:val="21"/>
          <w:highlight w:val="none"/>
          <w:lang w:eastAsia="zh-CN"/>
        </w:rPr>
        <w:t>报价人</w:t>
      </w:r>
      <w:r>
        <w:rPr>
          <w:rFonts w:hint="eastAsia" w:ascii="宋体" w:hAnsi="宋体"/>
          <w:color w:val="auto"/>
          <w:szCs w:val="21"/>
          <w:highlight w:val="none"/>
        </w:rPr>
        <w:t>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09"/>
      <w:bookmarkEnd w:id="254"/>
      <w:bookmarkStart w:id="255" w:name="_Toc321815826"/>
      <w:bookmarkEnd w:id="255"/>
      <w:bookmarkStart w:id="256" w:name="_Toc321815806"/>
      <w:bookmarkEnd w:id="256"/>
      <w:bookmarkStart w:id="257" w:name="_Toc321815819"/>
      <w:bookmarkEnd w:id="257"/>
      <w:bookmarkStart w:id="258" w:name="_Toc321815802"/>
      <w:bookmarkEnd w:id="258"/>
      <w:bookmarkStart w:id="259" w:name="_Toc321815823"/>
      <w:bookmarkEnd w:id="259"/>
      <w:bookmarkStart w:id="260" w:name="_Toc321815821"/>
      <w:bookmarkEnd w:id="260"/>
      <w:bookmarkStart w:id="261" w:name="_Toc321815822"/>
      <w:bookmarkEnd w:id="261"/>
      <w:bookmarkStart w:id="262" w:name="_Toc321815810"/>
      <w:bookmarkEnd w:id="262"/>
      <w:bookmarkStart w:id="263" w:name="_Toc321815812"/>
      <w:bookmarkEnd w:id="263"/>
      <w:bookmarkStart w:id="264" w:name="_Toc321815801"/>
      <w:bookmarkEnd w:id="264"/>
      <w:bookmarkStart w:id="265" w:name="_Toc321815808"/>
      <w:bookmarkEnd w:id="265"/>
      <w:bookmarkStart w:id="266" w:name="_Toc321815818"/>
      <w:bookmarkEnd w:id="266"/>
      <w:bookmarkStart w:id="267" w:name="_Toc321815811"/>
      <w:bookmarkEnd w:id="267"/>
      <w:bookmarkStart w:id="268" w:name="_Toc321815816"/>
      <w:bookmarkEnd w:id="268"/>
      <w:bookmarkStart w:id="269" w:name="_Toc321815813"/>
      <w:bookmarkEnd w:id="269"/>
      <w:bookmarkStart w:id="270" w:name="_Toc321815814"/>
      <w:bookmarkEnd w:id="270"/>
      <w:bookmarkStart w:id="271" w:name="_Toc321815807"/>
      <w:bookmarkEnd w:id="271"/>
      <w:bookmarkStart w:id="272" w:name="_Toc321815815"/>
      <w:bookmarkEnd w:id="272"/>
      <w:bookmarkStart w:id="273" w:name="_Toc321815824"/>
      <w:bookmarkEnd w:id="273"/>
      <w:bookmarkStart w:id="274" w:name="_Toc321815825"/>
      <w:bookmarkEnd w:id="274"/>
      <w:bookmarkStart w:id="275" w:name="_Toc321815805"/>
      <w:bookmarkEnd w:id="275"/>
      <w:bookmarkStart w:id="276" w:name="_Toc321815820"/>
      <w:bookmarkEnd w:id="276"/>
      <w:bookmarkStart w:id="277" w:name="_Toc321815804"/>
      <w:bookmarkEnd w:id="277"/>
      <w:bookmarkStart w:id="278" w:name="_Toc321815817"/>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w:t>
      </w:r>
      <w:r>
        <w:rPr>
          <w:rFonts w:hint="eastAsia" w:hAnsi="宋体"/>
          <w:b/>
          <w:color w:val="auto"/>
          <w:highlight w:val="none"/>
          <w:lang w:val="zh-CN"/>
        </w:rPr>
        <w:t>项目情况介绍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1、项目名称：广东省农业科学院动物科学研究所系统微生物实验室排风设备采购及配套服务项目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2、项目地点：天河区大丰一街1号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3、建设单位：广东省农业科学院动物科学研究所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4、</w:t>
      </w:r>
      <w:r>
        <w:rPr>
          <w:rFonts w:hint="eastAsia" w:ascii="宋体" w:hAnsi="宋体" w:cs="宋体"/>
          <w:bCs/>
          <w:color w:val="auto"/>
          <w:szCs w:val="20"/>
          <w:highlight w:val="none"/>
          <w:lang w:eastAsia="zh-CN"/>
        </w:rPr>
        <w:t>合同履行期限：</w:t>
      </w:r>
      <w:r>
        <w:rPr>
          <w:rFonts w:hint="eastAsia" w:ascii="宋体" w:hAnsi="宋体" w:cs="宋体"/>
          <w:bCs/>
          <w:color w:val="auto"/>
          <w:szCs w:val="20"/>
          <w:highlight w:val="none"/>
          <w:lang w:val="en-US" w:eastAsia="zh-CN"/>
        </w:rPr>
        <w:t>60</w:t>
      </w:r>
      <w:r>
        <w:rPr>
          <w:rFonts w:hint="eastAsia" w:ascii="宋体" w:hAnsi="宋体" w:cs="宋体"/>
          <w:bCs/>
          <w:color w:val="auto"/>
          <w:szCs w:val="20"/>
          <w:highlight w:val="none"/>
          <w:lang w:eastAsia="zh-CN"/>
        </w:rPr>
        <w:t>日历天内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5、采购范围：详见用户需求书。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6、采购预算：人民币</w:t>
      </w:r>
      <w:r>
        <w:rPr>
          <w:rFonts w:hint="eastAsia"/>
          <w:color w:val="auto"/>
          <w:highlight w:val="none"/>
          <w:lang w:val="zh-CN" w:eastAsia="zh-CN"/>
        </w:rPr>
        <w:t>486357.02元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7、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pStyle w:val="46"/>
        <w:tabs>
          <w:tab w:val="left" w:pos="7740"/>
        </w:tabs>
        <w:adjustRightInd w:val="0"/>
        <w:snapToGrid w:val="0"/>
        <w:spacing w:beforeLines="50" w:line="360" w:lineRule="auto"/>
        <w:outlineLvl w:val="1"/>
        <w:rPr>
          <w:rFonts w:hint="eastAsia" w:ascii="宋体" w:hAnsi="宋体" w:cs="Times New Roman"/>
          <w:b/>
          <w:color w:val="auto"/>
          <w:highlight w:val="none"/>
          <w:lang w:val="zh-CN" w:eastAsia="zh-CN"/>
        </w:rPr>
      </w:pPr>
      <w:r>
        <w:rPr>
          <w:rFonts w:hint="eastAsia" w:ascii="宋体" w:hAnsi="宋体" w:cs="Times New Roman"/>
          <w:b/>
          <w:color w:val="auto"/>
          <w:highlight w:val="none"/>
          <w:lang w:val="zh-CN" w:eastAsia="zh-CN"/>
        </w:rPr>
        <w:t>二、</w:t>
      </w:r>
      <w:r>
        <w:rPr>
          <w:rFonts w:hint="eastAsia" w:ascii="宋体" w:hAnsi="宋体"/>
          <w:b/>
          <w:color w:val="auto"/>
          <w:szCs w:val="21"/>
          <w:highlight w:val="none"/>
        </w:rPr>
        <w:t>项目</w:t>
      </w:r>
      <w:r>
        <w:rPr>
          <w:rFonts w:hint="eastAsia" w:hAnsi="宋体"/>
          <w:b/>
          <w:color w:val="auto"/>
          <w:highlight w:val="none"/>
          <w:lang w:val="zh-CN"/>
        </w:rPr>
        <w:t>概况</w:t>
      </w:r>
    </w:p>
    <w:p>
      <w:pPr>
        <w:spacing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（一）技术标准</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1、《采暧通风与空气调节设计规范》（GB50019-2003）</w:t>
      </w:r>
      <w:r>
        <w:rPr>
          <w:rFonts w:hint="eastAsia" w:asciiTheme="minorEastAsia" w:hAnsiTheme="minorEastAsia" w:eastAsiaTheme="minorEastAsia" w:cstheme="minorEastAsia"/>
          <w:color w:val="auto"/>
          <w:sz w:val="21"/>
          <w:szCs w:val="21"/>
          <w:highlight w:val="none"/>
          <w:lang w:eastAsia="zh-CN"/>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2、《通风与空调工程施工质量验收规范》（GB50243-2002）</w:t>
      </w:r>
      <w:r>
        <w:rPr>
          <w:rFonts w:hint="eastAsia" w:asciiTheme="minorEastAsia" w:hAnsiTheme="minorEastAsia" w:eastAsiaTheme="minorEastAsia" w:cstheme="minorEastAsia"/>
          <w:color w:val="auto"/>
          <w:sz w:val="21"/>
          <w:szCs w:val="21"/>
          <w:highlight w:val="none"/>
          <w:lang w:eastAsia="zh-CN"/>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3、《简明通风设计手册》（GB50194-2002）。</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4、《压缩机、风机、泵安装工程施工及验收规范》（JBJ29-2002）。</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5、《电气装置安装工程低压电器施工及验收规范》（GB50254-96）</w:t>
      </w:r>
      <w:r>
        <w:rPr>
          <w:rFonts w:hint="eastAsia" w:asciiTheme="minorEastAsia" w:hAnsiTheme="minorEastAsia" w:eastAsiaTheme="minorEastAsia" w:cstheme="minorEastAsia"/>
          <w:color w:val="auto"/>
          <w:sz w:val="21"/>
          <w:szCs w:val="21"/>
          <w:highlight w:val="none"/>
          <w:lang w:eastAsia="zh-CN"/>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6、《大气污染物综合排放标准》（GB16297-1996）。</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7、《环境空气质量标准》（GB3095-1996）。</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8、《城市区域环境噪声标准》（GB3096-93）</w:t>
      </w:r>
      <w:r>
        <w:rPr>
          <w:rFonts w:hint="eastAsia" w:asciiTheme="minorEastAsia" w:hAnsiTheme="minorEastAsia" w:eastAsiaTheme="minorEastAsia" w:cstheme="minorEastAsia"/>
          <w:color w:val="auto"/>
          <w:sz w:val="21"/>
          <w:szCs w:val="21"/>
          <w:highlight w:val="none"/>
          <w:lang w:eastAsia="zh-CN"/>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9、《建筑设计防火规范》（GB50016-2006）</w:t>
      </w:r>
      <w:r>
        <w:rPr>
          <w:rFonts w:hint="eastAsia" w:asciiTheme="minorEastAsia" w:hAnsiTheme="minorEastAsia" w:eastAsiaTheme="minorEastAsia" w:cstheme="minorEastAsia"/>
          <w:color w:val="auto"/>
          <w:sz w:val="21"/>
          <w:szCs w:val="21"/>
          <w:highlight w:val="none"/>
          <w:lang w:eastAsia="zh-CN"/>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10、《公共建筑节能设计标准》（GB50189-2005）</w:t>
      </w:r>
      <w:r>
        <w:rPr>
          <w:rFonts w:hint="eastAsia" w:asciiTheme="minorEastAsia" w:hAnsiTheme="minorEastAsia" w:eastAsiaTheme="minorEastAsia" w:cstheme="minorEastAsia"/>
          <w:color w:val="auto"/>
          <w:sz w:val="21"/>
          <w:szCs w:val="21"/>
          <w:highlight w:val="none"/>
          <w:lang w:eastAsia="zh-CN"/>
        </w:rPr>
        <w:t>。</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（二）建设原则</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根据大楼的结构特点，就近开设风井，划分排风和补风系统，管道系统做到“短、平、顺、直”，减小系统阻力，降低系统噪声；</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排风和补风系统达到风量平衡，保持室内-5Pa—-10Pa的负压，防止有害气体的散溢，保证实验人员的身心健康；</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采用智能变频控制系统，达到操作方便、节能降噪的目的；</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综合考虑各项因素，采用投资少、运行稳定、运行费用低、运行效果好的成熟工艺；</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所选择的工艺必须满足现场条件，平面布置简洁、紧凑、少占地，并方便生产操作和维护维修；</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非标设备应符合国家或行业相关规范，并保证性能稳定、外表美观；</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在设计中充分考虑噪声、臭味等，防止二次污染的产生，不给周围环境造成新的污染；</w:t>
      </w:r>
    </w:p>
    <w:p>
      <w:pPr>
        <w:numPr>
          <w:ilvl w:val="1"/>
          <w:numId w:val="7"/>
        </w:numPr>
        <w:tabs>
          <w:tab w:val="clear" w:pos="840"/>
        </w:tabs>
        <w:spacing w:line="360" w:lineRule="auto"/>
        <w:ind w:left="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处理设施具备冲击负荷能力，确保废气达标排放。</w:t>
      </w:r>
    </w:p>
    <w:p>
      <w:pPr>
        <w:tabs>
          <w:tab w:val="left" w:pos="690"/>
        </w:tabs>
        <w:spacing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（三）技术参数</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1、支管路内风速6～8m/s, 干管路内风速8～14m/s；</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2、通风设备设计风量：</w:t>
      </w:r>
    </w:p>
    <w:p>
      <w:pPr>
        <w:spacing w:line="360" w:lineRule="auto"/>
        <w:ind w:firstLine="420" w:firstLineChars="20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通风柜面风速</w:t>
      </w:r>
      <w:r>
        <w:rPr>
          <w:rFonts w:hint="eastAsia" w:asciiTheme="minorEastAsia" w:hAnsiTheme="minorEastAsia" w:eastAsiaTheme="minorEastAsia" w:cstheme="minorEastAsia"/>
          <w:bCs/>
          <w:color w:val="auto"/>
          <w:sz w:val="21"/>
          <w:szCs w:val="21"/>
          <w:highlight w:val="none"/>
        </w:rPr>
        <w:t>：0.3</w:t>
      </w:r>
      <w:r>
        <w:rPr>
          <w:rFonts w:hint="eastAsia" w:asciiTheme="minorEastAsia" w:hAnsiTheme="minorEastAsia" w:eastAsiaTheme="minorEastAsia" w:cstheme="minorEastAsia"/>
          <w:color w:val="auto"/>
          <w:sz w:val="21"/>
          <w:szCs w:val="21"/>
          <w:highlight w:val="none"/>
        </w:rPr>
        <w:t>～0.8</w:t>
      </w:r>
      <w:r>
        <w:rPr>
          <w:rFonts w:hint="eastAsia" w:asciiTheme="minorEastAsia" w:hAnsiTheme="minorEastAsia" w:eastAsiaTheme="minorEastAsia" w:cstheme="minorEastAsia"/>
          <w:bCs/>
          <w:color w:val="auto"/>
          <w:sz w:val="21"/>
          <w:szCs w:val="21"/>
          <w:highlight w:val="none"/>
        </w:rPr>
        <w:t xml:space="preserve"> m/s，单台</w:t>
      </w:r>
      <w:r>
        <w:rPr>
          <w:rFonts w:hint="eastAsia" w:asciiTheme="minorEastAsia" w:hAnsiTheme="minorEastAsia" w:eastAsiaTheme="minorEastAsia" w:cstheme="minorEastAsia"/>
          <w:bCs/>
          <w:color w:val="auto"/>
          <w:sz w:val="21"/>
          <w:szCs w:val="21"/>
          <w:highlight w:val="none"/>
          <w:lang w:eastAsia="zh-CN"/>
        </w:rPr>
        <w:t>约</w:t>
      </w:r>
      <w:r>
        <w:rPr>
          <w:rFonts w:hint="eastAsia" w:asciiTheme="minorEastAsia" w:hAnsiTheme="minorEastAsia" w:eastAsiaTheme="minorEastAsia" w:cstheme="minorEastAsia"/>
          <w:bCs/>
          <w:color w:val="auto"/>
          <w:sz w:val="21"/>
          <w:szCs w:val="21"/>
          <w:highlight w:val="none"/>
        </w:rPr>
        <w:t>1200*800*2350通风柜设计风量</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1500m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/h，单台</w:t>
      </w:r>
      <w:r>
        <w:rPr>
          <w:rFonts w:hint="eastAsia" w:asciiTheme="minorEastAsia" w:hAnsiTheme="minorEastAsia" w:eastAsiaTheme="minorEastAsia" w:cstheme="minorEastAsia"/>
          <w:bCs/>
          <w:color w:val="auto"/>
          <w:sz w:val="21"/>
          <w:szCs w:val="21"/>
          <w:highlight w:val="none"/>
          <w:lang w:eastAsia="zh-CN"/>
        </w:rPr>
        <w:t>约</w:t>
      </w:r>
      <w:r>
        <w:rPr>
          <w:rFonts w:hint="eastAsia" w:asciiTheme="minorEastAsia" w:hAnsiTheme="minorEastAsia" w:eastAsiaTheme="minorEastAsia" w:cstheme="minorEastAsia"/>
          <w:bCs/>
          <w:color w:val="auto"/>
          <w:sz w:val="21"/>
          <w:szCs w:val="21"/>
          <w:highlight w:val="none"/>
        </w:rPr>
        <w:t>1500*800*2350通风柜设计风量</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1800m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/h，单台</w:t>
      </w:r>
      <w:r>
        <w:rPr>
          <w:rFonts w:hint="eastAsia" w:asciiTheme="minorEastAsia" w:hAnsiTheme="minorEastAsia" w:eastAsiaTheme="minorEastAsia" w:cstheme="minorEastAsia"/>
          <w:bCs/>
          <w:color w:val="auto"/>
          <w:sz w:val="21"/>
          <w:szCs w:val="21"/>
          <w:highlight w:val="none"/>
          <w:lang w:eastAsia="zh-CN"/>
        </w:rPr>
        <w:t>约</w:t>
      </w:r>
      <w:r>
        <w:rPr>
          <w:rFonts w:hint="eastAsia" w:asciiTheme="minorEastAsia" w:hAnsiTheme="minorEastAsia" w:eastAsiaTheme="minorEastAsia" w:cstheme="minorEastAsia"/>
          <w:bCs/>
          <w:color w:val="auto"/>
          <w:sz w:val="21"/>
          <w:szCs w:val="21"/>
          <w:highlight w:val="none"/>
        </w:rPr>
        <w:t>1800*800*2350通风柜设计风量</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2200m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/h，万向抽气罩面风速：≥0.35 m/s，</w:t>
      </w:r>
      <w:r>
        <w:rPr>
          <w:rFonts w:hint="eastAsia" w:asciiTheme="minorEastAsia" w:hAnsiTheme="minorEastAsia" w:eastAsiaTheme="minorEastAsia" w:cstheme="minorEastAsia"/>
          <w:color w:val="auto"/>
          <w:sz w:val="21"/>
          <w:szCs w:val="21"/>
          <w:highlight w:val="none"/>
        </w:rPr>
        <w:t>万向抽气罩排风量</w:t>
      </w:r>
      <w:r>
        <w:rPr>
          <w:rFonts w:hint="eastAsia" w:asciiTheme="minorEastAsia" w:hAnsiTheme="minorEastAsia" w:eastAsiaTheme="minorEastAsia" w:cstheme="minorEastAsia"/>
          <w:bCs/>
          <w:color w:val="auto"/>
          <w:sz w:val="21"/>
          <w:szCs w:val="21"/>
          <w:highlight w:val="none"/>
        </w:rPr>
        <w:t>150</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Cs/>
          <w:color w:val="auto"/>
          <w:sz w:val="21"/>
          <w:szCs w:val="21"/>
          <w:highlight w:val="none"/>
        </w:rPr>
        <w:t>300 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/h，原子吸收罩面风速：≥0.35 m/s，排风量400</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Cs/>
          <w:color w:val="auto"/>
          <w:sz w:val="21"/>
          <w:szCs w:val="21"/>
          <w:highlight w:val="none"/>
        </w:rPr>
        <w:t>600 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/h（特指400*400规格），药品柜、气瓶柜排风量为</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150m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3、排风量</w:t>
      </w:r>
    </w:p>
    <w:p>
      <w:pPr>
        <w:tabs>
          <w:tab w:val="right" w:pos="180"/>
        </w:tabs>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移动门在工作开启高度</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0.5m，面风速保持</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0.5m/s情况下，实际排风量不得大于计算排风量的5％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（计算排风量＝移门宽度*移门开启高度*0.5m/s*3600s</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4、通风组态式</w:t>
      </w:r>
    </w:p>
    <w:p>
      <w:pPr>
        <w:tabs>
          <w:tab w:val="right" w:pos="180"/>
        </w:tabs>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4.1在满足移动门位的工作开启任一高度时，面风速保持</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0.5 m/s,排风量随高度的增大而增加，随高度的减小而减小；</w:t>
      </w:r>
    </w:p>
    <w:p>
      <w:pPr>
        <w:tabs>
          <w:tab w:val="right" w:pos="180"/>
        </w:tabs>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 移动门开启高度发生变化时段内，面风速可满足以下要求：</w:t>
      </w:r>
    </w:p>
    <w:p>
      <w:pPr>
        <w:tabs>
          <w:tab w:val="right" w:pos="180"/>
        </w:tabs>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A、移动门开启高度在门全开，平均面风速恒定保持在</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0.5m/s；</w:t>
      </w:r>
    </w:p>
    <w:p>
      <w:pPr>
        <w:tabs>
          <w:tab w:val="right" w:pos="180"/>
        </w:tabs>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B、移动门开启高度在</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0.15m，平均面风速恒定保持在</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0.5m/s；</w:t>
      </w:r>
    </w:p>
    <w:p>
      <w:pPr>
        <w:tabs>
          <w:tab w:val="right" w:pos="180"/>
        </w:tabs>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5、排风柜阻力</w:t>
      </w:r>
    </w:p>
    <w:p>
      <w:pPr>
        <w:tabs>
          <w:tab w:val="right" w:pos="180"/>
        </w:tabs>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排风柜移动门开启至最高位置时，在达到《排风柜》JB/T6412-1999技术标准规定的排风量和面风速保持</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0.5m/s的条件下，排风柜阻力应小于或等于70Pa。</w:t>
      </w:r>
      <w:r>
        <w:rPr>
          <w:rFonts w:hint="eastAsia" w:asciiTheme="minorEastAsia" w:hAnsiTheme="minorEastAsia" w:eastAsiaTheme="minorEastAsia" w:cstheme="minorEastAsia"/>
          <w:bCs/>
          <w:color w:val="auto"/>
          <w:sz w:val="21"/>
          <w:szCs w:val="21"/>
          <w:highlight w:val="none"/>
        </w:rPr>
        <w:t>原子吸收罩与万向排气罩的排风量采用定风量控制，原子吸收罩排风量设计为400-600m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/h（特指400mm*400mm），万向排气罩的排风量设计为150-300 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6、换气次数：</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一般化学实验室的换气数：8～12次/小时</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7、通风系统使用终端噪声≤60db。</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8、风机采用耐腐蚀玻璃钢离心风机，系统采用（VAV）静压传感变频控制系统，达到节能和降噪的目的。</w:t>
      </w:r>
    </w:p>
    <w:p>
      <w:pPr>
        <w:tabs>
          <w:tab w:val="left" w:pos="690"/>
        </w:tabs>
        <w:spacing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（四）系统要求</w:t>
      </w:r>
    </w:p>
    <w:p>
      <w:pPr>
        <w:spacing w:line="360" w:lineRule="auto"/>
        <w:ind w:firstLine="420" w:firstLineChars="20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b/>
          <w:color w:val="auto"/>
          <w:sz w:val="21"/>
          <w:szCs w:val="21"/>
          <w:highlight w:val="none"/>
        </w:rPr>
        <w:t>排风系统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bookmarkStart w:id="281" w:name="_Toc199245737"/>
      <w:bookmarkStart w:id="282" w:name="_Toc200223029"/>
      <w:r>
        <w:rPr>
          <w:rFonts w:hint="eastAsia" w:asciiTheme="minorEastAsia" w:hAnsiTheme="minorEastAsia" w:eastAsiaTheme="minorEastAsia" w:cstheme="minorEastAsia"/>
          <w:color w:val="auto"/>
          <w:sz w:val="21"/>
          <w:szCs w:val="21"/>
          <w:highlight w:val="none"/>
        </w:rPr>
        <w:t>（A）实验室通风设计原则：</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综合考虑各项因素，采用投资少、运行稳定、运行费用低、处理效果好的成熟工艺；</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所选择的工艺必须满足现场条件，平面布置简洁、紧凑、少占地，并方便生产操作和维护维修；</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非标设备应符合国家或行业相关规范，并保证性能稳定、外表美观；</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在设计中充分考虑噪声、臭味等，防止二次污染的产生，不给周围环境造成新的污染；</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处理设施具备冲击负荷能力，确保废气达标排放。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（B）实验室通风系统规划总体思路：</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1、在同房间各通风柜或通风设备尽量经同一管路进行排放，为排除实验中产生的有害气体，实验室的通风柜尽可能布置在同一个方向上，并共用一个通风管井排风；</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2、为了减少系统阻力及减少室内噪声，必需把风管加大，把管道内风速控制在设计的参数范围内；</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3、为了保证各入口处的风量符合设计要求，各系统的每个排风口均设电动风阀进行风量调节；</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本设计室内采用阻燃性能硬聚氯乙烯（PVC）管材，风管具有防腐等性能，同时具有耐低温和抗老化等性能，且外形美观，支、吊架圆管采用不锈钢条抱箍风管，方管采用经防锈处理的吊杆紧固角钢来支撑风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（C）通风控制系统设计：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通风系统划分要根据建筑功能、平面分布及实验室的使用要求，综合技术、经济、管理等因素，还应当考虑工艺流程、同时使用情况及有害气体性质及其处理等因素。本</w:t>
      </w:r>
      <w:r>
        <w:rPr>
          <w:rFonts w:hint="eastAsia" w:asciiTheme="minorEastAsia" w:hAnsiTheme="minorEastAsia" w:eastAsiaTheme="minorEastAsia" w:cstheme="minorEastAsia"/>
          <w:color w:val="auto"/>
          <w:sz w:val="21"/>
          <w:szCs w:val="21"/>
          <w:highlight w:val="none"/>
          <w:lang w:eastAsia="zh-CN"/>
        </w:rPr>
        <w:t>项目</w:t>
      </w:r>
      <w:r>
        <w:rPr>
          <w:rFonts w:hint="eastAsia" w:asciiTheme="minorEastAsia" w:hAnsiTheme="minorEastAsia" w:eastAsiaTheme="minorEastAsia" w:cstheme="minorEastAsia"/>
          <w:color w:val="auto"/>
          <w:sz w:val="21"/>
          <w:szCs w:val="21"/>
          <w:highlight w:val="none"/>
        </w:rPr>
        <w:t>中每层实验室室内通风末端(通风柜、万向排气罩、原子吸收罩)采用局部排风方式，通风末端局部排风装置均采用静压传感变频控制方式；通风控制方式具有高品质的控制性能、节能效应和安全性能。有排风设备的房间，其房间的补风通过门窗及其缝隙进行自然补风，以使房间有效的通风换气。</w:t>
      </w:r>
    </w:p>
    <w:p>
      <w:pPr>
        <w:spacing w:line="360" w:lineRule="auto"/>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（D）静压传感变频控制系统（VAV）：</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 根据开启通风末端的装置数量的多少，静压传感自动变频控制通过差压传感器在主管道内检测到信号经差压信号变换调制器处理，输出数字信号至变频器调节风机排风量。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 当通风末端的装置数量增多或减少时变频系统会自动调节风机的频率，改变风机转速，调节管道内风量与流速，从而使开启的通风系统达到一定的节能效果；当所有通风柜关闭时，通排风系统将自动关闭，处于待命状态。每台通风末端的装置采用电动风阀控制开关和变频控制系统及风机联动，每台通风末端的装置与主管连接处均装有电动调节阀，可实现每台通风末端的装置的独立控制。电动调节阀门采用数显可调角度的电动风阀，并且有记忆功能（即可以记住此次调节的角度，下次打开时仍然调到设计的角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系统控制：采用总线控制方式，由静压传感装置自动控制风机运行频率；达到风速要求、降低噪音、节能的目的。系统风阀和风机整体联锁，实现气流的有序流动，平衡系统风量，防止气流反串、倒流。</w:t>
      </w:r>
    </w:p>
    <w:bookmarkEnd w:id="281"/>
    <w:bookmarkEnd w:id="282"/>
    <w:p>
      <w:pPr>
        <w:tabs>
          <w:tab w:val="right" w:pos="180"/>
        </w:tabs>
        <w:spacing w:line="360" w:lineRule="auto"/>
        <w:ind w:firstLine="210" w:firstLineChars="10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（E）</w:t>
      </w:r>
      <w:r>
        <w:rPr>
          <w:rFonts w:hint="eastAsia" w:asciiTheme="minorEastAsia" w:hAnsiTheme="minorEastAsia" w:eastAsiaTheme="minorEastAsia" w:cstheme="minorEastAsia"/>
          <w:b/>
          <w:color w:val="auto"/>
          <w:sz w:val="21"/>
          <w:szCs w:val="21"/>
          <w:highlight w:val="none"/>
        </w:rPr>
        <w:t>静压传感变频控制工艺流程图</w:t>
      </w:r>
    </w:p>
    <w:p>
      <w:pPr>
        <w:tabs>
          <w:tab w:val="right" w:pos="180"/>
        </w:tabs>
        <w:spacing w:line="360" w:lineRule="auto"/>
        <w:ind w:firstLine="470" w:firstLineChars="224"/>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mc:AlternateContent>
          <mc:Choice Requires="wpg">
            <w:drawing>
              <wp:anchor distT="0" distB="0" distL="114300" distR="114300" simplePos="0" relativeHeight="252066816" behindDoc="0" locked="0" layoutInCell="1" allowOverlap="1">
                <wp:simplePos x="0" y="0"/>
                <wp:positionH relativeFrom="column">
                  <wp:posOffset>-457200</wp:posOffset>
                </wp:positionH>
                <wp:positionV relativeFrom="paragraph">
                  <wp:posOffset>251460</wp:posOffset>
                </wp:positionV>
                <wp:extent cx="6057900" cy="1584960"/>
                <wp:effectExtent l="0" t="0" r="38100" b="34290"/>
                <wp:wrapNone/>
                <wp:docPr id="445" name="组合 445"/>
                <wp:cNvGraphicFramePr/>
                <a:graphic xmlns:a="http://schemas.openxmlformats.org/drawingml/2006/main">
                  <a:graphicData uri="http://schemas.microsoft.com/office/word/2010/wordprocessingGroup">
                    <wpg:wgp>
                      <wpg:cNvGrpSpPr/>
                      <wpg:grpSpPr>
                        <a:xfrm>
                          <a:off x="0" y="0"/>
                          <a:ext cx="6057900" cy="1584960"/>
                          <a:chOff x="1365" y="2900"/>
                          <a:chExt cx="9787" cy="2602"/>
                        </a:xfrm>
                      </wpg:grpSpPr>
                      <wps:wsp>
                        <wps:cNvPr id="427" name="文本框 427"/>
                        <wps:cNvSpPr txBox="1"/>
                        <wps:spPr>
                          <a:xfrm>
                            <a:off x="1365" y="2900"/>
                            <a:ext cx="1482" cy="516"/>
                          </a:xfrm>
                          <a:prstGeom prst="rect">
                            <a:avLst/>
                          </a:prstGeom>
                          <a:noFill/>
                          <a:ln>
                            <a:noFill/>
                          </a:ln>
                        </wps:spPr>
                        <wps:txbx>
                          <w:txbxContent>
                            <w:p>
                              <w:pPr>
                                <w:jc w:val="center"/>
                                <w:rPr>
                                  <w:rFonts w:hAnsi="宋体"/>
                                  <w:spacing w:val="12"/>
                                  <w:szCs w:val="21"/>
                                </w:rPr>
                              </w:pPr>
                              <w:r>
                                <w:rPr>
                                  <w:rFonts w:hint="eastAsia" w:hAnsi="宋体"/>
                                  <w:spacing w:val="12"/>
                                  <w:szCs w:val="21"/>
                                </w:rPr>
                                <w:t>实验废气</w:t>
                              </w:r>
                            </w:p>
                          </w:txbxContent>
                        </wps:txbx>
                        <wps:bodyPr upright="1"/>
                      </wps:wsp>
                      <wps:wsp>
                        <wps:cNvPr id="428" name="圆角矩形 428"/>
                        <wps:cNvSpPr/>
                        <wps:spPr>
                          <a:xfrm>
                            <a:off x="4671" y="3014"/>
                            <a:ext cx="1048" cy="492"/>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通风管</w:t>
                              </w:r>
                            </w:p>
                          </w:txbxContent>
                        </wps:txbx>
                        <wps:bodyPr upright="1"/>
                      </wps:wsp>
                      <wps:wsp>
                        <wps:cNvPr id="429" name="直接连接符 429"/>
                        <wps:cNvCnPr/>
                        <wps:spPr>
                          <a:xfrm flipV="1">
                            <a:off x="1599" y="3290"/>
                            <a:ext cx="1024" cy="0"/>
                          </a:xfrm>
                          <a:prstGeom prst="line">
                            <a:avLst/>
                          </a:prstGeom>
                          <a:ln w="9525" cap="flat" cmpd="sng">
                            <a:solidFill>
                              <a:srgbClr val="000000"/>
                            </a:solidFill>
                            <a:prstDash val="solid"/>
                            <a:headEnd type="none" w="med" len="med"/>
                            <a:tailEnd type="triangle" w="sm" len="lg"/>
                          </a:ln>
                        </wps:spPr>
                        <wps:bodyPr upright="1"/>
                      </wps:wsp>
                      <wps:wsp>
                        <wps:cNvPr id="430" name="直接连接符 430"/>
                        <wps:cNvCnPr/>
                        <wps:spPr>
                          <a:xfrm>
                            <a:off x="7535" y="3281"/>
                            <a:ext cx="666" cy="0"/>
                          </a:xfrm>
                          <a:prstGeom prst="line">
                            <a:avLst/>
                          </a:prstGeom>
                          <a:ln w="9525" cap="flat" cmpd="sng">
                            <a:solidFill>
                              <a:srgbClr val="000000"/>
                            </a:solidFill>
                            <a:prstDash val="solid"/>
                            <a:headEnd type="none" w="med" len="med"/>
                            <a:tailEnd type="triangle" w="sm" len="lg"/>
                          </a:ln>
                        </wps:spPr>
                        <wps:bodyPr upright="1"/>
                      </wps:wsp>
                      <wps:wsp>
                        <wps:cNvPr id="431" name="圆角矩形 431"/>
                        <wps:cNvSpPr/>
                        <wps:spPr>
                          <a:xfrm>
                            <a:off x="8257" y="3005"/>
                            <a:ext cx="994" cy="54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引风机</w:t>
                              </w:r>
                            </w:p>
                          </w:txbxContent>
                        </wps:txbx>
                        <wps:bodyPr upright="1"/>
                      </wps:wsp>
                      <wps:wsp>
                        <wps:cNvPr id="432" name="圆角矩形 432"/>
                        <wps:cNvSpPr/>
                        <wps:spPr>
                          <a:xfrm>
                            <a:off x="2683" y="3020"/>
                            <a:ext cx="1270" cy="506"/>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集气设备</w:t>
                              </w:r>
                            </w:p>
                          </w:txbxContent>
                        </wps:txbx>
                        <wps:bodyPr upright="1"/>
                      </wps:wsp>
                      <wps:wsp>
                        <wps:cNvPr id="433" name="直接连接符 433"/>
                        <wps:cNvCnPr/>
                        <wps:spPr>
                          <a:xfrm>
                            <a:off x="4015" y="3275"/>
                            <a:ext cx="586" cy="0"/>
                          </a:xfrm>
                          <a:prstGeom prst="line">
                            <a:avLst/>
                          </a:prstGeom>
                          <a:ln w="9525" cap="flat" cmpd="sng">
                            <a:solidFill>
                              <a:srgbClr val="000000"/>
                            </a:solidFill>
                            <a:prstDash val="solid"/>
                            <a:headEnd type="none" w="med" len="med"/>
                            <a:tailEnd type="triangle" w="sm" len="lg"/>
                          </a:ln>
                        </wps:spPr>
                        <wps:bodyPr upright="1"/>
                      </wps:wsp>
                      <wps:wsp>
                        <wps:cNvPr id="434" name="直接连接符 434"/>
                        <wps:cNvCnPr/>
                        <wps:spPr>
                          <a:xfrm>
                            <a:off x="5777" y="3290"/>
                            <a:ext cx="620" cy="0"/>
                          </a:xfrm>
                          <a:prstGeom prst="line">
                            <a:avLst/>
                          </a:prstGeom>
                          <a:ln w="9525" cap="flat" cmpd="sng">
                            <a:solidFill>
                              <a:srgbClr val="000000"/>
                            </a:solidFill>
                            <a:prstDash val="solid"/>
                            <a:headEnd type="none" w="med" len="med"/>
                            <a:tailEnd type="triangle" w="sm" len="lg"/>
                          </a:ln>
                        </wps:spPr>
                        <wps:bodyPr upright="1"/>
                      </wps:wsp>
                      <wps:wsp>
                        <wps:cNvPr id="435" name="圆角矩形 435"/>
                        <wps:cNvSpPr/>
                        <wps:spPr>
                          <a:xfrm>
                            <a:off x="7293" y="4988"/>
                            <a:ext cx="1020" cy="514"/>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变频器</w:t>
                              </w:r>
                            </w:p>
                          </w:txbxContent>
                        </wps:txbx>
                        <wps:bodyPr upright="1"/>
                      </wps:wsp>
                      <wps:wsp>
                        <wps:cNvPr id="436" name="直接连接符 436"/>
                        <wps:cNvCnPr/>
                        <wps:spPr>
                          <a:xfrm flipH="1" flipV="1">
                            <a:off x="5177" y="3557"/>
                            <a:ext cx="0" cy="1354"/>
                          </a:xfrm>
                          <a:prstGeom prst="line">
                            <a:avLst/>
                          </a:prstGeom>
                          <a:ln w="9525" cap="flat" cmpd="sng">
                            <a:solidFill>
                              <a:srgbClr val="000000"/>
                            </a:solidFill>
                            <a:prstDash val="lgDash"/>
                            <a:headEnd type="triangle" w="sm" len="lg"/>
                            <a:tailEnd type="none" w="sm" len="lg"/>
                          </a:ln>
                        </wps:spPr>
                        <wps:bodyPr upright="1"/>
                      </wps:wsp>
                      <wps:wsp>
                        <wps:cNvPr id="437" name="圆角矩形 437"/>
                        <wps:cNvSpPr/>
                        <wps:spPr>
                          <a:xfrm>
                            <a:off x="6491" y="3019"/>
                            <a:ext cx="974" cy="50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消声器</w:t>
                              </w:r>
                            </w:p>
                          </w:txbxContent>
                        </wps:txbx>
                        <wps:bodyPr upright="1"/>
                      </wps:wsp>
                      <wps:wsp>
                        <wps:cNvPr id="438" name="圆角矩形 438"/>
                        <wps:cNvSpPr/>
                        <wps:spPr>
                          <a:xfrm>
                            <a:off x="4419" y="4973"/>
                            <a:ext cx="1622" cy="491"/>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静压传感装置</w:t>
                              </w:r>
                            </w:p>
                          </w:txbxContent>
                        </wps:txbx>
                        <wps:bodyPr upright="1"/>
                      </wps:wsp>
                      <wps:wsp>
                        <wps:cNvPr id="439" name="直接连接符 439"/>
                        <wps:cNvCnPr/>
                        <wps:spPr>
                          <a:xfrm flipH="1" flipV="1">
                            <a:off x="8379" y="5276"/>
                            <a:ext cx="348" cy="0"/>
                          </a:xfrm>
                          <a:prstGeom prst="line">
                            <a:avLst/>
                          </a:prstGeom>
                          <a:ln w="9525" cap="flat" cmpd="sng">
                            <a:solidFill>
                              <a:srgbClr val="000000"/>
                            </a:solidFill>
                            <a:prstDash val="lgDash"/>
                            <a:headEnd type="none" w="med" len="med"/>
                            <a:tailEnd type="none" w="med" len="med"/>
                          </a:ln>
                        </wps:spPr>
                        <wps:bodyPr upright="1"/>
                      </wps:wsp>
                      <wps:wsp>
                        <wps:cNvPr id="440" name="直接连接符 440"/>
                        <wps:cNvCnPr/>
                        <wps:spPr>
                          <a:xfrm flipV="1">
                            <a:off x="8771" y="3677"/>
                            <a:ext cx="14" cy="1580"/>
                          </a:xfrm>
                          <a:prstGeom prst="line">
                            <a:avLst/>
                          </a:prstGeom>
                          <a:ln w="9525" cap="flat" cmpd="sng">
                            <a:solidFill>
                              <a:srgbClr val="000000"/>
                            </a:solidFill>
                            <a:prstDash val="lgDash"/>
                            <a:headEnd type="none" w="sm" len="lg"/>
                            <a:tailEnd type="triangle" w="sm" len="lg"/>
                          </a:ln>
                        </wps:spPr>
                        <wps:bodyPr upright="1"/>
                      </wps:wsp>
                      <wps:wsp>
                        <wps:cNvPr id="441" name="文本框 441"/>
                        <wps:cNvSpPr txBox="1"/>
                        <wps:spPr>
                          <a:xfrm>
                            <a:off x="5810" y="4353"/>
                            <a:ext cx="2290" cy="758"/>
                          </a:xfrm>
                          <a:prstGeom prst="rect">
                            <a:avLst/>
                          </a:prstGeom>
                          <a:noFill/>
                          <a:ln>
                            <a:noFill/>
                          </a:ln>
                        </wps:spPr>
                        <wps:txbx>
                          <w:txbxContent>
                            <w:p>
                              <w:pPr>
                                <w:jc w:val="center"/>
                                <w:rPr>
                                  <w:rFonts w:hAnsi="宋体"/>
                                  <w:spacing w:val="12"/>
                                  <w:szCs w:val="21"/>
                                </w:rPr>
                              </w:pPr>
                              <w:r>
                                <w:rPr>
                                  <w:rFonts w:hint="eastAsia" w:hAnsi="宋体"/>
                                  <w:spacing w:val="12"/>
                                  <w:szCs w:val="21"/>
                                </w:rPr>
                                <w:t>0-10V控制电信号</w:t>
                              </w:r>
                            </w:p>
                          </w:txbxContent>
                        </wps:txbx>
                        <wps:bodyPr upright="1"/>
                      </wps:wsp>
                      <wps:wsp>
                        <wps:cNvPr id="442" name="圆角矩形 442"/>
                        <wps:cNvSpPr/>
                        <wps:spPr>
                          <a:xfrm>
                            <a:off x="9875" y="2998"/>
                            <a:ext cx="1277" cy="508"/>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净化设备</w:t>
                              </w:r>
                            </w:p>
                          </w:txbxContent>
                        </wps:txbx>
                        <wps:bodyPr upright="1"/>
                      </wps:wsp>
                      <wps:wsp>
                        <wps:cNvPr id="443" name="直接连接符 443"/>
                        <wps:cNvCnPr/>
                        <wps:spPr>
                          <a:xfrm>
                            <a:off x="9331" y="3266"/>
                            <a:ext cx="468" cy="0"/>
                          </a:xfrm>
                          <a:prstGeom prst="line">
                            <a:avLst/>
                          </a:prstGeom>
                          <a:ln w="9525" cap="flat" cmpd="sng">
                            <a:solidFill>
                              <a:srgbClr val="000000"/>
                            </a:solidFill>
                            <a:prstDash val="solid"/>
                            <a:headEnd type="none" w="med" len="med"/>
                            <a:tailEnd type="triangle" w="sm" len="lg"/>
                          </a:ln>
                        </wps:spPr>
                        <wps:bodyPr upright="1"/>
                      </wps:wsp>
                      <wps:wsp>
                        <wps:cNvPr id="444" name="直接连接符 444"/>
                        <wps:cNvCnPr/>
                        <wps:spPr>
                          <a:xfrm flipH="1">
                            <a:off x="6083" y="5246"/>
                            <a:ext cx="1089" cy="0"/>
                          </a:xfrm>
                          <a:prstGeom prst="line">
                            <a:avLst/>
                          </a:prstGeom>
                          <a:ln w="9525" cap="flat" cmpd="sng">
                            <a:solidFill>
                              <a:srgbClr val="000000"/>
                            </a:solidFill>
                            <a:prstDash val="lgDash"/>
                            <a:headEnd type="none" w="med" len="med"/>
                            <a:tailEnd type="none" w="med" len="med"/>
                          </a:ln>
                        </wps:spPr>
                        <wps:bodyPr upright="1"/>
                      </wps:wsp>
                    </wpg:wgp>
                  </a:graphicData>
                </a:graphic>
              </wp:anchor>
            </w:drawing>
          </mc:Choice>
          <mc:Fallback>
            <w:pict>
              <v:group id="_x0000_s1026" o:spid="_x0000_s1026" o:spt="203" style="position:absolute;left:0pt;margin-left:-36pt;margin-top:19.8pt;height:124.8pt;width:477pt;z-index:252066816;mso-width-relative:page;mso-height-relative:page;" coordorigin="1365,2900" coordsize="9787,2602" o:gfxdata="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">
                <o:lock v:ext="edit" aspectratio="f"/>
                <v:shape id="_x0000_s1026" o:spid="_x0000_s1026" o:spt="202" type="#_x0000_t202" style="position:absolute;left:1365;top:2900;height:516;width:1482;" filled="f" stroked="f" coordsize="21600,21600" o:gfxdata="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x//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jc w:val="center"/>
                          <w:rPr>
                            <w:rFonts w:hAnsi="宋体"/>
                            <w:spacing w:val="12"/>
                            <w:szCs w:val="21"/>
                          </w:rPr>
                        </w:pPr>
                        <w:r>
                          <w:rPr>
                            <w:rFonts w:hint="eastAsia" w:hAnsi="宋体"/>
                            <w:spacing w:val="12"/>
                            <w:szCs w:val="21"/>
                          </w:rPr>
                          <w:t>实验废气</w:t>
                        </w:r>
                      </w:p>
                    </w:txbxContent>
                  </v:textbox>
                </v:shape>
                <v:roundrect id="_x0000_s1026" o:spid="_x0000_s1026" o:spt="2" style="position:absolute;left:4671;top:3014;height:492;width:1048;" fillcolor="#FFFFFF" filled="t" stroked="t" coordsize="21600,21600" arcsize="0.166666666666667" o:gfxdata="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B8l5O8AAAA&#10;3AAAAA8AAAAAAAAAAQAgAAAAIgAAAGRycy9kb3ducmV2LnhtbFBLAQIUABQAAAAIAIdO4kAzLwWe&#10;OwAAADkAAAAQAAAAAAAAAAEAIAAAAAsBAABkcnMvc2hhcGV4bWwueG1sUEsFBgAAAAAGAAYAWwEA&#10;ALUDAAAAAA==&#10;">
                  <v:fill on="t" focussize="0,0"/>
                  <v:stroke color="#000000" joinstyle="round"/>
                  <v:imagedata o:title=""/>
                  <o:lock v:ext="edit" aspectratio="f"/>
                  <v:shadow on="t" color="#808080" offset="2pt,2pt" origin="0f,0f" matrix="65536f,0f,0f,65536f"/>
                  <v:textbox>
                    <w:txbxContent>
                      <w:p>
                        <w:r>
                          <w:rPr>
                            <w:rFonts w:hint="eastAsia"/>
                          </w:rPr>
                          <w:t>通风管</w:t>
                        </w:r>
                      </w:p>
                    </w:txbxContent>
                  </v:textbox>
                </v:roundrect>
                <v:line id="_x0000_s1026" o:spid="_x0000_s1026" o:spt="20" style="position:absolute;left:1599;top:3290;flip:y;height:0;width:1024;" filled="f" stroked="t" coordsize="21600,21600" o:gfxdata="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auEfm8AAAA&#10;3AAAAA8AAAAAAAAAAQAgAAAAIgAAAGRycy9kb3ducmV2LnhtbFBLAQIUABQAAAAIAIdO4kAzLwWe&#10;OwAAADkAAAAQAAAAAAAAAAEAIAAAAAsBAABkcnMvc2hhcGV4bWwueG1sUEsFBgAAAAAGAAYAWwEA&#10;ALUDAAAAAA==&#10;">
                  <v:fill on="f" focussize="0,0"/>
                  <v:stroke color="#000000" joinstyle="round" endarrow="block" endarrowwidth="narrow" endarrowlength="long"/>
                  <v:imagedata o:title=""/>
                  <o:lock v:ext="edit" aspectratio="f"/>
                </v:line>
                <v:line id="_x0000_s1026" o:spid="_x0000_s1026" o:spt="20" style="position:absolute;left:7535;top:3281;height:0;width:666;" filled="f" stroked="t" coordsize="21600,21600" o:gfxdata="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b/bQe8AAAA&#10;3AAAAA8AAAAAAAAAAQAgAAAAIgAAAGRycy9kb3ducmV2LnhtbFBLAQIUABQAAAAIAIdO4kAzLwWe&#10;OwAAADkAAAAQAAAAAAAAAAEAIAAAAAsBAABkcnMvc2hhcGV4bWwueG1sUEsFBgAAAAAGAAYAWwEA&#10;ALUDAAAAAA==&#10;">
                  <v:fill on="f" focussize="0,0"/>
                  <v:stroke color="#000000" joinstyle="round" endarrow="block" endarrowwidth="narrow" endarrowlength="long"/>
                  <v:imagedata o:title=""/>
                  <o:lock v:ext="edit" aspectratio="f"/>
                </v:line>
                <v:roundrect id="_x0000_s1026" o:spid="_x0000_s1026" o:spt="2" style="position:absolute;left:8257;top:3005;height:540;width:994;" fillcolor="#FFFFFF" filled="t" stroked="t" coordsize="21600,21600" arcsize="0.166666666666667" o:gfxdata="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o07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dow on="t" color="#808080" offset="2pt,2pt" origin="0f,0f" matrix="65536f,0f,0f,65536f"/>
                  <v:textbox>
                    <w:txbxContent>
                      <w:p>
                        <w:r>
                          <w:rPr>
                            <w:rFonts w:hint="eastAsia"/>
                          </w:rPr>
                          <w:t>引风机</w:t>
                        </w:r>
                      </w:p>
                    </w:txbxContent>
                  </v:textbox>
                </v:roundrect>
                <v:roundrect id="_x0000_s1026" o:spid="_x0000_s1026" o:spt="2" style="position:absolute;left:2683;top:3020;height:506;width:1270;" fillcolor="#FFFFFF" filled="t" stroked="t" coordsize="21600,21600" arcsize="0.166666666666667" o:gfxdata="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02pL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dow on="t" color="#808080" offset="2pt,2pt" origin="0f,0f" matrix="65536f,0f,0f,65536f"/>
                  <v:textbox>
                    <w:txbxContent>
                      <w:p>
                        <w:r>
                          <w:rPr>
                            <w:rFonts w:hint="eastAsia"/>
                          </w:rPr>
                          <w:t>集气设备</w:t>
                        </w:r>
                      </w:p>
                    </w:txbxContent>
                  </v:textbox>
                </v:roundrect>
                <v:line id="_x0000_s1026" o:spid="_x0000_s1026" o:spt="20" style="position:absolute;left:4015;top:3275;height:0;width:586;" filled="f" stroked="t" coordsize="21600,21600" o:gfxdata="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t83C/&#10;AAAA3A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line id="_x0000_s1026" o:spid="_x0000_s1026" o:spt="20" style="position:absolute;left:5777;top:3290;height:0;width:620;" filled="f" stroked="t" coordsize="21600,21600" o:gfxdata="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RrBL4A&#10;AADcAAAADwAAAAAAAAABACAAAAAiAAAAZHJzL2Rvd25yZXYueG1sUEsBAhQAFAAAAAgAh07iQDMv&#10;BZ47AAAAOQAAABAAAAAAAAAAAQAgAAAADQEAAGRycy9zaGFwZXhtbC54bWxQSwUGAAAAAAYABgBb&#10;AQAAtwMAAAAA&#10;">
                  <v:fill on="f" focussize="0,0"/>
                  <v:stroke color="#000000" joinstyle="round" endarrow="block" endarrowwidth="narrow" endarrowlength="long"/>
                  <v:imagedata o:title=""/>
                  <o:lock v:ext="edit" aspectratio="f"/>
                </v:line>
                <v:roundrect id="_x0000_s1026" o:spid="_x0000_s1026" o:spt="2" style="position:absolute;left:7293;top:4988;height:514;width:1020;" fillcolor="#FFFFFF" filled="t" stroked="t" coordsize="21600,21600" arcsize="0.166666666666667" o:gfxdata="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krtC/&#10;AAAA3AAAAA8AAAAAAAAAAQAgAAAAIgAAAGRycy9kb3ducmV2LnhtbFBLAQIUABQAAAAIAIdO4kAz&#10;LwWeOwAAADkAAAAQAAAAAAAAAAEAIAAAAA4BAABkcnMvc2hhcGV4bWwueG1sUEsFBgAAAAAGAAYA&#10;WwEAALgDAAAAAA==&#10;">
                  <v:fill on="t" focussize="0,0"/>
                  <v:stroke color="#000000" joinstyle="round"/>
                  <v:imagedata o:title=""/>
                  <o:lock v:ext="edit" aspectratio="f"/>
                  <v:shadow on="t" color="#808080" offset="2pt,2pt" origin="0f,0f" matrix="65536f,0f,0f,65536f"/>
                  <v:textbox>
                    <w:txbxContent>
                      <w:p>
                        <w:r>
                          <w:rPr>
                            <w:rFonts w:hint="eastAsia"/>
                          </w:rPr>
                          <w:t>变频器</w:t>
                        </w:r>
                      </w:p>
                    </w:txbxContent>
                  </v:textbox>
                </v:roundrect>
                <v:line id="_x0000_s1026" o:spid="_x0000_s1026" o:spt="20" style="position:absolute;left:5177;top:3557;flip:x y;height:1354;width:0;" filled="f" stroked="t" coordsize="21600,21600" o:gfxdata="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eq/xC/&#10;AAAA3AAAAA8AAAAAAAAAAQAgAAAAIgAAAGRycy9kb3ducmV2LnhtbFBLAQIUABQAAAAIAIdO4kAz&#10;LwWeOwAAADkAAAAQAAAAAAAAAAEAIAAAAA4BAABkcnMvc2hhcGV4bWwueG1sUEsFBgAAAAAGAAYA&#10;WwEAALgDAAAAAA==&#10;">
                  <v:fill on="f" focussize="0,0"/>
                  <v:stroke color="#000000" joinstyle="round" dashstyle="longDash" startarrow="block" startarrowwidth="narrow" startarrowlength="long" endarrowwidth="narrow" endarrowlength="long"/>
                  <v:imagedata o:title=""/>
                  <o:lock v:ext="edit" aspectratio="f"/>
                </v:line>
                <v:roundrect id="_x0000_s1026" o:spid="_x0000_s1026" o:spt="2" style="position:absolute;left:6491;top:3019;height:505;width:974;" fillcolor="#FFFFFF" filled="t" stroked="t" coordsize="21600,21600" arcsize="0.166666666666667" o:gfxdata="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Q6lTy/&#10;AAAA3AAAAA8AAAAAAAAAAQAgAAAAIgAAAGRycy9kb3ducmV2LnhtbFBLAQIUABQAAAAIAIdO4kAz&#10;LwWeOwAAADkAAAAQAAAAAAAAAAEAIAAAAA4BAABkcnMvc2hhcGV4bWwueG1sUEsFBgAAAAAGAAYA&#10;WwEAALgDAAAAAA==&#10;">
                  <v:fill on="t" focussize="0,0"/>
                  <v:stroke color="#000000" joinstyle="round"/>
                  <v:imagedata o:title=""/>
                  <o:lock v:ext="edit" aspectratio="f"/>
                  <v:shadow on="t" color="#808080" offset="2pt,2pt" origin="0f,0f" matrix="65536f,0f,0f,65536f"/>
                  <v:textbox>
                    <w:txbxContent>
                      <w:p>
                        <w:r>
                          <w:rPr>
                            <w:rFonts w:hint="eastAsia"/>
                          </w:rPr>
                          <w:t>消声器</w:t>
                        </w:r>
                      </w:p>
                    </w:txbxContent>
                  </v:textbox>
                </v:roundrect>
                <v:roundrect id="_x0000_s1026" o:spid="_x0000_s1026" o:spt="2" style="position:absolute;left:4419;top:4973;height:491;width:1622;" fillcolor="#FFFFFF" filled="t" stroked="t" coordsize="21600,21600" arcsize="0.166666666666667" o:gfxdata="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aUBTrsAAADc&#10;AAAADwAAAAAAAAABACAAAAAiAAAAZHJzL2Rvd25yZXYueG1sUEsBAhQAFAAAAAgAh07iQDMvBZ47&#10;AAAAOQAAABAAAAAAAAAAAQAgAAAACgEAAGRycy9zaGFwZXhtbC54bWxQSwUGAAAAAAYABgBbAQAA&#10;tAMAAAAA&#10;">
                  <v:fill on="t" focussize="0,0"/>
                  <v:stroke color="#000000" joinstyle="round"/>
                  <v:imagedata o:title=""/>
                  <o:lock v:ext="edit" aspectratio="f"/>
                  <v:shadow on="t" color="#808080" offset="2pt,2pt" origin="0f,0f" matrix="65536f,0f,0f,65536f"/>
                  <v:textbox>
                    <w:txbxContent>
                      <w:p>
                        <w:r>
                          <w:rPr>
                            <w:rFonts w:hint="eastAsia"/>
                          </w:rPr>
                          <w:t>静压传感装置</w:t>
                        </w:r>
                      </w:p>
                    </w:txbxContent>
                  </v:textbox>
                </v:roundrect>
                <v:line id="_x0000_s1026" o:spid="_x0000_s1026" o:spt="20" style="position:absolute;left:8379;top:5276;flip:x y;height:0;width:348;" filled="f" stroked="t" coordsize="21600,21600" o:gfxdata="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zb96/&#10;AAAA3AAAAA8AAAAAAAAAAQAgAAAAIgAAAGRycy9kb3ducmV2LnhtbFBLAQIUABQAAAAIAIdO4kAz&#10;LwWeOwAAADkAAAAQAAAAAAAAAAEAIAAAAA4BAABkcnMvc2hhcGV4bWwueG1sUEsFBgAAAAAGAAYA&#10;WwEAALgDAAAAAA==&#10;">
                  <v:fill on="f" focussize="0,0"/>
                  <v:stroke color="#000000" joinstyle="round" dashstyle="longDash"/>
                  <v:imagedata o:title=""/>
                  <o:lock v:ext="edit" aspectratio="f"/>
                </v:line>
                <v:line id="_x0000_s1026" o:spid="_x0000_s1026" o:spt="20" style="position:absolute;left:8771;top:3677;flip:y;height:1580;width:14;" filled="f" stroked="t" coordsize="21600,21600" o:gfxdata="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4Jdua8AAAA&#10;3AAAAA8AAAAAAAAAAQAgAAAAIgAAAGRycy9kb3ducmV2LnhtbFBLAQIUABQAAAAIAIdO4kAzLwWe&#10;OwAAADkAAAAQAAAAAAAAAAEAIAAAAAsBAABkcnMvc2hhcGV4bWwueG1sUEsFBgAAAAAGAAYAWwEA&#10;ALUDAAAAAA==&#10;">
                  <v:fill on="f" focussize="0,0"/>
                  <v:stroke color="#000000" joinstyle="round" dashstyle="longDash" startarrowwidth="narrow" startarrowlength="long" endarrow="block" endarrowwidth="narrow" endarrowlength="long"/>
                  <v:imagedata o:title=""/>
                  <o:lock v:ext="edit" aspectratio="f"/>
                </v:line>
                <v:shape id="_x0000_s1026" o:spid="_x0000_s1026" o:spt="202" type="#_x0000_t202" style="position:absolute;left:5810;top:4353;height:758;width:2290;" filled="f" stroked="f" coordsize="21600,21600" o:gfxdata="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qey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Ansi="宋体"/>
                            <w:spacing w:val="12"/>
                            <w:szCs w:val="21"/>
                          </w:rPr>
                        </w:pPr>
                        <w:r>
                          <w:rPr>
                            <w:rFonts w:hint="eastAsia" w:hAnsi="宋体"/>
                            <w:spacing w:val="12"/>
                            <w:szCs w:val="21"/>
                          </w:rPr>
                          <w:t>0-10V控制电信号</w:t>
                        </w:r>
                      </w:p>
                    </w:txbxContent>
                  </v:textbox>
                </v:shape>
                <v:roundrect id="_x0000_s1026" o:spid="_x0000_s1026" o:spt="2" style="position:absolute;left:9875;top:2998;height:508;width:1277;" fillcolor="#FFFFFF" filled="t" stroked="t" coordsize="21600,21600" arcsize="0.166666666666667" o:gfxdata="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EtF2b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dow on="t" color="#808080" offset="2pt,2pt" origin="0f,0f" matrix="65536f,0f,0f,65536f"/>
                  <v:textbox>
                    <w:txbxContent>
                      <w:p>
                        <w:r>
                          <w:rPr>
                            <w:rFonts w:hint="eastAsia"/>
                          </w:rPr>
                          <w:t>净化设备</w:t>
                        </w:r>
                      </w:p>
                    </w:txbxContent>
                  </v:textbox>
                </v:roundrect>
                <v:line id="_x0000_s1026" o:spid="_x0000_s1026" o:spt="20" style="position:absolute;left:9331;top:3266;height:0;width:468;" filled="f" stroked="t" coordsize="21600,21600" o:gfxdata="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uADb4A&#10;AADcAAAADwAAAAAAAAABACAAAAAiAAAAZHJzL2Rvd25yZXYueG1sUEsBAhQAFAAAAAgAh07iQDMv&#10;BZ47AAAAOQAAABAAAAAAAAAAAQAgAAAADQEAAGRycy9zaGFwZXhtbC54bWxQSwUGAAAAAAYABgBb&#10;AQAAtwMAAAAA&#10;">
                  <v:fill on="f" focussize="0,0"/>
                  <v:stroke color="#000000" joinstyle="round" endarrow="block" endarrowwidth="narrow" endarrowlength="long"/>
                  <v:imagedata o:title=""/>
                  <o:lock v:ext="edit" aspectratio="f"/>
                </v:line>
                <v:line id="_x0000_s1026" o:spid="_x0000_s1026" o:spt="20" style="position:absolute;left:6083;top:5246;flip:x;height:0;width:1089;" filled="f" stroked="t" coordsize="21600,21600" o:gfxdata="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3g1IvQAA&#10;ANwAAAAPAAAAAAAAAAEAIAAAACIAAABkcnMvZG93bnJldi54bWxQSwECFAAUAAAACACHTuJAMy8F&#10;njsAAAA5AAAAEAAAAAAAAAABACAAAAAMAQAAZHJzL3NoYXBleG1sLnhtbFBLBQYAAAAABgAGAFsB&#10;AAC2AwAAAAA=&#10;">
                  <v:fill on="f" focussize="0,0"/>
                  <v:stroke color="#000000" joinstyle="round" dashstyle="longDash"/>
                  <v:imagedata o:title=""/>
                  <o:lock v:ext="edit" aspectratio="f"/>
                </v:line>
              </v:group>
            </w:pict>
          </mc:Fallback>
        </mc:AlternateContent>
      </w:r>
    </w:p>
    <w:p>
      <w:pPr>
        <w:tabs>
          <w:tab w:val="right" w:pos="180"/>
        </w:tabs>
        <w:spacing w:line="360" w:lineRule="auto"/>
        <w:ind w:firstLine="472" w:firstLineChars="224"/>
        <w:rPr>
          <w:rFonts w:hint="eastAsia" w:asciiTheme="minorEastAsia" w:hAnsiTheme="minorEastAsia" w:eastAsiaTheme="minorEastAsia" w:cstheme="minorEastAsia"/>
          <w:b/>
          <w:color w:val="auto"/>
          <w:sz w:val="21"/>
          <w:szCs w:val="21"/>
          <w:highlight w:val="none"/>
        </w:rPr>
      </w:pPr>
    </w:p>
    <w:p>
      <w:pPr>
        <w:tabs>
          <w:tab w:val="right" w:pos="180"/>
          <w:tab w:val="left" w:pos="540"/>
        </w:tabs>
        <w:spacing w:line="440" w:lineRule="exact"/>
        <w:ind w:firstLine="468"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pacing w:val="12"/>
          <w:sz w:val="21"/>
          <w:szCs w:val="21"/>
          <w:highlight w:val="none"/>
        </w:rPr>
        <mc:AlternateContent>
          <mc:Choice Requires="wps">
            <w:drawing>
              <wp:anchor distT="0" distB="0" distL="114300" distR="114300" simplePos="0" relativeHeight="252067840" behindDoc="0" locked="0" layoutInCell="1" allowOverlap="1">
                <wp:simplePos x="0" y="0"/>
                <wp:positionH relativeFrom="column">
                  <wp:posOffset>7400925</wp:posOffset>
                </wp:positionH>
                <wp:positionV relativeFrom="paragraph">
                  <wp:posOffset>37465</wp:posOffset>
                </wp:positionV>
                <wp:extent cx="1333500" cy="0"/>
                <wp:effectExtent l="0" t="25400" r="0" b="31750"/>
                <wp:wrapNone/>
                <wp:docPr id="448" name="直接连接符 448"/>
                <wp:cNvGraphicFramePr/>
                <a:graphic xmlns:a="http://schemas.openxmlformats.org/drawingml/2006/main">
                  <a:graphicData uri="http://schemas.microsoft.com/office/word/2010/wordprocessingShape">
                    <wps:wsp>
                      <wps:cNvCnPr/>
                      <wps:spPr>
                        <a:xfrm>
                          <a:off x="0" y="0"/>
                          <a:ext cx="1333500" cy="0"/>
                        </a:xfrm>
                        <a:prstGeom prst="line">
                          <a:avLst/>
                        </a:prstGeom>
                        <a:ln w="9525" cap="flat" cmpd="sng">
                          <a:solidFill>
                            <a:srgbClr val="000000"/>
                          </a:solidFill>
                          <a:prstDash val="solid"/>
                          <a:headEnd type="none" w="med" len="med"/>
                          <a:tailEnd type="triangle" w="sm" len="lg"/>
                        </a:ln>
                      </wps:spPr>
                      <wps:bodyPr upright="1"/>
                    </wps:wsp>
                  </a:graphicData>
                </a:graphic>
              </wp:anchor>
            </w:drawing>
          </mc:Choice>
          <mc:Fallback>
            <w:pict>
              <v:line id="_x0000_s1026" o:spid="_x0000_s1026" o:spt="20" style="position:absolute;left:0pt;margin-left:582.75pt;margin-top:2.95pt;height:0pt;width:105pt;z-index:252067840;mso-width-relative:page;mso-height-relative:page;" filled="f" stroked="t" coordsize="21600,21600" o:gfxdata="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UcRRtgA&#10;AAAJAQAADwAAAAAAAAABACAAAAAiAAAAZHJzL2Rvd25yZXYueG1sUEsBAhQAFAAAAAgAh07iQMO4&#10;VX7mAQAAnAMAAA4AAAAAAAAAAQAgAAAAJwEAAGRycy9lMm9Eb2MueG1sUEsFBgAAAAAGAAYAWQEA&#10;AH8FAAAAAA==&#10;">
                <v:fill on="f" focussize="0,0"/>
                <v:stroke color="#000000" joinstyle="round" endarrow="block" endarrowwidth="narrow" endarrowlength="long"/>
                <v:imagedata o:title=""/>
                <o:lock v:ext="edit" aspectratio="f"/>
              </v:line>
            </w:pict>
          </mc:Fallback>
        </mc:AlternateContent>
      </w:r>
      <w:r>
        <w:rPr>
          <w:rFonts w:hint="eastAsia" w:asciiTheme="minorEastAsia" w:hAnsiTheme="minorEastAsia" w:eastAsiaTheme="minorEastAsia" w:cstheme="minorEastAsia"/>
          <w:color w:val="auto"/>
          <w:spacing w:val="12"/>
          <w:sz w:val="21"/>
          <w:szCs w:val="21"/>
          <w:highlight w:val="none"/>
        </w:rPr>
        <mc:AlternateContent>
          <mc:Choice Requires="wps">
            <w:drawing>
              <wp:anchor distT="0" distB="0" distL="114300" distR="114300" simplePos="0" relativeHeight="252068864" behindDoc="0" locked="0" layoutInCell="1" allowOverlap="1">
                <wp:simplePos x="0" y="0"/>
                <wp:positionH relativeFrom="column">
                  <wp:posOffset>7800975</wp:posOffset>
                </wp:positionH>
                <wp:positionV relativeFrom="paragraph">
                  <wp:posOffset>136525</wp:posOffset>
                </wp:positionV>
                <wp:extent cx="754380" cy="262255"/>
                <wp:effectExtent l="0" t="0" r="0" b="0"/>
                <wp:wrapNone/>
                <wp:docPr id="447" name="文本框 447"/>
                <wp:cNvGraphicFramePr/>
                <a:graphic xmlns:a="http://schemas.openxmlformats.org/drawingml/2006/main">
                  <a:graphicData uri="http://schemas.microsoft.com/office/word/2010/wordprocessingShape">
                    <wps:wsp>
                      <wps:cNvSpPr txBox="1"/>
                      <wps:spPr>
                        <a:xfrm>
                          <a:off x="0" y="0"/>
                          <a:ext cx="754380" cy="262255"/>
                        </a:xfrm>
                        <a:prstGeom prst="rect">
                          <a:avLst/>
                        </a:prstGeom>
                        <a:noFill/>
                        <a:ln>
                          <a:noFill/>
                        </a:ln>
                      </wps:spPr>
                      <wps:txbx>
                        <w:txbxContent>
                          <w:p>
                            <w:r>
                              <w:rPr>
                                <w:rFonts w:hint="eastAsia"/>
                              </w:rPr>
                              <w:t>达标排放</w:t>
                            </w:r>
                          </w:p>
                        </w:txbxContent>
                      </wps:txbx>
                      <wps:bodyPr upright="1"/>
                    </wps:wsp>
                  </a:graphicData>
                </a:graphic>
              </wp:anchor>
            </w:drawing>
          </mc:Choice>
          <mc:Fallback>
            <w:pict>
              <v:shape id="_x0000_s1026" o:spid="_x0000_s1026" o:spt="202" type="#_x0000_t202" style="position:absolute;left:0pt;margin-left:614.25pt;margin-top:10.75pt;height:20.65pt;width:59.4pt;z-index:252068864;mso-width-relative:page;mso-height-relative:page;" filled="f" stroked="f" coordsize="21600,21600" o:gfxdata="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DklRwdgAAAALAQAADwAAAAAAAAABACAAAAAiAAAAZHJzL2Rv&#10;d25yZXYueG1sUEsBAhQAFAAAAAgAh07iQK40ILWPAQAAAwMAAA4AAAAAAAAAAQAgAAAAJwEAAGRy&#10;cy9lMm9Eb2MueG1sUEsFBgAAAAAGAAYAWQEAACgFAAAAAA==&#10;">
                <v:fill on="f" focussize="0,0"/>
                <v:stroke on="f"/>
                <v:imagedata o:title=""/>
                <o:lock v:ext="edit" aspectratio="f"/>
                <v:textbox>
                  <w:txbxContent>
                    <w:p>
                      <w:r>
                        <w:rPr>
                          <w:rFonts w:hint="eastAsia"/>
                        </w:rPr>
                        <w:t>达标排放</w:t>
                      </w:r>
                    </w:p>
                  </w:txbxContent>
                </v:textbox>
              </v:shape>
            </w:pict>
          </mc:Fallback>
        </mc:AlternateContent>
      </w:r>
      <w:r>
        <w:rPr>
          <w:rFonts w:hint="eastAsia" w:asciiTheme="minorEastAsia" w:hAnsiTheme="minorEastAsia" w:eastAsiaTheme="minorEastAsia" w:cstheme="minorEastAsia"/>
          <w:color w:val="auto"/>
          <w:sz w:val="21"/>
          <w:szCs w:val="21"/>
          <w:highlight w:val="none"/>
        </w:rPr>
        <w:t xml:space="preserve"> </w:t>
      </w:r>
    </w:p>
    <w:p>
      <w:pPr>
        <w:tabs>
          <w:tab w:val="right" w:pos="180"/>
          <w:tab w:val="left" w:pos="540"/>
        </w:tabs>
        <w:spacing w:line="440" w:lineRule="exact"/>
        <w:ind w:firstLine="420" w:firstLineChars="200"/>
        <w:rPr>
          <w:rFonts w:hint="eastAsia" w:asciiTheme="minorEastAsia" w:hAnsiTheme="minorEastAsia" w:eastAsiaTheme="minorEastAsia" w:cstheme="minorEastAsia"/>
          <w:color w:val="auto"/>
          <w:sz w:val="21"/>
          <w:szCs w:val="21"/>
          <w:highlight w:val="none"/>
        </w:rPr>
      </w:pPr>
    </w:p>
    <w:p>
      <w:pPr>
        <w:tabs>
          <w:tab w:val="right" w:pos="180"/>
          <w:tab w:val="left" w:pos="540"/>
        </w:tabs>
        <w:spacing w:line="440" w:lineRule="exact"/>
        <w:ind w:firstLine="420" w:firstLineChars="200"/>
        <w:rPr>
          <w:rFonts w:hint="eastAsia" w:asciiTheme="minorEastAsia" w:hAnsiTheme="minorEastAsia" w:eastAsiaTheme="minorEastAsia" w:cstheme="minorEastAsia"/>
          <w:color w:val="auto"/>
          <w:sz w:val="21"/>
          <w:szCs w:val="21"/>
          <w:highlight w:val="none"/>
        </w:rPr>
      </w:pPr>
    </w:p>
    <w:p>
      <w:pPr>
        <w:tabs>
          <w:tab w:val="right" w:pos="180"/>
        </w:tabs>
        <w:spacing w:line="360" w:lineRule="auto"/>
        <w:rPr>
          <w:rFonts w:hint="eastAsia" w:asciiTheme="minorEastAsia" w:hAnsiTheme="minorEastAsia" w:eastAsiaTheme="minorEastAsia" w:cstheme="minorEastAsia"/>
          <w:color w:val="auto"/>
          <w:sz w:val="21"/>
          <w:szCs w:val="21"/>
          <w:highlight w:val="none"/>
        </w:rPr>
      </w:pPr>
    </w:p>
    <w:p>
      <w:pPr>
        <w:tabs>
          <w:tab w:val="right" w:pos="180"/>
        </w:tabs>
        <w:spacing w:line="360" w:lineRule="auto"/>
        <w:rPr>
          <w:rFonts w:hint="eastAsia" w:asciiTheme="minorEastAsia" w:hAnsiTheme="minorEastAsia" w:eastAsiaTheme="minorEastAsia" w:cstheme="minorEastAsia"/>
          <w:color w:val="auto"/>
          <w:sz w:val="21"/>
          <w:szCs w:val="21"/>
          <w:highlight w:val="none"/>
        </w:rPr>
      </w:pPr>
    </w:p>
    <w:p>
      <w:pPr>
        <w:tabs>
          <w:tab w:val="right" w:pos="180"/>
        </w:tabs>
        <w:spacing w:before="50" w:line="360" w:lineRule="auto"/>
        <w:ind w:firstLine="457" w:firstLineChars="217"/>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（五）、施工工艺及技术要求</w:t>
      </w:r>
    </w:p>
    <w:p>
      <w:pPr>
        <w:spacing w:line="360" w:lineRule="auto"/>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A、 风管及部件制作的一般规定</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1、低压系统非金属风管圆形风管的板材厚度（mm）：</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中、低压系统非金属风管圆形风管板材厚度（mm）</w:t>
      </w:r>
    </w:p>
    <w:tbl>
      <w:tblPr>
        <w:tblStyle w:val="90"/>
        <w:tblW w:w="0" w:type="auto"/>
        <w:jc w:val="center"/>
        <w:tblLayout w:type="fixed"/>
        <w:tblCellMar>
          <w:top w:w="0" w:type="dxa"/>
          <w:left w:w="0" w:type="dxa"/>
          <w:bottom w:w="0" w:type="dxa"/>
          <w:right w:w="0" w:type="dxa"/>
        </w:tblCellMar>
      </w:tblPr>
      <w:tblGrid>
        <w:gridCol w:w="3929"/>
        <w:gridCol w:w="4113"/>
      </w:tblGrid>
      <w:tr>
        <w:tblPrEx>
          <w:tblCellMar>
            <w:top w:w="0" w:type="dxa"/>
            <w:left w:w="0" w:type="dxa"/>
            <w:bottom w:w="0" w:type="dxa"/>
            <w:right w:w="0" w:type="dxa"/>
          </w:tblCellMar>
        </w:tblPrEx>
        <w:trPr>
          <w:jc w:val="center"/>
        </w:trPr>
        <w:tc>
          <w:tcPr>
            <w:tcW w:w="39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风管直径Ｄ</w:t>
            </w:r>
          </w:p>
        </w:tc>
        <w:tc>
          <w:tcPr>
            <w:tcW w:w="4113" w:type="dxa"/>
            <w:tcBorders>
              <w:top w:val="single" w:color="auto" w:sz="8" w:space="0"/>
              <w:left w:val="nil"/>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 材厚度</w:t>
            </w:r>
          </w:p>
        </w:tc>
      </w:tr>
      <w:tr>
        <w:tblPrEx>
          <w:tblCellMar>
            <w:top w:w="0" w:type="dxa"/>
            <w:left w:w="0" w:type="dxa"/>
            <w:bottom w:w="0" w:type="dxa"/>
            <w:right w:w="0" w:type="dxa"/>
          </w:tblCellMar>
        </w:tblPrEx>
        <w:trPr>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Ｄ≤320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３．０</w:t>
            </w:r>
          </w:p>
        </w:tc>
      </w:tr>
      <w:tr>
        <w:tblPrEx>
          <w:tblCellMar>
            <w:top w:w="0" w:type="dxa"/>
            <w:left w:w="0" w:type="dxa"/>
            <w:bottom w:w="0" w:type="dxa"/>
            <w:right w:w="0" w:type="dxa"/>
          </w:tblCellMar>
        </w:tblPrEx>
        <w:trPr>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320&lt;D≤630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４．０</w:t>
            </w:r>
          </w:p>
        </w:tc>
      </w:tr>
      <w:tr>
        <w:tblPrEx>
          <w:tblCellMar>
            <w:top w:w="0" w:type="dxa"/>
            <w:left w:w="0" w:type="dxa"/>
            <w:bottom w:w="0" w:type="dxa"/>
            <w:right w:w="0" w:type="dxa"/>
          </w:tblCellMar>
        </w:tblPrEx>
        <w:trPr>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630&lt;D≤1000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５．０</w:t>
            </w:r>
          </w:p>
        </w:tc>
      </w:tr>
      <w:tr>
        <w:tblPrEx>
          <w:tblCellMar>
            <w:top w:w="0" w:type="dxa"/>
            <w:left w:w="0" w:type="dxa"/>
            <w:bottom w:w="0" w:type="dxa"/>
            <w:right w:w="0" w:type="dxa"/>
          </w:tblCellMar>
        </w:tblPrEx>
        <w:trPr>
          <w:trHeight w:val="190" w:hRule="atLeast"/>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1000&lt;D≤2000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６．０</w:t>
            </w:r>
          </w:p>
        </w:tc>
      </w:tr>
    </w:tbl>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中、低压系统非金属风管矩形风管板材厚度（mm）</w:t>
      </w:r>
    </w:p>
    <w:tbl>
      <w:tblPr>
        <w:tblStyle w:val="9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3999"/>
        <w:gridCol w:w="41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风管长边尺寸b</w:t>
            </w:r>
          </w:p>
        </w:tc>
        <w:tc>
          <w:tcPr>
            <w:tcW w:w="4139" w:type="dxa"/>
            <w:tcMar>
              <w:top w:w="0" w:type="dxa"/>
              <w:left w:w="108" w:type="dxa"/>
              <w:bottom w:w="0" w:type="dxa"/>
              <w:right w:w="108" w:type="dxa"/>
            </w:tcMa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板　材　厚　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b≤320</w:t>
            </w:r>
          </w:p>
        </w:tc>
        <w:tc>
          <w:tcPr>
            <w:tcW w:w="4139" w:type="dxa"/>
            <w:tcMar>
              <w:top w:w="0" w:type="dxa"/>
              <w:left w:w="108" w:type="dxa"/>
              <w:bottom w:w="0" w:type="dxa"/>
              <w:right w:w="108" w:type="dxa"/>
            </w:tcMa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３．０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320&lt;b≤500</w:t>
            </w:r>
          </w:p>
        </w:tc>
        <w:tc>
          <w:tcPr>
            <w:tcW w:w="4139" w:type="dxa"/>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４．０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500&lt;b≤800</w:t>
            </w:r>
          </w:p>
        </w:tc>
        <w:tc>
          <w:tcPr>
            <w:tcW w:w="4139" w:type="dxa"/>
            <w:tcMar>
              <w:top w:w="0" w:type="dxa"/>
              <w:left w:w="108" w:type="dxa"/>
              <w:bottom w:w="0" w:type="dxa"/>
              <w:right w:w="108" w:type="dxa"/>
            </w:tcMa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５．０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800&lt;b≤1250</w:t>
            </w:r>
          </w:p>
        </w:tc>
        <w:tc>
          <w:tcPr>
            <w:tcW w:w="4139" w:type="dxa"/>
            <w:tcMar>
              <w:top w:w="0" w:type="dxa"/>
              <w:left w:w="108" w:type="dxa"/>
              <w:bottom w:w="0" w:type="dxa"/>
              <w:right w:w="108" w:type="dxa"/>
            </w:tcMa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６．０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1250&lt;b≤2000</w:t>
            </w:r>
          </w:p>
        </w:tc>
        <w:tc>
          <w:tcPr>
            <w:tcW w:w="4139" w:type="dxa"/>
            <w:tcMar>
              <w:top w:w="0" w:type="dxa"/>
              <w:left w:w="108" w:type="dxa"/>
              <w:bottom w:w="0" w:type="dxa"/>
              <w:right w:w="108" w:type="dxa"/>
            </w:tcMa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８．０</w:t>
            </w:r>
          </w:p>
        </w:tc>
      </w:tr>
    </w:tbl>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2、非金属风管圆形风管的法兰规格（mm）</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非金属风管风管法兰规格（mm）</w:t>
      </w:r>
    </w:p>
    <w:tbl>
      <w:tblPr>
        <w:tblStyle w:val="9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848"/>
        <w:gridCol w:w="1715"/>
        <w:gridCol w:w="1713"/>
        <w:gridCol w:w="1596"/>
        <w:gridCol w:w="1587"/>
        <w:gridCol w:w="11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1848"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风管边长b</w:t>
            </w:r>
          </w:p>
        </w:tc>
        <w:tc>
          <w:tcPr>
            <w:tcW w:w="1715"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材料规格</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（宽×厚）</w:t>
            </w:r>
          </w:p>
        </w:tc>
        <w:tc>
          <w:tcPr>
            <w:tcW w:w="1713"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c>
          <w:tcPr>
            <w:tcW w:w="1596"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风管边长b</w:t>
            </w:r>
          </w:p>
        </w:tc>
        <w:tc>
          <w:tcPr>
            <w:tcW w:w="1587"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材料规格</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（宽×厚）</w:t>
            </w:r>
          </w:p>
        </w:tc>
        <w:tc>
          <w:tcPr>
            <w:tcW w:w="1143" w:type="dxa"/>
            <w:tcMar>
              <w:top w:w="0" w:type="dxa"/>
              <w:left w:w="108" w:type="dxa"/>
              <w:bottom w:w="0" w:type="dxa"/>
              <w:right w:w="108" w:type="dxa"/>
            </w:tcMa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b≤160</w:t>
            </w:r>
          </w:p>
        </w:tc>
        <w:tc>
          <w:tcPr>
            <w:tcW w:w="1715"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35×6</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713"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M6</w:t>
            </w:r>
          </w:p>
        </w:tc>
        <w:tc>
          <w:tcPr>
            <w:tcW w:w="1596"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800＜b≤1250</w:t>
            </w:r>
          </w:p>
        </w:tc>
        <w:tc>
          <w:tcPr>
            <w:tcW w:w="1587"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45×12</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143" w:type="dxa"/>
            <w:vMerge w:val="restart"/>
            <w:tcMar>
              <w:top w:w="0" w:type="dxa"/>
              <w:left w:w="108" w:type="dxa"/>
              <w:bottom w:w="0" w:type="dxa"/>
              <w:right w:w="108" w:type="dxa"/>
            </w:tcMa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Ｍ10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160＜b≤400</w:t>
            </w:r>
          </w:p>
        </w:tc>
        <w:tc>
          <w:tcPr>
            <w:tcW w:w="1715"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35×8</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713" w:type="dxa"/>
            <w:vMerge w:val="restart"/>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c>
          <w:tcPr>
            <w:tcW w:w="1596"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1250＜b≤1600</w:t>
            </w:r>
          </w:p>
        </w:tc>
        <w:tc>
          <w:tcPr>
            <w:tcW w:w="1587"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143" w:type="dxa"/>
            <w:vMerge w:val="continue"/>
            <w:vAlign w:val="center"/>
          </w:tcPr>
          <w:p>
            <w:pPr>
              <w:spacing w:line="360" w:lineRule="auto"/>
              <w:rPr>
                <w:rFonts w:hint="eastAsia" w:asciiTheme="minorEastAsia" w:hAnsiTheme="minorEastAsia" w:eastAsiaTheme="minorEastAsia" w:cs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400＜b≤500</w:t>
            </w:r>
          </w:p>
        </w:tc>
        <w:tc>
          <w:tcPr>
            <w:tcW w:w="1715"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713" w:type="dxa"/>
            <w:vMerge w:val="continue"/>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596"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1600＜b≤2000</w:t>
            </w:r>
          </w:p>
        </w:tc>
        <w:tc>
          <w:tcPr>
            <w:tcW w:w="1587"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60×18</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143" w:type="dxa"/>
            <w:vMerge w:val="continue"/>
            <w:vAlign w:val="center"/>
          </w:tcPr>
          <w:p>
            <w:pPr>
              <w:spacing w:line="360" w:lineRule="auto"/>
              <w:rPr>
                <w:rFonts w:hint="eastAsia" w:asciiTheme="minorEastAsia" w:hAnsiTheme="minorEastAsia" w:eastAsiaTheme="minorEastAsia" w:cs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500＜b≤800</w:t>
            </w:r>
          </w:p>
        </w:tc>
        <w:tc>
          <w:tcPr>
            <w:tcW w:w="1715"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713"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c>
          <w:tcPr>
            <w:tcW w:w="1596" w:type="dxa"/>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b＞2000</w:t>
            </w:r>
          </w:p>
        </w:tc>
        <w:tc>
          <w:tcPr>
            <w:tcW w:w="2730" w:type="dxa"/>
            <w:gridSpan w:val="2"/>
            <w:tcMar>
              <w:top w:w="0" w:type="dxa"/>
              <w:left w:w="108" w:type="dxa"/>
              <w:bottom w:w="0" w:type="dxa"/>
              <w:right w:w="108" w:type="dxa"/>
            </w:tcMar>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按设计</w:t>
            </w:r>
          </w:p>
        </w:tc>
      </w:tr>
    </w:tbl>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3、风管系统类别划分</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风管系统工程类别划分</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2"/>
        <w:gridCol w:w="2441"/>
        <w:gridCol w:w="3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292"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系统类别</w:t>
            </w:r>
          </w:p>
        </w:tc>
        <w:tc>
          <w:tcPr>
            <w:tcW w:w="244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系统工作压力</w:t>
            </w:r>
          </w:p>
        </w:tc>
        <w:tc>
          <w:tcPr>
            <w:tcW w:w="33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密封要求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292"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低压系统</w:t>
            </w:r>
          </w:p>
        </w:tc>
        <w:tc>
          <w:tcPr>
            <w:tcW w:w="244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P≤500Pa</w:t>
            </w:r>
          </w:p>
        </w:tc>
        <w:tc>
          <w:tcPr>
            <w:tcW w:w="33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接缝和接连管处严密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292"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中压系统</w:t>
            </w:r>
          </w:p>
        </w:tc>
        <w:tc>
          <w:tcPr>
            <w:tcW w:w="244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500＜P≤1500Pa</w:t>
            </w:r>
          </w:p>
        </w:tc>
        <w:tc>
          <w:tcPr>
            <w:tcW w:w="33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增加密封装置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292"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高压系统</w:t>
            </w:r>
          </w:p>
        </w:tc>
        <w:tc>
          <w:tcPr>
            <w:tcW w:w="244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P＞1500Pa</w:t>
            </w:r>
          </w:p>
        </w:tc>
        <w:tc>
          <w:tcPr>
            <w:tcW w:w="33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全部采取密封措施</w:t>
            </w:r>
          </w:p>
        </w:tc>
      </w:tr>
    </w:tbl>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4．风管风管支吊架最大间距</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风管支吊架最大间距(m)</w:t>
      </w:r>
    </w:p>
    <w:tbl>
      <w:tblPr>
        <w:tblStyle w:val="90"/>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853"/>
        <w:gridCol w:w="683"/>
        <w:gridCol w:w="810"/>
        <w:gridCol w:w="808"/>
        <w:gridCol w:w="710"/>
        <w:gridCol w:w="641"/>
        <w:gridCol w:w="668"/>
        <w:gridCol w:w="683"/>
        <w:gridCol w:w="716"/>
        <w:gridCol w:w="716"/>
        <w:gridCol w:w="68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8" w:hRule="atLeast"/>
          <w:jc w:val="center"/>
        </w:trPr>
        <w:tc>
          <w:tcPr>
            <w:tcW w:w="1853"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公称直径(mm)</w:t>
            </w:r>
          </w:p>
        </w:tc>
        <w:tc>
          <w:tcPr>
            <w:tcW w:w="683"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200</w:t>
            </w:r>
          </w:p>
        </w:tc>
        <w:tc>
          <w:tcPr>
            <w:tcW w:w="810"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250</w:t>
            </w:r>
          </w:p>
        </w:tc>
        <w:tc>
          <w:tcPr>
            <w:tcW w:w="808"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w:t>
            </w:r>
          </w:p>
        </w:tc>
        <w:tc>
          <w:tcPr>
            <w:tcW w:w="710"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360</w:t>
            </w:r>
          </w:p>
        </w:tc>
        <w:tc>
          <w:tcPr>
            <w:tcW w:w="641"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400</w:t>
            </w:r>
          </w:p>
        </w:tc>
        <w:tc>
          <w:tcPr>
            <w:tcW w:w="668"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450</w:t>
            </w:r>
          </w:p>
        </w:tc>
        <w:tc>
          <w:tcPr>
            <w:tcW w:w="683"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w:t>
            </w:r>
          </w:p>
        </w:tc>
        <w:tc>
          <w:tcPr>
            <w:tcW w:w="716"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560</w:t>
            </w:r>
          </w:p>
        </w:tc>
        <w:tc>
          <w:tcPr>
            <w:tcW w:w="716"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w:t>
            </w:r>
          </w:p>
        </w:tc>
        <w:tc>
          <w:tcPr>
            <w:tcW w:w="683" w:type="dxa"/>
            <w:vAlign w:val="center"/>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6" w:hRule="atLeast"/>
          <w:jc w:val="center"/>
        </w:trPr>
        <w:tc>
          <w:tcPr>
            <w:tcW w:w="1853"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支撑距离</w:t>
            </w:r>
          </w:p>
        </w:tc>
        <w:tc>
          <w:tcPr>
            <w:tcW w:w="683"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c>
          <w:tcPr>
            <w:tcW w:w="810"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c>
          <w:tcPr>
            <w:tcW w:w="808"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710"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641"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668"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683"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c>
          <w:tcPr>
            <w:tcW w:w="716"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c>
          <w:tcPr>
            <w:tcW w:w="716"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c>
          <w:tcPr>
            <w:tcW w:w="683" w:type="dxa"/>
          </w:tcPr>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r>
    </w:tbl>
    <w:p>
      <w:pPr>
        <w:spacing w:line="360" w:lineRule="auto"/>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B、风管质量的基本要求</w:t>
      </w:r>
    </w:p>
    <w:p>
      <w:pPr>
        <w:spacing w:line="360" w:lineRule="auto"/>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风管必须通过工艺性的检测或验证，其强度和严密性要求应符合设计或下列规定：</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１．风管的强度应能满足在1.5倍工作压力下接缝处无开裂；</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２．矩形风管的允许漏风量应符合以下规定：</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低压系统风管 ＱL≤0.1056P0.65</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中压系统风管 QM≤0.0352P0.65</w:t>
      </w:r>
    </w:p>
    <w:p>
      <w:pPr>
        <w:spacing w:line="360" w:lineRule="auto"/>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C、风管安装的技术要求</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1.与有振动设备连接时应加装软接（帆布或塑料布）；</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2.风管穿墙体和楼板时要加金属套管保护，其钢板厚度应小于1．6mm，风管同金属套管之间应有5~10mm的间隙。风管与防护套管之间，应用不燃且对人体无危害的柔性材料封堵；</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3.风管连接时法兰之间应垫入厚为</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10mm的软PEF棉，并粘贴好；</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4.风管的连接长度，应按风管的壁厚、法兰与风管的连接方法、安装的结构部位和吊装方法等因素决定。为了安装方便，尽量在地面上进行连接，(直线段)一般可接至10～12 m长左右。在风管连接时，不允许将可拆卸的接口装设在墙内；</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5.除风管制作保证其平整外，在安装过程仍要保证风管的平整，并防止在交叉施工中受到破坏。明装水平风管安装后的不水平度的允许偏差为每米不应大于5 mm；总偏差不应大于30 mm。明装垂直风管安装后不垂直度的允许偏差为每米不应大于5 mm；总偏差不应大于30 mm。</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6.风管沿墙敷设时，管壁到墙面至少保留100 mm的距离，以便于拧法兰螺栓；</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7.风管内不得敷设电线、电缆，风机控制线在风管外沿风管敷设；</w:t>
      </w:r>
    </w:p>
    <w:p>
      <w:pPr>
        <w:spacing w:line="360" w:lineRule="auto"/>
        <w:ind w:left="239" w:leftChars="11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8.风管与部件吊架的膨胀螺栓位置应正确、牢固可靠，采用膨胀螺栓固定吊架时，必须根据所承受的负荷认真选用膨胀螺栓；</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9.对于相同管径的吊架应等距离排列，但不能将吊架位置设置在风口、风阀、检视门及测定孔等部位；吊杆不宜直接固定在法兰上。</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10.风管支撑距离不得低于国标(GB50234－97)；</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11.支、吊架上的螺孔应采用机械加工，不得用气割开孔；</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12.靠墙安装的垂直风管应用斜撑支架，不靠墙、柱穿楼板安装的垂直风管采用抱箍支架；</w:t>
      </w:r>
    </w:p>
    <w:p>
      <w:pPr>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13.水平风管支吊架的吊杆应平直，螺纹应完整、光洁。</w:t>
      </w:r>
    </w:p>
    <w:p>
      <w:pPr>
        <w:spacing w:line="360" w:lineRule="auto"/>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D、风阀安装的技术要求</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1.风管与阀门联接直线段采取地面组装，风阀安装前应做动作试验和性能进行检测，联接完毕对表面进行清洁，并关闭阀门，严防尘土杂物入内。</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2.调节阀（止回阀）安装时，方向位置应正确；安装后再做动作试验，其阀板的启闭应灵活，动作应可靠。</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3.手动单叶片或多叶片调节风阀的手轮或扳手，应以顺时针方向转动为关闭，其调节范围及开启角度指示应与叶片开启角度相一致。</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4.电动、气动调节风阀的驱动装置，动作应可靠，在最大工作压力下工作正常。</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5.防火阀和排烟阀（排烟口）必须符合有关消防产品标准的规定，并具有相应的产品合格证明文件。</w:t>
      </w:r>
    </w:p>
    <w:p>
      <w:pPr>
        <w:spacing w:line="360" w:lineRule="auto"/>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E、风机安装</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1．所有排风机要求安装在室内风机房、屋顶或一楼地面。</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2．风机的砼基础要求水平、坚固，且基础高度≥150mm。</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3．风机与风管采用帆布软管（柔性材料且不燃烧）连接，长度为150 mm~300mm。为保证帆布软管在系统运转过程中不扭曲，应安装的松紧适度。对于装在风机吸入端的帆布软管，可安装稍紧些，防止风机运转时被吸入；</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风机的钢支架必须固定在混凝土基础上，对功率超过0.75kw的风机其钢支架与基础之间必须增加橡胶减振垫。全部风机及电动机组件都安装在整块的钢支架上，钢架安装在减振垫上，减振垫最好用多孔型橡胶板。减振垫的布置尽量对称于设备的主惯性轴，或布置在设备重心的平面内，以使各减振器受力均匀，变形量相等。</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5．风机出口的风管管径只能变大、不能变小，出风口要安装杂物网，偏向上出风时须增加风雨帽。</w:t>
      </w:r>
    </w:p>
    <w:p>
      <w:pPr>
        <w:spacing w:line="360" w:lineRule="auto"/>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F、电气系统施工技术要求</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1．暗敷线管工艺要求</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①暗敷线管宜沿最近的路线敷设，尽量减少弯曲，与建筑物、构筑物表面的距离不应小于15mm。</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②暗敷线管不宜穿过设备或建筑物、构筑物的基础，当必须穿过时，应采取保护措施。</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③暗敷线管弯曲半径不宜小于外径的6倍，当埋设于地下或混凝土内时，，弯曲半径不应小于管外径的10倍。</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④当线管长超过15m时，采用线盒连接。</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⑤电线管连接采用螺纹连接，管端螺纹长度不应小于管接头长度的1/2；连接后，其螺纹外露2～3扣，螺纹表面应光滑、无缺损；线管与线盒(箱)采用螺纹连接。</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2．明敷线管工艺要求</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①敷设前应按设计图纸、标准图规定的敷设方式，加工好各种支架、吊架等金属支持件。</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②配管前先按设计图纸确定好配电设备、各种箱、盒及用电设备安装位置，并将箱、盒与建筑物固定牢固。</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③明敷管路应横平竖直，顺线路的垂直和水平位置进行弹线定位，并应注意管路与其它管路相互间位置及最小距离。测量出吊架、支架等固定点的具体位置和距离。</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④沿建筑物表面敷设的明管，使用管卡子均匀固定，固定点间距离为1米</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。管卡子的固定采用胀管法。</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明管的支（吊）架安装，对于多根明管或较粗的明管可采用支（吊）架安装，采用支（吊）架安装时应先固定好两端的支（吊）架，再拉通线固定中间支（吊）架。支(吊)架下料和钻孔采用机械法，不允许气割下料。</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⑥明配管的管与管、管与盒（箱）的连接采用丝扣连接，连接处须用螺丝套管索头(杯臣)连接，并在接头两端设置跨接线，严禁采用焊接跨接，应使用专用的跨接线卡固定，跨接线芯不小于2.5mm2。</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⑦明配管在通过建筑物伸缩缝和沉降缝应做补偿措施。用摇表测试相间、相对地的绝缘电阻值并作好记录。</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3．控制箱安装工艺要求</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①安装位置正确、部件齐全，箱体开孔合适、切口整齐。</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②导线一管一孔顺直进入箱内，露出长度应小于5mm；用锁紧螺母固定的管口，管子露出锁紧螺母的螺纹为2～4扣。</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③箱背后建筑物表面无空鼓和裂缝现象；箱体内外清洁。箱、门开启灵活，箱内结线整齐，回路编号齐全、正确。箱体油漆完整。管子与箱体连接用专用锁紧螺母。</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钢管与箱体用锁紧螺母连接，并用跨接线卡连接进度跨接线。</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④盘面上电器控制回路的下方，要设好标志牌，标明所控制的回路名称编号。</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⑤导线与电器必须元件的压接螺丝牢固，压线方向正确。所有二次线必须排列整齐美观、安全可靠，导线两端应带有明显标志和编号的标号头。导线的色别按相序依次为黄、绿、红色，保护接地为黄绿相间色。</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⑥接线位置正确，连接牢固紧密，不伤芯线。压板压接时，压紧无松动；螺栓连接时，在同一端子上导线不超过2根，防松垫圈等配件齐全。零线经汇流排（零线端子）连接，无绞接现象。</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⑦导线在箱内余量适当，进入器具的绝缘保护完好，盘面配线整齐、美观；回路编号齐全、正确。</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⑧配线时根据设计要求及有关规范要求，选好导线的截面和长度，剪断后接线配线。盘前盘后配线应成把成束排列整齐、美观，安全可靠，采用线卡固定。压头时，将导线剥出芯线逐个压牢。</w:t>
      </w:r>
    </w:p>
    <w:p>
      <w:pPr>
        <w:spacing w:line="360" w:lineRule="auto"/>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⑨接地（接零）线截面选用正确，有专用的接地螺栓，连接紧密牢固，走向合理，色标准确，检修方便。</w:t>
      </w:r>
    </w:p>
    <w:p>
      <w:pPr>
        <w:tabs>
          <w:tab w:val="right" w:pos="180"/>
        </w:tabs>
        <w:spacing w:line="360" w:lineRule="auto"/>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drawing>
          <wp:anchor distT="0" distB="0" distL="114300" distR="114300" simplePos="0" relativeHeight="252055552" behindDoc="1" locked="1" layoutInCell="1" allowOverlap="1">
            <wp:simplePos x="0" y="0"/>
            <wp:positionH relativeFrom="column">
              <wp:posOffset>520700</wp:posOffset>
            </wp:positionH>
            <wp:positionV relativeFrom="paragraph">
              <wp:posOffset>1320800</wp:posOffset>
            </wp:positionV>
            <wp:extent cx="1117600" cy="355600"/>
            <wp:effectExtent l="19050" t="0" r="6350" b="0"/>
            <wp:wrapNone/>
            <wp:docPr id="412" name="图片 1495" descr="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1495" descr="88"/>
                    <pic:cNvPicPr>
                      <a:picLocks noChangeAspect="1" noChangeArrowheads="1"/>
                    </pic:cNvPicPr>
                  </pic:nvPicPr>
                  <pic:blipFill>
                    <a:blip r:embed="rId15"/>
                    <a:srcRect/>
                    <a:stretch>
                      <a:fillRect/>
                    </a:stretch>
                  </pic:blipFill>
                  <pic:spPr>
                    <a:xfrm>
                      <a:off x="0" y="0"/>
                      <a:ext cx="1117600" cy="355600"/>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b/>
          <w:color w:val="auto"/>
          <w:sz w:val="21"/>
          <w:szCs w:val="21"/>
          <w:highlight w:val="none"/>
        </w:rPr>
        <w:t>G、排风风管（PP材质风管）制作及安装方案</w:t>
      </w:r>
    </w:p>
    <w:p>
      <w:pPr>
        <w:spacing w:line="360" w:lineRule="auto"/>
        <w:ind w:firstLine="392" w:firstLineChars="187"/>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本工排风风管全部使用PP材质风管。PP材质风管厚度按设计规范要求。</w:t>
      </w:r>
    </w:p>
    <w:p>
      <w:pPr>
        <w:spacing w:line="360" w:lineRule="auto"/>
        <w:ind w:firstLine="394" w:firstLineChars="187"/>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B-1、PP材质风管制作要求规范：</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1.1.1风管采用PP材质塑料板材,安装与制作可根据《硬质聚氯乙烯层压板材》GB/T4454或《硬质聚氯乙烯挤出板材》GB/T13520标准。板材应为B</w:t>
      </w:r>
      <w:r>
        <w:rPr>
          <w:rFonts w:hint="eastAsia" w:asciiTheme="minorEastAsia" w:hAnsiTheme="minorEastAsia" w:eastAsiaTheme="minorEastAsia" w:cstheme="minorEastAsia"/>
          <w:color w:val="auto"/>
          <w:sz w:val="21"/>
          <w:szCs w:val="21"/>
          <w:highlight w:val="none"/>
          <w:vertAlign w:val="subscript"/>
        </w:rPr>
        <w:t>1</w:t>
      </w:r>
      <w:r>
        <w:rPr>
          <w:rFonts w:hint="eastAsia" w:asciiTheme="minorEastAsia" w:hAnsiTheme="minorEastAsia" w:eastAsiaTheme="minorEastAsia" w:cstheme="minorEastAsia"/>
          <w:color w:val="auto"/>
          <w:sz w:val="21"/>
          <w:szCs w:val="21"/>
          <w:highlight w:val="none"/>
        </w:rPr>
        <w:t>级难燃材料，横向抗拉强度大于或等于0.20Mpa。热成型的PP材质塑料板不得出现气泡、分层、碳化、变形和裂纹等缺陷。</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1.1.2 风管板材厚度及其外径（或外边长）允许偏差应符合表1.1.2-1或表1.1.2－2规定。</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表1.1.2-1  PP材质塑料圆形风管板材厚度及直径允许偏差（mm）</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7"/>
        <w:gridCol w:w="3020"/>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风管直径D</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内径允许偏差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D≤320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3</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320＜D≤630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4</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630＜D≤1000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5</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1000＜D≤2000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6</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bl>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表1.1.2-2   PP材质塑料板矩形风管板材厚度及外边长允许偏差（mm）</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7"/>
        <w:gridCol w:w="3020"/>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风管大边b</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外边长允许偏差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b≤320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3</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≤500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4</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≤800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5</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≤1250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6</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≤2000</w:t>
            </w:r>
          </w:p>
        </w:tc>
        <w:tc>
          <w:tcPr>
            <w:tcW w:w="30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8</w:t>
            </w:r>
          </w:p>
        </w:tc>
        <w:tc>
          <w:tcPr>
            <w:tcW w:w="2363"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bl>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 风管板材连接采用焊接时，其焊缝形式、焊缝坡口尺寸及使用范围应符合表1.1.3的规定。焊缝应饱满，焊条排列应整齐，不得出现焦黄、断裂等缺陷；焊缝强度不得低于母材的60％。</w:t>
      </w:r>
    </w:p>
    <w:p>
      <w:pPr>
        <w:spacing w:line="360" w:lineRule="auto"/>
        <w:ind w:firstLine="210" w:firstLineChars="100"/>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 xml:space="preserve">表1.1.3    </w:t>
      </w:r>
      <w:r>
        <w:rPr>
          <w:rFonts w:hint="eastAsia" w:asciiTheme="minorEastAsia" w:hAnsiTheme="minorEastAsia" w:eastAsiaTheme="minorEastAsia" w:cstheme="minorEastAsia"/>
          <w:color w:val="auto"/>
          <w:sz w:val="21"/>
          <w:szCs w:val="21"/>
          <w:highlight w:val="none"/>
        </w:rPr>
        <w:t>PP材质塑料板连接的</w:t>
      </w:r>
      <w:r>
        <w:rPr>
          <w:rFonts w:hint="eastAsia" w:asciiTheme="minorEastAsia" w:hAnsiTheme="minorEastAsia" w:eastAsiaTheme="minorEastAsia" w:cstheme="minorEastAsia"/>
          <w:bCs/>
          <w:color w:val="auto"/>
          <w:sz w:val="21"/>
          <w:szCs w:val="21"/>
          <w:highlight w:val="none"/>
        </w:rPr>
        <w:t>焊缝形式坡口尺寸及使用范围</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1211"/>
        <w:gridCol w:w="1101"/>
        <w:gridCol w:w="1358"/>
        <w:gridCol w:w="1268"/>
        <w:gridCol w:w="2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09"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焊缝形式</w:t>
            </w:r>
          </w:p>
        </w:tc>
        <w:tc>
          <w:tcPr>
            <w:tcW w:w="121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图形</w:t>
            </w:r>
          </w:p>
        </w:tc>
        <w:tc>
          <w:tcPr>
            <w:tcW w:w="11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焊缝高度</w:t>
            </w:r>
          </w:p>
        </w:tc>
        <w:tc>
          <w:tcPr>
            <w:tcW w:w="1358"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板材厚度（mm）</w:t>
            </w:r>
          </w:p>
        </w:tc>
        <w:tc>
          <w:tcPr>
            <w:tcW w:w="126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焊缝张角（αº）</w:t>
            </w:r>
          </w:p>
        </w:tc>
        <w:tc>
          <w:tcPr>
            <w:tcW w:w="2549"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使用范围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4" w:hRule="atLeast"/>
          <w:jc w:val="center"/>
        </w:trPr>
        <w:tc>
          <w:tcPr>
            <w:tcW w:w="1909"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V形对接焊缝</w:t>
            </w:r>
          </w:p>
        </w:tc>
        <w:tc>
          <w:tcPr>
            <w:tcW w:w="1211"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61696" behindDoc="0" locked="0" layoutInCell="1" allowOverlap="1">
                  <wp:simplePos x="0" y="0"/>
                  <wp:positionH relativeFrom="column">
                    <wp:posOffset>121285</wp:posOffset>
                  </wp:positionH>
                  <wp:positionV relativeFrom="paragraph">
                    <wp:posOffset>13970</wp:posOffset>
                  </wp:positionV>
                  <wp:extent cx="553085" cy="537845"/>
                  <wp:effectExtent l="19050" t="0" r="0" b="0"/>
                  <wp:wrapNone/>
                  <wp:docPr id="417" name="图片 149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1496" descr="1"/>
                          <pic:cNvPicPr>
                            <a:picLocks noChangeAspect="1" noChangeArrowheads="1"/>
                          </pic:cNvPicPr>
                        </pic:nvPicPr>
                        <pic:blipFill>
                          <a:blip r:embed="rId16"/>
                          <a:srcRect/>
                          <a:stretch>
                            <a:fillRect/>
                          </a:stretch>
                        </pic:blipFill>
                        <pic:spPr>
                          <a:xfrm>
                            <a:off x="0" y="0"/>
                            <a:ext cx="553085" cy="537845"/>
                          </a:xfrm>
                          <a:prstGeom prst="rect">
                            <a:avLst/>
                          </a:prstGeom>
                          <a:noFill/>
                          <a:ln w="9525">
                            <a:noFill/>
                            <a:miter lim="800000"/>
                            <a:headEnd/>
                            <a:tailEnd/>
                          </a:ln>
                        </pic:spPr>
                      </pic:pic>
                    </a:graphicData>
                  </a:graphic>
                </wp:anchor>
              </w:drawing>
            </w:r>
          </w:p>
          <w:p>
            <w:pPr>
              <w:spacing w:line="360" w:lineRule="auto"/>
              <w:jc w:val="center"/>
              <w:rPr>
                <w:rFonts w:hint="eastAsia" w:asciiTheme="minorEastAsia" w:hAnsiTheme="minorEastAsia" w:eastAsiaTheme="minorEastAsia" w:cstheme="minorEastAsia"/>
                <w:color w:val="auto"/>
                <w:sz w:val="21"/>
                <w:szCs w:val="21"/>
                <w:highlight w:val="none"/>
              </w:rPr>
            </w:pPr>
          </w:p>
          <w:p>
            <w:pPr>
              <w:spacing w:line="360" w:lineRule="auto"/>
              <w:jc w:val="center"/>
              <w:rPr>
                <w:rFonts w:hint="eastAsia" w:asciiTheme="minorEastAsia" w:hAnsiTheme="minorEastAsia" w:eastAsiaTheme="minorEastAsia" w:cstheme="minorEastAsia"/>
                <w:color w:val="auto"/>
                <w:sz w:val="21"/>
                <w:szCs w:val="21"/>
                <w:highlight w:val="none"/>
              </w:rPr>
            </w:pPr>
          </w:p>
        </w:tc>
        <w:tc>
          <w:tcPr>
            <w:tcW w:w="1101"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w:t>
            </w:r>
          </w:p>
        </w:tc>
        <w:tc>
          <w:tcPr>
            <w:tcW w:w="1268"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单面焊的小风管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1909"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X形对接焊缝</w:t>
            </w:r>
          </w:p>
        </w:tc>
        <w:tc>
          <w:tcPr>
            <w:tcW w:w="1211"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62720" behindDoc="0" locked="0" layoutInCell="1" allowOverlap="1">
                  <wp:simplePos x="0" y="0"/>
                  <wp:positionH relativeFrom="column">
                    <wp:posOffset>120015</wp:posOffset>
                  </wp:positionH>
                  <wp:positionV relativeFrom="paragraph">
                    <wp:posOffset>13970</wp:posOffset>
                  </wp:positionV>
                  <wp:extent cx="560705" cy="545465"/>
                  <wp:effectExtent l="19050" t="0" r="0" b="0"/>
                  <wp:wrapNone/>
                  <wp:docPr id="418" name="图片 149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1497" descr="3"/>
                          <pic:cNvPicPr>
                            <a:picLocks noChangeAspect="1" noChangeArrowheads="1"/>
                          </pic:cNvPicPr>
                        </pic:nvPicPr>
                        <pic:blipFill>
                          <a:blip r:embed="rId17"/>
                          <a:srcRect/>
                          <a:stretch>
                            <a:fillRect/>
                          </a:stretch>
                        </pic:blipFill>
                        <pic:spPr>
                          <a:xfrm>
                            <a:off x="0" y="0"/>
                            <a:ext cx="560705" cy="545465"/>
                          </a:xfrm>
                          <a:prstGeom prst="rect">
                            <a:avLst/>
                          </a:prstGeom>
                          <a:noFill/>
                          <a:ln w="9525">
                            <a:noFill/>
                            <a:miter lim="800000"/>
                            <a:headEnd/>
                            <a:tailEnd/>
                          </a:ln>
                        </pic:spPr>
                      </pic:pic>
                    </a:graphicData>
                  </a:graphic>
                </wp:anchor>
              </w:drawing>
            </w:r>
          </w:p>
          <w:p>
            <w:pPr>
              <w:spacing w:line="360" w:lineRule="auto"/>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126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风管法兰及厚板的拼接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1909"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搭接焊缝</w:t>
            </w:r>
          </w:p>
        </w:tc>
        <w:tc>
          <w:tcPr>
            <w:tcW w:w="1211"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63744" behindDoc="0" locked="0" layoutInCell="1" allowOverlap="1">
                  <wp:simplePos x="0" y="0"/>
                  <wp:positionH relativeFrom="column">
                    <wp:posOffset>6985</wp:posOffset>
                  </wp:positionH>
                  <wp:positionV relativeFrom="paragraph">
                    <wp:posOffset>52070</wp:posOffset>
                  </wp:positionV>
                  <wp:extent cx="711835" cy="422910"/>
                  <wp:effectExtent l="19050" t="0" r="0" b="0"/>
                  <wp:wrapNone/>
                  <wp:docPr id="419" name="图片 149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1498" descr="4"/>
                          <pic:cNvPicPr>
                            <a:picLocks noChangeAspect="1" noChangeArrowheads="1"/>
                          </pic:cNvPicPr>
                        </pic:nvPicPr>
                        <pic:blipFill>
                          <a:blip r:embed="rId18"/>
                          <a:srcRect/>
                          <a:stretch>
                            <a:fillRect/>
                          </a:stretch>
                        </pic:blipFill>
                        <pic:spPr>
                          <a:xfrm>
                            <a:off x="0" y="0"/>
                            <a:ext cx="711835" cy="422910"/>
                          </a:xfrm>
                          <a:prstGeom prst="rect">
                            <a:avLst/>
                          </a:prstGeom>
                          <a:noFill/>
                          <a:ln w="9525">
                            <a:noFill/>
                            <a:miter lim="800000"/>
                            <a:headEnd/>
                            <a:tailEnd/>
                          </a:ln>
                        </pic:spPr>
                      </pic:pic>
                    </a:graphicData>
                  </a:graphic>
                </wp:anchor>
              </w:drawing>
            </w:r>
          </w:p>
          <w:p>
            <w:pPr>
              <w:spacing w:line="360" w:lineRule="auto"/>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≥最小板厚</w:t>
            </w:r>
          </w:p>
        </w:tc>
        <w:tc>
          <w:tcPr>
            <w:tcW w:w="135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3～10</w:t>
            </w:r>
          </w:p>
        </w:tc>
        <w:tc>
          <w:tcPr>
            <w:tcW w:w="126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549" w:type="dxa"/>
            <w:vMerge w:val="restart"/>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风管和配件的加固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1909" w:type="dxa"/>
            <w:vMerge w:val="restart"/>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角焊缝（无坡口）</w:t>
            </w:r>
          </w:p>
        </w:tc>
        <w:tc>
          <w:tcPr>
            <w:tcW w:w="1211"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59648" behindDoc="0" locked="0" layoutInCell="1" allowOverlap="1">
                  <wp:simplePos x="0" y="0"/>
                  <wp:positionH relativeFrom="column">
                    <wp:posOffset>160020</wp:posOffset>
                  </wp:positionH>
                  <wp:positionV relativeFrom="paragraph">
                    <wp:posOffset>77470</wp:posOffset>
                  </wp:positionV>
                  <wp:extent cx="452755" cy="337820"/>
                  <wp:effectExtent l="19050" t="0" r="4445" b="0"/>
                  <wp:wrapNone/>
                  <wp:docPr id="420" name="图片 149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1499" descr="5"/>
                          <pic:cNvPicPr>
                            <a:picLocks noChangeAspect="1" noChangeArrowheads="1"/>
                          </pic:cNvPicPr>
                        </pic:nvPicPr>
                        <pic:blipFill>
                          <a:blip r:embed="rId19" cstate="print"/>
                          <a:srcRect/>
                          <a:stretch>
                            <a:fillRect/>
                          </a:stretch>
                        </pic:blipFill>
                        <pic:spPr>
                          <a:xfrm>
                            <a:off x="0" y="0"/>
                            <a:ext cx="452755" cy="337820"/>
                          </a:xfrm>
                          <a:prstGeom prst="rect">
                            <a:avLst/>
                          </a:prstGeom>
                          <a:noFill/>
                          <a:ln w="9525">
                            <a:noFill/>
                            <a:miter lim="800000"/>
                            <a:headEnd/>
                            <a:tailEnd/>
                          </a:ln>
                        </pic:spPr>
                      </pic:pic>
                    </a:graphicData>
                  </a:graphic>
                </wp:anchor>
              </w:drawing>
            </w:r>
          </w:p>
          <w:p>
            <w:pPr>
              <w:spacing w:line="360" w:lineRule="auto"/>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6～18</w:t>
            </w:r>
          </w:p>
        </w:tc>
        <w:tc>
          <w:tcPr>
            <w:tcW w:w="126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549" w:type="dxa"/>
            <w:vMerge w:val="continue"/>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1909" w:type="dxa"/>
            <w:vMerge w:val="continue"/>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11"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60672" behindDoc="0" locked="0" layoutInCell="1" allowOverlap="1">
                  <wp:simplePos x="0" y="0"/>
                  <wp:positionH relativeFrom="column">
                    <wp:posOffset>264795</wp:posOffset>
                  </wp:positionH>
                  <wp:positionV relativeFrom="paragraph">
                    <wp:posOffset>10160</wp:posOffset>
                  </wp:positionV>
                  <wp:extent cx="452755" cy="419100"/>
                  <wp:effectExtent l="19050" t="0" r="4445" b="0"/>
                  <wp:wrapNone/>
                  <wp:docPr id="421" name="图片 150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1500" descr="6"/>
                          <pic:cNvPicPr>
                            <a:picLocks noChangeAspect="1" noChangeArrowheads="1"/>
                          </pic:cNvPicPr>
                        </pic:nvPicPr>
                        <pic:blipFill>
                          <a:blip r:embed="rId20" cstate="print"/>
                          <a:srcRect/>
                          <a:stretch>
                            <a:fillRect/>
                          </a:stretch>
                        </pic:blipFill>
                        <pic:spPr>
                          <a:xfrm>
                            <a:off x="0" y="0"/>
                            <a:ext cx="452755" cy="419100"/>
                          </a:xfrm>
                          <a:prstGeom prst="rect">
                            <a:avLst/>
                          </a:prstGeom>
                          <a:noFill/>
                          <a:ln w="9525">
                            <a:noFill/>
                            <a:miter lim="800000"/>
                            <a:headEnd/>
                            <a:tailEnd/>
                          </a:ln>
                        </pic:spPr>
                      </pic:pic>
                    </a:graphicData>
                  </a:graphic>
                </wp:anchor>
              </w:drawing>
            </w:r>
          </w:p>
          <w:p>
            <w:pPr>
              <w:spacing w:line="360" w:lineRule="auto"/>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≥最小板厚</w:t>
            </w:r>
          </w:p>
        </w:tc>
        <w:tc>
          <w:tcPr>
            <w:tcW w:w="135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126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549"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风管配件的角焊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909"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V形单面角焊缝</w:t>
            </w:r>
          </w:p>
        </w:tc>
        <w:tc>
          <w:tcPr>
            <w:tcW w:w="1211"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64768" behindDoc="0" locked="0" layoutInCell="1" allowOverlap="1">
                  <wp:simplePos x="0" y="0"/>
                  <wp:positionH relativeFrom="column">
                    <wp:posOffset>38735</wp:posOffset>
                  </wp:positionH>
                  <wp:positionV relativeFrom="paragraph">
                    <wp:posOffset>33020</wp:posOffset>
                  </wp:positionV>
                  <wp:extent cx="690880" cy="429895"/>
                  <wp:effectExtent l="19050" t="0" r="0" b="0"/>
                  <wp:wrapNone/>
                  <wp:docPr id="422" name="图片 150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1501" descr="7"/>
                          <pic:cNvPicPr>
                            <a:picLocks noChangeAspect="1" noChangeArrowheads="1"/>
                          </pic:cNvPicPr>
                        </pic:nvPicPr>
                        <pic:blipFill>
                          <a:blip r:embed="rId21"/>
                          <a:srcRect/>
                          <a:stretch>
                            <a:fillRect/>
                          </a:stretch>
                        </pic:blipFill>
                        <pic:spPr>
                          <a:xfrm>
                            <a:off x="0" y="0"/>
                            <a:ext cx="690880" cy="429895"/>
                          </a:xfrm>
                          <a:prstGeom prst="rect">
                            <a:avLst/>
                          </a:prstGeom>
                          <a:noFill/>
                          <a:ln w="9525">
                            <a:noFill/>
                            <a:miter lim="800000"/>
                            <a:headEnd/>
                            <a:tailEnd/>
                          </a:ln>
                        </pic:spPr>
                      </pic:pic>
                    </a:graphicData>
                  </a:graphic>
                </wp:anchor>
              </w:drawing>
            </w:r>
          </w:p>
          <w:p>
            <w:pPr>
              <w:spacing w:line="360" w:lineRule="auto"/>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3～8</w:t>
            </w:r>
          </w:p>
        </w:tc>
        <w:tc>
          <w:tcPr>
            <w:tcW w:w="1268"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风管角部焊接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atLeast"/>
          <w:jc w:val="center"/>
        </w:trPr>
        <w:tc>
          <w:tcPr>
            <w:tcW w:w="1909"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V形双面角焊缝</w:t>
            </w:r>
          </w:p>
        </w:tc>
        <w:tc>
          <w:tcPr>
            <w:tcW w:w="1211"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65792" behindDoc="0" locked="0" layoutInCell="1" allowOverlap="1">
                  <wp:simplePos x="0" y="0"/>
                  <wp:positionH relativeFrom="column">
                    <wp:posOffset>148590</wp:posOffset>
                  </wp:positionH>
                  <wp:positionV relativeFrom="paragraph">
                    <wp:posOffset>34925</wp:posOffset>
                  </wp:positionV>
                  <wp:extent cx="532130" cy="508635"/>
                  <wp:effectExtent l="19050" t="0" r="1270" b="0"/>
                  <wp:wrapNone/>
                  <wp:docPr id="423" name="图片 150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1502" descr="9"/>
                          <pic:cNvPicPr>
                            <a:picLocks noChangeAspect="1" noChangeArrowheads="1"/>
                          </pic:cNvPicPr>
                        </pic:nvPicPr>
                        <pic:blipFill>
                          <a:blip r:embed="rId22"/>
                          <a:srcRect/>
                          <a:stretch>
                            <a:fillRect/>
                          </a:stretch>
                        </pic:blipFill>
                        <pic:spPr>
                          <a:xfrm>
                            <a:off x="0" y="0"/>
                            <a:ext cx="532130" cy="508635"/>
                          </a:xfrm>
                          <a:prstGeom prst="rect">
                            <a:avLst/>
                          </a:prstGeom>
                          <a:noFill/>
                          <a:ln w="9525">
                            <a:noFill/>
                            <a:miter lim="800000"/>
                            <a:headEnd/>
                            <a:tailEnd/>
                          </a:ln>
                        </pic:spPr>
                      </pic:pic>
                    </a:graphicData>
                  </a:graphic>
                </wp:anchor>
              </w:drawing>
            </w:r>
          </w:p>
          <w:p>
            <w:pPr>
              <w:spacing w:line="360" w:lineRule="auto"/>
              <w:jc w:val="center"/>
              <w:rPr>
                <w:rFonts w:hint="eastAsia" w:asciiTheme="minorEastAsia" w:hAnsiTheme="minorEastAsia" w:eastAsiaTheme="minorEastAsia" w:cstheme="minorEastAsia"/>
                <w:color w:val="auto"/>
                <w:sz w:val="21"/>
                <w:szCs w:val="21"/>
                <w:highlight w:val="none"/>
              </w:rPr>
            </w:pPr>
          </w:p>
        </w:tc>
        <w:tc>
          <w:tcPr>
            <w:tcW w:w="1101"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6～15</w:t>
            </w:r>
          </w:p>
        </w:tc>
        <w:tc>
          <w:tcPr>
            <w:tcW w:w="1268"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tcBorders>
              <w:bottom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厚壁风管角部焊接</w:t>
            </w:r>
          </w:p>
        </w:tc>
      </w:tr>
    </w:tbl>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1.1.4 矩形风管的四角可采用煨角或焊接连接的方法。当采用煨角时，纵向焊缝距煨角处宜大于80mm。1.1.5圆形、矩形风管的法兰规格应符合表1.1.5-1表1.1.5-2的规定。</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表1.1.5-1   PP材质塑料板圆形风管法兰规格</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00"/>
        <w:gridCol w:w="1620"/>
        <w:gridCol w:w="108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风管直径D（mm）</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法兰宽×厚（mm）</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法兰孔径（mm）</w:t>
            </w:r>
          </w:p>
        </w:tc>
        <w:tc>
          <w:tcPr>
            <w:tcW w:w="10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螺孔数</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D≤180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35×6</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08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180＜D≤400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35×8</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0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8～12</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400＜D≤500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0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12～14</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500＜D≤800 </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0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16～22</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800＜D≤1400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45×12</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0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24～38</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1400＜D≤1600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0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40～44</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1600＜D≤2000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62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0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46～48</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D＞2000</w:t>
            </w:r>
          </w:p>
        </w:tc>
        <w:tc>
          <w:tcPr>
            <w:tcW w:w="6360" w:type="dxa"/>
            <w:gridSpan w:val="4"/>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按设计</w:t>
            </w:r>
          </w:p>
        </w:tc>
      </w:tr>
    </w:tbl>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表1.1.5-2  PP材质塑料板矩形风管法兰规格（mm）</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1800"/>
        <w:gridCol w:w="1452"/>
        <w:gridCol w:w="1248"/>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法兰宽厚</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法兰孔径</w:t>
            </w:r>
          </w:p>
        </w:tc>
        <w:tc>
          <w:tcPr>
            <w:tcW w:w="1248"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螺孔间距</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35×6</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248" w:type="dxa"/>
            <w:vMerge w:val="restart"/>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≤120</w:t>
            </w: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≤400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35×8</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248" w:type="dxa"/>
            <w:vMerge w:val="continue"/>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≤500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248" w:type="dxa"/>
            <w:vMerge w:val="continue"/>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≤800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40×10</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248" w:type="dxa"/>
            <w:vMerge w:val="continue"/>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≤1250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45×12</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248" w:type="dxa"/>
            <w:vMerge w:val="continue"/>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≤1600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248" w:type="dxa"/>
            <w:vMerge w:val="continue"/>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≤2000</w:t>
            </w:r>
          </w:p>
        </w:tc>
        <w:tc>
          <w:tcPr>
            <w:tcW w:w="180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60×18</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452"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±10%</w:t>
            </w:r>
            <w:r>
              <w:rPr>
                <w:rFonts w:hint="eastAsia" w:asciiTheme="minorEastAsia" w:hAnsiTheme="minorEastAsia" w:eastAsiaTheme="minorEastAsia" w:cstheme="minorEastAsia"/>
                <w:bCs/>
                <w:color w:val="auto"/>
                <w:sz w:val="21"/>
                <w:szCs w:val="21"/>
                <w:highlight w:val="none"/>
                <w:lang w:eastAsia="zh-CN"/>
              </w:rPr>
              <w:t>）</w:t>
            </w:r>
          </w:p>
        </w:tc>
        <w:tc>
          <w:tcPr>
            <w:tcW w:w="1248" w:type="dxa"/>
            <w:vMerge w:val="continue"/>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860" w:type="dxa"/>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bl>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1.1.6风管与法兰的连接应采用焊接，法兰端面应应垂直于风管轴线。风管直径或边长大于500mm时，风管与法兰的连接处宜加三角支撑加强板，加强板间距不得大于450mm，且应均匀设置。</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1.1.7风管长边大于或等于630mm、煨角成形边长大于或等于800mm或管段长度大于1200mm时，均应采取加固框或加固筋等加固措施，并以焊接固定。加固框的规格宜与法兰相同。</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1.1.8 风管两端面应平行，无明显扭曲；表面应平整、圆弧均匀、凸凹不应大于5mm。</w:t>
      </w:r>
    </w:p>
    <w:p>
      <w:pPr>
        <w:spacing w:line="360" w:lineRule="auto"/>
        <w:ind w:firstLine="413" w:firstLineChars="196"/>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B-2、</w:t>
      </w:r>
      <w:r>
        <w:rPr>
          <w:rFonts w:hint="eastAsia" w:asciiTheme="minorEastAsia" w:hAnsiTheme="minorEastAsia" w:eastAsiaTheme="minorEastAsia" w:cstheme="minorEastAsia"/>
          <w:color w:val="auto"/>
          <w:sz w:val="21"/>
          <w:szCs w:val="21"/>
          <w:highlight w:val="none"/>
        </w:rPr>
        <w:t>P</w:t>
      </w:r>
      <w:r>
        <w:rPr>
          <w:rFonts w:hint="eastAsia" w:asciiTheme="minorEastAsia" w:hAnsiTheme="minorEastAsia" w:eastAsiaTheme="minorEastAsia" w:cstheme="minorEastAsia"/>
          <w:b/>
          <w:color w:val="auto"/>
          <w:sz w:val="21"/>
          <w:szCs w:val="21"/>
          <w:highlight w:val="none"/>
        </w:rPr>
        <w:t>P材质塑料板风管施工工艺</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  范围</w:t>
      </w:r>
    </w:p>
    <w:p>
      <w:pPr>
        <w:adjustRightInd w:val="0"/>
        <w:spacing w:line="360" w:lineRule="auto"/>
        <w:ind w:right="2" w:rightChars="1"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本节内容适用于PP材质塑料板风管、管件的制作与安装。</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  施工准备</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2.1 </w:t>
      </w:r>
      <w:r>
        <w:rPr>
          <w:rFonts w:hint="eastAsia" w:asciiTheme="minorEastAsia" w:hAnsiTheme="minorEastAsia" w:eastAsiaTheme="minorEastAsia" w:cstheme="minorEastAsia"/>
          <w:color w:val="auto"/>
          <w:sz w:val="21"/>
          <w:szCs w:val="21"/>
          <w:highlight w:val="none"/>
        </w:rPr>
        <w:t xml:space="preserve"> 材料要求</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2.1.1  制作风管、部件及法兰的PP材质塑料板具有出厂合格证书或质量鉴定文件。</w:t>
      </w:r>
      <w:r>
        <w:rPr>
          <w:rFonts w:hint="eastAsia" w:asciiTheme="minorEastAsia" w:hAnsiTheme="minorEastAsia" w:eastAsiaTheme="minorEastAsia" w:cstheme="minorEastAsia"/>
          <w:snapToGrid w:val="0"/>
          <w:color w:val="auto"/>
          <w:sz w:val="21"/>
          <w:szCs w:val="21"/>
          <w:highlight w:val="none"/>
        </w:rPr>
        <w:t>进场时应对品种、规格、外观等进行验收，并经监理工程师签认。</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2.1.2  塑料板材的表面应平整，不得含有气泡、裂缝；板材的厚薄应均匀，无离层等现象。</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2.1.3  设计没有明确要求时，制作风管及配件的塑料板厚度应符合表2.1.3的规定。</w:t>
      </w:r>
    </w:p>
    <w:p>
      <w:pPr>
        <w:adjustRightInd w:val="0"/>
        <w:spacing w:line="360" w:lineRule="auto"/>
        <w:ind w:right="2" w:rightChars="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表2.1.3      风管和配件板材厚度（mm）</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2234"/>
        <w:gridCol w:w="2229"/>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94" w:type="dxa"/>
            <w:gridSpan w:val="2"/>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圆  形  风  管</w:t>
            </w:r>
          </w:p>
        </w:tc>
        <w:tc>
          <w:tcPr>
            <w:tcW w:w="4209" w:type="dxa"/>
            <w:gridSpan w:val="2"/>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矩  形  风  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风管直径D（mm）</w:t>
            </w:r>
          </w:p>
        </w:tc>
        <w:tc>
          <w:tcPr>
            <w:tcW w:w="2234"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板材厚度（mm）</w:t>
            </w:r>
          </w:p>
        </w:tc>
        <w:tc>
          <w:tcPr>
            <w:tcW w:w="2229"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风管大边b（mm）</w:t>
            </w:r>
          </w:p>
        </w:tc>
        <w:tc>
          <w:tcPr>
            <w:tcW w:w="19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D≤320</w:t>
            </w:r>
          </w:p>
        </w:tc>
        <w:tc>
          <w:tcPr>
            <w:tcW w:w="2234"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3.0</w:t>
            </w:r>
          </w:p>
        </w:tc>
        <w:tc>
          <w:tcPr>
            <w:tcW w:w="2229"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b≤320</w:t>
            </w:r>
          </w:p>
        </w:tc>
        <w:tc>
          <w:tcPr>
            <w:tcW w:w="19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320＜D≤630</w:t>
            </w:r>
          </w:p>
        </w:tc>
        <w:tc>
          <w:tcPr>
            <w:tcW w:w="2234"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4.0</w:t>
            </w:r>
          </w:p>
        </w:tc>
        <w:tc>
          <w:tcPr>
            <w:tcW w:w="2229"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320＜b≤500</w:t>
            </w:r>
          </w:p>
        </w:tc>
        <w:tc>
          <w:tcPr>
            <w:tcW w:w="19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630＜D≤1000</w:t>
            </w:r>
          </w:p>
        </w:tc>
        <w:tc>
          <w:tcPr>
            <w:tcW w:w="2234"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5.0</w:t>
            </w:r>
          </w:p>
        </w:tc>
        <w:tc>
          <w:tcPr>
            <w:tcW w:w="2229"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500＜b≤800</w:t>
            </w:r>
          </w:p>
        </w:tc>
        <w:tc>
          <w:tcPr>
            <w:tcW w:w="19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1000＜D≤2000</w:t>
            </w:r>
          </w:p>
        </w:tc>
        <w:tc>
          <w:tcPr>
            <w:tcW w:w="2234"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6.0</w:t>
            </w:r>
          </w:p>
        </w:tc>
        <w:tc>
          <w:tcPr>
            <w:tcW w:w="2229"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800＜b≤1250</w:t>
            </w:r>
          </w:p>
        </w:tc>
        <w:tc>
          <w:tcPr>
            <w:tcW w:w="19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234"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229"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1250＜b≤2000</w:t>
            </w:r>
          </w:p>
        </w:tc>
        <w:tc>
          <w:tcPr>
            <w:tcW w:w="19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8.0</w:t>
            </w:r>
          </w:p>
        </w:tc>
      </w:tr>
    </w:tbl>
    <w:p>
      <w:pPr>
        <w:adjustRightInd w:val="0"/>
        <w:spacing w:line="360" w:lineRule="auto"/>
        <w:ind w:right="2" w:rightChars="1" w:firstLine="42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2.1.4  其它辅助材料如卡架、螺栓等应符合相关质量要求，并满足使用要求。</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2.2</w:t>
      </w:r>
      <w:r>
        <w:rPr>
          <w:rFonts w:hint="eastAsia" w:asciiTheme="minorEastAsia" w:hAnsiTheme="minorEastAsia" w:eastAsiaTheme="minorEastAsia" w:cstheme="minorEastAsia"/>
          <w:color w:val="auto"/>
          <w:sz w:val="21"/>
          <w:szCs w:val="21"/>
          <w:highlight w:val="none"/>
        </w:rPr>
        <w:t xml:space="preserve">  主要施工机具</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2.2.1  机械：割板机、锯床、圆盘锯、电热烘箱、管式电热器、空气压缩机、砂轮机、坡口机等。</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2.2.2  工具：木工锯、钢丝锯、鸡尾锯、手用电动曲线锯、木工刨、电热焊枪、各类胎模等。</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2.2.3  量具及其他：钢板尺、钢卷尺、角尺、量角器、划规、划线笔等。</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2.3 </w:t>
      </w:r>
      <w:r>
        <w:rPr>
          <w:rFonts w:hint="eastAsia" w:asciiTheme="minorEastAsia" w:hAnsiTheme="minorEastAsia" w:eastAsiaTheme="minorEastAsia" w:cstheme="minorEastAsia"/>
          <w:color w:val="auto"/>
          <w:sz w:val="21"/>
          <w:szCs w:val="21"/>
          <w:highlight w:val="none"/>
        </w:rPr>
        <w:t xml:space="preserve"> 作业条件</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2.3.1  加工现场应宽敞、明亮、洁净、地面平整、不潮湿，且有可靠的防风、雨、雪的设施。</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2.3.2  作业地点要有相应加工工艺的机具、设施、电源、安全防护装置和消防器材等。</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2.3.3  风管制作应具有批准的设计图纸，经审查的大样图、系统图，并有施工员书面的技术、质量、安全交底材料。</w:t>
      </w:r>
    </w:p>
    <w:p>
      <w:pPr>
        <w:topLinePunct/>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2.3.4  建筑结构施工完毕，风管预留埋件、孔洞尺寸位置正确。</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  操作工艺</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drawing>
          <wp:anchor distT="0" distB="0" distL="114300" distR="114300" simplePos="0" relativeHeight="252057600" behindDoc="1" locked="1" layoutInCell="1" allowOverlap="1">
            <wp:simplePos x="0" y="0"/>
            <wp:positionH relativeFrom="column">
              <wp:posOffset>4889500</wp:posOffset>
            </wp:positionH>
            <wp:positionV relativeFrom="paragraph">
              <wp:posOffset>9461500</wp:posOffset>
            </wp:positionV>
            <wp:extent cx="520700" cy="495300"/>
            <wp:effectExtent l="19050" t="0" r="0" b="0"/>
            <wp:wrapNone/>
            <wp:docPr id="424" name="图片 1503"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图片 1503" descr="38"/>
                    <pic:cNvPicPr>
                      <a:picLocks noChangeAspect="1" noChangeArrowheads="1"/>
                    </pic:cNvPicPr>
                  </pic:nvPicPr>
                  <pic:blipFill>
                    <a:blip r:embed="rId23"/>
                    <a:srcRect/>
                    <a:stretch>
                      <a:fillRect/>
                    </a:stretch>
                  </pic:blipFill>
                  <pic:spPr>
                    <a:xfrm>
                      <a:off x="0" y="0"/>
                      <a:ext cx="520700" cy="495300"/>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b/>
          <w:color w:val="auto"/>
          <w:sz w:val="21"/>
          <w:szCs w:val="21"/>
          <w:highlight w:val="none"/>
        </w:rPr>
        <w:drawing>
          <wp:anchor distT="0" distB="0" distL="114300" distR="114300" simplePos="0" relativeHeight="252056576" behindDoc="1" locked="1" layoutInCell="1" allowOverlap="1">
            <wp:simplePos x="0" y="0"/>
            <wp:positionH relativeFrom="column">
              <wp:posOffset>2374900</wp:posOffset>
            </wp:positionH>
            <wp:positionV relativeFrom="paragraph">
              <wp:posOffset>4622800</wp:posOffset>
            </wp:positionV>
            <wp:extent cx="1447800" cy="203200"/>
            <wp:effectExtent l="19050" t="0" r="0" b="0"/>
            <wp:wrapNone/>
            <wp:docPr id="425" name="图片 1504" descr="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图片 1504" descr="108"/>
                    <pic:cNvPicPr>
                      <a:picLocks noChangeAspect="1" noChangeArrowheads="1"/>
                    </pic:cNvPicPr>
                  </pic:nvPicPr>
                  <pic:blipFill>
                    <a:blip r:embed="rId24"/>
                    <a:srcRect/>
                    <a:stretch>
                      <a:fillRect/>
                    </a:stretch>
                  </pic:blipFill>
                  <pic:spPr>
                    <a:xfrm>
                      <a:off x="0" y="0"/>
                      <a:ext cx="1447800" cy="203200"/>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b/>
          <w:color w:val="auto"/>
          <w:sz w:val="21"/>
          <w:szCs w:val="21"/>
          <w:highlight w:val="none"/>
        </w:rPr>
        <w:t>3.1</w:t>
      </w:r>
      <w:r>
        <w:rPr>
          <w:rFonts w:hint="eastAsia" w:asciiTheme="minorEastAsia" w:hAnsiTheme="minorEastAsia" w:eastAsiaTheme="minorEastAsia" w:cstheme="minorEastAsia"/>
          <w:color w:val="auto"/>
          <w:sz w:val="21"/>
          <w:szCs w:val="21"/>
          <w:highlight w:val="none"/>
        </w:rPr>
        <w:t xml:space="preserve">  工艺流程</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3.1.1风管制作</w: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69888" behindDoc="0" locked="0" layoutInCell="1" allowOverlap="1">
                <wp:simplePos x="0" y="0"/>
                <wp:positionH relativeFrom="column">
                  <wp:posOffset>6172200</wp:posOffset>
                </wp:positionH>
                <wp:positionV relativeFrom="paragraph">
                  <wp:posOffset>220345</wp:posOffset>
                </wp:positionV>
                <wp:extent cx="466725" cy="297180"/>
                <wp:effectExtent l="4445" t="4445" r="5080" b="22225"/>
                <wp:wrapNone/>
                <wp:docPr id="457" name="文本框 457"/>
                <wp:cNvGraphicFramePr/>
                <a:graphic xmlns:a="http://schemas.openxmlformats.org/drawingml/2006/main">
                  <a:graphicData uri="http://schemas.microsoft.com/office/word/2010/wordprocessingShape">
                    <wps:wsp>
                      <wps:cNvSpPr txBox="1"/>
                      <wps:spPr>
                        <a:xfrm>
                          <a:off x="0" y="0"/>
                          <a:ext cx="4667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检验</w:t>
                            </w:r>
                          </w:p>
                        </w:txbxContent>
                      </wps:txbx>
                      <wps:bodyPr upright="1"/>
                    </wps:wsp>
                  </a:graphicData>
                </a:graphic>
              </wp:anchor>
            </w:drawing>
          </mc:Choice>
          <mc:Fallback>
            <w:pict>
              <v:shape id="_x0000_s1026" o:spid="_x0000_s1026" o:spt="202" type="#_x0000_t202" style="position:absolute;left:0pt;margin-left:486pt;margin-top:17.35pt;height:23.4pt;width:36.75pt;z-index:252069888;mso-width-relative:page;mso-height-relative:page;" fillcolor="#FFFFFF" filled="t" stroked="t" coordsize="21600,21600" o:gfxdata="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kTtktkAAAAKAQAADwAAAAAAAAABACAAAAAiAAAAZHJzL2Rvd25yZXYueG1sUEsB&#10;AhQAFAAAAAgAh07iQApwq8/0AQAA6wMAAA4AAAAAAAAAAQAgAAAAKAEAAGRycy9lMm9Eb2MueG1s&#10;UEsFBgAAAAAGAAYAWQEAAI4FAAAAAA==&#10;">
                <v:fill on="t" focussize="0,0"/>
                <v:stroke color="#000000" joinstyle="miter"/>
                <v:imagedata o:title=""/>
                <o:lock v:ext="edit" aspectratio="f"/>
                <v:textbox>
                  <w:txbxContent>
                    <w:p>
                      <w:r>
                        <w:rPr>
                          <w:rFonts w:hint="eastAsia"/>
                        </w:rPr>
                        <w:t>检验</w:t>
                      </w:r>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0912" behindDoc="0" locked="0" layoutInCell="1" allowOverlap="1">
                <wp:simplePos x="0" y="0"/>
                <wp:positionH relativeFrom="column">
                  <wp:posOffset>5133975</wp:posOffset>
                </wp:positionH>
                <wp:positionV relativeFrom="paragraph">
                  <wp:posOffset>219710</wp:posOffset>
                </wp:positionV>
                <wp:extent cx="695325" cy="297180"/>
                <wp:effectExtent l="4445" t="4445" r="5080" b="22225"/>
                <wp:wrapNone/>
                <wp:docPr id="456" name="文本框 456"/>
                <wp:cNvGraphicFramePr/>
                <a:graphic xmlns:a="http://schemas.openxmlformats.org/drawingml/2006/main">
                  <a:graphicData uri="http://schemas.microsoft.com/office/word/2010/wordprocessingShape">
                    <wps:wsp>
                      <wps:cNvSpPr txBox="1"/>
                      <wps:spPr>
                        <a:xfrm>
                          <a:off x="0" y="0"/>
                          <a:ext cx="6953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Ansi="宋体"/>
                              </w:rPr>
                              <w:t>法兰制作</w:t>
                            </w:r>
                          </w:p>
                        </w:txbxContent>
                      </wps:txbx>
                      <wps:bodyPr upright="1"/>
                    </wps:wsp>
                  </a:graphicData>
                </a:graphic>
              </wp:anchor>
            </w:drawing>
          </mc:Choice>
          <mc:Fallback>
            <w:pict>
              <v:shape id="_x0000_s1026" o:spid="_x0000_s1026" o:spt="202" type="#_x0000_t202" style="position:absolute;left:0pt;margin-left:404.25pt;margin-top:17.3pt;height:23.4pt;width:54.75pt;z-index:252070912;mso-width-relative:page;mso-height-relative:page;" fillcolor="#FFFFFF" filled="t" stroked="t" coordsize="21600,21600" o:gfxdata="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h3V2DXAAAACQEAAA8AAAAAAAAAAQAgAAAAIgAAAGRycy9kb3ducmV2LnhtbFBLAQIU&#10;ABQAAAAIAIdO4kAUp1CI9AEAAOsDAAAOAAAAAAAAAAEAIAAAACYBAABkcnMvZTJvRG9jLnhtbFBL&#10;BQYAAAAABgAGAFkBAACMBQAAAAA=&#10;">
                <v:fill on="t" focussize="0,0"/>
                <v:stroke color="#000000" joinstyle="miter"/>
                <v:imagedata o:title=""/>
                <o:lock v:ext="edit" aspectratio="f"/>
                <v:textbox>
                  <w:txbxContent>
                    <w:p>
                      <w:r>
                        <w:rPr>
                          <w:rFonts w:hAnsi="宋体"/>
                        </w:rPr>
                        <w:t>法兰制作</w:t>
                      </w:r>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1936" behindDoc="0" locked="0" layoutInCell="1" allowOverlap="1">
                <wp:simplePos x="0" y="0"/>
                <wp:positionH relativeFrom="column">
                  <wp:posOffset>160020</wp:posOffset>
                </wp:positionH>
                <wp:positionV relativeFrom="paragraph">
                  <wp:posOffset>224790</wp:posOffset>
                </wp:positionV>
                <wp:extent cx="466725" cy="297180"/>
                <wp:effectExtent l="4445" t="4445" r="5080" b="22225"/>
                <wp:wrapNone/>
                <wp:docPr id="446" name="文本框 446"/>
                <wp:cNvGraphicFramePr/>
                <a:graphic xmlns:a="http://schemas.openxmlformats.org/drawingml/2006/main">
                  <a:graphicData uri="http://schemas.microsoft.com/office/word/2010/wordprocessingShape">
                    <wps:wsp>
                      <wps:cNvSpPr txBox="1"/>
                      <wps:spPr>
                        <a:xfrm>
                          <a:off x="0" y="0"/>
                          <a:ext cx="4667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领料</w:t>
                            </w:r>
                          </w:p>
                          <w:p/>
                        </w:txbxContent>
                      </wps:txbx>
                      <wps:bodyPr upright="1"/>
                    </wps:wsp>
                  </a:graphicData>
                </a:graphic>
              </wp:anchor>
            </w:drawing>
          </mc:Choice>
          <mc:Fallback>
            <w:pict>
              <v:shape id="_x0000_s1026" o:spid="_x0000_s1026" o:spt="202" type="#_x0000_t202" style="position:absolute;left:0pt;margin-left:12.6pt;margin-top:17.7pt;height:23.4pt;width:36.75pt;z-index:252071936;mso-width-relative:page;mso-height-relative:page;" fillcolor="#FFFFFF" filled="t" stroked="t" coordsize="21600,21600" o:gfxdata="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JO8DNYAAAAHAQAADwAAAAAAAAABACAAAAAiAAAAZHJzL2Rvd25yZXYueG1sUEsBAhQA&#10;FAAAAAgAh07iQEGGRer0AQAA6wMAAA4AAAAAAAAAAQAgAAAAJQEAAGRycy9lMm9Eb2MueG1sUEsF&#10;BgAAAAAGAAYAWQEAAIsFAAAAAA==&#10;">
                <v:fill on="t" focussize="0,0"/>
                <v:stroke color="#000000" joinstyle="miter"/>
                <v:imagedata o:title=""/>
                <o:lock v:ext="edit" aspectratio="f"/>
                <v:textbox>
                  <w:txbxContent>
                    <w:p>
                      <w:r>
                        <w:rPr>
                          <w:rFonts w:hint="eastAsia"/>
                        </w:rPr>
                        <w:t>领料</w:t>
                      </w:r>
                    </w:p>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2960" behindDoc="0" locked="0" layoutInCell="1" allowOverlap="1">
                <wp:simplePos x="0" y="0"/>
                <wp:positionH relativeFrom="column">
                  <wp:posOffset>3657600</wp:posOffset>
                </wp:positionH>
                <wp:positionV relativeFrom="paragraph">
                  <wp:posOffset>201930</wp:posOffset>
                </wp:positionV>
                <wp:extent cx="1143000" cy="316230"/>
                <wp:effectExtent l="4445" t="4445" r="14605" b="22225"/>
                <wp:wrapNone/>
                <wp:docPr id="455" name="文本框 455"/>
                <wp:cNvGraphicFramePr/>
                <a:graphic xmlns:a="http://schemas.openxmlformats.org/drawingml/2006/main">
                  <a:graphicData uri="http://schemas.microsoft.com/office/word/2010/wordprocessingShape">
                    <wps:wsp>
                      <wps:cNvSpPr txBox="1"/>
                      <wps:spPr>
                        <a:xfrm>
                          <a:off x="0" y="0"/>
                          <a:ext cx="1143000" cy="31623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加热、焊接成形</w:t>
                            </w:r>
                          </w:p>
                        </w:txbxContent>
                      </wps:txbx>
                      <wps:bodyPr upright="1"/>
                    </wps:wsp>
                  </a:graphicData>
                </a:graphic>
              </wp:anchor>
            </w:drawing>
          </mc:Choice>
          <mc:Fallback>
            <w:pict>
              <v:shape id="_x0000_s1026" o:spid="_x0000_s1026" o:spt="202" type="#_x0000_t202" style="position:absolute;left:0pt;margin-left:288pt;margin-top:15.9pt;height:24.9pt;width:90pt;z-index:252072960;mso-width-relative:page;mso-height-relative:page;" fillcolor="#FFFFFF" filled="t" stroked="t" coordsize="21600,21600" o:gfxdata="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eGBaAtcAAAAJAQAADwAAAAAAAAABACAAAAAiAAAAZHJzL2Rvd25yZXYueG1sUEsB&#10;AhQAFAAAAAgAh07iQJMN9Rn2AQAA7AMAAA4AAAAAAAAAAQAgAAAAJgEAAGRycy9lMm9Eb2MueG1s&#10;UEsFBgAAAAAGAAYAWQEAAI4FAAAAAA==&#10;">
                <v:fill on="t" focussize="0,0"/>
                <v:stroke color="#000000" joinstyle="miter"/>
                <v:imagedata o:title=""/>
                <o:lock v:ext="edit" aspectratio="f"/>
                <v:textbox>
                  <w:txbxContent>
                    <w:p>
                      <w:r>
                        <w:rPr>
                          <w:rFonts w:hint="eastAsia"/>
                        </w:rPr>
                        <w:t>加热、焊接成形</w:t>
                      </w:r>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3984" behindDoc="0" locked="0" layoutInCell="1" allowOverlap="1">
                <wp:simplePos x="0" y="0"/>
                <wp:positionH relativeFrom="column">
                  <wp:posOffset>2057400</wp:posOffset>
                </wp:positionH>
                <wp:positionV relativeFrom="paragraph">
                  <wp:posOffset>201930</wp:posOffset>
                </wp:positionV>
                <wp:extent cx="1143000" cy="316230"/>
                <wp:effectExtent l="4445" t="4445" r="14605" b="22225"/>
                <wp:wrapNone/>
                <wp:docPr id="464" name="文本框 464"/>
                <wp:cNvGraphicFramePr/>
                <a:graphic xmlns:a="http://schemas.openxmlformats.org/drawingml/2006/main">
                  <a:graphicData uri="http://schemas.microsoft.com/office/word/2010/wordprocessingShape">
                    <wps:wsp>
                      <wps:cNvSpPr txBox="1"/>
                      <wps:spPr>
                        <a:xfrm>
                          <a:off x="0" y="0"/>
                          <a:ext cx="1143000" cy="31623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下料、切割</w:t>
                            </w:r>
                          </w:p>
                        </w:txbxContent>
                      </wps:txbx>
                      <wps:bodyPr upright="1"/>
                    </wps:wsp>
                  </a:graphicData>
                </a:graphic>
              </wp:anchor>
            </w:drawing>
          </mc:Choice>
          <mc:Fallback>
            <w:pict>
              <v:shape id="_x0000_s1026" o:spid="_x0000_s1026" o:spt="202" type="#_x0000_t202" style="position:absolute;left:0pt;margin-left:162pt;margin-top:15.9pt;height:24.9pt;width:90pt;z-index:252073984;mso-width-relative:page;mso-height-relative:page;" fillcolor="#FFFFFF" filled="t" stroked="t" coordsize="21600,21600" o:gfxdata="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fz0m2AAAAAkBAAAPAAAAAAAAAAEAIAAAACIAAABkcnMvZG93bnJldi54bWxQSwEC&#10;FAAUAAAACACHTuJAN61o4PQBAADsAwAADgAAAAAAAAABACAAAAAnAQAAZHJzL2Uyb0RvYy54bWxQ&#10;SwUGAAAAAAYABgBZAQAAjQUAAAAA&#10;">
                <v:fill on="t" focussize="0,0"/>
                <v:stroke color="#000000" joinstyle="miter"/>
                <v:imagedata o:title=""/>
                <o:lock v:ext="edit" aspectratio="f"/>
                <v:textbox>
                  <w:txbxContent>
                    <w:p>
                      <w:r>
                        <w:rPr>
                          <w:rFonts w:hint="eastAsia"/>
                        </w:rPr>
                        <w:t>下料、切割</w:t>
                      </w:r>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5008" behindDoc="0" locked="0" layoutInCell="1" allowOverlap="1">
                <wp:simplePos x="0" y="0"/>
                <wp:positionH relativeFrom="column">
                  <wp:posOffset>1028700</wp:posOffset>
                </wp:positionH>
                <wp:positionV relativeFrom="paragraph">
                  <wp:posOffset>201930</wp:posOffset>
                </wp:positionV>
                <wp:extent cx="800100" cy="297180"/>
                <wp:effectExtent l="4445" t="4445" r="14605" b="22225"/>
                <wp:wrapNone/>
                <wp:docPr id="460" name="文本框 460"/>
                <wp:cNvGraphicFramePr/>
                <a:graphic xmlns:a="http://schemas.openxmlformats.org/drawingml/2006/main">
                  <a:graphicData uri="http://schemas.microsoft.com/office/word/2010/wordprocessingShape">
                    <wps:wsp>
                      <wps:cNvSpPr txBox="1"/>
                      <wps:spPr>
                        <a:xfrm>
                          <a:off x="0" y="0"/>
                          <a:ext cx="8001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板材划线</w:t>
                            </w:r>
                          </w:p>
                        </w:txbxContent>
                      </wps:txbx>
                      <wps:bodyPr upright="1"/>
                    </wps:wsp>
                  </a:graphicData>
                </a:graphic>
              </wp:anchor>
            </w:drawing>
          </mc:Choice>
          <mc:Fallback>
            <w:pict>
              <v:shape id="_x0000_s1026" o:spid="_x0000_s1026" o:spt="202" type="#_x0000_t202" style="position:absolute;left:0pt;margin-left:81pt;margin-top:15.9pt;height:23.4pt;width:63pt;z-index:252075008;mso-width-relative:page;mso-height-relative:page;" fillcolor="#FFFFFF" filled="t" stroked="t" coordsize="21600,21600" o:gfxdata="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zu4hC9cAAAAJAQAADwAAAAAAAAABACAAAAAiAAAAZHJzL2Rvd25yZXYueG1sUEsBAhQA&#10;FAAAAAgAh07iQF+g/sHzAQAA6wMAAA4AAAAAAAAAAQAgAAAAJgEAAGRycy9lMm9Eb2MueG1sUEsF&#10;BgAAAAAGAAYAWQEAAIsFAAAAAA==&#10;">
                <v:fill on="t" focussize="0,0"/>
                <v:stroke color="#000000" joinstyle="miter"/>
                <v:imagedata o:title=""/>
                <o:lock v:ext="edit" aspectratio="f"/>
                <v:textbox>
                  <w:txbxContent>
                    <w:p>
                      <w:r>
                        <w:rPr>
                          <w:rFonts w:hint="eastAsia"/>
                        </w:rPr>
                        <w:t>板材划线</w:t>
                      </w:r>
                    </w:p>
                  </w:txbxContent>
                </v:textbox>
              </v:shape>
            </w:pict>
          </mc:Fallback>
        </mc:AlternateConten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6032" behindDoc="0" locked="0" layoutInCell="1" allowOverlap="1">
                <wp:simplePos x="0" y="0"/>
                <wp:positionH relativeFrom="column">
                  <wp:posOffset>5943600</wp:posOffset>
                </wp:positionH>
                <wp:positionV relativeFrom="paragraph">
                  <wp:posOffset>121920</wp:posOffset>
                </wp:positionV>
                <wp:extent cx="209550" cy="0"/>
                <wp:effectExtent l="0" t="38100" r="0" b="38100"/>
                <wp:wrapNone/>
                <wp:docPr id="458" name="直接连接符 458"/>
                <wp:cNvGraphicFramePr/>
                <a:graphic xmlns:a="http://schemas.openxmlformats.org/drawingml/2006/main">
                  <a:graphicData uri="http://schemas.microsoft.com/office/word/2010/wordprocessingShape">
                    <wps:wsp>
                      <wps:cNvCnPr/>
                      <wps:spPr>
                        <a:xfrm>
                          <a:off x="0" y="0"/>
                          <a:ext cx="20955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68pt;margin-top:9.6pt;height:0pt;width:16.5pt;z-index:252076032;mso-width-relative:page;mso-height-relative:page;" filled="f" stroked="t" coordsize="21600,21600" o:gfxdata="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EOr/y2AAAAAkB&#10;AAAPAAAAAAAAAAEAIAAAACIAAABkcnMvZG93bnJldi54bWxQSwECFAAUAAAACACHTuJAqyMhXeIB&#10;AACdAwAADgAAAAAAAAABACAAAAAnAQAAZHJzL2Uyb0RvYy54bWxQSwUGAAAAAAYABgBZAQAAewUA&#10;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7056" behindDoc="0" locked="0" layoutInCell="1" allowOverlap="1">
                <wp:simplePos x="0" y="0"/>
                <wp:positionH relativeFrom="column">
                  <wp:posOffset>4914900</wp:posOffset>
                </wp:positionH>
                <wp:positionV relativeFrom="paragraph">
                  <wp:posOffset>85090</wp:posOffset>
                </wp:positionV>
                <wp:extent cx="190500" cy="0"/>
                <wp:effectExtent l="0" t="38100" r="0" b="38100"/>
                <wp:wrapNone/>
                <wp:docPr id="459" name="直接连接符 459"/>
                <wp:cNvGraphicFramePr/>
                <a:graphic xmlns:a="http://schemas.openxmlformats.org/drawingml/2006/main">
                  <a:graphicData uri="http://schemas.microsoft.com/office/word/2010/wordprocessingShape">
                    <wps:wsp>
                      <wps:cNvCnPr/>
                      <wps:spPr>
                        <a:xfrm>
                          <a:off x="0" y="0"/>
                          <a:ext cx="190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7pt;margin-top:6.7pt;height:0pt;width:15pt;z-index:252077056;mso-width-relative:page;mso-height-relative:page;" filled="f" stroked="t" coordsize="21600,21600" o:gfxdata="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VlCrnYAAAACQEA&#10;AA8AAAAAAAAAAQAgAAAAIgAAAGRycy9kb3ducmV2LnhtbFBLAQIUABQAAAAIAIdO4kCRo05W4QEA&#10;AJ0DAAAOAAAAAAAAAAEAIAAAACcBAABkcnMvZTJvRG9jLnhtbFBLBQYAAAAABgAGAFkBAAB6BQAA&#10;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8080" behindDoc="0" locked="0" layoutInCell="1" allowOverlap="1">
                <wp:simplePos x="0" y="0"/>
                <wp:positionH relativeFrom="column">
                  <wp:posOffset>3246120</wp:posOffset>
                </wp:positionH>
                <wp:positionV relativeFrom="paragraph">
                  <wp:posOffset>92710</wp:posOffset>
                </wp:positionV>
                <wp:extent cx="190500" cy="0"/>
                <wp:effectExtent l="0" t="38100" r="0" b="38100"/>
                <wp:wrapNone/>
                <wp:docPr id="463" name="直接连接符 463"/>
                <wp:cNvGraphicFramePr/>
                <a:graphic xmlns:a="http://schemas.openxmlformats.org/drawingml/2006/main">
                  <a:graphicData uri="http://schemas.microsoft.com/office/word/2010/wordprocessingShape">
                    <wps:wsp>
                      <wps:cNvCnPr/>
                      <wps:spPr>
                        <a:xfrm>
                          <a:off x="0" y="0"/>
                          <a:ext cx="190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5.6pt;margin-top:7.3pt;height:0pt;width:15pt;z-index:252078080;mso-width-relative:page;mso-height-relative:page;" filled="f" stroked="t" coordsize="21600,21600" o:gfxdata="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leKM2AAAAAkB&#10;AAAPAAAAAAAAAAEAIAAAACIAAABkcnMvZG93bnJldi54bWxQSwECFAAUAAAACACHTuJAYPLW8eIB&#10;AACdAwAADgAAAAAAAAABACAAAAAnAQAAZHJzL2Uyb0RvYy54bWxQSwUGAAAAAAYABgBZAQAAewUA&#10;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79104" behindDoc="0" locked="0" layoutInCell="1" allowOverlap="1">
                <wp:simplePos x="0" y="0"/>
                <wp:positionH relativeFrom="column">
                  <wp:posOffset>1874520</wp:posOffset>
                </wp:positionH>
                <wp:positionV relativeFrom="paragraph">
                  <wp:posOffset>92710</wp:posOffset>
                </wp:positionV>
                <wp:extent cx="190500" cy="0"/>
                <wp:effectExtent l="0" t="38100" r="0" b="38100"/>
                <wp:wrapNone/>
                <wp:docPr id="462" name="直接连接符 462"/>
                <wp:cNvGraphicFramePr/>
                <a:graphic xmlns:a="http://schemas.openxmlformats.org/drawingml/2006/main">
                  <a:graphicData uri="http://schemas.microsoft.com/office/word/2010/wordprocessingShape">
                    <wps:wsp>
                      <wps:cNvCnPr/>
                      <wps:spPr>
                        <a:xfrm>
                          <a:off x="0" y="0"/>
                          <a:ext cx="190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47.6pt;margin-top:7.3pt;height:0pt;width:15pt;z-index:252079104;mso-width-relative:page;mso-height-relative:page;" filled="f" stroked="t" coordsize="21600,21600" o:gfxdata="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0tm382AAAAAkB&#10;AAAPAAAAAAAAAAEAIAAAACIAAABkcnMvZG93bnJldi54bWxQSwECFAAUAAAACACHTuJAuCpohuIB&#10;AACdAwAADgAAAAAAAAABACAAAAAnAQAAZHJzL2Uyb0RvYy54bWxQSwUGAAAAAAYABgBZAQAAewUA&#10;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0128" behindDoc="0" locked="0" layoutInCell="1" allowOverlap="1">
                <wp:simplePos x="0" y="0"/>
                <wp:positionH relativeFrom="column">
                  <wp:posOffset>731520</wp:posOffset>
                </wp:positionH>
                <wp:positionV relativeFrom="paragraph">
                  <wp:posOffset>92710</wp:posOffset>
                </wp:positionV>
                <wp:extent cx="238125" cy="0"/>
                <wp:effectExtent l="0" t="38100" r="9525" b="38100"/>
                <wp:wrapNone/>
                <wp:docPr id="465" name="直接连接符 465"/>
                <wp:cNvGraphicFramePr/>
                <a:graphic xmlns:a="http://schemas.openxmlformats.org/drawingml/2006/main">
                  <a:graphicData uri="http://schemas.microsoft.com/office/word/2010/wordprocessingShape">
                    <wps:wsp>
                      <wps:cNvCnPr/>
                      <wps:spPr>
                        <a:xfrm flipV="1">
                          <a:off x="0" y="0"/>
                          <a:ext cx="2381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57.6pt;margin-top:7.3pt;height:0pt;width:18.75pt;z-index:252080128;mso-width-relative:page;mso-height-relative:page;" filled="f" stroked="t" coordsize="21600,21600" o:gfxdata="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xVC&#10;hdgAAAAJAQAADwAAAAAAAAABACAAAAAiAAAAZHJzL2Rvd25yZXYueG1sUEsBAhQAFAAAAAgAh07i&#10;QIwkeZ/pAQAApwMAAA4AAAAAAAAAAQAgAAAAJwEAAGRycy9lMm9Eb2MueG1sUEsFBgAAAAAGAAYA&#10;WQEAAIIFAAAAAA==&#10;">
                <v:fill on="f" focussize="0,0"/>
                <v:stroke color="#000000" joinstyle="round" endarrow="block"/>
                <v:imagedata o:title=""/>
                <o:lock v:ext="edit" aspectratio="f"/>
              </v:line>
            </w:pict>
          </mc:Fallback>
        </mc:AlternateConten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3.1.2 风管安装</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1152" behindDoc="0" locked="0" layoutInCell="1" allowOverlap="1">
                <wp:simplePos x="0" y="0"/>
                <wp:positionH relativeFrom="column">
                  <wp:posOffset>4780280</wp:posOffset>
                </wp:positionH>
                <wp:positionV relativeFrom="paragraph">
                  <wp:posOffset>77470</wp:posOffset>
                </wp:positionV>
                <wp:extent cx="733425" cy="297180"/>
                <wp:effectExtent l="4445" t="5080" r="5080" b="21590"/>
                <wp:wrapNone/>
                <wp:docPr id="454" name="文本框 454"/>
                <wp:cNvGraphicFramePr/>
                <a:graphic xmlns:a="http://schemas.openxmlformats.org/drawingml/2006/main">
                  <a:graphicData uri="http://schemas.microsoft.com/office/word/2010/wordprocessingShape">
                    <wps:wsp>
                      <wps:cNvSpPr txBox="1"/>
                      <wps:spPr>
                        <a:xfrm>
                          <a:off x="0" y="0"/>
                          <a:ext cx="7334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检验</w:t>
                            </w:r>
                          </w:p>
                        </w:txbxContent>
                      </wps:txbx>
                      <wps:bodyPr upright="1"/>
                    </wps:wsp>
                  </a:graphicData>
                </a:graphic>
              </wp:anchor>
            </w:drawing>
          </mc:Choice>
          <mc:Fallback>
            <w:pict>
              <v:shape id="_x0000_s1026" o:spid="_x0000_s1026" o:spt="202" type="#_x0000_t202" style="position:absolute;left:0pt;margin-left:376.4pt;margin-top:6.1pt;height:23.4pt;width:57.75pt;z-index:252081152;mso-width-relative:page;mso-height-relative:page;" fillcolor="#FFFFFF" filled="t" stroked="t" coordsize="21600,21600" o:gfxdata="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Lf8ZtgAAAAJAQAADwAAAAAAAAABACAAAAAiAAAAZHJzL2Rvd25yZXYueG1sUEsB&#10;AhQAFAAAAAgAh07iQOOK0+X1AQAA6wMAAA4AAAAAAAAAAQAgAAAAJwEAAGRycy9lMm9Eb2MueG1s&#10;UEsFBgAAAAAGAAYAWQEAAI4FAAAAAA==&#10;">
                <v:fill on="t" focussize="0,0"/>
                <v:stroke color="#000000" joinstyle="miter"/>
                <v:imagedata o:title=""/>
                <o:lock v:ext="edit" aspectratio="f"/>
                <v:textbox>
                  <w:txbxContent>
                    <w:p>
                      <w:pPr>
                        <w:jc w:val="center"/>
                      </w:pPr>
                      <w:r>
                        <w:rPr>
                          <w:rFonts w:hint="eastAsia"/>
                        </w:rPr>
                        <w:t>检验</w:t>
                      </w:r>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2176" behindDoc="0" locked="0" layoutInCell="1" allowOverlap="1">
                <wp:simplePos x="0" y="0"/>
                <wp:positionH relativeFrom="column">
                  <wp:posOffset>4437380</wp:posOffset>
                </wp:positionH>
                <wp:positionV relativeFrom="paragraph">
                  <wp:posOffset>255905</wp:posOffset>
                </wp:positionV>
                <wp:extent cx="238125" cy="0"/>
                <wp:effectExtent l="0" t="38100" r="9525" b="38100"/>
                <wp:wrapNone/>
                <wp:docPr id="453" name="直接连接符 453"/>
                <wp:cNvGraphicFramePr/>
                <a:graphic xmlns:a="http://schemas.openxmlformats.org/drawingml/2006/main">
                  <a:graphicData uri="http://schemas.microsoft.com/office/word/2010/wordprocessingShape">
                    <wps:wsp>
                      <wps:cNvCnPr/>
                      <wps:spPr>
                        <a:xfrm flipV="1">
                          <a:off x="0" y="0"/>
                          <a:ext cx="2381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49.4pt;margin-top:20.15pt;height:0pt;width:18.75pt;z-index:252082176;mso-width-relative:page;mso-height-relative:page;" filled="f" stroked="t" coordsize="21600,21600" o:gfxdata="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8&#10;qpMd2QAAAAkBAAAPAAAAAAAAAAEAIAAAACIAAABkcnMvZG93bnJldi54bWxQSwECFAAUAAAACACH&#10;TuJAavtPEOoBAACnAwAADgAAAAAAAAABACAAAAAoAQAAZHJzL2Uyb0RvYy54bWxQSwUGAAAAAAYA&#10;BgBZAQAAhAUA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3200" behindDoc="0" locked="0" layoutInCell="1" allowOverlap="1">
                <wp:simplePos x="0" y="0"/>
                <wp:positionH relativeFrom="column">
                  <wp:posOffset>3294380</wp:posOffset>
                </wp:positionH>
                <wp:positionV relativeFrom="paragraph">
                  <wp:posOffset>260985</wp:posOffset>
                </wp:positionV>
                <wp:extent cx="238125" cy="0"/>
                <wp:effectExtent l="0" t="38100" r="9525" b="38100"/>
                <wp:wrapNone/>
                <wp:docPr id="452" name="直接连接符 452"/>
                <wp:cNvGraphicFramePr/>
                <a:graphic xmlns:a="http://schemas.openxmlformats.org/drawingml/2006/main">
                  <a:graphicData uri="http://schemas.microsoft.com/office/word/2010/wordprocessingShape">
                    <wps:wsp>
                      <wps:cNvCnPr/>
                      <wps:spPr>
                        <a:xfrm flipV="1">
                          <a:off x="0" y="0"/>
                          <a:ext cx="2381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59.4pt;margin-top:20.55pt;height:0pt;width:18.75pt;z-index:252083200;mso-width-relative:page;mso-height-relative:page;" filled="f" stroked="t" coordsize="21600,21600" o:gfxdata="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Sl&#10;Z9gAAAAJAQAADwAAAAAAAAABACAAAAAiAAAAZHJzL2Rvd25yZXYueG1sUEsBAhQAFAAAAAgAh07i&#10;QMb95RnpAQAApwMAAA4AAAAAAAAAAQAgAAAAJwEAAGRycy9lMm9Eb2MueG1sUEsFBgAAAAAGAAYA&#10;WQEAAIIFAA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4224" behindDoc="0" locked="0" layoutInCell="1" allowOverlap="1">
                <wp:simplePos x="0" y="0"/>
                <wp:positionH relativeFrom="column">
                  <wp:posOffset>2237105</wp:posOffset>
                </wp:positionH>
                <wp:positionV relativeFrom="paragraph">
                  <wp:posOffset>70485</wp:posOffset>
                </wp:positionV>
                <wp:extent cx="962025" cy="297180"/>
                <wp:effectExtent l="4445" t="4445" r="5080" b="22225"/>
                <wp:wrapNone/>
                <wp:docPr id="450" name="文本框 450"/>
                <wp:cNvGraphicFramePr/>
                <a:graphic xmlns:a="http://schemas.openxmlformats.org/drawingml/2006/main">
                  <a:graphicData uri="http://schemas.microsoft.com/office/word/2010/wordprocessingShape">
                    <wps:wsp>
                      <wps:cNvSpPr txBox="1"/>
                      <wps:spPr>
                        <a:xfrm>
                          <a:off x="0" y="0"/>
                          <a:ext cx="9620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设置支、吊点</w:t>
                            </w:r>
                          </w:p>
                        </w:txbxContent>
                      </wps:txbx>
                      <wps:bodyPr upright="1"/>
                    </wps:wsp>
                  </a:graphicData>
                </a:graphic>
              </wp:anchor>
            </w:drawing>
          </mc:Choice>
          <mc:Fallback>
            <w:pict>
              <v:shape id="_x0000_s1026" o:spid="_x0000_s1026" o:spt="202" type="#_x0000_t202" style="position:absolute;left:0pt;margin-left:176.15pt;margin-top:5.55pt;height:23.4pt;width:75.75pt;z-index:252084224;mso-width-relative:page;mso-height-relative:page;" fillcolor="#FFFFFF" filled="t" stroked="t" coordsize="21600,21600" o:gfxdata="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ZDaID9gAAAAJAQAADwAAAAAAAAABACAAAAAiAAAAZHJzL2Rvd25yZXYueG1sUEsBAhQA&#10;FAAAAAgAh07iQA8cNbzyAQAA6wMAAA4AAAAAAAAAAQAgAAAAJwEAAGRycy9lMm9Eb2MueG1sUEsF&#10;BgAAAAAGAAYAWQEAAIsFAAAAAA==&#10;">
                <v:fill on="t" focussize="0,0"/>
                <v:stroke color="#000000" joinstyle="miter"/>
                <v:imagedata o:title=""/>
                <o:lock v:ext="edit" aspectratio="f"/>
                <v:textbox>
                  <w:txbxContent>
                    <w:p>
                      <w:r>
                        <w:rPr>
                          <w:rFonts w:hint="eastAsia"/>
                        </w:rPr>
                        <w:t>设置支、吊点</w:t>
                      </w:r>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5248" behindDoc="0" locked="0" layoutInCell="1" allowOverlap="1">
                <wp:simplePos x="0" y="0"/>
                <wp:positionH relativeFrom="column">
                  <wp:posOffset>1922780</wp:posOffset>
                </wp:positionH>
                <wp:positionV relativeFrom="paragraph">
                  <wp:posOffset>241935</wp:posOffset>
                </wp:positionV>
                <wp:extent cx="238125" cy="0"/>
                <wp:effectExtent l="0" t="38100" r="9525" b="38100"/>
                <wp:wrapNone/>
                <wp:docPr id="449" name="直接连接符 449"/>
                <wp:cNvGraphicFramePr/>
                <a:graphic xmlns:a="http://schemas.openxmlformats.org/drawingml/2006/main">
                  <a:graphicData uri="http://schemas.microsoft.com/office/word/2010/wordprocessingShape">
                    <wps:wsp>
                      <wps:cNvCnPr/>
                      <wps:spPr>
                        <a:xfrm flipV="1">
                          <a:off x="0" y="0"/>
                          <a:ext cx="2381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51.4pt;margin-top:19.05pt;height:0pt;width:18.75pt;z-index:252085248;mso-width-relative:page;mso-height-relative:page;" filled="f" stroked="t" coordsize="21600,21600" o:gfxdata="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rk&#10;HADYAAAACQEAAA8AAAAAAAAAAQAgAAAAIgAAAGRycy9kb3ducmV2LnhtbFBLAQIUABQAAAAIAIdO&#10;4kCXhiKR6gEAAKcDAAAOAAAAAAAAAAEAIAAAACcBAABkcnMvZTJvRG9jLnhtbFBLBQYAAAAABgAG&#10;AFkBAACDBQA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6272" behindDoc="0" locked="0" layoutInCell="1" allowOverlap="1">
                <wp:simplePos x="0" y="0"/>
                <wp:positionH relativeFrom="column">
                  <wp:posOffset>865505</wp:posOffset>
                </wp:positionH>
                <wp:positionV relativeFrom="paragraph">
                  <wp:posOffset>89535</wp:posOffset>
                </wp:positionV>
                <wp:extent cx="962025" cy="297180"/>
                <wp:effectExtent l="4445" t="4445" r="5080" b="22225"/>
                <wp:wrapNone/>
                <wp:docPr id="451" name="文本框 451"/>
                <wp:cNvGraphicFramePr/>
                <a:graphic xmlns:a="http://schemas.openxmlformats.org/drawingml/2006/main">
                  <a:graphicData uri="http://schemas.microsoft.com/office/word/2010/wordprocessingShape">
                    <wps:wsp>
                      <wps:cNvSpPr txBox="1"/>
                      <wps:spPr>
                        <a:xfrm>
                          <a:off x="0" y="0"/>
                          <a:ext cx="9620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支、吊架制作</w:t>
                            </w:r>
                          </w:p>
                        </w:txbxContent>
                      </wps:txbx>
                      <wps:bodyPr upright="1"/>
                    </wps:wsp>
                  </a:graphicData>
                </a:graphic>
              </wp:anchor>
            </w:drawing>
          </mc:Choice>
          <mc:Fallback>
            <w:pict>
              <v:shape id="_x0000_s1026" o:spid="_x0000_s1026" o:spt="202" type="#_x0000_t202" style="position:absolute;left:0pt;margin-left:68.15pt;margin-top:7.05pt;height:23.4pt;width:75.75pt;z-index:252086272;mso-width-relative:page;mso-height-relative:page;" fillcolor="#FFFFFF" filled="t" stroked="t" coordsize="21600,21600" o:gfxdata="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gppYzYAAAACQEAAA8AAAAAAAAAAQAgAAAAIgAAAGRycy9kb3ducmV2LnhtbFBLAQIU&#10;ABQAAAAIAIdO4kCP96t08wEAAOsDAAAOAAAAAAAAAAEAIAAAACcBAABkcnMvZTJvRG9jLnhtbFBL&#10;BQYAAAAABgAGAFkBAACMBQAAAAA=&#10;">
                <v:fill on="t" focussize="0,0"/>
                <v:stroke color="#000000" joinstyle="miter"/>
                <v:imagedata o:title=""/>
                <o:lock v:ext="edit" aspectratio="f"/>
                <v:textbox>
                  <w:txbxContent>
                    <w:p>
                      <w:r>
                        <w:rPr>
                          <w:rFonts w:hint="eastAsia"/>
                        </w:rPr>
                        <w:t>支、吊架制作</w:t>
                      </w:r>
                    </w:p>
                  </w:txbxContent>
                </v:textbox>
              </v:shape>
            </w:pict>
          </mc:Fallback>
        </mc:AlternateContent>
      </w:r>
      <w:r>
        <w:rPr>
          <w:rFonts w:hint="eastAsia" w:asciiTheme="minorEastAsia" w:hAnsiTheme="minorEastAsia" w:eastAsiaTheme="minorEastAsia" w:cstheme="minorEastAsia"/>
          <w:color w:val="auto"/>
          <w:sz w:val="21"/>
          <w:szCs w:val="21"/>
          <w:highlight w:val="none"/>
        </w:rPr>
        <mc:AlternateContent>
          <mc:Choice Requires="wps">
            <w:drawing>
              <wp:anchor distT="0" distB="0" distL="114300" distR="114300" simplePos="0" relativeHeight="252087296" behindDoc="0" locked="0" layoutInCell="1" allowOverlap="1">
                <wp:simplePos x="0" y="0"/>
                <wp:positionH relativeFrom="column">
                  <wp:posOffset>3629025</wp:posOffset>
                </wp:positionH>
                <wp:positionV relativeFrom="paragraph">
                  <wp:posOffset>80010</wp:posOffset>
                </wp:positionV>
                <wp:extent cx="733425" cy="297180"/>
                <wp:effectExtent l="4445" t="5080" r="5080" b="21590"/>
                <wp:wrapNone/>
                <wp:docPr id="461" name="文本框 461"/>
                <wp:cNvGraphicFramePr/>
                <a:graphic xmlns:a="http://schemas.openxmlformats.org/drawingml/2006/main">
                  <a:graphicData uri="http://schemas.microsoft.com/office/word/2010/wordprocessingShape">
                    <wps:wsp>
                      <wps:cNvSpPr txBox="1"/>
                      <wps:spPr>
                        <a:xfrm>
                          <a:off x="0" y="0"/>
                          <a:ext cx="7334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风管连接</w:t>
                            </w:r>
                          </w:p>
                        </w:txbxContent>
                      </wps:txbx>
                      <wps:bodyPr upright="1"/>
                    </wps:wsp>
                  </a:graphicData>
                </a:graphic>
              </wp:anchor>
            </w:drawing>
          </mc:Choice>
          <mc:Fallback>
            <w:pict>
              <v:shape id="_x0000_s1026" o:spid="_x0000_s1026" o:spt="202" type="#_x0000_t202" style="position:absolute;left:0pt;margin-left:285.75pt;margin-top:6.3pt;height:23.4pt;width:57.75pt;z-index:252087296;mso-width-relative:page;mso-height-relative:page;" fillcolor="#FFFFFF" filled="t" stroked="t" coordsize="21600,21600" o:gfxdata="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HWbZnYAAAACQEAAA8AAAAAAAAAAQAgAAAAIgAAAGRycy9kb3ducmV2LnhtbFBLAQIU&#10;ABQAAAAIAIdO4kD94zVV8wEAAOsDAAAOAAAAAAAAAAEAIAAAACcBAABkcnMvZTJvRG9jLnhtbFBL&#10;BQYAAAAABgAGAFkBAACMBQAAAAA=&#10;">
                <v:fill on="t" focussize="0,0"/>
                <v:stroke color="#000000" joinstyle="miter"/>
                <v:imagedata o:title=""/>
                <o:lock v:ext="edit" aspectratio="f"/>
                <v:textbox>
                  <w:txbxContent>
                    <w:p>
                      <w:r>
                        <w:rPr>
                          <w:rFonts w:hint="eastAsia"/>
                        </w:rPr>
                        <w:t>风管连接</w:t>
                      </w:r>
                    </w:p>
                  </w:txbxContent>
                </v:textbox>
              </v:shape>
            </w:pict>
          </mc:Fallback>
        </mc:AlternateContent>
      </w:r>
    </w:p>
    <w:p>
      <w:pPr>
        <w:adjustRightInd w:val="0"/>
        <w:spacing w:line="360" w:lineRule="auto"/>
        <w:ind w:right="2" w:rightChars="1"/>
        <w:rPr>
          <w:rFonts w:hint="eastAsia" w:asciiTheme="minorEastAsia" w:hAnsiTheme="minorEastAsia" w:eastAsiaTheme="minorEastAsia" w:cstheme="minorEastAsia"/>
          <w:color w:val="auto"/>
          <w:sz w:val="21"/>
          <w:szCs w:val="21"/>
          <w:highlight w:val="none"/>
        </w:rPr>
      </w:pP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PP材质风管的安装与金属风管安装基本相同，在安装时还应符合以下各项要求。</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3.1.3  风管支吊架制作、设置、安装</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( 1 ) PP材质风管支、吊架要求应符合表3.9.1的规定。</w:t>
      </w:r>
    </w:p>
    <w:p>
      <w:pPr>
        <w:adjustRightInd w:val="0"/>
        <w:spacing w:line="360" w:lineRule="auto"/>
        <w:ind w:right="2" w:rightChars="1" w:firstLine="420" w:firstLineChars="20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表3.9.1    风管支吊架要求</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0"/>
        <w:gridCol w:w="2100"/>
        <w:gridCol w:w="210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圆形风管直径或</w:t>
            </w:r>
          </w:p>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矩形风管长边尺寸(mm)</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承托角钢</w:t>
            </w:r>
          </w:p>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(mm)</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吊杆直径</w:t>
            </w:r>
          </w:p>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(mm)</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支架最大间距</w:t>
            </w:r>
          </w:p>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30×30×4</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ф8</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510—1000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40×40×5</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ф8</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1010—1500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50×50×6</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ф10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1510—2000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50×50×6</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ф10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2010—3000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60×60×7</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ф10</w:t>
            </w:r>
          </w:p>
        </w:tc>
        <w:tc>
          <w:tcPr>
            <w:tcW w:w="21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r>
    </w:tbl>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( 2 ) PP材质风管安装以吊架为主，辅以托架，支、吊架制作参考金属风管支、吊架形式。风管与支吊架间应垫入厚3~5mm厚的塑料垫片，并用万能胶粘接牢固。</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( 3 ) 支吊架的抱箍与风管间应留有一定间隙，便于风管伸缩。</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( 4 ) PP材质塑料板，搬运风管要轻拿轻放，避免摔碰；堆放要放平，不得堆放过高。吊装时防止风管摆动，发生碰撞。</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( 5 )法兰连接时，法兰间垫3~6mm的软PP材质塑料板垫片做衬垫，螺栓处应加PP材质塑料板制成的垫圈，拧紧螺栓时应注意塑料的脆性，并应十字交叉均匀拧紧。</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( 6 )风管与辐射热较强的设备和管道保持一定距离，防止风管受热变形。</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( 7 )室外敷设的风管与风帽等，应刷白色油漆或铝粉漆，以防太阳照射。</w:t>
      </w:r>
    </w:p>
    <w:p>
      <w:pPr>
        <w:adjustRightInd w:val="0"/>
        <w:spacing w:line="360" w:lineRule="auto"/>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( 8 )管道上所有金属附件，应按设计刷防腐涂料。</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  质量标准</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4.1 </w:t>
      </w:r>
      <w:r>
        <w:rPr>
          <w:rFonts w:hint="eastAsia" w:asciiTheme="minorEastAsia" w:hAnsiTheme="minorEastAsia" w:eastAsiaTheme="minorEastAsia" w:cstheme="minorEastAsia"/>
          <w:color w:val="auto"/>
          <w:sz w:val="21"/>
          <w:szCs w:val="21"/>
          <w:highlight w:val="none"/>
        </w:rPr>
        <w:t xml:space="preserve"> 主控项目</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4.1.1  风管的规格、尺寸必须符合设计要求。</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4.1.2  焊缝的坡口形式和焊接质量必须符合施工规范规定，焊缝无裂纹、焦黄、断裂等缺陷，纵向焊缝错开。</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4.1.3  板材厚度符合设计、规范规定。</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4.1.4  风管连接方法、法兰规格符合规范规定。</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4.2 </w:t>
      </w:r>
      <w:r>
        <w:rPr>
          <w:rFonts w:hint="eastAsia" w:asciiTheme="minorEastAsia" w:hAnsiTheme="minorEastAsia" w:eastAsiaTheme="minorEastAsia" w:cstheme="minorEastAsia"/>
          <w:color w:val="auto"/>
          <w:sz w:val="21"/>
          <w:szCs w:val="21"/>
          <w:highlight w:val="none"/>
        </w:rPr>
        <w:t xml:space="preserve"> 一般项目</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4.2.1  风管的外观质量应表面平整，凹凸不大于5mm，圆弧均匀，拼缝处无凹凸，两端平行，无扭曲和翘角，焊缝饱满，焊条排列整齐。</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4.2.2  风管加固应牢固可靠，整齐美观，风管与法兰连接处的三角支撑间距适宜，均匀对称。</w:t>
      </w:r>
    </w:p>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4.2.3  允许偏差</w:t>
      </w:r>
    </w:p>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表4.2.3                 风管制作允许偏差</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965"/>
        <w:gridCol w:w="288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5"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项次</w:t>
            </w:r>
          </w:p>
        </w:tc>
        <w:tc>
          <w:tcPr>
            <w:tcW w:w="4845" w:type="dxa"/>
            <w:gridSpan w:val="2"/>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          目</w:t>
            </w:r>
          </w:p>
        </w:tc>
        <w:tc>
          <w:tcPr>
            <w:tcW w:w="27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5" w:type="dxa"/>
            <w:vMerge w:val="restart"/>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965" w:type="dxa"/>
            <w:vMerge w:val="restart"/>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圆形风管外径</w:t>
            </w:r>
          </w:p>
        </w:tc>
        <w:tc>
          <w:tcPr>
            <w:tcW w:w="28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φ≤630mm</w:t>
            </w:r>
          </w:p>
        </w:tc>
        <w:tc>
          <w:tcPr>
            <w:tcW w:w="27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735" w:type="dxa"/>
            <w:vMerge w:val="continue"/>
            <w:vAlign w:val="center"/>
          </w:tcPr>
          <w:p>
            <w:pPr>
              <w:adjustRightInd w:val="0"/>
              <w:spacing w:line="360" w:lineRule="auto"/>
              <w:ind w:right="2" w:rightChars="1" w:hanging="1"/>
              <w:jc w:val="left"/>
              <w:rPr>
                <w:rFonts w:hint="eastAsia" w:asciiTheme="minorEastAsia" w:hAnsiTheme="minorEastAsia" w:eastAsiaTheme="minorEastAsia" w:cstheme="minorEastAsia"/>
                <w:color w:val="auto"/>
                <w:sz w:val="21"/>
                <w:szCs w:val="21"/>
                <w:highlight w:val="none"/>
              </w:rPr>
            </w:pPr>
          </w:p>
        </w:tc>
        <w:tc>
          <w:tcPr>
            <w:tcW w:w="1965" w:type="dxa"/>
            <w:vMerge w:val="continue"/>
            <w:vAlign w:val="center"/>
          </w:tcPr>
          <w:p>
            <w:pPr>
              <w:adjustRightInd w:val="0"/>
              <w:spacing w:line="360" w:lineRule="auto"/>
              <w:ind w:right="2" w:rightChars="1" w:hanging="1"/>
              <w:jc w:val="left"/>
              <w:rPr>
                <w:rFonts w:hint="eastAsia" w:asciiTheme="minorEastAsia" w:hAnsiTheme="minorEastAsia" w:eastAsiaTheme="minorEastAsia" w:cstheme="minorEastAsia"/>
                <w:color w:val="auto"/>
                <w:sz w:val="21"/>
                <w:szCs w:val="21"/>
                <w:highlight w:val="none"/>
              </w:rPr>
            </w:pPr>
          </w:p>
        </w:tc>
        <w:tc>
          <w:tcPr>
            <w:tcW w:w="28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φ＞630mm</w:t>
            </w:r>
          </w:p>
        </w:tc>
        <w:tc>
          <w:tcPr>
            <w:tcW w:w="27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5" w:type="dxa"/>
            <w:vMerge w:val="restart"/>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965" w:type="dxa"/>
            <w:vMerge w:val="restart"/>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矩形风管大边</w:t>
            </w:r>
          </w:p>
        </w:tc>
        <w:tc>
          <w:tcPr>
            <w:tcW w:w="28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＜630mm</w:t>
            </w:r>
          </w:p>
        </w:tc>
        <w:tc>
          <w:tcPr>
            <w:tcW w:w="27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5" w:type="dxa"/>
            <w:vMerge w:val="continue"/>
            <w:vAlign w:val="center"/>
          </w:tcPr>
          <w:p>
            <w:pPr>
              <w:adjustRightInd w:val="0"/>
              <w:spacing w:line="360" w:lineRule="auto"/>
              <w:ind w:right="2" w:rightChars="1" w:hanging="1"/>
              <w:jc w:val="left"/>
              <w:rPr>
                <w:rFonts w:hint="eastAsia" w:asciiTheme="minorEastAsia" w:hAnsiTheme="minorEastAsia" w:eastAsiaTheme="minorEastAsia" w:cstheme="minorEastAsia"/>
                <w:color w:val="auto"/>
                <w:sz w:val="21"/>
                <w:szCs w:val="21"/>
                <w:highlight w:val="none"/>
              </w:rPr>
            </w:pPr>
          </w:p>
        </w:tc>
        <w:tc>
          <w:tcPr>
            <w:tcW w:w="1965" w:type="dxa"/>
            <w:vMerge w:val="continue"/>
            <w:vAlign w:val="center"/>
          </w:tcPr>
          <w:p>
            <w:pPr>
              <w:adjustRightInd w:val="0"/>
              <w:spacing w:line="360" w:lineRule="auto"/>
              <w:ind w:right="2" w:rightChars="1" w:hanging="1"/>
              <w:jc w:val="left"/>
              <w:rPr>
                <w:rFonts w:hint="eastAsia" w:asciiTheme="minorEastAsia" w:hAnsiTheme="minorEastAsia" w:eastAsiaTheme="minorEastAsia" w:cstheme="minorEastAsia"/>
                <w:color w:val="auto"/>
                <w:sz w:val="21"/>
                <w:szCs w:val="21"/>
                <w:highlight w:val="none"/>
              </w:rPr>
            </w:pPr>
          </w:p>
        </w:tc>
        <w:tc>
          <w:tcPr>
            <w:tcW w:w="288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≥630mm</w:t>
            </w:r>
          </w:p>
        </w:tc>
        <w:tc>
          <w:tcPr>
            <w:tcW w:w="2700" w:type="dxa"/>
            <w:vAlign w:val="center"/>
          </w:tcPr>
          <w:p>
            <w:pPr>
              <w:adjustRightInd w:val="0"/>
              <w:spacing w:line="360" w:lineRule="auto"/>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0-2</w:t>
            </w:r>
          </w:p>
        </w:tc>
      </w:tr>
    </w:tbl>
    <w:p>
      <w:pPr>
        <w:adjustRightInd w:val="0"/>
        <w:spacing w:line="360" w:lineRule="auto"/>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  成品保护</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5.1</w:t>
      </w:r>
      <w:r>
        <w:rPr>
          <w:rFonts w:hint="eastAsia" w:asciiTheme="minorEastAsia" w:hAnsiTheme="minorEastAsia" w:eastAsiaTheme="minorEastAsia" w:cstheme="minorEastAsia"/>
          <w:color w:val="auto"/>
          <w:sz w:val="21"/>
          <w:szCs w:val="21"/>
          <w:highlight w:val="none"/>
        </w:rPr>
        <w:t>要保持PP材质塑料板表面光滑洁净，划线放样要用红铅笔，不应用划针。</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5.2</w:t>
      </w:r>
      <w:r>
        <w:rPr>
          <w:rFonts w:hint="eastAsia" w:asciiTheme="minorEastAsia" w:hAnsiTheme="minorEastAsia" w:eastAsiaTheme="minorEastAsia" w:cstheme="minorEastAsia"/>
          <w:color w:val="auto"/>
          <w:sz w:val="21"/>
          <w:szCs w:val="21"/>
          <w:highlight w:val="none"/>
        </w:rPr>
        <w:t>塑料风管及部件成品</w:t>
      </w:r>
      <w:r>
        <w:rPr>
          <w:rFonts w:hint="eastAsia" w:asciiTheme="minorEastAsia" w:hAnsiTheme="minorEastAsia" w:eastAsiaTheme="minorEastAsia" w:cstheme="minorEastAsia"/>
          <w:color w:val="auto"/>
          <w:kern w:val="0"/>
          <w:sz w:val="21"/>
          <w:szCs w:val="21"/>
          <w:highlight w:val="none"/>
          <w:lang w:val="zh-CN"/>
        </w:rPr>
        <w:t>应码放在平整，无积水，宽敞的场地，不与其它材料，设备等混放在一起，并有防雨、雪措施。码放时应按系统编号，整齐、合理，便于装运。</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5.3</w:t>
      </w:r>
      <w:r>
        <w:rPr>
          <w:rFonts w:hint="eastAsia" w:asciiTheme="minorEastAsia" w:hAnsiTheme="minorEastAsia" w:eastAsiaTheme="minorEastAsia" w:cstheme="minorEastAsia"/>
          <w:color w:val="auto"/>
          <w:sz w:val="21"/>
          <w:szCs w:val="21"/>
          <w:highlight w:val="none"/>
        </w:rPr>
        <w:t>装卸、搬运风管时应轻拿轻放，防止损坏风管及部件成品。</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5.4</w:t>
      </w:r>
      <w:r>
        <w:rPr>
          <w:rFonts w:hint="eastAsia" w:asciiTheme="minorEastAsia" w:hAnsiTheme="minorEastAsia" w:eastAsiaTheme="minorEastAsia" w:cstheme="minorEastAsia"/>
          <w:color w:val="auto"/>
          <w:sz w:val="21"/>
          <w:szCs w:val="21"/>
          <w:highlight w:val="none"/>
        </w:rPr>
        <w:t>风管安装过程中应轻拿轻放，不得用力操作，不得用坚硬物品划、撞风管，安装完毕应采取一定的措施避免工种间交叉作业而带来损伤和污染。</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5.5</w:t>
      </w:r>
      <w:r>
        <w:rPr>
          <w:rFonts w:hint="eastAsia" w:asciiTheme="minorEastAsia" w:hAnsiTheme="minorEastAsia" w:eastAsiaTheme="minorEastAsia" w:cstheme="minorEastAsia"/>
          <w:color w:val="auto"/>
          <w:sz w:val="21"/>
          <w:szCs w:val="21"/>
          <w:highlight w:val="none"/>
        </w:rPr>
        <w:t>安装好的风管以及安装告一段落的，应及时对各个敞口部位进行封闭，以防杂物、水等</w:t>
      </w: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2058624" behindDoc="1" locked="1" layoutInCell="1" allowOverlap="1">
            <wp:simplePos x="0" y="0"/>
            <wp:positionH relativeFrom="column">
              <wp:posOffset>4762500</wp:posOffset>
            </wp:positionH>
            <wp:positionV relativeFrom="paragraph">
              <wp:posOffset>8966200</wp:posOffset>
            </wp:positionV>
            <wp:extent cx="1447800" cy="203200"/>
            <wp:effectExtent l="19050" t="0" r="0" b="0"/>
            <wp:wrapNone/>
            <wp:docPr id="426" name="图片 1523" descr="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1523" descr="108"/>
                    <pic:cNvPicPr>
                      <a:picLocks noChangeAspect="1" noChangeArrowheads="1"/>
                    </pic:cNvPicPr>
                  </pic:nvPicPr>
                  <pic:blipFill>
                    <a:blip r:embed="rId24"/>
                    <a:srcRect/>
                    <a:stretch>
                      <a:fillRect/>
                    </a:stretch>
                  </pic:blipFill>
                  <pic:spPr>
                    <a:xfrm>
                      <a:off x="0" y="0"/>
                      <a:ext cx="1447800" cy="203200"/>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color w:val="auto"/>
          <w:sz w:val="21"/>
          <w:szCs w:val="21"/>
          <w:highlight w:val="none"/>
        </w:rPr>
        <w:t>对进入风管内部，影响整个系统。</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  应注意的问题</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6.1</w:t>
      </w:r>
      <w:r>
        <w:rPr>
          <w:rFonts w:hint="eastAsia" w:asciiTheme="minorEastAsia" w:hAnsiTheme="minorEastAsia" w:eastAsiaTheme="minorEastAsia" w:cstheme="minorEastAsia"/>
          <w:color w:val="auto"/>
          <w:sz w:val="21"/>
          <w:szCs w:val="21"/>
          <w:highlight w:val="none"/>
        </w:rPr>
        <w:t xml:space="preserve">  由于下料时不注意留收缩余量，造成管径不合适。</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防治措施：由于收缩量随加热时间而变化，所以每批板材下料前先做试验，定出收缩量。</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6.2 </w:t>
      </w:r>
      <w:r>
        <w:rPr>
          <w:rFonts w:hint="eastAsia" w:asciiTheme="minorEastAsia" w:hAnsiTheme="minorEastAsia" w:eastAsiaTheme="minorEastAsia" w:cstheme="minorEastAsia"/>
          <w:color w:val="auto"/>
          <w:sz w:val="21"/>
          <w:szCs w:val="21"/>
          <w:highlight w:val="none"/>
        </w:rPr>
        <w:t xml:space="preserve"> 风管纵缝在同一条线上。</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防治措施：下料或焊接时，应将相邻纵缝交错。</w:t>
      </w:r>
    </w:p>
    <w:p>
      <w:pPr>
        <w:numPr>
          <w:ilvl w:val="1"/>
          <w:numId w:val="8"/>
        </w:numPr>
        <w:tabs>
          <w:tab w:val="left" w:pos="614"/>
          <w:tab w:val="left" w:pos="709"/>
          <w:tab w:val="clear" w:pos="1425"/>
        </w:tabs>
        <w:adjustRightInd w:val="0"/>
        <w:spacing w:line="360" w:lineRule="auto"/>
        <w:ind w:left="614" w:right="2" w:rightChars="1" w:hanging="29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焊缝开裂，焊条与焊缝未粘接牢。</w:t>
      </w:r>
    </w:p>
    <w:p>
      <w:pPr>
        <w:numPr>
          <w:ilvl w:val="1"/>
          <w:numId w:val="8"/>
        </w:numPr>
        <w:tabs>
          <w:tab w:val="left" w:pos="614"/>
          <w:tab w:val="left" w:pos="709"/>
          <w:tab w:val="clear" w:pos="1425"/>
        </w:tabs>
        <w:adjustRightInd w:val="0"/>
        <w:spacing w:line="360" w:lineRule="auto"/>
        <w:ind w:left="614" w:right="2" w:rightChars="1" w:hanging="29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防治措施：正确选用焊缝形式；控制好压缩空气温度；掌握好焊枪嘴的角度。</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6.5</w:t>
      </w:r>
      <w:r>
        <w:rPr>
          <w:rFonts w:hint="eastAsia" w:asciiTheme="minorEastAsia" w:hAnsiTheme="minorEastAsia" w:eastAsiaTheme="minorEastAsia" w:cstheme="minorEastAsia"/>
          <w:color w:val="auto"/>
          <w:sz w:val="21"/>
          <w:szCs w:val="21"/>
          <w:highlight w:val="none"/>
        </w:rPr>
        <w:t xml:space="preserve">  焊缝不平，外观差。</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防治措施：焊条断处接头要修成坡面；焊缝要自然冷却。</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6.6 </w:t>
      </w:r>
      <w:r>
        <w:rPr>
          <w:rFonts w:hint="eastAsia" w:asciiTheme="minorEastAsia" w:hAnsiTheme="minorEastAsia" w:eastAsiaTheme="minorEastAsia" w:cstheme="minorEastAsia"/>
          <w:color w:val="auto"/>
          <w:sz w:val="21"/>
          <w:szCs w:val="21"/>
          <w:highlight w:val="none"/>
        </w:rPr>
        <w:t xml:space="preserve"> 使用圆盘锯操作前应进行检查，锯片不得有裂口，螺丝应上紧，操作时应戴防护眼镜，站在锯片一侧，禁止站在与锯片同一直</w:t>
      </w:r>
    </w:p>
    <w:p>
      <w:pPr>
        <w:adjustRightInd w:val="0"/>
        <w:spacing w:line="360" w:lineRule="auto"/>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线上，手臂不得跨越锯片。</w:t>
      </w:r>
    </w:p>
    <w:p>
      <w:pPr>
        <w:adjustRightInd w:val="0"/>
        <w:spacing w:line="360" w:lineRule="auto"/>
        <w:ind w:right="2" w:rightChars="1" w:firstLine="315"/>
        <w:rPr>
          <w:rFonts w:hint="eastAsia" w:asciiTheme="minorEastAsia" w:hAnsiTheme="minorEastAsia" w:eastAsiaTheme="minorEastAsia" w:cstheme="minorEastAsia"/>
          <w:bCs/>
          <w:color w:val="auto"/>
          <w:kern w:val="0"/>
          <w:sz w:val="21"/>
          <w:szCs w:val="21"/>
          <w:highlight w:val="none"/>
          <w:lang w:val="zh-CN"/>
        </w:rPr>
      </w:pPr>
      <w:r>
        <w:rPr>
          <w:rFonts w:hint="eastAsia" w:asciiTheme="minorEastAsia" w:hAnsiTheme="minorEastAsia" w:eastAsiaTheme="minorEastAsia" w:cstheme="minorEastAsia"/>
          <w:b/>
          <w:color w:val="auto"/>
          <w:sz w:val="21"/>
          <w:szCs w:val="21"/>
          <w:highlight w:val="none"/>
        </w:rPr>
        <w:t xml:space="preserve">6.7 </w:t>
      </w:r>
      <w:r>
        <w:rPr>
          <w:rFonts w:hint="eastAsia" w:asciiTheme="minorEastAsia" w:hAnsiTheme="minorEastAsia" w:eastAsiaTheme="minorEastAsia" w:cstheme="minorEastAsia"/>
          <w:color w:val="auto"/>
          <w:sz w:val="21"/>
          <w:szCs w:val="21"/>
          <w:highlight w:val="none"/>
        </w:rPr>
        <w:t xml:space="preserve"> 进料必须紧贴固定装置，不得用力过猛，接料要待料出锯片150mm，不得硬拉；遇短窄料应用推棍，接料用刨钩；超越锯片有效半径的料禁止上锯。</w:t>
      </w:r>
    </w:p>
    <w:p>
      <w:pPr>
        <w:autoSpaceDE w:val="0"/>
        <w:autoSpaceDN w:val="0"/>
        <w:adjustRightInd w:val="0"/>
        <w:spacing w:line="360" w:lineRule="auto"/>
        <w:ind w:firstLine="315"/>
        <w:jc w:val="left"/>
        <w:rPr>
          <w:rFonts w:hint="eastAsia" w:asciiTheme="minorEastAsia" w:hAnsiTheme="minorEastAsia" w:eastAsiaTheme="minorEastAsia" w:cstheme="minorEastAsia"/>
          <w:bCs/>
          <w:color w:val="auto"/>
          <w:kern w:val="0"/>
          <w:sz w:val="21"/>
          <w:szCs w:val="21"/>
          <w:highlight w:val="none"/>
          <w:lang w:val="zh-CN"/>
        </w:rPr>
      </w:pPr>
      <w:r>
        <w:rPr>
          <w:rFonts w:hint="eastAsia" w:asciiTheme="minorEastAsia" w:hAnsiTheme="minorEastAsia" w:eastAsiaTheme="minorEastAsia" w:cstheme="minorEastAsia"/>
          <w:bCs/>
          <w:color w:val="auto"/>
          <w:kern w:val="0"/>
          <w:sz w:val="21"/>
          <w:szCs w:val="21"/>
          <w:highlight w:val="none"/>
          <w:lang w:val="zh-CN"/>
        </w:rPr>
        <w:t>7  应具备的质量记录</w:t>
      </w:r>
    </w:p>
    <w:p>
      <w:pPr>
        <w:autoSpaceDE w:val="0"/>
        <w:autoSpaceDN w:val="0"/>
        <w:adjustRightInd w:val="0"/>
        <w:spacing w:line="360" w:lineRule="auto"/>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7.1</w:t>
      </w:r>
      <w:r>
        <w:rPr>
          <w:rFonts w:hint="eastAsia" w:asciiTheme="minorEastAsia" w:hAnsiTheme="minorEastAsia" w:eastAsiaTheme="minorEastAsia" w:cstheme="minorEastAsia"/>
          <w:color w:val="auto"/>
          <w:kern w:val="0"/>
          <w:sz w:val="21"/>
          <w:szCs w:val="21"/>
          <w:highlight w:val="none"/>
          <w:lang w:val="zh-CN"/>
        </w:rPr>
        <w:t xml:space="preserve">  材料、成品、半成品、配件的中文质量合格证明文件及进场验收记录，设备开箱检查记录。</w:t>
      </w:r>
    </w:p>
    <w:p>
      <w:pPr>
        <w:autoSpaceDE w:val="0"/>
        <w:autoSpaceDN w:val="0"/>
        <w:adjustRightInd w:val="0"/>
        <w:spacing w:line="360" w:lineRule="auto"/>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7.2</w:t>
      </w:r>
      <w:r>
        <w:rPr>
          <w:rFonts w:hint="eastAsia" w:asciiTheme="minorEastAsia" w:hAnsiTheme="minorEastAsia" w:eastAsiaTheme="minorEastAsia" w:cstheme="minorEastAsia"/>
          <w:color w:val="auto"/>
          <w:kern w:val="0"/>
          <w:sz w:val="21"/>
          <w:szCs w:val="21"/>
          <w:highlight w:val="none"/>
          <w:lang w:val="zh-CN"/>
        </w:rPr>
        <w:t>自检、互检记录。</w:t>
      </w:r>
    </w:p>
    <w:p>
      <w:pPr>
        <w:autoSpaceDE w:val="0"/>
        <w:autoSpaceDN w:val="0"/>
        <w:adjustRightInd w:val="0"/>
        <w:spacing w:line="360" w:lineRule="auto"/>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7.3</w:t>
      </w:r>
      <w:r>
        <w:rPr>
          <w:rFonts w:hint="eastAsia" w:asciiTheme="minorEastAsia" w:hAnsiTheme="minorEastAsia" w:eastAsiaTheme="minorEastAsia" w:cstheme="minorEastAsia"/>
          <w:color w:val="auto"/>
          <w:kern w:val="0"/>
          <w:sz w:val="21"/>
          <w:szCs w:val="21"/>
          <w:highlight w:val="none"/>
          <w:lang w:val="zh-CN"/>
        </w:rPr>
        <w:t>中间验收记录。</w:t>
      </w:r>
    </w:p>
    <w:p>
      <w:pPr>
        <w:autoSpaceDE w:val="0"/>
        <w:autoSpaceDN w:val="0"/>
        <w:adjustRightInd w:val="0"/>
        <w:spacing w:line="360" w:lineRule="auto"/>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7.4</w:t>
      </w:r>
      <w:r>
        <w:rPr>
          <w:rFonts w:hint="eastAsia" w:asciiTheme="minorEastAsia" w:hAnsiTheme="minorEastAsia" w:eastAsiaTheme="minorEastAsia" w:cstheme="minorEastAsia"/>
          <w:color w:val="auto"/>
          <w:kern w:val="0"/>
          <w:sz w:val="21"/>
          <w:szCs w:val="21"/>
          <w:highlight w:val="none"/>
          <w:lang w:val="zh-CN"/>
        </w:rPr>
        <w:t>非金属</w:t>
      </w:r>
      <w:r>
        <w:rPr>
          <w:rFonts w:hint="eastAsia" w:asciiTheme="minorEastAsia" w:hAnsiTheme="minorEastAsia" w:eastAsiaTheme="minorEastAsia" w:cstheme="minorEastAsia"/>
          <w:color w:val="auto"/>
          <w:sz w:val="21"/>
          <w:szCs w:val="21"/>
          <w:highlight w:val="none"/>
        </w:rPr>
        <w:t>风管及部件</w:t>
      </w:r>
      <w:r>
        <w:rPr>
          <w:rFonts w:hint="eastAsia" w:asciiTheme="minorEastAsia" w:hAnsiTheme="minorEastAsia" w:eastAsiaTheme="minorEastAsia" w:cstheme="minorEastAsia"/>
          <w:color w:val="auto"/>
          <w:kern w:val="0"/>
          <w:sz w:val="21"/>
          <w:szCs w:val="21"/>
          <w:highlight w:val="none"/>
          <w:lang w:val="zh-CN"/>
        </w:rPr>
        <w:t>安装预检记录、隐蔽工程检查记录。</w:t>
      </w:r>
    </w:p>
    <w:p>
      <w:pPr>
        <w:numPr>
          <w:ilvl w:val="1"/>
          <w:numId w:val="9"/>
        </w:numPr>
        <w:autoSpaceDE w:val="0"/>
        <w:autoSpaceDN w:val="0"/>
        <w:adjustRightInd w:val="0"/>
        <w:spacing w:line="360" w:lineRule="auto"/>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color w:val="auto"/>
          <w:kern w:val="0"/>
          <w:sz w:val="21"/>
          <w:szCs w:val="21"/>
          <w:highlight w:val="none"/>
          <w:lang w:val="zh-CN"/>
        </w:rPr>
        <w:t>批质量验收记录、分项工程质量验收记录。</w:t>
      </w:r>
    </w:p>
    <w:p>
      <w:pPr>
        <w:tabs>
          <w:tab w:val="left" w:pos="690"/>
        </w:tabs>
        <w:spacing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（六）主要材料设备要求</w:t>
      </w:r>
    </w:p>
    <w:p>
      <w:pPr>
        <w:spacing w:line="360" w:lineRule="auto"/>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1.风管：采用PP材质塑料管材，风管具有防腐等性能，且内壁光滑，外形美观，支、吊架圆管采用A3钢抱箍风管，方管采用经防锈处理的吊杆紧固角钢来支撑风管；圆管厚度≥4mm, 方管厚度≥5mm</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2．防火阀：所有风管穿竖井时，均安装钢制防火阀，平时常开，当火灾报警动作后，风管内的温度升到至70℃时，防火阀易熔片熔断，防火阀关闭，防止火灾蔓延。</w:t>
      </w:r>
    </w:p>
    <w:p>
      <w:pPr>
        <w:spacing w:line="360" w:lineRule="auto"/>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3．电子调节阀：电子调节阀为防腐PP材质标准模具制作，采用数显可调角度的电动风阀，阀体采用防腐PVC管制作并且有记忆功能（即可以记住此次调节的角度，下次打开时仍然调到设计的角度）,可调节每个通风末端的压阻平衡。</w:t>
      </w:r>
    </w:p>
    <w:p>
      <w:pPr>
        <w:spacing w:line="360" w:lineRule="auto"/>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▲4.防腐离心风机：采用防腐玻璃钢材质蜗壳离心风机。风机选型与技术参数：</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 F4-72- 6A,N=4Kw,Q= 6670-13340m3/h ,P= 1120-718Pa,r= 1450r/m；</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 F4-72- 7A,N=7.5Kw,Q= 11300-19400m3/h ,P= 1570-1045Pa,r= 1450r/m；</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 F4-72- 8C，N=11Kw，Q= 14100-26800m3/h，P= 11940-1078Pa，r= 1350r/m；</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产品特性：</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①适用一定浓度的腐蚀性气体技；</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②耐温、防腐、防爆；</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③风机型号具体根据风量，风压选型，详见清单；</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④为了消除风机运行过程中产生的震动须在楼板设风机固定座及橡胶减震片；</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⑤风机出口应设有防雨帽和防昆虫及啮齿动物的网。</w:t>
      </w:r>
    </w:p>
    <w:p>
      <w:pPr>
        <w:spacing w:line="360" w:lineRule="auto"/>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5．消声器</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①阻抗复合性消声器；</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②外壳采用有机玻璃钢制作，内衬消音纤维片。</w:t>
      </w:r>
    </w:p>
    <w:p>
      <w:pPr>
        <w:spacing w:line="360" w:lineRule="auto"/>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6.变频器:采用中外合资品牌，性能要求稳定</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①风机水泵应用；</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②循环软起；</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③用户自定义U/F曲线；</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④内置RFI滤波器作为标准配置，适用于第一和第二环境；</w:t>
      </w:r>
    </w:p>
    <w:p>
      <w:pPr>
        <w:spacing w:line="360" w:lineRule="auto"/>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⑤CE认证。</w:t>
      </w:r>
    </w:p>
    <w:p>
      <w:pPr>
        <w:tabs>
          <w:tab w:val="left" w:pos="690"/>
        </w:tabs>
        <w:spacing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（七）废气处理</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鉴于大楼实验室在运行使用过程中所产生的废气成分复杂，有机无机废气成分均有，所以本次废气环保处理的主要措施是采用活性碳吸附器分别对不同种类废气进行相应处理。</w:t>
      </w:r>
    </w:p>
    <w:p>
      <w:pPr>
        <w:spacing w:line="360" w:lineRule="auto"/>
        <w:ind w:firstLine="411" w:firstLineChars="196"/>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 1.</w:t>
      </w:r>
      <w:r>
        <w:rPr>
          <w:rFonts w:hint="eastAsia" w:asciiTheme="minorEastAsia" w:hAnsiTheme="minorEastAsia" w:eastAsiaTheme="minorEastAsia" w:cstheme="minorEastAsia"/>
          <w:b/>
          <w:color w:val="auto"/>
          <w:sz w:val="21"/>
          <w:szCs w:val="21"/>
          <w:highlight w:val="none"/>
        </w:rPr>
        <w:t>活性碳吸附器</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1、产品结构</w:t>
      </w:r>
    </w:p>
    <w:p>
      <w:pPr>
        <w:pStyle w:val="122"/>
        <w:spacing w:line="360" w:lineRule="auto"/>
        <w:ind w:left="1005" w:firstLine="0"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本活性碳吸附器采用≥10mm厚PP材质塑料板加工制作，采用卧式结构，抽屉式装碳装置，设两层蜂窝状活性炭过滤板，放≥150mm厚/层</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 xml:space="preserve"> 6块活性炭吸附板，采用单侧或双侧活动盖板门，便于安装检修，强度高，占地面积小。</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2、技术参数：</w:t>
      </w:r>
    </w:p>
    <w:p>
      <w:pPr>
        <w:pStyle w:val="122"/>
        <w:spacing w:line="360" w:lineRule="auto"/>
        <w:ind w:left="1005" w:firstLine="0"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(1)处理风量≥10000m3/h，采用≥10mm厚PP材质外箱尺寸≥1800*1500*1200mm，</w:t>
      </w:r>
    </w:p>
    <w:p>
      <w:pPr>
        <w:pStyle w:val="122"/>
        <w:spacing w:line="360" w:lineRule="auto"/>
        <w:ind w:left="1005" w:firstLine="0"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(2)处理风量≥15000m3/h，采用≥10mm厚PP材质外箱尺寸≥2400*1500*1200mm</w:t>
      </w:r>
    </w:p>
    <w:p>
      <w:pPr>
        <w:spacing w:line="360" w:lineRule="auto"/>
        <w:ind w:left="420" w:leftChars="200"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(3) 处理风量≥21000 m3/h , 采用≥10mm厚PP材质外箱尺寸≥2600*2000*1500 mm</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3、工作原理</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活性碳吸附器的实质是利用活性碳吸附的特性把低浓度大风量废气中的有机溶剂和有机废气吸附到活性碳中并浓缩，经活性碳吸附净化后的气体直接排到空中，其实质是一个吸附浓缩过程。吸附过程具有可逆性，易于脱附再生。由于固体表面存在着不平衡和未饱和的分子引力或化学键力，因此，当废气与大表面积的多孔性固体物质相接触，废气中的污染物便被吸附在固体表面上，使其与气体混合物分离，达到净化目的。</w:t>
      </w:r>
    </w:p>
    <w:p>
      <w:pPr>
        <w:spacing w:line="360" w:lineRule="auto"/>
        <w:ind w:left="420" w:leftChars="200" w:firstLine="420" w:firstLineChars="20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rPr>
        <w:t>根据这一原理，吸附装置采用活性碳作为吸附剂。活性碳比表面积达700-1500㎡/g，孔径分布广（2-20nm），吸附容量大，吸附速度快，而且再生容易，脱附彻底，经多次吸附后仍保持原有的吸附性能（达95%以上），因此对有机废气的净化率高。</w:t>
      </w:r>
    </w:p>
    <w:p>
      <w:pPr>
        <w:tabs>
          <w:tab w:val="left" w:pos="840"/>
        </w:tabs>
        <w:spacing w:line="440" w:lineRule="exact"/>
        <w:rPr>
          <w:rFonts w:ascii="宋体" w:hAnsi="宋体"/>
          <w:b/>
          <w:color w:val="auto"/>
          <w:highlight w:val="none"/>
        </w:rPr>
      </w:pPr>
      <w:r>
        <w:rPr>
          <w:rFonts w:hint="eastAsia" w:ascii="宋体" w:hAnsi="宋体"/>
          <w:b/>
          <w:color w:val="auto"/>
          <w:highlight w:val="none"/>
          <w:lang w:eastAsia="zh-CN"/>
        </w:rPr>
        <w:t>三</w:t>
      </w:r>
      <w:r>
        <w:rPr>
          <w:rFonts w:hint="eastAsia" w:ascii="宋体" w:hAnsi="宋体"/>
          <w:b/>
          <w:color w:val="auto"/>
          <w:highlight w:val="none"/>
        </w:rPr>
        <w:t>、现场踏勘</w:t>
      </w:r>
    </w:p>
    <w:p>
      <w:pPr>
        <w:spacing w:line="440" w:lineRule="exact"/>
        <w:ind w:firstLine="420" w:firstLineChars="200"/>
        <w:rPr>
          <w:rFonts w:hint="eastAsia" w:cs="Times New Roman"/>
          <w:color w:val="auto"/>
          <w:highlight w:val="none"/>
          <w:lang w:val="zh-CN" w:eastAsia="zh-CN"/>
        </w:rPr>
      </w:pPr>
      <w:r>
        <w:rPr>
          <w:rFonts w:hint="eastAsia"/>
          <w:color w:val="auto"/>
          <w:highlight w:val="none"/>
          <w:lang w:val="zh-CN" w:eastAsia="zh-CN"/>
        </w:rPr>
        <w:t>本项目不集中组织</w:t>
      </w:r>
      <w:r>
        <w:rPr>
          <w:rFonts w:hint="eastAsia"/>
          <w:color w:val="auto"/>
          <w:highlight w:val="none"/>
          <w:lang w:eastAsia="zh-CN"/>
        </w:rPr>
        <w:t>现场踏勘</w:t>
      </w:r>
      <w:r>
        <w:rPr>
          <w:rFonts w:hint="eastAsia"/>
          <w:color w:val="auto"/>
          <w:highlight w:val="none"/>
          <w:lang w:val="zh-CN" w:eastAsia="zh-CN"/>
        </w:rPr>
        <w:t>，由报价人自行踏勘；报价人应充分重视和仔细地进行这种考察，以便报价人获取那些须报价人自己负责的有关编制响应文件和签署合同所涉及现场所有的资料，报价人不进行踏勘的，视为已熟知现场条件，自行承担相关风险。一旦中标，这种考察即被认为其结果已在中标文件中得到充分反映。考察现场的费用由报价人自己承担。</w:t>
      </w:r>
    </w:p>
    <w:p>
      <w:pPr>
        <w:tabs>
          <w:tab w:val="left" w:pos="840"/>
        </w:tabs>
        <w:spacing w:line="440" w:lineRule="exact"/>
        <w:rPr>
          <w:rFonts w:hint="eastAsia" w:ascii="宋体" w:hAnsi="宋体" w:cs="Times New Roman"/>
          <w:b/>
          <w:color w:val="auto"/>
          <w:highlight w:val="none"/>
          <w:lang w:val="en-US" w:eastAsia="zh-CN"/>
        </w:rPr>
      </w:pPr>
      <w:r>
        <w:rPr>
          <w:rFonts w:hint="eastAsia" w:ascii="宋体" w:hAnsi="宋体" w:cs="Times New Roman"/>
          <w:b/>
          <w:color w:val="auto"/>
          <w:highlight w:val="none"/>
          <w:lang w:val="zh-CN"/>
        </w:rPr>
        <w:t>四、主要材料设备</w:t>
      </w:r>
      <w:r>
        <w:rPr>
          <w:rFonts w:hint="eastAsia" w:ascii="宋体" w:hAnsi="宋体" w:cs="Times New Roman"/>
          <w:b/>
          <w:color w:val="auto"/>
          <w:highlight w:val="none"/>
          <w:lang w:val="en-US" w:eastAsia="zh-CN"/>
        </w:rPr>
        <w:t>采购一览表</w:t>
      </w:r>
    </w:p>
    <w:tbl>
      <w:tblPr>
        <w:tblStyle w:val="90"/>
        <w:tblW w:w="9428" w:type="dxa"/>
        <w:tblInd w:w="0" w:type="dxa"/>
        <w:tblLayout w:type="fixed"/>
        <w:tblCellMar>
          <w:top w:w="15" w:type="dxa"/>
          <w:left w:w="15" w:type="dxa"/>
          <w:bottom w:w="15" w:type="dxa"/>
          <w:right w:w="15" w:type="dxa"/>
        </w:tblCellMar>
      </w:tblPr>
      <w:tblGrid>
        <w:gridCol w:w="554"/>
        <w:gridCol w:w="1200"/>
        <w:gridCol w:w="2686"/>
        <w:gridCol w:w="675"/>
        <w:gridCol w:w="763"/>
        <w:gridCol w:w="3550"/>
      </w:tblGrid>
      <w:tr>
        <w:tblPrEx>
          <w:tblCellMar>
            <w:top w:w="15" w:type="dxa"/>
            <w:left w:w="15" w:type="dxa"/>
            <w:bottom w:w="15" w:type="dxa"/>
            <w:right w:w="15" w:type="dxa"/>
          </w:tblCellMar>
        </w:tblPrEx>
        <w:trPr>
          <w:trHeight w:val="8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货物名称</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数量</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单位</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lang w:eastAsia="zh-CN"/>
              </w:rPr>
            </w:pPr>
            <w:r>
              <w:rPr>
                <w:rFonts w:hint="eastAsia" w:asciiTheme="minorEastAsia" w:hAnsiTheme="minorEastAsia" w:eastAsiaTheme="minorEastAsia" w:cstheme="minorEastAsia"/>
                <w:b/>
                <w:color w:val="auto"/>
                <w:sz w:val="21"/>
                <w:szCs w:val="21"/>
                <w:highlight w:val="none"/>
                <w:lang w:eastAsia="zh-CN"/>
              </w:rPr>
              <w:t>备注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玻璃钢离心风机</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F4-72- 6A、N=4Kw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Q= 6670-13340m3/h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 1120-718Pa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r= 1450r/m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玻璃钢离心风机</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F4-72- 7A、N=7.5Kw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Q= 11300-19400m3/h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 1570-1045Pa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r= 1450r/m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玻璃钢离心风机</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F4-72- 8C、N=11Kw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Q= 14100-26800m3/h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 11940-1078Pa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r= 1350r/m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约#6A-600*400 玻璃钢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约#7A-800*400 玻璃钢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约#8C-1000*400 玻璃钢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 PVC</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 PVC</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 PVC</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伞形防雨帽</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#6A 玻璃钢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伞形防雨帽</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#7A 玻璃钢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伞形防雨帽</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#8C 玻璃钢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风机减震垫</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阻弹簧与橡胶垫按标准工艺制作</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风机水泥机座</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钢筋混凝土按标准工艺制作</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吸附箱水泥机座</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钢筋混凝土按标准工艺制作</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消声器</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处理风量约10000m3/h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(2)系统调试费         </w:t>
            </w:r>
          </w:p>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(3)外箱尺寸约1800*1500*1200mm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外箱采用≥10mm厚PP材质制作，设两层蜂窝状活性炭过滤板，放≥150mm厚/层≥ 6块活性炭吸附板</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处理风量约15000m3/h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(2)系统调试费        </w:t>
            </w:r>
          </w:p>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r>
              <w:rPr>
                <w:rStyle w:val="220"/>
                <w:rFonts w:hint="eastAsia" w:asciiTheme="minorEastAsia" w:hAnsiTheme="minorEastAsia" w:eastAsiaTheme="minorEastAsia" w:cstheme="minorEastAsia"/>
                <w:color w:val="auto"/>
                <w:sz w:val="21"/>
                <w:szCs w:val="21"/>
                <w:highlight w:val="none"/>
                <w:lang w:val="en-US" w:eastAsia="zh-CN" w:bidi="ar"/>
              </w:rPr>
              <w:t>外箱尺寸</w:t>
            </w:r>
            <w:r>
              <w:rPr>
                <w:rFonts w:hint="eastAsia" w:asciiTheme="minorEastAsia" w:hAnsiTheme="minorEastAsia" w:eastAsiaTheme="minorEastAsia" w:cstheme="minorEastAsia"/>
                <w:i w:val="0"/>
                <w:color w:val="auto"/>
                <w:kern w:val="0"/>
                <w:sz w:val="21"/>
                <w:szCs w:val="21"/>
                <w:highlight w:val="none"/>
                <w:u w:val="none"/>
                <w:lang w:val="en-US" w:eastAsia="zh-CN" w:bidi="ar"/>
              </w:rPr>
              <w:t>约</w:t>
            </w:r>
            <w:r>
              <w:rPr>
                <w:rStyle w:val="220"/>
                <w:rFonts w:hint="eastAsia" w:asciiTheme="minorEastAsia" w:hAnsiTheme="minorEastAsia" w:eastAsiaTheme="minorEastAsia" w:cstheme="minorEastAsia"/>
                <w:color w:val="auto"/>
                <w:sz w:val="21"/>
                <w:szCs w:val="21"/>
                <w:highlight w:val="none"/>
                <w:lang w:val="en-US" w:eastAsia="zh-CN" w:bidi="ar"/>
              </w:rPr>
              <w:t>2400*1500*1200mm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外箱采用≥10mm厚PP材质制作，设两层蜂窝状活性炭过滤板，放≥150mm厚/层≥ 6块活性炭吸附板</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处理风量约21000m3/h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(2)系统调试费        </w:t>
            </w:r>
          </w:p>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r>
              <w:rPr>
                <w:rStyle w:val="220"/>
                <w:rFonts w:hint="eastAsia" w:asciiTheme="minorEastAsia" w:hAnsiTheme="minorEastAsia" w:eastAsiaTheme="minorEastAsia" w:cstheme="minorEastAsia"/>
                <w:color w:val="auto"/>
                <w:sz w:val="21"/>
                <w:szCs w:val="21"/>
                <w:highlight w:val="none"/>
                <w:lang w:val="en-US" w:eastAsia="zh-CN" w:bidi="ar"/>
              </w:rPr>
              <w:t>外箱尺寸</w:t>
            </w:r>
            <w:r>
              <w:rPr>
                <w:rFonts w:hint="eastAsia" w:asciiTheme="minorEastAsia" w:hAnsiTheme="minorEastAsia" w:eastAsiaTheme="minorEastAsia" w:cstheme="minorEastAsia"/>
                <w:i w:val="0"/>
                <w:color w:val="auto"/>
                <w:kern w:val="0"/>
                <w:sz w:val="21"/>
                <w:szCs w:val="21"/>
                <w:highlight w:val="none"/>
                <w:u w:val="none"/>
                <w:lang w:val="en-US" w:eastAsia="zh-CN" w:bidi="ar"/>
              </w:rPr>
              <w:t>约</w:t>
            </w:r>
            <w:r>
              <w:rPr>
                <w:rStyle w:val="220"/>
                <w:rFonts w:hint="eastAsia" w:asciiTheme="minorEastAsia" w:hAnsiTheme="minorEastAsia" w:eastAsiaTheme="minorEastAsia" w:cstheme="minorEastAsia"/>
                <w:color w:val="auto"/>
                <w:sz w:val="21"/>
                <w:szCs w:val="21"/>
                <w:highlight w:val="none"/>
                <w:lang w:val="en-US" w:eastAsia="zh-CN" w:bidi="ar"/>
              </w:rPr>
              <w:t>2600*2000*1500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外箱采用≥10mm厚PP材质制作，设两层蜂窝状活性炭过滤板，放≥150mm厚/层≥6块活性炭吸附板</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(2)规格:约600*400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(2)规格:约800*400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(2)规格:约1000*400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防腐PP材质制作</w:t>
            </w: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防腐PP材质制作</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315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防腐PP材质制作</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29</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30</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121</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31</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44</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32</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35</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采用≥6mmPP板制作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37</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38</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采用≥6mmPP板制作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约400*300\ø250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约600*400\ø250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约600*400\400*300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约800*400\ø315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约1000*400\600*400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采用≥6mmPP板制作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约ø160\ø160\ø110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约ø315\ø315\ø110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约ø250\ø250\ø160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约ø315\ø315\ø160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约400*300\400*300\ø315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约600*400\600*400\ø160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约600*400\600*400\ø250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约600*400\600*400\400*300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约800*400\800*400\400*300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约1000*400\1000*400\ø160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采用≥6mmPP板制作</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 </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采用≥6mmPP板制作</w:t>
            </w: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29</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采用≥6mmPP板制作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风阀控制面板配底座</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36</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管道静压传感控制系统</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6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35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变频器</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约4KW</w:t>
            </w:r>
          </w:p>
        </w:tc>
        <w:tc>
          <w:tcPr>
            <w:tcW w:w="67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变频器</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约7.5 KW</w:t>
            </w:r>
          </w:p>
        </w:tc>
        <w:tc>
          <w:tcPr>
            <w:tcW w:w="67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变频器</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约11KW</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通风配电箱1</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1.成套配电箱安装、交流接触器、中间继电器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2、按钮、指示灯、电流表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通风配电箱2</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1.成套配电箱安装、交流接触器、中间继电器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2、按钮、指示灯、电流表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通风配电箱3</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1.成套配电箱安装、交流接触器、中间继电器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2、按钮、指示灯、电流表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约ZR-YJV-4x4mm2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约ZR-YJV-4x6mm2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约ZR-YJV-4x10mm2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电动风阀电源线</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约ZR-BV-3x0.75mm2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1800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控制面板电源线</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约ZR-BV-3x1.0mm2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1800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系统控制线</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8芯数据控制线</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1800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线管</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5400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国标、PVC材质</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镀锌桥架及配件</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约100*50*1.5mm钢制喷涂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风管支吊架</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1.类型:通风设备支架制作安装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2.材质:钢结构</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3.除锈、刷油设计要求:手工除锈 防锈漆两遍</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790</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Kg</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开风口及修复</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lang w:val="en-US" w:eastAsia="zh-CN"/>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安装辅材</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包含安装所需的各种胶水，粘胶带，胶布，扎丝，帮扎带，支架，吊架，焊条，锁母，电工套管，涂料、油漆、松节油、银粉、水泥、沙子、铁钉、膨胀螺丝，螺栓、螺帽、铁线、粉线、测水平管、生料带、钢锯条、切割机砂轮片、砂纸、钢丝刷子、橡胶垫、橡胶石棉板等辅助性材料的采购与安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设备吊装费</w:t>
            </w:r>
          </w:p>
        </w:tc>
        <w:tc>
          <w:tcPr>
            <w:tcW w:w="2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lang w:val="en-US" w:eastAsia="zh-CN"/>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6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35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bl>
    <w:p>
      <w:pPr>
        <w:tabs>
          <w:tab w:val="left" w:pos="840"/>
        </w:tabs>
        <w:spacing w:line="440" w:lineRule="exact"/>
        <w:rPr>
          <w:rFonts w:hint="eastAsia" w:ascii="宋体" w:hAnsi="宋体"/>
          <w:color w:val="auto"/>
          <w:szCs w:val="21"/>
          <w:highlight w:val="none"/>
          <w:lang w:val="zh-CN" w:eastAsia="zh-CN"/>
        </w:rPr>
      </w:pPr>
      <w:r>
        <w:rPr>
          <w:rFonts w:hint="eastAsia" w:ascii="宋体" w:hAnsi="宋体"/>
          <w:color w:val="auto"/>
          <w:szCs w:val="21"/>
          <w:highlight w:val="none"/>
          <w:lang w:val="en-US" w:eastAsia="zh-CN"/>
        </w:rPr>
        <w:t>上</w:t>
      </w:r>
      <w:r>
        <w:rPr>
          <w:rFonts w:hint="eastAsia" w:ascii="宋体" w:hAnsi="宋体"/>
          <w:color w:val="auto"/>
          <w:szCs w:val="21"/>
          <w:highlight w:val="none"/>
        </w:rPr>
        <w:t>表中所列的性能参数、规格、型号为基准符合参数，</w:t>
      </w:r>
      <w:r>
        <w:rPr>
          <w:rFonts w:hint="eastAsia" w:ascii="宋体" w:hAnsi="宋体"/>
          <w:color w:val="auto"/>
          <w:szCs w:val="21"/>
          <w:highlight w:val="none"/>
          <w:lang w:eastAsia="zh-CN"/>
        </w:rPr>
        <w:t>报价人</w:t>
      </w:r>
      <w:r>
        <w:rPr>
          <w:rFonts w:hint="eastAsia" w:ascii="宋体" w:hAnsi="宋体"/>
          <w:color w:val="auto"/>
          <w:szCs w:val="21"/>
          <w:highlight w:val="none"/>
        </w:rPr>
        <w:t>可选用其他性能参数、规格、型号产品替代，但替代产品的性能参数、规格、型号在实质性要求和条件上要相当于或优于参考的产品性能参数。</w:t>
      </w:r>
    </w:p>
    <w:p>
      <w:pPr>
        <w:tabs>
          <w:tab w:val="left" w:pos="840"/>
        </w:tabs>
        <w:spacing w:line="440" w:lineRule="exact"/>
        <w:rPr>
          <w:rFonts w:hint="eastAsia" w:ascii="宋体" w:hAnsi="宋体"/>
          <w:b/>
          <w:color w:val="auto"/>
          <w:highlight w:val="none"/>
          <w:lang w:val="zh-CN"/>
        </w:rPr>
      </w:pPr>
      <w:r>
        <w:rPr>
          <w:rFonts w:hint="eastAsia" w:ascii="宋体" w:hAnsi="宋体"/>
          <w:b/>
          <w:color w:val="auto"/>
          <w:highlight w:val="none"/>
          <w:lang w:val="en-US" w:eastAsia="zh-CN"/>
        </w:rPr>
        <w:t>五、</w:t>
      </w:r>
      <w:r>
        <w:rPr>
          <w:rFonts w:hint="eastAsia" w:ascii="宋体" w:hAnsi="宋体"/>
          <w:b/>
          <w:color w:val="auto"/>
          <w:highlight w:val="none"/>
          <w:lang w:val="zh-CN"/>
        </w:rPr>
        <w:t>实验室通风设备平面图</w:t>
      </w:r>
    </w:p>
    <w:p>
      <w:pPr>
        <w:pStyle w:val="2"/>
        <w:rPr>
          <w:rFonts w:hint="eastAsia"/>
          <w:color w:val="auto"/>
          <w:highlight w:val="none"/>
          <w:lang w:val="en-US" w:eastAsia="zh-CN"/>
        </w:rPr>
      </w:pPr>
      <w:r>
        <w:rPr>
          <w:color w:val="auto"/>
          <w:highlight w:val="none"/>
        </w:rPr>
        <w:drawing>
          <wp:inline distT="0" distB="0" distL="114300" distR="114300">
            <wp:extent cx="5638800" cy="74961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5"/>
                    <a:stretch>
                      <a:fillRect/>
                    </a:stretch>
                  </pic:blipFill>
                  <pic:spPr>
                    <a:xfrm>
                      <a:off x="0" y="0"/>
                      <a:ext cx="5638800" cy="7496175"/>
                    </a:xfrm>
                    <a:prstGeom prst="rect">
                      <a:avLst/>
                    </a:prstGeom>
                    <a:noFill/>
                    <a:ln>
                      <a:noFill/>
                    </a:ln>
                  </pic:spPr>
                </pic:pic>
              </a:graphicData>
            </a:graphic>
          </wp:inline>
        </w:drawing>
      </w:r>
      <w:r>
        <w:rPr>
          <w:color w:val="auto"/>
          <w:highlight w:val="none"/>
        </w:rPr>
        <w:drawing>
          <wp:inline distT="0" distB="0" distL="114300" distR="114300">
            <wp:extent cx="5629275" cy="74676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6"/>
                    <a:stretch>
                      <a:fillRect/>
                    </a:stretch>
                  </pic:blipFill>
                  <pic:spPr>
                    <a:xfrm>
                      <a:off x="0" y="0"/>
                      <a:ext cx="5629275" cy="7467600"/>
                    </a:xfrm>
                    <a:prstGeom prst="rect">
                      <a:avLst/>
                    </a:prstGeom>
                    <a:noFill/>
                    <a:ln>
                      <a:noFill/>
                    </a:ln>
                  </pic:spPr>
                </pic:pic>
              </a:graphicData>
            </a:graphic>
          </wp:inline>
        </w:drawing>
      </w:r>
    </w:p>
    <w:p>
      <w:pPr>
        <w:tabs>
          <w:tab w:val="left" w:pos="840"/>
        </w:tabs>
        <w:spacing w:line="440" w:lineRule="exact"/>
        <w:rPr>
          <w:rFonts w:hint="eastAsia" w:ascii="宋体" w:hAnsi="宋体" w:cs="Times New Roman"/>
          <w:b/>
          <w:color w:val="auto"/>
          <w:highlight w:val="none"/>
          <w:lang w:val="zh-CN"/>
        </w:rPr>
      </w:pPr>
      <w:r>
        <w:rPr>
          <w:rFonts w:hint="eastAsia" w:ascii="宋体" w:hAnsi="宋体" w:cs="Times New Roman"/>
          <w:b/>
          <w:color w:val="auto"/>
          <w:highlight w:val="none"/>
          <w:lang w:val="en-US" w:eastAsia="zh-CN"/>
        </w:rPr>
        <w:t>六</w:t>
      </w:r>
      <w:r>
        <w:rPr>
          <w:rFonts w:hint="eastAsia" w:ascii="宋体" w:hAnsi="宋体" w:cs="Times New Roman"/>
          <w:b/>
          <w:color w:val="auto"/>
          <w:highlight w:val="none"/>
          <w:lang w:val="zh-CN"/>
        </w:rPr>
        <w:t>、其他</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1.本次报价包括以上清单中所有内容，报价人必须给出清单所有项目的综合单价（综合单价须有明细内容）和合价，若有缺项漏项，应视为均摊在其他费用中。</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2.若本项目有增加工作量部分，则按原清单中单价计价，若清单中无该项目则按相关规范按实际发生工作量结算。</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3.各报价人必须给出产品的详细资料，包括技术标准、产品配置、尺寸等，以便采购人综合进行评定。</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4.报价人必须保证：报价所列内容使得整个工程在功能上的完整性，并正常运行，验收合格。</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5.成交人责任:成交人在施工过程中需要负责处理好与周边的关系及经济问题，发生任何纠纷以及产生所有费用均由成交人自行承担。</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en-US" w:eastAsia="zh-CN"/>
        </w:rPr>
        <w:t>七、</w:t>
      </w:r>
      <w:r>
        <w:rPr>
          <w:rFonts w:hint="eastAsia" w:ascii="宋体" w:hAnsi="宋体"/>
          <w:b/>
          <w:color w:val="auto"/>
          <w:highlight w:val="none"/>
          <w:lang w:val="zh-CN"/>
        </w:rPr>
        <w:t>质量保修期及售后服务要求</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1、免费质保期期限（自验收合格之日起计）：</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w:t>
      </w:r>
      <w:r>
        <w:rPr>
          <w:rFonts w:hint="eastAsia" w:ascii="宋体" w:hAnsi="宋体" w:cs="宋体"/>
          <w:color w:val="auto"/>
          <w:szCs w:val="21"/>
          <w:highlight w:val="none"/>
          <w:lang w:val="en-US" w:eastAsia="zh-CN"/>
        </w:rPr>
        <w:t>至少</w:t>
      </w:r>
      <w:r>
        <w:rPr>
          <w:rFonts w:hint="eastAsia" w:ascii="宋体" w:hAnsi="宋体" w:cs="宋体"/>
          <w:color w:val="auto"/>
          <w:szCs w:val="21"/>
          <w:highlight w:val="none"/>
          <w:u w:val="none"/>
          <w:lang w:eastAsia="zh-CN"/>
        </w:rPr>
        <w:t>一</w:t>
      </w:r>
      <w:r>
        <w:rPr>
          <w:rFonts w:hint="eastAsia" w:ascii="宋体" w:hAnsi="宋体" w:cs="宋体"/>
          <w:color w:val="auto"/>
          <w:szCs w:val="21"/>
          <w:highlight w:val="none"/>
          <w:lang w:val="zh-CN"/>
        </w:rPr>
        <w:t>年。</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以上要求，若国家或生产厂家对本项目所涉及货物及其服务的质保期规定高于本项目要求的，应按照国家或生产厂家的规定执行。</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质量保修期内成交人对所供项目内容实行包修、包换、包维护保养</w:t>
      </w:r>
      <w:r>
        <w:rPr>
          <w:rFonts w:hint="eastAsia" w:ascii="宋体" w:hAnsi="宋体" w:cs="宋体"/>
          <w:color w:val="auto"/>
          <w:szCs w:val="21"/>
          <w:highlight w:val="none"/>
        </w:rPr>
        <w:t>，结合具体工程要求</w:t>
      </w:r>
      <w:r>
        <w:rPr>
          <w:rFonts w:hint="eastAsia" w:ascii="宋体" w:hAnsi="宋体" w:cs="宋体"/>
          <w:color w:val="auto"/>
          <w:szCs w:val="21"/>
          <w:highlight w:val="none"/>
          <w:lang w:val="zh-CN"/>
        </w:rPr>
        <w:t>。免费质保期所涉及服务的一切费用均包含在投标报价中。</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2、报价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3、服务响应时间：报价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4、报价人应在广东省内有专业的售后服务机构和人员，并提供售后服务机构相关信息、联系电话及联系人。</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5、配件：报价人承诺在质保期内免费提供有效的常用配件。</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6、培训：报价人承诺在合同签订后，组织采购人相关管理人员进行产品使用和日常保养的知识培训，培训费用由报价人承担。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en-US" w:eastAsia="zh-CN"/>
        </w:rPr>
        <w:t>八</w:t>
      </w:r>
      <w:r>
        <w:rPr>
          <w:rFonts w:hint="eastAsia" w:ascii="宋体" w:hAnsi="宋体"/>
          <w:b/>
          <w:color w:val="auto"/>
          <w:highlight w:val="none"/>
          <w:lang w:val="zh-CN"/>
        </w:rPr>
        <w:t>、支付方式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采购人按下述进度以转账方式支付相应款项。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hint="eastAsia" w:ascii="宋体" w:hAnsi="宋体" w:eastAsia="宋体"/>
          <w:color w:val="auto"/>
          <w:szCs w:val="21"/>
          <w:highlight w:val="none"/>
          <w:lang w:val="en-US" w:eastAsia="zh-CN"/>
        </w:rPr>
      </w:pPr>
      <w:r>
        <w:rPr>
          <w:rFonts w:hint="eastAsia" w:cs="Calibri"/>
          <w:color w:val="auto"/>
          <w:szCs w:val="21"/>
          <w:highlight w:val="none"/>
        </w:rPr>
        <w:t>（1）</w:t>
      </w:r>
      <w:r>
        <w:rPr>
          <w:rFonts w:hint="eastAsia" w:ascii="宋体" w:hAnsi="宋体"/>
          <w:color w:val="auto"/>
          <w:szCs w:val="21"/>
          <w:highlight w:val="none"/>
        </w:rPr>
        <w:t>合同签订生效后，采购人支付</w:t>
      </w:r>
      <w:r>
        <w:rPr>
          <w:rFonts w:hint="eastAsia" w:ascii="宋体" w:hAnsi="宋体"/>
          <w:color w:val="auto"/>
          <w:szCs w:val="21"/>
          <w:highlight w:val="none"/>
          <w:lang w:eastAsia="zh-CN"/>
        </w:rPr>
        <w:t>成交</w:t>
      </w:r>
      <w:r>
        <w:rPr>
          <w:rFonts w:hint="eastAsia" w:ascii="宋体" w:hAnsi="宋体"/>
          <w:color w:val="auto"/>
          <w:szCs w:val="21"/>
          <w:highlight w:val="none"/>
        </w:rPr>
        <w:t>人合同金额30%预付款</w:t>
      </w:r>
      <w:r>
        <w:rPr>
          <w:rFonts w:hint="eastAsia" w:ascii="宋体" w:hAnsi="宋体"/>
          <w:color w:val="auto"/>
          <w:szCs w:val="21"/>
          <w:highlight w:val="none"/>
          <w:lang w:eastAsia="zh-CN"/>
        </w:rPr>
        <w:t>；</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w:t>
      </w:r>
      <w:r>
        <w:rPr>
          <w:rFonts w:hint="eastAsia" w:cs="Calibri"/>
          <w:color w:val="auto"/>
          <w:szCs w:val="21"/>
          <w:highlight w:val="none"/>
          <w:lang w:val="en-US" w:eastAsia="zh-CN"/>
        </w:rPr>
        <w:t>所有货物到达安装现场</w:t>
      </w:r>
      <w:r>
        <w:rPr>
          <w:rFonts w:hint="eastAsia" w:ascii="宋体" w:hAnsi="宋体"/>
          <w:color w:val="auto"/>
          <w:szCs w:val="21"/>
          <w:highlight w:val="none"/>
        </w:rPr>
        <w:t>并经采购人确认</w:t>
      </w:r>
      <w:r>
        <w:rPr>
          <w:rFonts w:hint="eastAsia" w:ascii="宋体" w:hAnsi="宋体"/>
          <w:color w:val="auto"/>
          <w:szCs w:val="21"/>
          <w:highlight w:val="none"/>
          <w:lang w:val="en-US" w:eastAsia="zh-CN"/>
        </w:rPr>
        <w:t>后</w:t>
      </w:r>
      <w:r>
        <w:rPr>
          <w:rFonts w:hint="eastAsia" w:ascii="宋体" w:hAnsi="宋体"/>
          <w:color w:val="auto"/>
          <w:szCs w:val="21"/>
          <w:highlight w:val="none"/>
        </w:rPr>
        <w:t>，采购人按合同金额向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w:t>
      </w:r>
      <w:r>
        <w:rPr>
          <w:rFonts w:hint="eastAsia" w:ascii="宋体" w:hAnsi="宋体"/>
          <w:color w:val="auto"/>
          <w:szCs w:val="21"/>
          <w:highlight w:val="none"/>
          <w:lang w:val="en-US" w:eastAsia="zh-CN"/>
        </w:rPr>
        <w:t>8</w:t>
      </w:r>
      <w:r>
        <w:rPr>
          <w:rFonts w:hint="eastAsia" w:ascii="宋体" w:hAnsi="宋体"/>
          <w:color w:val="auto"/>
          <w:szCs w:val="21"/>
          <w:highlight w:val="none"/>
        </w:rPr>
        <w:t>0%的款项；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lang w:eastAsia="zh-CN"/>
        </w:rPr>
        <w:t>采购人</w:t>
      </w:r>
      <w:r>
        <w:rPr>
          <w:rFonts w:hint="eastAsia" w:asciiTheme="minorEastAsia" w:hAnsiTheme="minorEastAsia" w:eastAsiaTheme="minorEastAsia" w:cstheme="minorEastAsia"/>
          <w:color w:val="auto"/>
          <w:szCs w:val="21"/>
          <w:highlight w:val="none"/>
          <w:u w:val="none"/>
        </w:rPr>
        <w:t>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采购人自收到发票后</w:t>
      </w:r>
      <w:r>
        <w:rPr>
          <w:rFonts w:hint="eastAsia" w:ascii="宋体" w:hAnsi="宋体" w:cs="宋体"/>
          <w:color w:val="auto"/>
          <w:szCs w:val="21"/>
          <w:highlight w:val="none"/>
        </w:rPr>
        <w:t>30日内将资金支付到</w:t>
      </w:r>
      <w:r>
        <w:rPr>
          <w:rFonts w:hint="eastAsia" w:ascii="宋体" w:hAnsi="宋体" w:cs="宋体"/>
          <w:color w:val="auto"/>
          <w:szCs w:val="21"/>
          <w:highlight w:val="none"/>
          <w:lang w:val="en-US" w:eastAsia="zh-CN"/>
        </w:rPr>
        <w:t>成交人</w:t>
      </w:r>
      <w:r>
        <w:rPr>
          <w:rFonts w:hint="eastAsia" w:ascii="宋体" w:hAnsi="宋体" w:cs="宋体"/>
          <w:color w:val="auto"/>
          <w:szCs w:val="21"/>
          <w:highlight w:val="none"/>
        </w:rPr>
        <w:t>账户，支付至结算金额的95%，余下5%作为本项目质保金，质保期到期后无责免息支付给</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。若</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在质量保证期内未完全履行缺陷保修义务的，</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人有权扣除质量保证金，并保留进一步索赔的权利。</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w:t>
      </w:r>
      <w:r>
        <w:rPr>
          <w:rFonts w:hint="eastAsia" w:ascii="宋体" w:hAnsi="宋体"/>
          <w:color w:val="auto"/>
          <w:szCs w:val="21"/>
          <w:highlight w:val="none"/>
          <w:lang w:eastAsia="zh-CN"/>
        </w:rPr>
        <w:t>成交</w:t>
      </w:r>
      <w:r>
        <w:rPr>
          <w:rFonts w:hint="eastAsia" w:ascii="宋体" w:hAnsi="宋体"/>
          <w:color w:val="auto"/>
          <w:szCs w:val="21"/>
          <w:highlight w:val="none"/>
        </w:rPr>
        <w:t>人向采购人申请支付货款时需提供：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成交</w:t>
      </w:r>
      <w:r>
        <w:rPr>
          <w:rFonts w:hint="eastAsia" w:ascii="宋体" w:hAnsi="宋体"/>
          <w:color w:val="auto"/>
          <w:szCs w:val="21"/>
          <w:highlight w:val="none"/>
        </w:rPr>
        <w:t>人开具正式全额发票；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（3）验收调试报告加盖采购人公章；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成交</w:t>
      </w:r>
      <w:r>
        <w:rPr>
          <w:rFonts w:hint="eastAsia" w:ascii="宋体" w:hAnsi="宋体"/>
          <w:color w:val="auto"/>
          <w:szCs w:val="21"/>
          <w:highlight w:val="none"/>
          <w:lang w:eastAsia="zh-CN"/>
        </w:rPr>
        <w:t>）</w:t>
      </w:r>
      <w:r>
        <w:rPr>
          <w:rFonts w:hint="eastAsia" w:ascii="宋体" w:hAnsi="宋体"/>
          <w:color w:val="auto"/>
          <w:szCs w:val="21"/>
          <w:highlight w:val="none"/>
        </w:rPr>
        <w:t>通知书。</w:t>
      </w:r>
      <w:bookmarkEnd w:id="280"/>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olor w:val="auto"/>
          <w:highlight w:val="none"/>
        </w:rPr>
        <w:br w:type="page"/>
      </w:r>
      <w:bookmarkStart w:id="283" w:name="_Toc293341641"/>
      <w:bookmarkStart w:id="284" w:name="_Toc303110406"/>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szCs w:val="21"/>
          <w:highlight w:val="none"/>
        </w:rPr>
        <w:t>注：本合同条款仅供参考，甲乙双方可根据实际情况进行补充，但不得对采购文件作实质性修改。</w:t>
      </w:r>
    </w:p>
    <w:p>
      <w:pPr>
        <w:jc w:val="center"/>
        <w:rPr>
          <w:rFonts w:hint="eastAsia" w:asciiTheme="minorEastAsia" w:hAnsiTheme="minorEastAsia" w:eastAsiaTheme="minorEastAsia" w:cstheme="minorEastAsia"/>
          <w:b/>
          <w:color w:val="auto"/>
          <w:sz w:val="52"/>
          <w:szCs w:val="52"/>
          <w:highlight w:val="none"/>
        </w:rPr>
      </w:pPr>
    </w:p>
    <w:p>
      <w:pPr>
        <w:jc w:val="center"/>
        <w:rPr>
          <w:rFonts w:hint="eastAsia"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采 购 合 同</w:t>
      </w:r>
    </w:p>
    <w:p>
      <w:pPr>
        <w:jc w:val="right"/>
        <w:rPr>
          <w:rFonts w:hint="eastAsia" w:asciiTheme="minorEastAsia" w:hAnsiTheme="minorEastAsia" w:eastAsiaTheme="minorEastAsia" w:cstheme="minorEastAsia"/>
          <w:color w:val="auto"/>
          <w:sz w:val="28"/>
          <w:highlight w:val="none"/>
        </w:rPr>
      </w:pP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甲  方：</w:t>
      </w: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乙  方：</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根据《中华人民共和国采购法》、《中华人民共和国合同法》及</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日竞争性磋商文件（招标编号：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，采购代理机构：</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）、投标文件的要求，经双方协商一致，签订本合同。具体条款如下：</w:t>
      </w:r>
    </w:p>
    <w:p>
      <w:pPr>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 合同设备</w:t>
      </w:r>
    </w:p>
    <w:p>
      <w:pPr>
        <w:ind w:firstLine="480"/>
        <w:rPr>
          <w:rFonts w:hint="eastAsia" w:asciiTheme="minorEastAsia" w:hAnsiTheme="minorEastAsia" w:eastAsiaTheme="minorEastAsia" w:cstheme="minorEastAsia"/>
          <w:color w:val="auto"/>
          <w:highlight w:val="none"/>
        </w:rPr>
      </w:pP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乙方负责向甲方提供下表中所列</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采购项目和相关的安装调试服务。</w:t>
      </w:r>
    </w:p>
    <w:p>
      <w:pPr>
        <w:ind w:left="840"/>
        <w:rPr>
          <w:rFonts w:hint="eastAsia" w:asciiTheme="minorEastAsia" w:hAnsiTheme="minorEastAsia" w:eastAsiaTheme="minorEastAsia" w:cstheme="minorEastAsia"/>
          <w:color w:val="auto"/>
          <w:highlight w:val="none"/>
        </w:rPr>
      </w:pPr>
    </w:p>
    <w:tbl>
      <w:tblPr>
        <w:tblStyle w:val="90"/>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ind w:left="-2" w:firstLine="2"/>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品名</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规格型号</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产地厂家</w:t>
            </w:r>
          </w:p>
        </w:tc>
        <w:tc>
          <w:tcPr>
            <w:tcW w:w="787"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单位</w:t>
            </w:r>
          </w:p>
        </w:tc>
        <w:tc>
          <w:tcPr>
            <w:tcW w:w="788"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数量</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w:t>
            </w:r>
          </w:p>
        </w:tc>
        <w:tc>
          <w:tcPr>
            <w:tcW w:w="103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w:t>
            </w:r>
          </w:p>
        </w:tc>
        <w:tc>
          <w:tcPr>
            <w:tcW w:w="735"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随机配件</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交货地点</w:t>
            </w:r>
          </w:p>
        </w:tc>
        <w:tc>
          <w:tcPr>
            <w:tcW w:w="82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bl>
    <w:p>
      <w:pPr>
        <w:ind w:firstLine="420" w:firstLineChars="200"/>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 2. 合同总价</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总价为：</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（大写） ，即RMB￥</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元，该合同总金额是设计、设备制造、包装、仓储、运输、安装及验收合格之前及保修期与备品备件发生的所有含税费用。本合同执行期间合同总金额不变。</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3、结算方式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3.1、支付方式：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甲方按下述进度以转账方式支付相应款项。</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3.2、支付进度：</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3.2.1付款采用</w:t>
      </w:r>
      <w:r>
        <w:rPr>
          <w:rFonts w:hint="eastAsia" w:asciiTheme="minorEastAsia" w:hAnsiTheme="minorEastAsia" w:eastAsiaTheme="minorEastAsia" w:cstheme="minorEastAsia"/>
          <w:color w:val="auto"/>
          <w:szCs w:val="21"/>
          <w:highlight w:val="none"/>
          <w:u w:val="single"/>
        </w:rPr>
        <w:t xml:space="preserve"> 分期付款 </w:t>
      </w:r>
      <w:r>
        <w:rPr>
          <w:rFonts w:hint="eastAsia" w:asciiTheme="minorEastAsia" w:hAnsiTheme="minorEastAsia" w:eastAsiaTheme="minorEastAsia" w:cstheme="minorEastAsia"/>
          <w:color w:val="auto"/>
          <w:szCs w:val="21"/>
          <w:highlight w:val="none"/>
        </w:rPr>
        <w:t>方式；</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3.2.2具体付款方式：</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3．2.2.1合同签订生效后，甲方支付乙方合同金额30%预付款</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3.2.2.2</w:t>
      </w:r>
      <w:r>
        <w:rPr>
          <w:rFonts w:hint="eastAsia" w:cs="Calibri"/>
          <w:color w:val="auto"/>
          <w:szCs w:val="21"/>
          <w:highlight w:val="none"/>
          <w:u w:val="none"/>
          <w:lang w:val="en-US" w:eastAsia="zh-CN"/>
        </w:rPr>
        <w:t>所有货物到达安装现场</w:t>
      </w:r>
      <w:r>
        <w:rPr>
          <w:rFonts w:hint="eastAsia" w:ascii="宋体" w:hAnsi="宋体"/>
          <w:color w:val="auto"/>
          <w:szCs w:val="21"/>
          <w:highlight w:val="none"/>
          <w:u w:val="none"/>
        </w:rPr>
        <w:t>并经</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确认</w:t>
      </w:r>
      <w:r>
        <w:rPr>
          <w:rFonts w:hint="eastAsia" w:ascii="宋体" w:hAnsi="宋体"/>
          <w:color w:val="auto"/>
          <w:szCs w:val="21"/>
          <w:highlight w:val="none"/>
          <w:u w:val="none"/>
          <w:lang w:val="en-US" w:eastAsia="zh-CN"/>
        </w:rPr>
        <w:t>后</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按合同金额向</w:t>
      </w:r>
      <w:r>
        <w:rPr>
          <w:rFonts w:hint="eastAsia" w:ascii="宋体" w:hAnsi="宋体"/>
          <w:color w:val="auto"/>
          <w:szCs w:val="21"/>
          <w:highlight w:val="none"/>
          <w:u w:val="none"/>
          <w:lang w:val="en-US" w:eastAsia="zh-CN"/>
        </w:rPr>
        <w:t>乙方</w:t>
      </w:r>
      <w:r>
        <w:rPr>
          <w:rFonts w:hint="eastAsia" w:ascii="宋体" w:hAnsi="宋体"/>
          <w:color w:val="auto"/>
          <w:szCs w:val="21"/>
          <w:highlight w:val="none"/>
          <w:u w:val="none"/>
        </w:rPr>
        <w:t>支付至</w:t>
      </w:r>
      <w:r>
        <w:rPr>
          <w:rFonts w:hint="eastAsia" w:ascii="宋体" w:hAnsi="宋体"/>
          <w:color w:val="auto"/>
          <w:szCs w:val="21"/>
          <w:highlight w:val="none"/>
          <w:u w:val="none"/>
          <w:lang w:val="en-US" w:eastAsia="zh-CN"/>
        </w:rPr>
        <w:t>8</w:t>
      </w:r>
      <w:r>
        <w:rPr>
          <w:rFonts w:hint="eastAsia" w:ascii="宋体" w:hAnsi="宋体"/>
          <w:color w:val="auto"/>
          <w:szCs w:val="21"/>
          <w:highlight w:val="none"/>
          <w:u w:val="none"/>
        </w:rPr>
        <w:t>0%的款项；</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w:t>
      </w:r>
      <w:r>
        <w:rPr>
          <w:rFonts w:hint="eastAsia" w:asciiTheme="minorEastAsia" w:hAnsiTheme="minorEastAsia" w:eastAsiaTheme="minorEastAsia" w:cstheme="minorEastAsia"/>
          <w:color w:val="auto"/>
          <w:szCs w:val="21"/>
          <w:highlight w:val="none"/>
          <w:u w:val="none"/>
          <w:lang w:val="en-US" w:eastAsia="zh-CN"/>
        </w:rPr>
        <w:t>3</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rPr>
        <w:t>甲方及上级主管部门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甲方自收到发票</w:t>
      </w:r>
      <w:r>
        <w:rPr>
          <w:rFonts w:hint="eastAsia" w:ascii="宋体" w:hAnsi="宋体" w:cs="宋体"/>
          <w:color w:val="auto"/>
          <w:szCs w:val="21"/>
          <w:highlight w:val="none"/>
          <w:u w:val="none"/>
        </w:rPr>
        <w:t>后30日内将资金支付到</w:t>
      </w:r>
      <w:r>
        <w:rPr>
          <w:rFonts w:hint="eastAsia" w:ascii="宋体" w:hAnsi="宋体" w:cs="宋体"/>
          <w:color w:val="auto"/>
          <w:szCs w:val="21"/>
          <w:highlight w:val="none"/>
          <w:u w:val="none"/>
          <w:lang w:val="en-US" w:eastAsia="zh-CN"/>
        </w:rPr>
        <w:t>乙方</w:t>
      </w:r>
      <w:r>
        <w:rPr>
          <w:rFonts w:hint="eastAsia" w:ascii="宋体" w:hAnsi="宋体" w:cs="宋体"/>
          <w:color w:val="auto"/>
          <w:szCs w:val="21"/>
          <w:highlight w:val="none"/>
          <w:u w:val="none"/>
        </w:rPr>
        <w:t>账户，支付至结算金额的95%，余下5%作为本项目质保金，质保期到期后无责免息支付给</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。若</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在质量保证期内未完全履行缺陷保修义务的，</w:t>
      </w:r>
      <w:r>
        <w:rPr>
          <w:rFonts w:hint="eastAsia" w:ascii="宋体" w:hAnsi="宋体" w:cs="宋体"/>
          <w:color w:val="auto"/>
          <w:szCs w:val="21"/>
          <w:highlight w:val="none"/>
          <w:u w:val="none"/>
          <w:lang w:eastAsia="zh-CN"/>
        </w:rPr>
        <w:t>甲方</w:t>
      </w:r>
      <w:r>
        <w:rPr>
          <w:rFonts w:hint="eastAsia" w:ascii="宋体" w:hAnsi="宋体" w:cs="宋体"/>
          <w:color w:val="auto"/>
          <w:szCs w:val="21"/>
          <w:highlight w:val="none"/>
          <w:u w:val="none"/>
        </w:rPr>
        <w:t>有权扣除质量保证金，并保留进一步索赔的权利。</w:t>
      </w:r>
    </w:p>
    <w:p>
      <w:pPr>
        <w:spacing w:line="360" w:lineRule="auto"/>
        <w:ind w:left="420" w:hanging="420" w:hangingChars="200"/>
        <w:rPr>
          <w:rFonts w:hint="eastAsia"/>
          <w:color w:val="auto"/>
          <w:highlight w:val="none"/>
        </w:rPr>
      </w:pPr>
      <w:r>
        <w:rPr>
          <w:rFonts w:hint="eastAsia" w:asciiTheme="minorEastAsia" w:hAnsiTheme="minorEastAsia" w:eastAsiaTheme="minorEastAsia" w:cstheme="minorEastAsia"/>
          <w:color w:val="auto"/>
          <w:szCs w:val="21"/>
          <w:highlight w:val="none"/>
        </w:rPr>
        <w:t>3.3乙方向甲方申请支付货款时需提供：（1）合同；（2）乙方开具正式全额发票；（3）验收调试报告加盖甲方公章；（4）中标</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成交</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rPr>
        <w:t>通知书。</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4. 合同组成</w:t>
      </w:r>
    </w:p>
    <w:p>
      <w:pPr>
        <w:spacing w:line="360" w:lineRule="auto"/>
        <w:ind w:left="420" w:left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详细价格、技术说明及其它有关合同设备的特定信息由合同附件说明。所有附件及本项目的招投标文件、会议纪要、协议等均为本合同不可分割之一部分。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5. 技术要求</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乙方所提供设备，必须符合国家有关规范和环保要求及甲方的技术要求，并提供设备的厂试测验报告。</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6、 设备包装、交货、安装、调试及验收</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6.1  合同设备的包装：</w:t>
      </w:r>
    </w:p>
    <w:p>
      <w:pPr>
        <w:spacing w:line="360" w:lineRule="auto"/>
        <w:ind w:left="630" w:leftChars="300" w:firstLine="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设备的包装均应有良好的防湿、防锈、防潮、防雨、防腐及防碰撞的措施。凡由于包装不良造成的损失和由此产生的费用均由乙方承担。</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6.2  设备的交货：</w:t>
      </w:r>
    </w:p>
    <w:p>
      <w:pPr>
        <w:numPr>
          <w:ilvl w:val="0"/>
          <w:numId w:val="10"/>
        </w:numPr>
        <w:tabs>
          <w:tab w:val="left" w:pos="945"/>
          <w:tab w:val="clear" w:pos="1352"/>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乙方交付使用时间：</w:t>
      </w:r>
      <w:r>
        <w:rPr>
          <w:rFonts w:hint="eastAsia" w:asciiTheme="minorEastAsia" w:hAnsiTheme="minorEastAsia" w:eastAsiaTheme="minorEastAsia" w:cstheme="minorEastAsia"/>
          <w:color w:val="auto"/>
          <w:szCs w:val="21"/>
          <w:highlight w:val="none"/>
          <w:lang w:eastAsia="zh-CN"/>
        </w:rPr>
        <w:t>成交人</w:t>
      </w:r>
      <w:r>
        <w:rPr>
          <w:rFonts w:hint="eastAsia" w:asciiTheme="minorEastAsia" w:hAnsiTheme="minorEastAsia" w:eastAsiaTheme="minorEastAsia" w:cstheme="minorEastAsia"/>
          <w:color w:val="auto"/>
          <w:szCs w:val="21"/>
          <w:highlight w:val="none"/>
        </w:rPr>
        <w:t>签订合同后起30天内完成全部货物的安装、调试和验收。</w:t>
      </w:r>
    </w:p>
    <w:p>
      <w:pPr>
        <w:numPr>
          <w:ilvl w:val="0"/>
          <w:numId w:val="10"/>
        </w:numPr>
        <w:tabs>
          <w:tab w:val="left" w:pos="945"/>
          <w:tab w:val="clear" w:pos="1352"/>
        </w:tabs>
        <w:spacing w:line="360" w:lineRule="auto"/>
        <w:ind w:hanging="827"/>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乙方交货地点：广州市内用户指定地点。</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6.3 合同设备的安装调试：</w:t>
      </w:r>
    </w:p>
    <w:p>
      <w:pPr>
        <w:numPr>
          <w:ilvl w:val="0"/>
          <w:numId w:val="11"/>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乙方负责合同项下的安装调试，一切费用由乙方负责。</w:t>
      </w:r>
    </w:p>
    <w:p>
      <w:pPr>
        <w:numPr>
          <w:ilvl w:val="0"/>
          <w:numId w:val="11"/>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乙方安装时须对各安装场地内的其它设备、设施有良好保护措施。</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6.4 设备的验收：</w:t>
      </w:r>
    </w:p>
    <w:p>
      <w:pPr>
        <w:numPr>
          <w:ilvl w:val="0"/>
          <w:numId w:val="12"/>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合同设备安装调试完成正常工作15个工作日，验收应在甲乙双方共同参加下进行。</w:t>
      </w:r>
    </w:p>
    <w:p>
      <w:pPr>
        <w:numPr>
          <w:ilvl w:val="0"/>
          <w:numId w:val="12"/>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numPr>
          <w:ilvl w:val="0"/>
          <w:numId w:val="12"/>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如果合同设备运输和安装调试过程中因事故造成货物短缺、损坏，乙方应及时安排换装，以保证合同设备安装调试的成功完成。换货的相关费用由乙方承担。</w:t>
      </w:r>
    </w:p>
    <w:p>
      <w:pPr>
        <w:numPr>
          <w:ilvl w:val="0"/>
          <w:numId w:val="12"/>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国内产品或合资厂的产品必须具备出厂合格证。</w:t>
      </w:r>
    </w:p>
    <w:p>
      <w:pPr>
        <w:numPr>
          <w:ilvl w:val="0"/>
          <w:numId w:val="12"/>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进口产品必须具备省级（或相当于省级）商检部门的检验证明。</w:t>
      </w:r>
    </w:p>
    <w:p>
      <w:pPr>
        <w:spacing w:line="360" w:lineRule="auto"/>
        <w:ind w:left="458" w:hanging="457" w:hangingChars="218"/>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6.5  乙方保证合同项下提供的设备不侵犯任何第三方的专利、商标或版权。否则，乙方须承担对第三方的专利或版权的侵权责任并承担因此而发生的所有费用。</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7. 质量保证及售后服务</w:t>
      </w:r>
    </w:p>
    <w:p>
      <w:pPr>
        <w:numPr>
          <w:ilvl w:val="0"/>
          <w:numId w:val="13"/>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乙方保证合同设备是全新、未曾使用过的，其质量、规格及技术特征符合合同附件的要求。保证备品配件在同机型设备停产后3年以上的供应。</w:t>
      </w:r>
    </w:p>
    <w:p>
      <w:pPr>
        <w:numPr>
          <w:ilvl w:val="0"/>
          <w:numId w:val="13"/>
        </w:numPr>
        <w:tabs>
          <w:tab w:val="left" w:pos="540"/>
          <w:tab w:val="left" w:pos="132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合同设备保质保用期为设备最终验收合格并经本项目有关部门验收签字之日起不少于12个月。</w:t>
      </w:r>
    </w:p>
    <w:p>
      <w:pPr>
        <w:numPr>
          <w:ilvl w:val="0"/>
          <w:numId w:val="13"/>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保质保用期内出现产品质量及安装问题，由乙方负责包修、包换或包退，并承担因此而产生的一切费用。乙方应在收到甲方通知后24小时内派员到现场免费维修(技术要求另有规定除外)。</w:t>
      </w:r>
    </w:p>
    <w:p>
      <w:pPr>
        <w:numPr>
          <w:ilvl w:val="0"/>
          <w:numId w:val="13"/>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因设备的质量问题而发生争议，由广东省或广州市质检部门进行质量鉴定。设备符合质量标准的，鉴定费用由甲方承担；设备不符合质量标准的，鉴定费用由乙方承担。</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8、 技术服务</w:t>
      </w:r>
    </w:p>
    <w:p>
      <w:pPr>
        <w:numPr>
          <w:ilvl w:val="0"/>
          <w:numId w:val="14"/>
        </w:numPr>
        <w:tabs>
          <w:tab w:val="left" w:pos="54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乙方应派员到甲方指定地点配合工作。</w:t>
      </w:r>
    </w:p>
    <w:p>
      <w:pPr>
        <w:numPr>
          <w:ilvl w:val="0"/>
          <w:numId w:val="14"/>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乙方按甲方提供的合同执行进度计划，再配合甲方及有关单位，以此做好合同执行进度上的配合工作。</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9、 不可抗力</w:t>
      </w:r>
    </w:p>
    <w:p>
      <w:pPr>
        <w:spacing w:line="360" w:lineRule="auto"/>
        <w:ind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 不可抗力指战争、严重火灾、洪水、台风、地震等或其它双方认定的不可抗力事件。</w:t>
      </w:r>
    </w:p>
    <w:p>
      <w:pPr>
        <w:spacing w:line="360" w:lineRule="auto"/>
        <w:ind w:left="420" w:right="-20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spacing w:line="360" w:lineRule="auto"/>
        <w:ind w:left="528" w:leftChars="-57" w:hanging="648"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10、 索赔</w:t>
      </w:r>
    </w:p>
    <w:p>
      <w:pPr>
        <w:spacing w:line="360" w:lineRule="auto"/>
        <w:ind w:left="444" w:leftChars="-57" w:hanging="564"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10.1  如有异议，甲方有权根据有关政府部门的检验结果向乙方提出索赔。</w:t>
      </w:r>
    </w:p>
    <w:p>
      <w:pPr>
        <w:spacing w:line="360" w:lineRule="auto"/>
        <w:ind w:left="549" w:leftChars="-57" w:hanging="669" w:hangingChars="31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10.2  在合同执行期间，如果乙方对甲方提出的索赔和差异负有责任，乙方应按照甲方同意的下列一种或多种方式解决索赔事宜：</w:t>
      </w:r>
    </w:p>
    <w:p>
      <w:pPr>
        <w:numPr>
          <w:ilvl w:val="0"/>
          <w:numId w:val="15"/>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乙方同意退货，并按合同规定的同种货币将货款退还给甲方，并承担由此发生的一切损失和费用。</w:t>
      </w:r>
    </w:p>
    <w:p>
      <w:pPr>
        <w:numPr>
          <w:ilvl w:val="0"/>
          <w:numId w:val="15"/>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根据货物低劣程度、损坏程度以及甲方所遭受损失的数额甲乙双方商定降低货物的价格。</w:t>
      </w:r>
    </w:p>
    <w:p>
      <w:pPr>
        <w:numPr>
          <w:ilvl w:val="0"/>
          <w:numId w:val="15"/>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tabs>
          <w:tab w:val="left" w:pos="540"/>
        </w:tabs>
        <w:spacing w:line="360" w:lineRule="auto"/>
        <w:ind w:left="565" w:leftChars="-85" w:hanging="743" w:hangingChars="35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10.3  如果在甲方发出索赔通知后</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天内，乙方未作答复，上述索赔应视为已被乙方接受。甲方将从合同款项中扣回索赔金额。如果这些金额不足以补偿索赔金额，甲方有权向乙方提出不足部分的补偿。</w:t>
      </w:r>
    </w:p>
    <w:p>
      <w:pPr>
        <w:spacing w:line="360" w:lineRule="auto"/>
        <w:ind w:left="528" w:leftChars="-57" w:hanging="648" w:hangingChars="269"/>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11、 违约与处罚</w:t>
      </w:r>
    </w:p>
    <w:p>
      <w:pPr>
        <w:spacing w:line="360" w:lineRule="auto"/>
        <w:ind w:left="645" w:leftChars="-57" w:hanging="765"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11.1</w:t>
      </w:r>
      <w:r>
        <w:rPr>
          <w:rFonts w:hint="eastAsia" w:asciiTheme="minorEastAsia" w:hAnsiTheme="minorEastAsia" w:eastAsiaTheme="minorEastAsia" w:cstheme="minorEastAsia"/>
          <w:color w:val="auto"/>
          <w:szCs w:val="21"/>
          <w:highlight w:val="none"/>
        </w:rPr>
        <w:t xml:space="preserve">  甲方应依合同规定时间内，向乙方支付货款，每拖延一天乙方可向甲方加收合同金额的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11.2  乙方未能按时交货，每拖延一天，须向甲方支付合同金额的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549" w:leftChars="-57" w:hanging="669"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11.3  乙方交付的货物不符合合同规定的，甲方有权拒收，乙方向甲方支付合同金额的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11.4  甲方无正当理由拒收货物的，甲方向乙方支付合同金额的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11.5  乙方未能交付货物，则向甲方支付合同金额的</w:t>
      </w:r>
      <w:r>
        <w:rPr>
          <w:rFonts w:hint="eastAsia" w:asciiTheme="minorEastAsia" w:hAnsiTheme="minorEastAsia" w:eastAsiaTheme="minorEastAsia" w:cstheme="minorEastAsia"/>
          <w:color w:val="auto"/>
          <w:szCs w:val="21"/>
          <w:highlight w:val="none"/>
          <w:shd w:val="clear" w:color="auto" w:fill="FFFFFF"/>
        </w:rPr>
        <w:t>7.5%</w:t>
      </w:r>
      <w:r>
        <w:rPr>
          <w:rFonts w:hint="eastAsia" w:asciiTheme="minorEastAsia" w:hAnsiTheme="minorEastAsia" w:eastAsiaTheme="minorEastAsia" w:cstheme="minorEastAsia"/>
          <w:color w:val="auto"/>
          <w:szCs w:val="21"/>
          <w:highlight w:val="none"/>
        </w:rPr>
        <w:t>的违约金。</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12、合同终止</w:t>
      </w:r>
    </w:p>
    <w:p>
      <w:pPr>
        <w:spacing w:line="360" w:lineRule="auto"/>
        <w:ind w:left="525" w:leftChars="250" w:firstLine="12" w:firstLineChars="6"/>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如果一方严重违反合同，并在收到对方违约通知书后在</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天内仍未能改正违约的，另一方可立即终止本合同。</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13、 法律诉讼</w:t>
      </w:r>
    </w:p>
    <w:p>
      <w:pPr>
        <w:spacing w:line="360" w:lineRule="auto"/>
        <w:ind w:left="630" w:leftChars="3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14、 其它</w:t>
      </w:r>
    </w:p>
    <w:p>
      <w:pPr>
        <w:spacing w:line="360" w:lineRule="auto"/>
        <w:ind w:left="600" w:hanging="600" w:hangingChars="2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14</w:t>
      </w:r>
      <w:r>
        <w:rPr>
          <w:rFonts w:hint="eastAsia" w:asciiTheme="minorEastAsia" w:hAnsiTheme="minorEastAsia" w:eastAsiaTheme="minorEastAsia" w:cstheme="minorEastAsia"/>
          <w:color w:val="auto"/>
          <w:szCs w:val="21"/>
          <w:highlight w:val="none"/>
        </w:rPr>
        <w:t>.1 本合同正本四份，具有同等法律效力，甲、乙双方各执一份，省教育装备中心一份，采购代理机构一份。合同自签字之日起即时生效。</w:t>
      </w:r>
    </w:p>
    <w:p>
      <w:p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14.2 下列文件是本合同的一部分，并与本合同一起阅读和解释</w:t>
      </w:r>
    </w:p>
    <w:p>
      <w:pPr>
        <w:numPr>
          <w:ilvl w:val="0"/>
          <w:numId w:val="16"/>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eastAsia="zh-CN"/>
        </w:rPr>
        <w:t>成交人</w:t>
      </w:r>
      <w:r>
        <w:rPr>
          <w:rFonts w:hint="eastAsia" w:asciiTheme="minorEastAsia" w:hAnsiTheme="minorEastAsia" w:eastAsiaTheme="minorEastAsia" w:cstheme="minorEastAsia"/>
          <w:color w:val="auto"/>
          <w:szCs w:val="21"/>
          <w:highlight w:val="none"/>
        </w:rPr>
        <w:t>提交的投标函和投标一览表；</w:t>
      </w:r>
    </w:p>
    <w:p>
      <w:pPr>
        <w:numPr>
          <w:ilvl w:val="0"/>
          <w:numId w:val="16"/>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资格声明函；</w:t>
      </w:r>
    </w:p>
    <w:p>
      <w:pPr>
        <w:numPr>
          <w:ilvl w:val="0"/>
          <w:numId w:val="16"/>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中标通知书；</w:t>
      </w:r>
    </w:p>
    <w:p>
      <w:pPr>
        <w:numPr>
          <w:ilvl w:val="0"/>
          <w:numId w:val="16"/>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其他相关投标文件。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14.3  本合同未尽事宜，由双方协商处理。</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甲方：                                    乙方： </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                                签约代表：</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                                    地址：</w:t>
      </w:r>
    </w:p>
    <w:p>
      <w:pPr>
        <w:spacing w:line="360" w:lineRule="auto"/>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                     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3"/>
    <w:bookmarkEnd w:id="284"/>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6"/>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85" w:name="OLE_LINK4"/>
    </w:p>
    <w:p>
      <w:pPr>
        <w:pStyle w:val="4"/>
        <w:autoSpaceDE w:val="0"/>
        <w:rPr>
          <w:b w:val="0"/>
          <w:bCs w:val="0"/>
          <w:color w:val="auto"/>
          <w:sz w:val="44"/>
          <w:highlight w:val="none"/>
        </w:rPr>
      </w:pPr>
      <w:bookmarkStart w:id="286" w:name="_Toc475104528"/>
      <w:r>
        <w:rPr>
          <w:rFonts w:hint="eastAsia"/>
          <w:color w:val="auto"/>
          <w:sz w:val="44"/>
          <w:highlight w:val="none"/>
        </w:rPr>
        <w:t>第五章 评分体系与标准</w:t>
      </w:r>
      <w:bookmarkEnd w:id="28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17"/>
        </w:numPr>
        <w:autoSpaceDE w:val="0"/>
        <w:autoSpaceDN w:val="0"/>
        <w:adjustRightInd w:val="0"/>
        <w:snapToGrid w:val="0"/>
        <w:spacing w:line="360" w:lineRule="auto"/>
        <w:outlineLvl w:val="0"/>
        <w:rPr>
          <w:rFonts w:ascii="宋体" w:hAnsi="宋体"/>
          <w:bCs/>
          <w:color w:val="auto"/>
          <w:szCs w:val="21"/>
          <w:highlight w:val="none"/>
        </w:rPr>
      </w:pPr>
      <w:bookmarkStart w:id="287" w:name="_Toc475104529"/>
      <w:bookmarkStart w:id="288" w:name="_Toc101951266"/>
      <w:bookmarkStart w:id="289" w:name="_Toc42394669"/>
      <w:bookmarkStart w:id="290" w:name="_Toc50276153"/>
      <w:bookmarkStart w:id="291" w:name="_Toc264203535"/>
      <w:bookmarkStart w:id="292" w:name="_Toc101775128"/>
      <w:bookmarkStart w:id="293" w:name="_Toc101771375"/>
      <w:bookmarkStart w:id="294" w:name="_Toc101843128"/>
      <w:bookmarkStart w:id="295" w:name="_Toc98579606"/>
      <w:bookmarkStart w:id="296" w:name="_Toc98580289"/>
      <w:bookmarkStart w:id="297" w:name="_Toc98579007"/>
      <w:bookmarkStart w:id="298" w:name="_Toc42394513"/>
      <w:bookmarkStart w:id="299" w:name="_Toc98579065"/>
      <w:bookmarkStart w:id="300" w:name="_Toc42313167"/>
      <w:bookmarkStart w:id="301" w:name="_Toc41884701"/>
      <w:bookmarkStart w:id="302" w:name="_Toc41723931"/>
      <w:bookmarkStart w:id="303" w:name="_Toc148420070"/>
      <w:bookmarkStart w:id="304" w:name="_Toc124570687"/>
      <w:bookmarkStart w:id="305" w:name="_Toc131904930"/>
      <w:bookmarkStart w:id="306" w:name="_Toc150050902"/>
      <w:bookmarkStart w:id="307" w:name="_Toc67911942"/>
      <w:bookmarkStart w:id="308" w:name="_Toc104902929"/>
      <w:bookmarkStart w:id="309" w:name="_Toc113277292"/>
      <w:bookmarkStart w:id="310" w:name="_Toc66722112"/>
      <w:bookmarkStart w:id="311" w:name="_Toc124401382"/>
      <w:bookmarkStart w:id="312" w:name="_Toc101553556"/>
      <w:bookmarkStart w:id="313" w:name="_Toc108243616"/>
      <w:bookmarkStart w:id="314" w:name="_Toc95249607"/>
      <w:bookmarkStart w:id="315" w:name="_Toc138506092"/>
      <w:bookmarkStart w:id="316" w:name="_Toc131922503"/>
      <w:bookmarkStart w:id="317" w:name="_Toc101553661"/>
      <w:bookmarkStart w:id="318" w:name="_Toc35834934"/>
      <w:bookmarkStart w:id="319" w:name="_Toc124646434"/>
      <w:bookmarkStart w:id="320" w:name="_Toc102211724"/>
      <w:bookmarkStart w:id="321" w:name="_Toc169334816"/>
      <w:bookmarkStart w:id="322" w:name="_Toc138568672"/>
      <w:bookmarkStart w:id="323" w:name="_Toc28142601"/>
      <w:bookmarkStart w:id="324" w:name="_Toc28489533"/>
      <w:bookmarkStart w:id="325" w:name="_Toc68620012"/>
      <w:bookmarkStart w:id="326" w:name="_Toc95304223"/>
      <w:bookmarkStart w:id="327" w:name="_Toc108001800"/>
      <w:bookmarkStart w:id="328" w:name="_Toc104874465"/>
      <w:bookmarkStart w:id="329" w:name="_Toc125770208"/>
      <w:bookmarkStart w:id="330" w:name="_Toc148060906"/>
      <w:bookmarkStart w:id="331" w:name="_Toc34535380"/>
      <w:r>
        <w:rPr>
          <w:rFonts w:hint="eastAsia" w:ascii="宋体" w:hAnsi="宋体"/>
          <w:bCs/>
          <w:color w:val="auto"/>
          <w:szCs w:val="21"/>
          <w:highlight w:val="none"/>
        </w:rPr>
        <w:t>本评审办法采用综合评分法。</w:t>
      </w:r>
      <w:bookmarkEnd w:id="287"/>
    </w:p>
    <w:p>
      <w:pPr>
        <w:numPr>
          <w:ilvl w:val="0"/>
          <w:numId w:val="17"/>
        </w:numPr>
        <w:autoSpaceDE w:val="0"/>
        <w:autoSpaceDN w:val="0"/>
        <w:adjustRightInd w:val="0"/>
        <w:snapToGrid w:val="0"/>
        <w:spacing w:line="360" w:lineRule="auto"/>
        <w:outlineLvl w:val="0"/>
        <w:rPr>
          <w:rFonts w:ascii="宋体" w:cs="宋体"/>
          <w:color w:val="auto"/>
          <w:highlight w:val="none"/>
        </w:rPr>
      </w:pPr>
      <w:bookmarkStart w:id="332" w:name="_Toc475104530"/>
      <w:bookmarkStart w:id="33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lang w:eastAsia="zh-TW"/>
        </w:rPr>
        <w:t>设定的程序和规则推荐评审结果</w:t>
      </w:r>
      <w:r>
        <w:rPr>
          <w:rFonts w:hint="eastAsia" w:ascii="宋体" w:hAnsi="宋体" w:cs="宋体"/>
          <w:color w:val="auto"/>
          <w:szCs w:val="21"/>
          <w:highlight w:val="none"/>
        </w:rPr>
        <w:t>；</w:t>
      </w:r>
    </w:p>
    <w:p>
      <w:pPr>
        <w:numPr>
          <w:ilvl w:val="0"/>
          <w:numId w:val="17"/>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w:t>
      </w:r>
      <w:r>
        <w:rPr>
          <w:rFonts w:hint="eastAsia" w:ascii="宋体" w:cs="宋体"/>
          <w:color w:val="auto"/>
          <w:highlight w:val="none"/>
          <w:lang w:eastAsia="zh-CN"/>
        </w:rPr>
        <w:t>报价人</w:t>
      </w:r>
      <w:r>
        <w:rPr>
          <w:rFonts w:hint="eastAsia" w:ascii="宋体" w:cs="宋体"/>
          <w:color w:val="auto"/>
          <w:highlight w:val="none"/>
        </w:rPr>
        <w:t>方有资格提交最后报价及进行技术、商务及价格的详细评审，最后磋商小组出具竞争性磋商报告。</w:t>
      </w:r>
      <w:bookmarkEnd w:id="332"/>
    </w:p>
    <w:bookmarkEnd w:id="288"/>
    <w:bookmarkEnd w:id="289"/>
    <w:bookmarkEnd w:id="290"/>
    <w:bookmarkEnd w:id="291"/>
    <w:bookmarkEnd w:id="292"/>
    <w:bookmarkEnd w:id="293"/>
    <w:bookmarkEnd w:id="294"/>
    <w:bookmarkEnd w:id="295"/>
    <w:bookmarkEnd w:id="296"/>
    <w:bookmarkEnd w:id="297"/>
    <w:bookmarkEnd w:id="298"/>
    <w:bookmarkEnd w:id="299"/>
    <w:bookmarkEnd w:id="333"/>
    <w:p>
      <w:pPr>
        <w:numPr>
          <w:ilvl w:val="0"/>
          <w:numId w:val="17"/>
        </w:numPr>
        <w:autoSpaceDE w:val="0"/>
        <w:autoSpaceDN w:val="0"/>
        <w:adjustRightInd w:val="0"/>
        <w:snapToGrid w:val="0"/>
        <w:spacing w:line="360" w:lineRule="auto"/>
        <w:outlineLvl w:val="0"/>
        <w:rPr>
          <w:rFonts w:ascii="宋体" w:hAnsi="宋体"/>
          <w:bCs/>
          <w:color w:val="auto"/>
          <w:szCs w:val="21"/>
          <w:highlight w:val="none"/>
        </w:rPr>
      </w:pPr>
      <w:bookmarkStart w:id="33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lang w:eastAsia="zh-CN"/>
        </w:rPr>
        <w:t>报价人</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17"/>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4"/>
    </w:p>
    <w:tbl>
      <w:tblPr>
        <w:tblStyle w:val="90"/>
        <w:tblpPr w:leftFromText="180" w:rightFromText="180" w:vertAnchor="text" w:tblpX="318"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35" w:name="_Toc475104533"/>
            <w:bookmarkStart w:id="336"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17"/>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5"/>
    <w:bookmarkEnd w:id="336"/>
    <w:p>
      <w:pPr>
        <w:numPr>
          <w:ilvl w:val="0"/>
          <w:numId w:val="17"/>
        </w:numPr>
        <w:autoSpaceDE w:val="0"/>
        <w:autoSpaceDN w:val="0"/>
        <w:adjustRightInd w:val="0"/>
        <w:snapToGrid w:val="0"/>
        <w:spacing w:line="360" w:lineRule="auto"/>
        <w:outlineLvl w:val="0"/>
        <w:rPr>
          <w:rFonts w:ascii="宋体" w:hAnsi="宋体"/>
          <w:color w:val="auto"/>
          <w:szCs w:val="21"/>
          <w:highlight w:val="none"/>
        </w:rPr>
      </w:pPr>
      <w:bookmarkStart w:id="337" w:name="_Toc475104534"/>
      <w:bookmarkStart w:id="338"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1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1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w:t>
      </w:r>
      <w:r>
        <w:rPr>
          <w:rFonts w:hint="eastAsia" w:ascii="宋体" w:hAnsi="宋体"/>
          <w:color w:val="auto"/>
          <w:szCs w:val="21"/>
          <w:highlight w:val="none"/>
          <w:lang w:eastAsia="zh-CN"/>
        </w:rPr>
        <w:t>报价人</w:t>
      </w:r>
      <w:r>
        <w:rPr>
          <w:rFonts w:hint="eastAsia" w:ascii="宋体" w:hAnsi="宋体"/>
          <w:color w:val="auto"/>
          <w:szCs w:val="21"/>
          <w:highlight w:val="none"/>
        </w:rPr>
        <w:t>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0"/>
    <w:bookmarkEnd w:id="301"/>
    <w:bookmarkEnd w:id="302"/>
    <w:bookmarkEnd w:id="337"/>
    <w:bookmarkEnd w:id="338"/>
    <w:p>
      <w:pPr>
        <w:numPr>
          <w:ilvl w:val="0"/>
          <w:numId w:val="17"/>
        </w:numPr>
        <w:autoSpaceDE w:val="0"/>
        <w:autoSpaceDN w:val="0"/>
        <w:adjustRightInd w:val="0"/>
        <w:snapToGrid w:val="0"/>
        <w:spacing w:line="360" w:lineRule="auto"/>
        <w:outlineLvl w:val="0"/>
        <w:rPr>
          <w:rFonts w:ascii="宋体" w:hAnsi="宋体"/>
          <w:color w:val="auto"/>
          <w:szCs w:val="21"/>
          <w:highlight w:val="none"/>
        </w:rPr>
      </w:pPr>
      <w:bookmarkStart w:id="339" w:name="_Toc333236685"/>
      <w:bookmarkStart w:id="340" w:name="_Toc475104535"/>
      <w:r>
        <w:rPr>
          <w:rFonts w:hint="eastAsia" w:ascii="宋体" w:hAnsi="宋体"/>
          <w:color w:val="auto"/>
          <w:szCs w:val="21"/>
          <w:highlight w:val="none"/>
        </w:rPr>
        <w:t>价格评定</w:t>
      </w:r>
    </w:p>
    <w:p>
      <w:pPr>
        <w:numPr>
          <w:ilvl w:val="1"/>
          <w:numId w:val="1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lang w:eastAsia="zh-CN"/>
        </w:rPr>
        <w:t>报价人</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1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w:t>
      </w:r>
      <w:r>
        <w:rPr>
          <w:rFonts w:hint="eastAsia" w:ascii="宋体" w:hAnsi="宋体"/>
          <w:color w:val="auto"/>
          <w:szCs w:val="21"/>
          <w:highlight w:val="none"/>
          <w:lang w:eastAsia="zh-CN"/>
        </w:rPr>
        <w:t>报价人</w:t>
      </w:r>
      <w:r>
        <w:rPr>
          <w:rFonts w:hint="eastAsia" w:ascii="宋体" w:hAnsi="宋体"/>
          <w:color w:val="auto"/>
          <w:szCs w:val="21"/>
          <w:highlight w:val="none"/>
        </w:rPr>
        <w:t>的价格为磋商基准价，其价格分为满分。其他</w:t>
      </w:r>
      <w:r>
        <w:rPr>
          <w:rFonts w:hint="eastAsia" w:ascii="宋体" w:hAnsi="宋体"/>
          <w:color w:val="auto"/>
          <w:szCs w:val="21"/>
          <w:highlight w:val="none"/>
          <w:lang w:eastAsia="zh-CN"/>
        </w:rPr>
        <w:t>报价人</w:t>
      </w:r>
      <w:r>
        <w:rPr>
          <w:rFonts w:hint="eastAsia" w:ascii="宋体" w:hAnsi="宋体"/>
          <w:color w:val="auto"/>
          <w:szCs w:val="21"/>
          <w:highlight w:val="none"/>
        </w:rPr>
        <w:t>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w:t>
      </w:r>
      <w:r>
        <w:rPr>
          <w:rFonts w:hint="eastAsia"/>
          <w:color w:val="auto"/>
          <w:szCs w:val="21"/>
          <w:highlight w:val="none"/>
          <w:lang w:eastAsia="zh-CN"/>
        </w:rPr>
        <w:t>报价人</w:t>
      </w:r>
      <w:r>
        <w:rPr>
          <w:rFonts w:hint="eastAsia"/>
          <w:color w:val="auto"/>
          <w:szCs w:val="21"/>
          <w:highlight w:val="none"/>
        </w:rPr>
        <w:t>第二次报价作为基准，计算价格扣减作为</w:t>
      </w:r>
      <w:r>
        <w:rPr>
          <w:rFonts w:hint="eastAsia"/>
          <w:color w:val="auto"/>
          <w:szCs w:val="21"/>
          <w:highlight w:val="none"/>
          <w:lang w:eastAsia="zh-CN"/>
        </w:rPr>
        <w:t>报价人</w:t>
      </w:r>
      <w:r>
        <w:rPr>
          <w:rFonts w:hint="eastAsia"/>
          <w:color w:val="auto"/>
          <w:szCs w:val="21"/>
          <w:highlight w:val="none"/>
        </w:rPr>
        <w:t>的价格评分，评标价只作为分值的计算，最终成交价格按照</w:t>
      </w:r>
      <w:r>
        <w:rPr>
          <w:rFonts w:hint="eastAsia"/>
          <w:color w:val="auto"/>
          <w:szCs w:val="21"/>
          <w:highlight w:val="none"/>
          <w:lang w:eastAsia="zh-CN"/>
        </w:rPr>
        <w:t>报价人</w:t>
      </w:r>
      <w:r>
        <w:rPr>
          <w:rFonts w:hint="eastAsia"/>
          <w:color w:val="auto"/>
          <w:szCs w:val="21"/>
          <w:highlight w:val="none"/>
        </w:rPr>
        <w:t>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bCs/>
          <w:color w:val="auto"/>
          <w:szCs w:val="21"/>
          <w:highlight w:val="none"/>
        </w:rPr>
        <w:t>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为非制造商，其代理产品的制造商也应同时提交《中小企业声明函》，否则评审时不能享受相应的价格扣除。</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提供的《残疾人福利性单位声明函》与事实不符的，依照《政府采购法》第七十七条第一款的规定追究法律责任。</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公章）。</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同时为小型、微型企业、监狱企业、残疾人福利性单位任两种或以上情况的，评审中只享受一次价格扣除，不重复进行价格扣除。</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CN"/>
        </w:rPr>
        <w:t>报价人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17"/>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1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1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17"/>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17"/>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9"/>
      <w:bookmarkEnd w:id="34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41" w:name="_Toc475104536"/>
      <w:r>
        <w:rPr>
          <w:rFonts w:hint="eastAsia"/>
          <w:color w:val="auto"/>
          <w:sz w:val="24"/>
          <w:highlight w:val="none"/>
        </w:rPr>
        <w:t>资格性审查及符合性检查表</w:t>
      </w:r>
      <w:bookmarkEnd w:id="34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lang w:eastAsia="zh-CN"/>
              </w:rPr>
              <w:t>报价人</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lang w:eastAsia="zh-CN"/>
              </w:rPr>
              <w:t>报价人</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lang w:eastAsia="zh-CN"/>
              </w:rPr>
              <w:t>报价人</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eastAsia="zh-CN"/>
        </w:rPr>
        <w:t>报价人</w:t>
      </w:r>
      <w:r>
        <w:rPr>
          <w:rFonts w:hint="eastAsia" w:ascii="宋体" w:hAnsi="宋体" w:cs="宋体"/>
          <w:b/>
          <w:color w:val="auto"/>
          <w:szCs w:val="21"/>
          <w:highlight w:val="none"/>
        </w:rPr>
        <w:t>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90"/>
        <w:tblW w:w="102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99"/>
        <w:gridCol w:w="1794"/>
        <w:gridCol w:w="6818"/>
        <w:gridCol w:w="91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3" w:hRule="atLeast"/>
          <w:tblHeader/>
          <w:jc w:val="center"/>
        </w:trPr>
        <w:tc>
          <w:tcPr>
            <w:tcW w:w="699" w:type="dxa"/>
            <w:tcBorders>
              <w:top w:val="single" w:color="auto" w:sz="4" w:space="0"/>
            </w:tcBorders>
            <w:shd w:val="clear" w:color="auto" w:fill="FFFFFF"/>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1794" w:type="dxa"/>
            <w:tcBorders>
              <w:top w:val="single" w:color="auto" w:sz="4" w:space="0"/>
            </w:tcBorders>
            <w:shd w:val="clear" w:color="auto" w:fill="FFFFFF"/>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评分项目</w:t>
            </w:r>
          </w:p>
        </w:tc>
        <w:tc>
          <w:tcPr>
            <w:tcW w:w="6818" w:type="dxa"/>
            <w:tcBorders>
              <w:top w:val="single" w:color="auto" w:sz="4" w:space="0"/>
            </w:tcBorders>
            <w:shd w:val="clear" w:color="auto" w:fill="FFFFFF"/>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评分标准</w:t>
            </w:r>
          </w:p>
        </w:tc>
        <w:tc>
          <w:tcPr>
            <w:tcW w:w="912" w:type="dxa"/>
            <w:tcBorders>
              <w:top w:val="single" w:color="auto" w:sz="4" w:space="0"/>
            </w:tcBorders>
            <w:shd w:val="clear" w:color="auto" w:fill="FFFFFF"/>
            <w:vAlign w:val="center"/>
          </w:tcPr>
          <w:p>
            <w:pPr>
              <w:snapToGrid w:val="0"/>
              <w:spacing w:line="360" w:lineRule="auto"/>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70" w:hRule="atLeast"/>
          <w:jc w:val="center"/>
        </w:trPr>
        <w:tc>
          <w:tcPr>
            <w:tcW w:w="699" w:type="dxa"/>
            <w:tcBorders>
              <w:top w:val="single" w:color="auto" w:sz="4" w:space="0"/>
              <w:bottom w:val="single" w:color="auto" w:sz="4" w:space="0"/>
            </w:tcBorders>
            <w:vAlign w:val="center"/>
          </w:tcPr>
          <w:p>
            <w:pPr>
              <w:snapToGrid w:val="0"/>
              <w:spacing w:line="360" w:lineRule="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w:t>
            </w:r>
          </w:p>
        </w:tc>
        <w:tc>
          <w:tcPr>
            <w:tcW w:w="1794" w:type="dxa"/>
            <w:tcBorders>
              <w:top w:val="single" w:color="auto" w:sz="4" w:space="0"/>
              <w:bottom w:val="single" w:color="auto" w:sz="4" w:space="0"/>
            </w:tcBorders>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对所投产品设备技术参数、性能指标、质量及特别带“▲”的响应情况和符合性</w:t>
            </w:r>
          </w:p>
        </w:tc>
        <w:tc>
          <w:tcPr>
            <w:tcW w:w="6818"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技术指标响应情况：完全满足或优于招标参数，得</w:t>
            </w:r>
            <w:r>
              <w:rPr>
                <w:rFonts w:hint="eastAsia" w:asciiTheme="minorEastAsia" w:hAnsiTheme="minorEastAsia" w:eastAsiaTheme="minorEastAsia" w:cstheme="minorEastAsia"/>
                <w:color w:val="auto"/>
                <w:kern w:val="0"/>
                <w:sz w:val="21"/>
                <w:szCs w:val="21"/>
                <w:highlight w:val="none"/>
                <w:lang w:val="en-US" w:eastAsia="zh-CN"/>
              </w:rPr>
              <w:t>14</w:t>
            </w:r>
            <w:r>
              <w:rPr>
                <w:rFonts w:hint="eastAsia" w:asciiTheme="minorEastAsia" w:hAnsiTheme="minorEastAsia" w:eastAsiaTheme="minorEastAsia" w:cstheme="minorEastAsia"/>
                <w:color w:val="auto"/>
                <w:kern w:val="0"/>
                <w:sz w:val="21"/>
                <w:szCs w:val="21"/>
                <w:highlight w:val="none"/>
              </w:rPr>
              <w:t>分，每负偏离一个“▲”的，扣2分；每负偏离一个非“▲”条款的，扣1分，扣完为止。</w:t>
            </w:r>
          </w:p>
          <w:p>
            <w:pPr>
              <w:widowControl/>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（注：产品设备技术参数，需提供证明材料，证明材料必须逐项对应竞争性磋商文件的技术条款。不能提供证明材料的，扣除该产品的全部技术分数；提供有漏项的，视为负偏离并扣除对应条款分数。）</w:t>
            </w:r>
          </w:p>
        </w:tc>
        <w:tc>
          <w:tcPr>
            <w:tcW w:w="912" w:type="dxa"/>
            <w:tcBorders>
              <w:top w:val="single" w:color="auto" w:sz="4" w:space="0"/>
              <w:bottom w:val="single" w:color="auto" w:sz="4" w:space="0"/>
            </w:tcBorders>
            <w:vAlign w:val="center"/>
          </w:tcPr>
          <w:p>
            <w:pPr>
              <w:pStyle w:val="210"/>
              <w:jc w:val="center"/>
              <w:rPr>
                <w:rFonts w:hint="default" w:asciiTheme="minorEastAsia" w:hAnsiTheme="minorEastAsia" w:eastAsiaTheme="minorEastAsia" w:cstheme="minorEastAsia"/>
                <w:bCs/>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699" w:type="dxa"/>
            <w:tcBorders>
              <w:top w:val="single" w:color="auto" w:sz="4" w:space="0"/>
              <w:bottom w:val="single" w:color="auto" w:sz="4" w:space="0"/>
            </w:tcBorders>
            <w:vAlign w:val="center"/>
          </w:tcPr>
          <w:p>
            <w:pPr>
              <w:snapToGrid w:val="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2</w:t>
            </w:r>
          </w:p>
        </w:tc>
        <w:tc>
          <w:tcPr>
            <w:tcW w:w="1794"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合同履行期进度计划承诺</w:t>
            </w:r>
          </w:p>
        </w:tc>
        <w:tc>
          <w:tcPr>
            <w:tcW w:w="6818"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GB"/>
              </w:rPr>
              <w:t>本项目竞争性磋商文件规定的合同履行期限为</w:t>
            </w:r>
            <w:r>
              <w:rPr>
                <w:rFonts w:hint="eastAsia" w:asciiTheme="minorEastAsia" w:hAnsiTheme="minorEastAsia" w:eastAsiaTheme="minorEastAsia" w:cstheme="minorEastAsia"/>
                <w:color w:val="auto"/>
                <w:kern w:val="0"/>
                <w:sz w:val="21"/>
                <w:szCs w:val="21"/>
                <w:highlight w:val="none"/>
              </w:rPr>
              <w:t>60日历天</w:t>
            </w:r>
            <w:r>
              <w:rPr>
                <w:rFonts w:hint="eastAsia" w:asciiTheme="minorEastAsia" w:hAnsiTheme="minorEastAsia" w:eastAsiaTheme="minorEastAsia" w:cstheme="minorEastAsia"/>
                <w:color w:val="auto"/>
                <w:kern w:val="0"/>
                <w:sz w:val="21"/>
                <w:szCs w:val="21"/>
                <w:highlight w:val="none"/>
                <w:lang w:val="en-GB"/>
              </w:rPr>
              <w:t>，合同履行期限为</w:t>
            </w:r>
            <w:r>
              <w:rPr>
                <w:rFonts w:hint="eastAsia" w:asciiTheme="minorEastAsia" w:hAnsiTheme="minorEastAsia" w:eastAsiaTheme="minorEastAsia" w:cstheme="minorEastAsia"/>
                <w:color w:val="auto"/>
                <w:kern w:val="0"/>
                <w:sz w:val="21"/>
                <w:szCs w:val="21"/>
                <w:highlight w:val="none"/>
              </w:rPr>
              <w:t>60日历天</w:t>
            </w:r>
            <w:r>
              <w:rPr>
                <w:rFonts w:hint="eastAsia" w:asciiTheme="minorEastAsia" w:hAnsiTheme="minorEastAsia" w:eastAsiaTheme="minorEastAsia" w:cstheme="minorEastAsia"/>
                <w:color w:val="auto"/>
                <w:kern w:val="0"/>
                <w:sz w:val="21"/>
                <w:szCs w:val="21"/>
                <w:highlight w:val="none"/>
                <w:lang w:val="en-GB"/>
              </w:rPr>
              <w:t>的不得分，每承诺提前</w:t>
            </w:r>
            <w:r>
              <w:rPr>
                <w:rFonts w:hint="eastAsia" w:asciiTheme="minorEastAsia" w:hAnsiTheme="minorEastAsia" w:eastAsiaTheme="minorEastAsia" w:cstheme="minorEastAsia"/>
                <w:color w:val="auto"/>
                <w:kern w:val="0"/>
                <w:sz w:val="21"/>
                <w:szCs w:val="21"/>
                <w:highlight w:val="none"/>
              </w:rPr>
              <w:t>1日历天</w:t>
            </w:r>
            <w:r>
              <w:rPr>
                <w:rFonts w:hint="eastAsia" w:asciiTheme="minorEastAsia" w:hAnsiTheme="minorEastAsia" w:eastAsiaTheme="minorEastAsia" w:cstheme="minorEastAsia"/>
                <w:color w:val="auto"/>
                <w:kern w:val="0"/>
                <w:sz w:val="21"/>
                <w:szCs w:val="21"/>
                <w:highlight w:val="none"/>
                <w:lang w:val="en-GB"/>
              </w:rPr>
              <w:t>的得</w:t>
            </w:r>
            <w:r>
              <w:rPr>
                <w:rFonts w:hint="eastAsia" w:asciiTheme="minorEastAsia" w:hAnsiTheme="minorEastAsia" w:eastAsiaTheme="minorEastAsia" w:cstheme="minorEastAsia"/>
                <w:color w:val="auto"/>
                <w:kern w:val="0"/>
                <w:sz w:val="21"/>
                <w:szCs w:val="21"/>
                <w:highlight w:val="none"/>
                <w:lang w:val="en-US" w:eastAsia="zh-CN"/>
              </w:rPr>
              <w:t>0.5</w:t>
            </w:r>
            <w:r>
              <w:rPr>
                <w:rFonts w:hint="eastAsia" w:asciiTheme="minorEastAsia" w:hAnsiTheme="minorEastAsia" w:eastAsiaTheme="minorEastAsia" w:cstheme="minorEastAsia"/>
                <w:color w:val="auto"/>
                <w:kern w:val="0"/>
                <w:sz w:val="21"/>
                <w:szCs w:val="21"/>
                <w:highlight w:val="none"/>
                <w:lang w:val="en-GB"/>
              </w:rPr>
              <w:t>分，此项满分为</w:t>
            </w:r>
            <w:r>
              <w:rPr>
                <w:rFonts w:hint="eastAsia" w:asciiTheme="minorEastAsia" w:hAnsiTheme="minorEastAsia" w:eastAsiaTheme="minorEastAsia" w:cstheme="minorEastAsia"/>
                <w:color w:val="auto"/>
                <w:kern w:val="0"/>
                <w:sz w:val="21"/>
                <w:szCs w:val="21"/>
                <w:highlight w:val="none"/>
              </w:rPr>
              <w:t>5</w:t>
            </w:r>
            <w:r>
              <w:rPr>
                <w:rFonts w:hint="eastAsia" w:asciiTheme="minorEastAsia" w:hAnsiTheme="minorEastAsia" w:eastAsiaTheme="minorEastAsia" w:cstheme="minorEastAsia"/>
                <w:color w:val="auto"/>
                <w:kern w:val="0"/>
                <w:sz w:val="21"/>
                <w:szCs w:val="21"/>
                <w:highlight w:val="none"/>
                <w:lang w:val="en-GB"/>
              </w:rPr>
              <w:t>分。</w:t>
            </w:r>
          </w:p>
        </w:tc>
        <w:tc>
          <w:tcPr>
            <w:tcW w:w="912" w:type="dxa"/>
            <w:tcBorders>
              <w:top w:val="single" w:color="auto" w:sz="4" w:space="0"/>
              <w:bottom w:val="single" w:color="auto" w:sz="4" w:space="0"/>
            </w:tcBorders>
            <w:vAlign w:val="center"/>
          </w:tcPr>
          <w:p>
            <w:pPr>
              <w:pStyle w:val="21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699" w:type="dxa"/>
            <w:tcBorders>
              <w:top w:val="single" w:color="auto" w:sz="4" w:space="0"/>
              <w:bottom w:val="single" w:color="auto" w:sz="4" w:space="0"/>
            </w:tcBorders>
            <w:vAlign w:val="center"/>
          </w:tcPr>
          <w:p>
            <w:pPr>
              <w:snapToGrid w:val="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1794"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安装方案、安装组织设计及保证措施</w:t>
            </w:r>
          </w:p>
        </w:tc>
        <w:tc>
          <w:tcPr>
            <w:tcW w:w="6818"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1.有详细设备生产、安装、调试及验收等安装方案，方案全面完整，且具有很强的操作性和科学合理性。安装组织设计详尽、可靠、科学、实用，有切实可行的保证交货期的措施的，得8分；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2.有设备生产、安装、调试及验收等安装方案，方案基本完整，可操作性一般。安装组织设计一般，有基本的保证交货期的措施的，得4分；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3.有设备生产、安装、调试及验收等安装方案，方案不完整，可操作性不强。安装组织设计较差，基本不能的保证交货期的，得3分；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4.其他不得分。</w:t>
            </w:r>
          </w:p>
        </w:tc>
        <w:tc>
          <w:tcPr>
            <w:tcW w:w="912" w:type="dxa"/>
            <w:tcBorders>
              <w:top w:val="single" w:color="auto" w:sz="4" w:space="0"/>
              <w:bottom w:val="single" w:color="auto" w:sz="4" w:space="0"/>
            </w:tcBorders>
            <w:vAlign w:val="center"/>
          </w:tcPr>
          <w:p>
            <w:pPr>
              <w:pStyle w:val="21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699" w:type="dxa"/>
            <w:tcBorders>
              <w:top w:val="single" w:color="auto" w:sz="4" w:space="0"/>
              <w:bottom w:val="single" w:color="auto" w:sz="4" w:space="0"/>
            </w:tcBorders>
            <w:vAlign w:val="center"/>
          </w:tcPr>
          <w:p>
            <w:pPr>
              <w:snapToGrid w:val="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4</w:t>
            </w:r>
          </w:p>
        </w:tc>
        <w:tc>
          <w:tcPr>
            <w:tcW w:w="1794"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文明安全安装措施</w:t>
            </w:r>
          </w:p>
        </w:tc>
        <w:tc>
          <w:tcPr>
            <w:tcW w:w="6818"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1.具有详细的文明、安全安装保证措施的，得</w:t>
            </w:r>
            <w:r>
              <w:rPr>
                <w:rFonts w:hint="eastAsia" w:asciiTheme="minorEastAsia" w:hAnsiTheme="minorEastAsia" w:eastAsiaTheme="minorEastAsia" w:cstheme="minorEastAsia"/>
                <w:color w:val="auto"/>
                <w:kern w:val="0"/>
                <w:sz w:val="21"/>
                <w:szCs w:val="21"/>
                <w:highlight w:val="none"/>
                <w:lang w:val="en-US" w:eastAsia="zh-CN"/>
              </w:rPr>
              <w:t>3</w:t>
            </w:r>
            <w:r>
              <w:rPr>
                <w:rFonts w:hint="eastAsia" w:asciiTheme="minorEastAsia" w:hAnsiTheme="minorEastAsia" w:eastAsiaTheme="minorEastAsia" w:cstheme="minorEastAsia"/>
                <w:color w:val="auto"/>
                <w:kern w:val="0"/>
                <w:sz w:val="21"/>
                <w:szCs w:val="21"/>
                <w:highlight w:val="none"/>
              </w:rPr>
              <w:t>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2.有文明、安全安装保证措施，叙述不强的，得2分；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3.其他不得分。</w:t>
            </w:r>
          </w:p>
        </w:tc>
        <w:tc>
          <w:tcPr>
            <w:tcW w:w="912" w:type="dxa"/>
            <w:tcBorders>
              <w:top w:val="single" w:color="auto" w:sz="4" w:space="0"/>
              <w:bottom w:val="single" w:color="auto" w:sz="4" w:space="0"/>
            </w:tcBorders>
            <w:vAlign w:val="center"/>
          </w:tcPr>
          <w:p>
            <w:pPr>
              <w:pStyle w:val="210"/>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699" w:type="dxa"/>
            <w:tcBorders>
              <w:top w:val="single" w:color="auto" w:sz="4" w:space="0"/>
              <w:bottom w:val="single" w:color="auto" w:sz="4" w:space="0"/>
            </w:tcBorders>
            <w:vAlign w:val="center"/>
          </w:tcPr>
          <w:p>
            <w:pPr>
              <w:snapToGrid w:val="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5</w:t>
            </w:r>
          </w:p>
        </w:tc>
        <w:tc>
          <w:tcPr>
            <w:tcW w:w="1794"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bCs/>
                <w:color w:val="auto"/>
                <w:sz w:val="21"/>
                <w:szCs w:val="21"/>
                <w:highlight w:val="none"/>
                <w:lang w:val="zh-CN"/>
              </w:rPr>
              <w:t>深化设计方案</w:t>
            </w:r>
          </w:p>
        </w:tc>
        <w:tc>
          <w:tcPr>
            <w:tcW w:w="6818" w:type="dxa"/>
            <w:tcBorders>
              <w:top w:val="single" w:color="auto" w:sz="4" w:space="0"/>
              <w:bottom w:val="single" w:color="auto" w:sz="4" w:space="0"/>
            </w:tcBorders>
            <w:vAlign w:val="center"/>
          </w:tcPr>
          <w:p>
            <w:pPr>
              <w:pStyle w:val="29"/>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对比各报价人总体设计及效果方案（包括深化改良的合理化建议等）：</w:t>
            </w:r>
          </w:p>
          <w:p>
            <w:pPr>
              <w:pStyle w:val="29"/>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val="zh-CN"/>
              </w:rPr>
              <w:t>所提供的设计款式大气优雅、各项工序检验标准合格、产品深化设计图及工程案例图科学、实用、可行的，得</w:t>
            </w:r>
            <w:r>
              <w:rPr>
                <w:rFonts w:hint="eastAsia" w:asciiTheme="minorEastAsia" w:hAnsiTheme="minorEastAsia" w:eastAsiaTheme="minorEastAsia" w:cstheme="minorEastAsia"/>
                <w:color w:val="auto"/>
                <w:sz w:val="21"/>
                <w:szCs w:val="21"/>
                <w:highlight w:val="none"/>
              </w:rPr>
              <w:t>10</w:t>
            </w:r>
            <w:r>
              <w:rPr>
                <w:rFonts w:hint="eastAsia" w:asciiTheme="minorEastAsia" w:hAnsiTheme="minorEastAsia" w:eastAsiaTheme="minorEastAsia" w:cstheme="minorEastAsia"/>
                <w:color w:val="auto"/>
                <w:sz w:val="21"/>
                <w:szCs w:val="21"/>
                <w:highlight w:val="none"/>
                <w:lang w:val="zh-CN"/>
              </w:rPr>
              <w:t>分；</w:t>
            </w:r>
          </w:p>
          <w:p>
            <w:pPr>
              <w:pStyle w:val="29"/>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lang w:val="zh-CN"/>
              </w:rPr>
              <w:t>所提供的设计款式比较大气优雅、各项工序检验标准合格、产品深化设计图及工程案例图比较科学、实用、可行的，得</w:t>
            </w:r>
            <w:r>
              <w:rPr>
                <w:rFonts w:hint="eastAsia" w:asciiTheme="minorEastAsia" w:hAnsiTheme="minorEastAsia" w:eastAsiaTheme="minorEastAsia" w:cstheme="minorEastAsia"/>
                <w:color w:val="auto"/>
                <w:sz w:val="21"/>
                <w:szCs w:val="21"/>
                <w:highlight w:val="none"/>
              </w:rPr>
              <w:t>5</w:t>
            </w:r>
            <w:r>
              <w:rPr>
                <w:rFonts w:hint="eastAsia" w:asciiTheme="minorEastAsia" w:hAnsiTheme="minorEastAsia" w:eastAsiaTheme="minorEastAsia" w:cstheme="minorEastAsia"/>
                <w:color w:val="auto"/>
                <w:sz w:val="21"/>
                <w:szCs w:val="21"/>
                <w:highlight w:val="none"/>
                <w:lang w:val="zh-CN"/>
              </w:rPr>
              <w:t>分；</w:t>
            </w:r>
          </w:p>
          <w:p>
            <w:pPr>
              <w:jc w:val="left"/>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val="zh-CN"/>
              </w:rPr>
              <w:t>所提供的设计款式不大气优雅、各项工序检验标准不合格、产品深化设计图及工程案例图不科学、实用、可行的，得</w:t>
            </w: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lang w:val="zh-CN"/>
              </w:rPr>
              <w:t>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bCs/>
                <w:color w:val="auto"/>
                <w:sz w:val="21"/>
                <w:szCs w:val="21"/>
                <w:highlight w:val="none"/>
              </w:rPr>
              <w:t>4.</w:t>
            </w:r>
            <w:r>
              <w:rPr>
                <w:rFonts w:hint="eastAsia" w:asciiTheme="minorEastAsia" w:hAnsiTheme="minorEastAsia" w:eastAsiaTheme="minorEastAsia" w:cstheme="minorEastAsia"/>
                <w:color w:val="auto"/>
                <w:kern w:val="0"/>
                <w:sz w:val="21"/>
                <w:szCs w:val="21"/>
                <w:highlight w:val="none"/>
              </w:rPr>
              <w:t>其他不得分。</w:t>
            </w:r>
          </w:p>
        </w:tc>
        <w:tc>
          <w:tcPr>
            <w:tcW w:w="912" w:type="dxa"/>
            <w:tcBorders>
              <w:top w:val="single" w:color="auto" w:sz="4" w:space="0"/>
              <w:bottom w:val="single" w:color="auto" w:sz="4" w:space="0"/>
            </w:tcBorders>
            <w:vAlign w:val="center"/>
          </w:tcPr>
          <w:p>
            <w:pPr>
              <w:pStyle w:val="21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9311" w:type="dxa"/>
            <w:gridSpan w:val="3"/>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合计</w:t>
            </w:r>
          </w:p>
        </w:tc>
        <w:tc>
          <w:tcPr>
            <w:tcW w:w="912" w:type="dxa"/>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w:t>
      </w:r>
      <w:r>
        <w:rPr>
          <w:rFonts w:hint="eastAsia" w:ascii="宋体" w:hAnsi="宋体" w:cs="宋体"/>
          <w:b/>
          <w:bCs/>
          <w:color w:val="auto"/>
          <w:highlight w:val="none"/>
          <w:lang w:eastAsia="zh-CN"/>
        </w:rPr>
        <w:t>报价人</w:t>
      </w:r>
      <w:r>
        <w:rPr>
          <w:rFonts w:hint="eastAsia" w:ascii="宋体" w:hAnsi="宋体" w:cs="宋体"/>
          <w:b/>
          <w:bCs/>
          <w:color w:val="auto"/>
          <w:highlight w:val="none"/>
        </w:rPr>
        <w:t>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项目编号：                                                  </w:t>
      </w:r>
      <w:r>
        <w:rPr>
          <w:rFonts w:hint="eastAsia" w:ascii="宋体" w:hAnsi="宋体" w:cs="宋体"/>
          <w:color w:val="auto"/>
          <w:highlight w:val="none"/>
        </w:rPr>
        <w:t xml:space="preserve"> </w:t>
      </w:r>
    </w:p>
    <w:p>
      <w:pPr>
        <w:snapToGrid w:val="0"/>
        <w:rPr>
          <w:rFonts w:hint="eastAsia" w:ascii="宋体" w:hAnsi="宋体" w:cs="宋体"/>
          <w:b/>
          <w:bCs/>
          <w:color w:val="auto"/>
          <w:highlight w:val="none"/>
        </w:rPr>
      </w:pPr>
      <w:r>
        <w:rPr>
          <w:rFonts w:hint="eastAsia" w:ascii="宋体" w:hAnsi="宋体" w:cs="宋体"/>
          <w:color w:val="auto"/>
          <w:highlight w:val="none"/>
        </w:rPr>
        <w:t xml:space="preserve"> </w:t>
      </w:r>
    </w:p>
    <w:tbl>
      <w:tblPr>
        <w:tblStyle w:val="90"/>
        <w:tblW w:w="1027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49"/>
        <w:gridCol w:w="1299"/>
        <w:gridCol w:w="7270"/>
        <w:gridCol w:w="9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78" w:hRule="atLeast"/>
          <w:tblHeader/>
          <w:jc w:val="center"/>
        </w:trPr>
        <w:tc>
          <w:tcPr>
            <w:tcW w:w="749" w:type="dxa"/>
            <w:tcBorders>
              <w:top w:val="single" w:color="auto" w:sz="4" w:space="0"/>
            </w:tcBorders>
            <w:shd w:val="clear" w:color="auto" w:fill="FFFFFF"/>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1299" w:type="dxa"/>
            <w:tcBorders>
              <w:top w:val="single" w:color="auto" w:sz="4" w:space="0"/>
            </w:tcBorders>
            <w:shd w:val="clear" w:color="auto" w:fill="FFFFFF"/>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评分项目</w:t>
            </w:r>
          </w:p>
        </w:tc>
        <w:tc>
          <w:tcPr>
            <w:tcW w:w="7270" w:type="dxa"/>
            <w:tcBorders>
              <w:top w:val="single" w:color="auto" w:sz="4" w:space="0"/>
            </w:tcBorders>
            <w:shd w:val="clear" w:color="auto" w:fill="FFFFFF"/>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评分标准</w:t>
            </w:r>
          </w:p>
        </w:tc>
        <w:tc>
          <w:tcPr>
            <w:tcW w:w="959" w:type="dxa"/>
            <w:tcBorders>
              <w:top w:val="single" w:color="auto" w:sz="4" w:space="0"/>
            </w:tcBorders>
            <w:shd w:val="clear" w:color="auto" w:fill="FFFFFF"/>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749" w:type="dxa"/>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299" w:type="dxa"/>
            <w:tcBorders>
              <w:top w:val="single" w:color="auto" w:sz="4" w:space="0"/>
              <w:bottom w:val="single" w:color="auto" w:sz="4" w:space="0"/>
            </w:tcBorders>
            <w:vAlign w:val="center"/>
          </w:tcPr>
          <w:p>
            <w:pPr>
              <w:pStyle w:val="183"/>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GB"/>
              </w:rPr>
              <w:t>同类项目业绩</w:t>
            </w:r>
          </w:p>
        </w:tc>
        <w:tc>
          <w:tcPr>
            <w:tcW w:w="7270" w:type="dxa"/>
            <w:tcBorders>
              <w:top w:val="single" w:color="auto" w:sz="4" w:space="0"/>
              <w:bottom w:val="single" w:color="auto" w:sz="4" w:space="0"/>
            </w:tcBorders>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提供201</w:t>
            </w:r>
            <w:r>
              <w:rPr>
                <w:rFonts w:hint="eastAsia" w:asciiTheme="minorEastAsia" w:hAnsiTheme="minorEastAsia" w:eastAsiaTheme="minorEastAsia" w:cstheme="minorEastAsia"/>
                <w:color w:val="auto"/>
                <w:kern w:val="0"/>
                <w:sz w:val="21"/>
                <w:szCs w:val="21"/>
                <w:highlight w:val="none"/>
                <w:lang w:val="en-US" w:eastAsia="zh-CN"/>
              </w:rPr>
              <w:t>8</w:t>
            </w:r>
            <w:r>
              <w:rPr>
                <w:rFonts w:hint="eastAsia" w:asciiTheme="minorEastAsia" w:hAnsiTheme="minorEastAsia" w:eastAsiaTheme="minorEastAsia" w:cstheme="minorEastAsia"/>
                <w:color w:val="auto"/>
                <w:kern w:val="0"/>
                <w:sz w:val="21"/>
                <w:szCs w:val="21"/>
                <w:highlight w:val="none"/>
              </w:rPr>
              <w:t>年以来完成类似项目业绩（附</w:t>
            </w:r>
            <w:r>
              <w:rPr>
                <w:rFonts w:hint="eastAsia" w:asciiTheme="minorEastAsia" w:hAnsiTheme="minorEastAsia" w:eastAsiaTheme="minorEastAsia" w:cstheme="minorEastAsia"/>
                <w:color w:val="auto"/>
                <w:sz w:val="21"/>
                <w:szCs w:val="21"/>
                <w:highlight w:val="none"/>
              </w:rPr>
              <w:t>上成交/中标通知书或合同复印件</w:t>
            </w:r>
            <w:r>
              <w:rPr>
                <w:rFonts w:hint="eastAsia" w:asciiTheme="minorEastAsia" w:hAnsiTheme="minorEastAsia" w:eastAsiaTheme="minorEastAsia" w:cstheme="minorEastAsia"/>
                <w:color w:val="auto"/>
                <w:kern w:val="0"/>
                <w:sz w:val="21"/>
                <w:szCs w:val="21"/>
                <w:highlight w:val="none"/>
              </w:rPr>
              <w:t>）每提供一份业绩得2分，满分6分。</w:t>
            </w:r>
          </w:p>
        </w:tc>
        <w:tc>
          <w:tcPr>
            <w:tcW w:w="959" w:type="dxa"/>
            <w:tcBorders>
              <w:top w:val="single" w:color="auto" w:sz="4" w:space="0"/>
              <w:bottom w:val="single" w:color="auto" w:sz="4" w:space="0"/>
            </w:tcBorders>
            <w:vAlign w:val="center"/>
          </w:tcPr>
          <w:p>
            <w:pPr>
              <w:pStyle w:val="183"/>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52" w:hRule="atLeast"/>
          <w:jc w:val="center"/>
        </w:trPr>
        <w:tc>
          <w:tcPr>
            <w:tcW w:w="749" w:type="dxa"/>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299" w:type="dxa"/>
            <w:tcBorders>
              <w:top w:val="single" w:color="auto" w:sz="4" w:space="0"/>
              <w:bottom w:val="single" w:color="auto" w:sz="4" w:space="0"/>
            </w:tcBorders>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售后服务方案</w:t>
            </w:r>
          </w:p>
        </w:tc>
        <w:tc>
          <w:tcPr>
            <w:tcW w:w="7270"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对比报价人对本项目售后服务要求的响应情况：</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val="zh-CN"/>
              </w:rPr>
              <w:t>完全满足或优于招标要求的，</w:t>
            </w:r>
            <w:r>
              <w:rPr>
                <w:rFonts w:hint="eastAsia" w:asciiTheme="minorEastAsia" w:hAnsiTheme="minorEastAsia" w:eastAsiaTheme="minorEastAsia" w:cstheme="minorEastAsia"/>
                <w:color w:val="auto"/>
                <w:kern w:val="0"/>
                <w:sz w:val="21"/>
                <w:szCs w:val="21"/>
                <w:highlight w:val="none"/>
              </w:rPr>
              <w:t>提供详尽的售后服务方案，实施步骤清晰，承诺细致、满足用户要求，得</w:t>
            </w:r>
            <w:r>
              <w:rPr>
                <w:rFonts w:hint="eastAsia" w:asciiTheme="minorEastAsia" w:hAnsiTheme="minorEastAsia" w:eastAsiaTheme="minorEastAsia" w:cstheme="minorEastAsia"/>
                <w:color w:val="auto"/>
                <w:kern w:val="0"/>
                <w:sz w:val="21"/>
                <w:szCs w:val="21"/>
                <w:highlight w:val="none"/>
                <w:lang w:val="en-US" w:eastAsia="zh-CN"/>
              </w:rPr>
              <w:t>12</w:t>
            </w:r>
            <w:r>
              <w:rPr>
                <w:rFonts w:hint="eastAsia" w:asciiTheme="minorEastAsia" w:hAnsiTheme="minorEastAsia" w:eastAsiaTheme="minorEastAsia" w:cstheme="minorEastAsia"/>
                <w:color w:val="auto"/>
                <w:kern w:val="0"/>
                <w:sz w:val="21"/>
                <w:szCs w:val="21"/>
                <w:highlight w:val="none"/>
              </w:rPr>
              <w:t>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2.有提供售后服务方案，但叙述一般，步骤较清晰，承诺一般、满足用户要求一般，得</w:t>
            </w:r>
            <w:r>
              <w:rPr>
                <w:rFonts w:hint="eastAsia" w:asciiTheme="minorEastAsia" w:hAnsiTheme="minorEastAsia" w:eastAsiaTheme="minorEastAsia" w:cstheme="minorEastAsia"/>
                <w:color w:val="auto"/>
                <w:kern w:val="0"/>
                <w:sz w:val="21"/>
                <w:szCs w:val="21"/>
                <w:highlight w:val="none"/>
                <w:lang w:val="en-US" w:eastAsia="zh-CN"/>
              </w:rPr>
              <w:t>7</w:t>
            </w:r>
            <w:r>
              <w:rPr>
                <w:rFonts w:hint="eastAsia" w:asciiTheme="minorEastAsia" w:hAnsiTheme="minorEastAsia" w:eastAsiaTheme="minorEastAsia" w:cstheme="minorEastAsia"/>
                <w:color w:val="auto"/>
                <w:kern w:val="0"/>
                <w:sz w:val="21"/>
                <w:szCs w:val="21"/>
                <w:highlight w:val="none"/>
              </w:rPr>
              <w:t>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3.有提供售后服务方案，但叙述不强，步骤不清晰，承诺不完整、满足用户要求较差，得</w:t>
            </w:r>
            <w:r>
              <w:rPr>
                <w:rFonts w:hint="eastAsia" w:asciiTheme="minorEastAsia" w:hAnsiTheme="minorEastAsia" w:eastAsiaTheme="minorEastAsia" w:cstheme="minorEastAsia"/>
                <w:color w:val="auto"/>
                <w:kern w:val="0"/>
                <w:sz w:val="21"/>
                <w:szCs w:val="21"/>
                <w:highlight w:val="none"/>
                <w:lang w:val="en-US" w:eastAsia="zh-CN"/>
              </w:rPr>
              <w:t>3</w:t>
            </w:r>
            <w:r>
              <w:rPr>
                <w:rFonts w:hint="eastAsia" w:asciiTheme="minorEastAsia" w:hAnsiTheme="minorEastAsia" w:eastAsiaTheme="minorEastAsia" w:cstheme="minorEastAsia"/>
                <w:color w:val="auto"/>
                <w:kern w:val="0"/>
                <w:sz w:val="21"/>
                <w:szCs w:val="21"/>
                <w:highlight w:val="none"/>
              </w:rPr>
              <w:t>分。</w:t>
            </w:r>
          </w:p>
          <w:p>
            <w:pPr>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4.其他不得分。</w:t>
            </w:r>
          </w:p>
        </w:tc>
        <w:tc>
          <w:tcPr>
            <w:tcW w:w="959" w:type="dxa"/>
            <w:tcBorders>
              <w:top w:val="single" w:color="auto" w:sz="4" w:space="0"/>
              <w:bottom w:val="single" w:color="auto" w:sz="4" w:space="0"/>
            </w:tcBorders>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4" w:hRule="atLeast"/>
          <w:jc w:val="center"/>
        </w:trPr>
        <w:tc>
          <w:tcPr>
            <w:tcW w:w="749" w:type="dxa"/>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1299" w:type="dxa"/>
            <w:tcBorders>
              <w:top w:val="single" w:color="auto" w:sz="4" w:space="0"/>
              <w:bottom w:val="single" w:color="auto" w:sz="4" w:space="0"/>
            </w:tcBorders>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质量保修期年限</w:t>
            </w:r>
          </w:p>
        </w:tc>
        <w:tc>
          <w:tcPr>
            <w:tcW w:w="7270"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本项目竞争性磋商文件规定的质量保修期不低于一年，每增加一年得1分。</w:t>
            </w:r>
          </w:p>
          <w:p>
            <w:pPr>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此项满分为3分。</w:t>
            </w:r>
          </w:p>
        </w:tc>
        <w:tc>
          <w:tcPr>
            <w:tcW w:w="959" w:type="dxa"/>
            <w:tcBorders>
              <w:top w:val="single" w:color="auto" w:sz="4" w:space="0"/>
              <w:bottom w:val="single" w:color="auto" w:sz="4" w:space="0"/>
            </w:tcBorders>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55" w:hRule="atLeast"/>
          <w:jc w:val="center"/>
        </w:trPr>
        <w:tc>
          <w:tcPr>
            <w:tcW w:w="749" w:type="dxa"/>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1299" w:type="dxa"/>
            <w:tcBorders>
              <w:top w:val="single" w:color="auto" w:sz="4" w:space="0"/>
              <w:bottom w:val="single" w:color="auto" w:sz="4" w:space="0"/>
            </w:tcBorders>
            <w:vAlign w:val="center"/>
          </w:tcPr>
          <w:p>
            <w:pPr>
              <w:pStyle w:val="183"/>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售后服务响应时间</w:t>
            </w:r>
          </w:p>
        </w:tc>
        <w:tc>
          <w:tcPr>
            <w:tcW w:w="7270"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1.售后服务响应时间最快能到达现场的，得6分。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2.售后服务响应时间比较快能到达现场的，得3分。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3.售后服务响应时间一般，得1分。</w:t>
            </w:r>
          </w:p>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4.其他不得分。</w:t>
            </w:r>
          </w:p>
        </w:tc>
        <w:tc>
          <w:tcPr>
            <w:tcW w:w="959" w:type="dxa"/>
            <w:tcBorders>
              <w:top w:val="single" w:color="auto" w:sz="4" w:space="0"/>
              <w:bottom w:val="single" w:color="auto" w:sz="4" w:space="0"/>
            </w:tcBorders>
            <w:vAlign w:val="center"/>
          </w:tcPr>
          <w:p>
            <w:pPr>
              <w:pStyle w:val="183"/>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73" w:hRule="atLeast"/>
          <w:jc w:val="center"/>
        </w:trPr>
        <w:tc>
          <w:tcPr>
            <w:tcW w:w="749" w:type="dxa"/>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1299" w:type="dxa"/>
            <w:tcBorders>
              <w:top w:val="single" w:color="auto" w:sz="4" w:space="0"/>
              <w:bottom w:val="single" w:color="auto" w:sz="4" w:space="0"/>
            </w:tcBorders>
            <w:vAlign w:val="center"/>
          </w:tcPr>
          <w:p>
            <w:pPr>
              <w:pStyle w:val="183"/>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培训计划</w:t>
            </w:r>
          </w:p>
        </w:tc>
        <w:tc>
          <w:tcPr>
            <w:tcW w:w="7270" w:type="dxa"/>
            <w:tcBorders>
              <w:top w:val="single" w:color="auto" w:sz="4" w:space="0"/>
              <w:bottom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1.有提供免费培训计划,实施方案内容详尽可实施操作性强，得3分。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2.有提供免费培训计划，实施方案内容不详尽可操作性差，得1分。</w:t>
            </w:r>
          </w:p>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3.其他不得分。</w:t>
            </w:r>
          </w:p>
        </w:tc>
        <w:tc>
          <w:tcPr>
            <w:tcW w:w="959" w:type="dxa"/>
            <w:tcBorders>
              <w:top w:val="single" w:color="auto" w:sz="4" w:space="0"/>
              <w:bottom w:val="single" w:color="auto" w:sz="4" w:space="0"/>
            </w:tcBorders>
            <w:vAlign w:val="center"/>
          </w:tcPr>
          <w:p>
            <w:pPr>
              <w:pStyle w:val="183"/>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1" w:hRule="atLeast"/>
          <w:jc w:val="center"/>
        </w:trPr>
        <w:tc>
          <w:tcPr>
            <w:tcW w:w="9318" w:type="dxa"/>
            <w:gridSpan w:val="3"/>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合计</w:t>
            </w:r>
          </w:p>
        </w:tc>
        <w:tc>
          <w:tcPr>
            <w:tcW w:w="959" w:type="dxa"/>
            <w:tcBorders>
              <w:top w:val="single" w:color="auto" w:sz="4" w:space="0"/>
              <w:bottom w:val="single" w:color="auto" w:sz="4" w:space="0"/>
            </w:tcBorders>
            <w:vAlign w:val="center"/>
          </w:tcPr>
          <w:p>
            <w:pPr>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bl>
    <w:p>
      <w:pPr>
        <w:snapToGrid w:val="0"/>
        <w:rPr>
          <w:color w:val="auto"/>
          <w:highlight w:val="none"/>
        </w:rPr>
      </w:pPr>
      <w:r>
        <w:rPr>
          <w:rFonts w:hint="eastAsia" w:ascii="宋体" w:hAnsi="宋体" w:cs="宋体"/>
          <w:b/>
          <w:bCs/>
          <w:color w:val="auto"/>
          <w:highlight w:val="none"/>
        </w:rPr>
        <w:t>备注：竞争性磋商文件要求提交的与评价指标体系相关的各类有效资料，</w:t>
      </w:r>
      <w:r>
        <w:rPr>
          <w:rFonts w:hint="eastAsia" w:ascii="宋体" w:hAnsi="宋体" w:cs="宋体"/>
          <w:b/>
          <w:bCs/>
          <w:color w:val="auto"/>
          <w:highlight w:val="none"/>
          <w:lang w:eastAsia="zh-CN"/>
        </w:rPr>
        <w:t>报价人</w:t>
      </w:r>
      <w:r>
        <w:rPr>
          <w:rFonts w:hint="eastAsia" w:ascii="宋体" w:hAnsi="宋体" w:cs="宋体"/>
          <w:b/>
          <w:bCs/>
          <w:color w:val="auto"/>
          <w:highlight w:val="none"/>
        </w:rPr>
        <w:t>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有效</w:t>
            </w:r>
            <w:r>
              <w:rPr>
                <w:rFonts w:hint="eastAsia" w:ascii="宋体" w:hAnsi="宋体" w:cs="宋体"/>
                <w:color w:val="auto"/>
                <w:kern w:val="0"/>
                <w:szCs w:val="21"/>
                <w:highlight w:val="none"/>
                <w:lang w:eastAsia="zh-CN"/>
              </w:rPr>
              <w:t>报价人</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的价格为磋商基准价，其价格分为满分。其他</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42" w:name="_Toc475104537"/>
      <w:bookmarkStart w:id="343"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42"/>
      <w:bookmarkEnd w:id="343"/>
    </w:p>
    <w:p>
      <w:pPr>
        <w:spacing w:line="360" w:lineRule="auto"/>
        <w:rPr>
          <w:rFonts w:ascii="宋体" w:hAnsi="宋体"/>
          <w:bCs/>
          <w:color w:val="auto"/>
          <w:sz w:val="28"/>
          <w:highlight w:val="none"/>
        </w:rPr>
      </w:pPr>
      <w:bookmarkStart w:id="344" w:name="_Toc34535358"/>
      <w:bookmarkStart w:id="345" w:name="_Toc35834912"/>
      <w:bookmarkStart w:id="346" w:name="_Toc14450838"/>
      <w:bookmarkStart w:id="347" w:name="_Toc109467908"/>
      <w:bookmarkStart w:id="348" w:name="_Toc28489496"/>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49" w:name="_Toc163481918"/>
      <w:r>
        <w:rPr>
          <w:rFonts w:hint="eastAsia"/>
          <w:color w:val="auto"/>
          <w:szCs w:val="30"/>
          <w:highlight w:val="none"/>
        </w:rPr>
        <w:br w:type="page"/>
      </w:r>
    </w:p>
    <w:p>
      <w:pPr>
        <w:pStyle w:val="5"/>
        <w:numPr>
          <w:ilvl w:val="0"/>
          <w:numId w:val="18"/>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4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★具有独立承担民事责任的能力【提供法人或者其他组织的营业执照、组织机构代码证和税务登记证（或三证合一证明）等证明文件】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★具有良好的商业信誉和健全的财务会计制度【提供2018年或2019年的财务状况报告或基本开户行（提供开户许可证）出具的资信证明复印件。如</w:t>
            </w:r>
            <w:r>
              <w:rPr>
                <w:rFonts w:hint="eastAsia" w:ascii="宋体" w:hAnsi="宋体" w:cs="宋体"/>
                <w:color w:val="auto"/>
                <w:kern w:val="0"/>
                <w:szCs w:val="21"/>
                <w:highlight w:val="none"/>
                <w:lang w:eastAsia="zh-CN"/>
              </w:rPr>
              <w:t>报价人</w:t>
            </w:r>
            <w:r>
              <w:rPr>
                <w:rFonts w:hint="eastAsia" w:ascii="宋体" w:hAnsi="宋体" w:eastAsia="宋体" w:cs="宋体"/>
                <w:color w:val="auto"/>
                <w:kern w:val="0"/>
                <w:szCs w:val="21"/>
                <w:highlight w:val="none"/>
              </w:rPr>
              <w:t>为新注册的，提供成立至今的月或季度财务状况报告复印件】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为非独立法人（即由合法法人依法建立的分公司），除了对</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单位负责人为同一人或者存在直接控股、管理关系的不同</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，不得参加同一合同项下的政府采购活动。为采购项目提供整体设计、规范编制或者项目管理、监理、检测等服务的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r>
        <w:rPr>
          <w:rFonts w:hint="eastAsia"/>
          <w:color w:val="auto"/>
          <w:szCs w:val="30"/>
          <w:highlight w:val="none"/>
        </w:rPr>
        <w:br w:type="page"/>
      </w:r>
    </w:p>
    <w:p>
      <w:pPr>
        <w:pStyle w:val="5"/>
        <w:numPr>
          <w:ilvl w:val="0"/>
          <w:numId w:val="18"/>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报价人</w:t>
      </w:r>
      <w:r>
        <w:rPr>
          <w:rFonts w:hint="eastAsia" w:ascii="宋体" w:hAnsi="宋体"/>
          <w:color w:val="auto"/>
          <w:szCs w:val="21"/>
          <w:highlight w:val="none"/>
          <w:u w:val="single"/>
        </w:rPr>
        <w:t>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w:t>
      </w:r>
      <w:r>
        <w:rPr>
          <w:rFonts w:hint="eastAsia" w:ascii="宋体" w:hAnsi="宋体"/>
          <w:color w:val="auto"/>
          <w:szCs w:val="21"/>
          <w:highlight w:val="none"/>
          <w:lang w:eastAsia="zh-CN"/>
        </w:rPr>
        <w:t>报价人</w:t>
      </w:r>
      <w:r>
        <w:rPr>
          <w:rFonts w:hint="eastAsia" w:ascii="宋体" w:hAnsi="宋体"/>
          <w:color w:val="auto"/>
          <w:szCs w:val="21"/>
          <w:highlight w:val="none"/>
        </w:rPr>
        <w:t>成交</w:t>
      </w:r>
      <w:r>
        <w:rPr>
          <w:rFonts w:hint="eastAsia" w:ascii="宋体" w:hAnsi="宋体"/>
          <w:color w:val="auto"/>
          <w:szCs w:val="21"/>
          <w:highlight w:val="none"/>
          <w:lang w:eastAsia="zh-CN"/>
        </w:rPr>
        <w:t>报价人</w:t>
      </w:r>
      <w:r>
        <w:rPr>
          <w:rFonts w:hint="eastAsia" w:ascii="宋体" w:hAnsi="宋体"/>
          <w:color w:val="auto"/>
          <w:szCs w:val="21"/>
          <w:highlight w:val="none"/>
        </w:rPr>
        <w:t>，有效期将延至合同终止日为止；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w:t>
      </w:r>
      <w:r>
        <w:rPr>
          <w:rFonts w:hint="eastAsia" w:ascii="宋体" w:hAnsi="宋体"/>
          <w:color w:val="auto"/>
          <w:szCs w:val="21"/>
          <w:highlight w:val="none"/>
          <w:lang w:eastAsia="zh-CN"/>
        </w:rPr>
        <w:t>报价人</w:t>
      </w:r>
      <w:r>
        <w:rPr>
          <w:rFonts w:hint="eastAsia" w:ascii="宋体" w:hAnsi="宋体"/>
          <w:color w:val="auto"/>
          <w:szCs w:val="21"/>
          <w:highlight w:val="none"/>
        </w:rPr>
        <w:t>成交</w:t>
      </w:r>
      <w:r>
        <w:rPr>
          <w:rFonts w:hint="eastAsia" w:ascii="宋体" w:hAnsi="宋体"/>
          <w:color w:val="auto"/>
          <w:szCs w:val="21"/>
          <w:highlight w:val="none"/>
          <w:lang w:eastAsia="zh-CN"/>
        </w:rPr>
        <w:t>报价人</w:t>
      </w:r>
      <w:r>
        <w:rPr>
          <w:rFonts w:hint="eastAsia" w:ascii="宋体" w:hAnsi="宋体"/>
          <w:color w:val="auto"/>
          <w:szCs w:val="21"/>
          <w:highlight w:val="none"/>
        </w:rPr>
        <w:t>，将保证履行竞争性磋商文件以及竞争性磋商文件修改书（如有的话）中的全部责任和义务，按质、按量、按期完成《合同》中的全部任务；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lang w:eastAsia="zh-CN"/>
        </w:rPr>
        <w:t>报价人</w:t>
      </w:r>
      <w:r>
        <w:rPr>
          <w:rFonts w:hint="eastAsia" w:ascii="宋体" w:hAnsi="宋体"/>
          <w:color w:val="auto"/>
          <w:szCs w:val="21"/>
          <w:highlight w:val="none"/>
        </w:rPr>
        <w:t>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0" w:name="_Toc55816096"/>
      <w:bookmarkStart w:id="351" w:name="_Toc109467909"/>
      <w:bookmarkStart w:id="352" w:name="_Toc34535359"/>
      <w:bookmarkStart w:id="353" w:name="_Toc35834913"/>
      <w:bookmarkStart w:id="354" w:name="_Toc28489497"/>
      <w:bookmarkStart w:id="355" w:name="_Toc86065029"/>
      <w:bookmarkStart w:id="356" w:name="_Toc25224019"/>
      <w:bookmarkStart w:id="357" w:name="_Toc14450839"/>
      <w:bookmarkStart w:id="358" w:name="_Toc4144835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59" w:name="_Toc223939105"/>
      <w:r>
        <w:rPr>
          <w:rFonts w:hint="eastAsia" w:hAnsi="宋体"/>
          <w:color w:val="auto"/>
          <w:szCs w:val="21"/>
          <w:highlight w:val="none"/>
        </w:rPr>
        <w:t>现任我单位职务，为法定代表人，特此证明。</w:t>
      </w:r>
      <w:bookmarkEnd w:id="359"/>
      <w:bookmarkStart w:id="36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60"/>
      <w:bookmarkStart w:id="36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1"/>
      <w:bookmarkStart w:id="36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362"/>
      <w:bookmarkStart w:id="36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w:t>
            </w:r>
            <w:r>
              <w:rPr>
                <w:rFonts w:hint="eastAsia" w:hAnsi="宋体"/>
                <w:b/>
                <w:color w:val="auto"/>
                <w:szCs w:val="21"/>
                <w:highlight w:val="none"/>
                <w:lang w:eastAsia="zh-CN"/>
              </w:rPr>
              <w:t>报价人</w:t>
            </w:r>
            <w:r>
              <w:rPr>
                <w:rFonts w:hint="eastAsia" w:hAnsi="宋体"/>
                <w:b/>
                <w:color w:val="auto"/>
                <w:szCs w:val="21"/>
                <w:highlight w:val="none"/>
              </w:rPr>
              <w:t>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w:t>
      </w:r>
      <w:r>
        <w:rPr>
          <w:rFonts w:hint="eastAsia" w:hAnsi="宋体"/>
          <w:b/>
          <w:color w:val="auto"/>
          <w:szCs w:val="21"/>
          <w:highlight w:val="none"/>
          <w:lang w:eastAsia="zh-CN"/>
        </w:rPr>
        <w:t>报价人</w:t>
      </w:r>
      <w:r>
        <w:rPr>
          <w:rFonts w:hint="eastAsia" w:hAnsi="宋体"/>
          <w:b/>
          <w:color w:val="auto"/>
          <w:szCs w:val="21"/>
          <w:highlight w:val="none"/>
        </w:rPr>
        <w:t>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一、本公司（企业）具备《中华人民共和国政府采购法》第二十二条资格条件：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（一）具有独立承担民事责任的能力【</w:t>
      </w:r>
      <w:r>
        <w:rPr>
          <w:rFonts w:hint="eastAsia"/>
          <w:color w:val="auto"/>
          <w:highlight w:val="none"/>
        </w:rPr>
        <w:t>提供法人或者其他组织的营业执照、组织机构代码证和税务登记证（或三证合一证明）等证明文件</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（二）具有良好的商业信誉和健全的财务会计制度【</w:t>
      </w:r>
      <w:r>
        <w:rPr>
          <w:rFonts w:hint="eastAsia"/>
          <w:color w:val="auto"/>
          <w:highlight w:val="none"/>
        </w:rPr>
        <w:t>提供2018年或2019年的财务状况报告或基本开户行（提供开户许可证）出具的资信证明复印件。如</w:t>
      </w:r>
      <w:r>
        <w:rPr>
          <w:rFonts w:hint="eastAsia"/>
          <w:color w:val="auto"/>
          <w:highlight w:val="none"/>
          <w:lang w:eastAsia="zh-CN"/>
        </w:rPr>
        <w:t>报价人</w:t>
      </w:r>
      <w:r>
        <w:rPr>
          <w:rFonts w:hint="eastAsia"/>
          <w:color w:val="auto"/>
          <w:highlight w:val="none"/>
        </w:rPr>
        <w:t>为新注册的，提供成立至今的月或季度财务状况报告复印件</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（三）具有履行合同所必需的设备和专业技术能力【</w:t>
      </w:r>
      <w:r>
        <w:rPr>
          <w:rFonts w:hint="eastAsia"/>
          <w:color w:val="auto"/>
          <w:highlight w:val="none"/>
        </w:rPr>
        <w:t>提供履行合同所必需的设备清单以及技术人员的名单材料</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（四）有依法缴纳税收和社会保障资金的良好记录【</w:t>
      </w:r>
      <w:r>
        <w:rPr>
          <w:rFonts w:hint="eastAsia"/>
          <w:color w:val="auto"/>
          <w:highlight w:val="none"/>
        </w:rPr>
        <w:t>提供缴纳税收和社会保险的凭证。如依法免税或不需要缴纳社会保障资金的，应提供相应文件证明</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（五）参加政府采购活动前三年内，在经营活动中没有重大违法记录【</w:t>
      </w:r>
      <w:r>
        <w:rPr>
          <w:rFonts w:hint="eastAsia"/>
          <w:color w:val="auto"/>
          <w:highlight w:val="none"/>
        </w:rPr>
        <w:t>提供书面声明</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（六）法律、行政法规规定的其他条件。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二、根据《中华人民共和国政府采购法实施条例》的规定，本公司（企业）如为采购项目提供整体设计、规范编制或者项目管理、监理、检测等服务的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eastAsia="宋体" w:cs="宋体"/>
          <w:color w:val="auto"/>
          <w:szCs w:val="21"/>
          <w:highlight w:val="none"/>
        </w:rPr>
        <w:t>，不再参加该采购项目的其他采购活动。否则，由此所造成的损失、不良后果及法律责任，一律由我公司（企业）承担。</w:t>
      </w:r>
    </w:p>
    <w:p>
      <w:pPr>
        <w:snapToGrid w:val="0"/>
        <w:spacing w:before="120" w:beforeLines="50" w:line="360" w:lineRule="auto"/>
        <w:ind w:firstLine="525" w:firstLineChars="250"/>
        <w:rPr>
          <w:rFonts w:hint="eastAsia" w:ascii="宋体" w:hAnsi="宋体" w:eastAsia="宋体" w:cs="宋体"/>
          <w:color w:val="auto"/>
          <w:highlight w:val="none"/>
        </w:rPr>
      </w:pPr>
      <w:r>
        <w:rPr>
          <w:rFonts w:hint="eastAsia" w:ascii="宋体" w:hAnsi="宋体" w:eastAsia="宋体" w:cs="宋体"/>
          <w:color w:val="auto"/>
          <w:szCs w:val="21"/>
          <w:highlight w:val="none"/>
        </w:rPr>
        <w:t>三、</w:t>
      </w:r>
      <w:r>
        <w:rPr>
          <w:rFonts w:hint="eastAsia" w:ascii="宋体" w:hAnsi="宋体" w:eastAsia="宋体" w:cs="宋体"/>
          <w:color w:val="auto"/>
          <w:highlight w:val="none"/>
        </w:rPr>
        <w:t>本公司（企业）的法定代表人或单位负责人与本项目其他</w:t>
      </w:r>
      <w:r>
        <w:rPr>
          <w:rFonts w:hint="eastAsia" w:ascii="宋体" w:hAnsi="宋体" w:cs="宋体"/>
          <w:color w:val="auto"/>
          <w:highlight w:val="none"/>
          <w:lang w:eastAsia="zh-CN"/>
        </w:rPr>
        <w:t>报价人</w:t>
      </w:r>
      <w:r>
        <w:rPr>
          <w:rFonts w:hint="eastAsia" w:ascii="宋体" w:hAnsi="宋体" w:eastAsia="宋体" w:cs="宋体"/>
          <w:color w:val="auto"/>
          <w:highlight w:val="none"/>
        </w:rPr>
        <w:t>的法定代表人或单位负责人不为同一人且与其他</w:t>
      </w:r>
      <w:r>
        <w:rPr>
          <w:rFonts w:hint="eastAsia" w:ascii="宋体" w:hAnsi="宋体" w:cs="宋体"/>
          <w:color w:val="auto"/>
          <w:highlight w:val="none"/>
          <w:lang w:eastAsia="zh-CN"/>
        </w:rPr>
        <w:t>报价人</w:t>
      </w:r>
      <w:r>
        <w:rPr>
          <w:rFonts w:hint="eastAsia" w:ascii="宋体" w:hAnsi="宋体" w:eastAsia="宋体" w:cs="宋体"/>
          <w:color w:val="auto"/>
          <w:highlight w:val="none"/>
        </w:rPr>
        <w:t>之间不存在直接控股、管理关系。</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四、本公司（企业）政府采购活动前三年内，没有正在被司法机关立案调查。</w:t>
      </w:r>
    </w:p>
    <w:p>
      <w:pPr>
        <w:snapToGrid w:val="0"/>
        <w:spacing w:line="360" w:lineRule="auto"/>
        <w:ind w:firstLine="420" w:firstLineChars="200"/>
        <w:jc w:val="left"/>
        <w:rPr>
          <w:color w:val="auto"/>
          <w:szCs w:val="21"/>
          <w:highlight w:val="none"/>
        </w:rPr>
      </w:pPr>
      <w:r>
        <w:rPr>
          <w:rFonts w:hint="eastAsia" w:ascii="宋体" w:hAnsi="宋体" w:eastAsia="宋体" w:cs="宋体"/>
          <w:color w:val="auto"/>
          <w:szCs w:val="21"/>
          <w:highlight w:val="none"/>
        </w:rPr>
        <w:t>本公司（企业）已清楚</w:t>
      </w:r>
      <w:r>
        <w:rPr>
          <w:rFonts w:hint="eastAsia" w:ascii="宋体" w:hAnsi="宋体" w:eastAsia="宋体" w:cs="宋体"/>
          <w:color w:val="auto"/>
          <w:szCs w:val="21"/>
          <w:highlight w:val="none"/>
          <w:lang w:eastAsia="zh-CN"/>
        </w:rPr>
        <w:t>竞争性磋商文件</w:t>
      </w:r>
      <w:r>
        <w:rPr>
          <w:rFonts w:hint="eastAsia" w:ascii="宋体" w:hAnsi="宋体" w:eastAsia="宋体" w:cs="宋体"/>
          <w:color w:val="auto"/>
          <w:szCs w:val="21"/>
          <w:highlight w:val="none"/>
        </w:rPr>
        <w:t>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adjustRightInd w:val="0"/>
        <w:snapToGrid w:val="0"/>
        <w:spacing w:line="360" w:lineRule="auto"/>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lang w:eastAsia="zh-CN"/>
        </w:rPr>
        <w:t>报价人</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w:t>
      </w:r>
      <w:r>
        <w:rPr>
          <w:rFonts w:hint="eastAsia" w:ascii="宋体" w:hAnsi="宋体"/>
          <w:b/>
          <w:color w:val="auto"/>
          <w:szCs w:val="21"/>
          <w:highlight w:val="none"/>
          <w:lang w:eastAsia="zh-CN"/>
        </w:rPr>
        <w:t>报价人</w:t>
      </w:r>
      <w:r>
        <w:rPr>
          <w:rFonts w:hint="eastAsia" w:ascii="宋体" w:hAnsi="宋体"/>
          <w:b/>
          <w:color w:val="auto"/>
          <w:szCs w:val="21"/>
          <w:highlight w:val="none"/>
        </w:rPr>
        <w:t>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w:t>
      </w:r>
      <w:r>
        <w:rPr>
          <w:rFonts w:hint="eastAsia" w:ascii="宋体" w:hAnsi="宋体"/>
          <w:b/>
          <w:color w:val="auto"/>
          <w:szCs w:val="21"/>
          <w:highlight w:val="none"/>
          <w:lang w:eastAsia="zh-CN"/>
        </w:rPr>
        <w:t>报价人</w:t>
      </w:r>
      <w:r>
        <w:rPr>
          <w:rFonts w:hint="eastAsia" w:ascii="宋体" w:hAnsi="宋体"/>
          <w:b/>
          <w:color w:val="auto"/>
          <w:szCs w:val="21"/>
          <w:highlight w:val="none"/>
        </w:rPr>
        <w:t>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w:t>
      </w:r>
      <w:r>
        <w:rPr>
          <w:rFonts w:hint="eastAsia" w:ascii="宋体" w:hAnsi="宋体" w:cs="宋体"/>
          <w:b/>
          <w:color w:val="auto"/>
          <w:szCs w:val="21"/>
          <w:highlight w:val="none"/>
          <w:lang w:eastAsia="zh-CN"/>
        </w:rPr>
        <w:t>报价人</w:t>
      </w:r>
      <w:r>
        <w:rPr>
          <w:rFonts w:hint="eastAsia" w:ascii="宋体" w:hAnsi="宋体" w:eastAsia="宋体" w:cs="宋体"/>
          <w:b/>
          <w:color w:val="auto"/>
          <w:szCs w:val="21"/>
          <w:highlight w:val="none"/>
        </w:rPr>
        <w:t>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050" w:type="dxa"/>
        <w:tblInd w:w="0" w:type="dxa"/>
        <w:tblLayout w:type="fixed"/>
        <w:tblCellMar>
          <w:top w:w="15" w:type="dxa"/>
          <w:left w:w="15" w:type="dxa"/>
          <w:bottom w:w="15" w:type="dxa"/>
          <w:right w:w="15" w:type="dxa"/>
        </w:tblCellMar>
      </w:tblPr>
      <w:tblGrid>
        <w:gridCol w:w="554"/>
        <w:gridCol w:w="1025"/>
        <w:gridCol w:w="2274"/>
        <w:gridCol w:w="700"/>
        <w:gridCol w:w="755"/>
        <w:gridCol w:w="1080"/>
        <w:gridCol w:w="1402"/>
        <w:gridCol w:w="1260"/>
      </w:tblGrid>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序号</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货物名称</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型号规格</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数量</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单价（元）</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kern w:val="0"/>
                <w:sz w:val="21"/>
                <w:szCs w:val="21"/>
                <w:highlight w:val="none"/>
              </w:rPr>
              <w:t>金额合计（元）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所投品牌</w:t>
            </w: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玻璃钢离心风机</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F4-72- 6A、N=4Kw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Q= 6670-13340m3/h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 1120-718Pa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r= 1450r/m</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玻璃钢离心风机</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F4-72- 7A、N=7.5Kw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Q= 11300-19400m3/h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 1570-1045Pa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r= 1450r/m</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玻璃钢离心风机</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F4-72- 8C、N=11Kw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Q= 14100-26800m3/h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 11940-1078Pa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r= 1350r/m</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约#6A-600*400 玻璃钢</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约#7A-800*400 玻璃钢</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约#8C-1000*400 玻璃钢</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 PVC</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 PVC</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 PVC</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伞形防雨帽</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#6A 玻璃钢</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伞形防雨帽</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#7A 玻璃钢</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伞形防雨帽</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#8C 玻璃钢</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风机减震垫</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风机水泥机座</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吸附箱水泥机座</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消声器</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color w:val="auto"/>
                <w:kern w:val="0"/>
                <w:sz w:val="21"/>
                <w:szCs w:val="21"/>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处理风量约10000m3/h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(2)系统调试费         </w:t>
            </w:r>
          </w:p>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(3)外箱尺寸约1800*1500*1200mm</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处理风量约15000m3/h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(2)系统调试费        </w:t>
            </w:r>
          </w:p>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r>
              <w:rPr>
                <w:rStyle w:val="220"/>
                <w:rFonts w:hint="eastAsia" w:asciiTheme="minorEastAsia" w:hAnsiTheme="minorEastAsia" w:eastAsiaTheme="minorEastAsia" w:cstheme="minorEastAsia"/>
                <w:color w:val="auto"/>
                <w:sz w:val="21"/>
                <w:szCs w:val="21"/>
                <w:highlight w:val="none"/>
                <w:lang w:val="en-US" w:eastAsia="zh-CN" w:bidi="ar"/>
              </w:rPr>
              <w:t>外箱尺寸</w:t>
            </w:r>
            <w:r>
              <w:rPr>
                <w:rFonts w:hint="eastAsia" w:asciiTheme="minorEastAsia" w:hAnsiTheme="minorEastAsia" w:eastAsiaTheme="minorEastAsia" w:cstheme="minorEastAsia"/>
                <w:i w:val="0"/>
                <w:color w:val="auto"/>
                <w:kern w:val="0"/>
                <w:sz w:val="21"/>
                <w:szCs w:val="21"/>
                <w:highlight w:val="none"/>
                <w:u w:val="none"/>
                <w:lang w:val="en-US" w:eastAsia="zh-CN" w:bidi="ar"/>
              </w:rPr>
              <w:t>约</w:t>
            </w:r>
            <w:r>
              <w:rPr>
                <w:rStyle w:val="220"/>
                <w:rFonts w:hint="eastAsia" w:asciiTheme="minorEastAsia" w:hAnsiTheme="minorEastAsia" w:eastAsiaTheme="minorEastAsia" w:cstheme="minorEastAsia"/>
                <w:color w:val="auto"/>
                <w:sz w:val="21"/>
                <w:szCs w:val="21"/>
                <w:highlight w:val="none"/>
                <w:lang w:val="en-US" w:eastAsia="zh-CN" w:bidi="ar"/>
              </w:rPr>
              <w:t>2400*1500*1200mm</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处理风量约21000m3/h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(2)系统调试费        </w:t>
            </w:r>
          </w:p>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r>
              <w:rPr>
                <w:rStyle w:val="220"/>
                <w:rFonts w:hint="eastAsia" w:asciiTheme="minorEastAsia" w:hAnsiTheme="minorEastAsia" w:eastAsiaTheme="minorEastAsia" w:cstheme="minorEastAsia"/>
                <w:color w:val="auto"/>
                <w:sz w:val="21"/>
                <w:szCs w:val="21"/>
                <w:highlight w:val="none"/>
                <w:lang w:val="en-US" w:eastAsia="zh-CN" w:bidi="ar"/>
              </w:rPr>
              <w:t>外箱尺寸</w:t>
            </w:r>
            <w:r>
              <w:rPr>
                <w:rFonts w:hint="eastAsia" w:asciiTheme="minorEastAsia" w:hAnsiTheme="minorEastAsia" w:eastAsiaTheme="minorEastAsia" w:cstheme="minorEastAsia"/>
                <w:i w:val="0"/>
                <w:color w:val="auto"/>
                <w:kern w:val="0"/>
                <w:sz w:val="21"/>
                <w:szCs w:val="21"/>
                <w:highlight w:val="none"/>
                <w:u w:val="none"/>
                <w:lang w:val="en-US" w:eastAsia="zh-CN" w:bidi="ar"/>
              </w:rPr>
              <w:t>约</w:t>
            </w:r>
            <w:r>
              <w:rPr>
                <w:rStyle w:val="220"/>
                <w:rFonts w:hint="eastAsia" w:asciiTheme="minorEastAsia" w:hAnsiTheme="minorEastAsia" w:eastAsiaTheme="minorEastAsia" w:cstheme="minorEastAsia"/>
                <w:color w:val="auto"/>
                <w:sz w:val="21"/>
                <w:szCs w:val="21"/>
                <w:highlight w:val="none"/>
                <w:lang w:val="en-US" w:eastAsia="zh-CN" w:bidi="ar"/>
              </w:rPr>
              <w:t>2600*2000*1500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(2)规格:约600*400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(2)规格:约800*400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(2)规格:约1000*400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108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315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81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29</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121</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31</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44</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32</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35</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37</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38</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弯头</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约400*300\ø250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约600*400\ø250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约600*400\400*300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约800*400\ø315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变径</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约1000*400\600*400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约ø160\ø160\ø110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约ø315\ø315\ø110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54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约ø250\ø250\ø160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约ø315\ø315\ø160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约400*300\400*300\ø315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约600*400\600*400\ø160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约600*400\600*400\ø250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约600*400\600*400\400*300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约800*400\800*400\400*300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约1000*400\1000*400\ø160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 </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465"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29</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3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约1000*400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风阀控制面板配底座</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36</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管道静压传感控制系统</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变频器</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约4KW</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变频器</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约7.5 KW</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9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72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变频器</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约11KW</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通风配电箱1</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1.成套配电箱安装、交流接触器、中间继电器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2、按钮、指示灯、电流表</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通风配电箱2</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1.成套配电箱安装、交流接触器、中间继电器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2、按钮、指示灯、电流表</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通风配电箱3</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1.成套配电箱安装、交流接触器、中间继电器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2、按钮、指示灯、电流表</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约ZR-YJV-4x4mm2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约ZR-YJV-4x6mm2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约ZR-YJV-4x10mm2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79</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电动风阀电源线</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约ZR-BV-3x0.75mm2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控制面板电源线</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约ZR-BV-3x1.0mm2</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系统控制线</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8芯数据控制线</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线管</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5400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镀锌桥架及配件</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约100*50*1.5mm钢制喷涂</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风管支吊架</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1.类型:通风设备支架制作安装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2.材质:钢结构</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3.除锈、刷油设计要求:手工除锈 防锈漆两遍</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790</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Kg</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85</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开风口及修复</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lang w:val="en-US" w:eastAsia="zh-CN"/>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86</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安装辅材</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包含安装所需的各种胶水，粘胶带，胶布，扎丝，帮扎带，支架，吊架，焊条，锁母，电工套管，涂料、油漆、松节油、银粉、水泥、沙子、铁钉、膨胀螺丝，螺栓、螺帽、铁线、粉线、测水平管、生料带、钢锯条、切割机砂轮片、砂纸、钢丝刷子、橡胶垫、橡胶石棉板等辅助性材料的采购与安装</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r>
        <w:tblPrEx>
          <w:tblCellMar>
            <w:top w:w="15" w:type="dxa"/>
            <w:left w:w="15" w:type="dxa"/>
            <w:bottom w:w="15" w:type="dxa"/>
            <w:right w:w="15" w:type="dxa"/>
          </w:tblCellMar>
        </w:tblPrEx>
        <w:trPr>
          <w:trHeight w:val="660" w:hRule="atLeast"/>
        </w:trPr>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设备吊装费</w:t>
            </w:r>
          </w:p>
        </w:tc>
        <w:tc>
          <w:tcPr>
            <w:tcW w:w="22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highlight w:val="none"/>
                <w:lang w:val="en-US" w:eastAsia="zh-CN"/>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auto"/>
                <w:sz w:val="21"/>
                <w:szCs w:val="21"/>
                <w:highlight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auto"/>
                <w:sz w:val="21"/>
                <w:szCs w:val="21"/>
                <w:highlight w:val="none"/>
              </w:rPr>
            </w:pPr>
          </w:p>
        </w:tc>
      </w:tr>
    </w:tbl>
    <w:p>
      <w:pPr>
        <w:pStyle w:val="47"/>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w:t>
      </w:r>
      <w:r>
        <w:rPr>
          <w:rFonts w:hint="eastAsia" w:ascii="宋体" w:hAnsi="宋体"/>
          <w:b/>
          <w:color w:val="auto"/>
          <w:szCs w:val="21"/>
          <w:highlight w:val="none"/>
          <w:lang w:eastAsia="zh-CN"/>
        </w:rPr>
        <w:t>报价人</w:t>
      </w:r>
      <w:r>
        <w:rPr>
          <w:rFonts w:hint="eastAsia" w:ascii="宋体" w:hAnsi="宋体"/>
          <w:b/>
          <w:color w:val="auto"/>
          <w:szCs w:val="21"/>
          <w:highlight w:val="none"/>
        </w:rPr>
        <w:t>自行设计。</w:t>
      </w:r>
      <w:r>
        <w:rPr>
          <w:rFonts w:hint="eastAsia" w:ascii="宋体" w:hAnsi="宋体"/>
          <w:b/>
          <w:color w:val="auto"/>
          <w:szCs w:val="21"/>
          <w:highlight w:val="none"/>
          <w:lang w:eastAsia="zh-CN"/>
        </w:rPr>
        <w:t>报价人</w:t>
      </w:r>
      <w:r>
        <w:rPr>
          <w:rFonts w:hint="eastAsia" w:ascii="宋体" w:hAnsi="宋体"/>
          <w:b/>
          <w:color w:val="auto"/>
          <w:szCs w:val="21"/>
          <w:highlight w:val="none"/>
        </w:rPr>
        <w:t>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lang w:val="en-US" w:eastAsia="zh-CN"/>
        </w:rPr>
        <w:t>3.</w:t>
      </w:r>
      <w:r>
        <w:rPr>
          <w:rFonts w:hint="eastAsia" w:ascii="宋体" w:hAnsi="宋体"/>
          <w:b/>
          <w:color w:val="auto"/>
          <w:szCs w:val="21"/>
          <w:highlight w:val="none"/>
        </w:rPr>
        <w:t>该表格式仅作参考，</w:t>
      </w:r>
      <w:r>
        <w:rPr>
          <w:rFonts w:hint="eastAsia" w:ascii="宋体" w:hAnsi="宋体"/>
          <w:b/>
          <w:color w:val="auto"/>
          <w:szCs w:val="21"/>
          <w:highlight w:val="none"/>
          <w:lang w:eastAsia="zh-CN"/>
        </w:rPr>
        <w:t>报价人</w:t>
      </w:r>
      <w:r>
        <w:rPr>
          <w:rFonts w:hint="eastAsia" w:ascii="宋体" w:hAnsi="宋体"/>
          <w:b/>
          <w:color w:val="auto"/>
          <w:szCs w:val="21"/>
          <w:highlight w:val="none"/>
        </w:rPr>
        <w:t>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w:t>
            </w:r>
            <w:r>
              <w:rPr>
                <w:rFonts w:hint="eastAsia" w:ascii="宋体" w:hAnsi="宋体"/>
                <w:color w:val="auto"/>
                <w:szCs w:val="21"/>
                <w:highlight w:val="none"/>
                <w:lang w:eastAsia="zh-CN"/>
              </w:rPr>
              <w:t>报价人</w:t>
            </w:r>
            <w:r>
              <w:rPr>
                <w:rFonts w:hint="eastAsia" w:ascii="宋体" w:hAnsi="宋体"/>
                <w:color w:val="auto"/>
                <w:szCs w:val="21"/>
                <w:highlight w:val="none"/>
              </w:rPr>
              <w:t>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5"/>
          <w:rFonts w:hint="eastAsia" w:ascii="宋体" w:hAnsi="宋体"/>
          <w:color w:val="auto"/>
          <w:szCs w:val="21"/>
          <w:highlight w:val="none"/>
        </w:rPr>
        <w:t>http://hzs.nd</w:t>
      </w:r>
      <w:r>
        <w:rPr>
          <w:rStyle w:val="95"/>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64" w:name="OLE_LINK14"/>
      <w:bookmarkStart w:id="365"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66" w:name="_Toc512331248"/>
    </w:p>
    <w:p>
      <w:pPr>
        <w:pStyle w:val="6"/>
        <w:rPr>
          <w:bCs/>
          <w:color w:val="auto"/>
          <w:szCs w:val="28"/>
          <w:highlight w:val="none"/>
        </w:rPr>
      </w:pPr>
      <w:r>
        <w:rPr>
          <w:rFonts w:hint="eastAsia"/>
          <w:bCs/>
          <w:color w:val="auto"/>
          <w:szCs w:val="28"/>
          <w:highlight w:val="none"/>
        </w:rPr>
        <w:t>附件12 残疾人福利性单位声明函（如适用）</w:t>
      </w:r>
      <w:bookmarkEnd w:id="366"/>
    </w:p>
    <w:p>
      <w:pPr>
        <w:rPr>
          <w:color w:val="auto"/>
          <w:highlight w:val="none"/>
        </w:rPr>
      </w:pPr>
    </w:p>
    <w:bookmarkEnd w:id="364"/>
    <w:bookmarkEnd w:id="36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 xml:space="preserve">附件13 </w:t>
      </w:r>
      <w:r>
        <w:rPr>
          <w:rFonts w:hint="eastAsia" w:ascii="宋体" w:hAnsi="宋体"/>
          <w:b/>
          <w:bCs/>
          <w:color w:val="auto"/>
          <w:kern w:val="0"/>
          <w:sz w:val="28"/>
          <w:szCs w:val="28"/>
          <w:highlight w:val="none"/>
          <w:lang w:eastAsia="zh-CN"/>
        </w:rPr>
        <w:t>报价人</w:t>
      </w:r>
      <w:r>
        <w:rPr>
          <w:rFonts w:hint="eastAsia" w:ascii="宋体" w:hAnsi="宋体"/>
          <w:b/>
          <w:bCs/>
          <w:color w:val="auto"/>
          <w:kern w:val="0"/>
          <w:sz w:val="28"/>
          <w:szCs w:val="28"/>
          <w:highlight w:val="none"/>
        </w:rPr>
        <w:t>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67" w:name="_Toc109467914"/>
      <w:bookmarkStart w:id="368"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在磋商响应文件中必须列出具体报价响应内容。如果</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没有在磋商响应文件中注明偏离（文字说明或在服务、商务偏离表注明）的参数、配置、条款视为</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w:t>
      </w:r>
      <w:r>
        <w:rPr>
          <w:rFonts w:hint="eastAsia" w:ascii="宋体" w:hAnsi="宋体"/>
          <w:b/>
          <w:color w:val="auto"/>
          <w:szCs w:val="21"/>
          <w:highlight w:val="none"/>
          <w:lang w:eastAsia="zh-CN"/>
        </w:rPr>
        <w:t>报价人</w:t>
      </w:r>
      <w:r>
        <w:rPr>
          <w:rFonts w:hint="eastAsia" w:ascii="宋体" w:hAnsi="宋体"/>
          <w:b/>
          <w:color w:val="auto"/>
          <w:szCs w:val="21"/>
          <w:highlight w:val="none"/>
        </w:rPr>
        <w:t>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67"/>
    <w:bookmarkEnd w:id="36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w:t>
      </w:r>
      <w:r>
        <w:rPr>
          <w:rFonts w:hint="eastAsia" w:ascii="宋体" w:hAnsi="宋体"/>
          <w:bCs/>
          <w:color w:val="auto"/>
          <w:szCs w:val="21"/>
          <w:highlight w:val="none"/>
          <w:lang w:eastAsia="zh-CN"/>
        </w:rPr>
        <w:t>报价人</w:t>
      </w:r>
      <w:r>
        <w:rPr>
          <w:rFonts w:hint="eastAsia" w:ascii="宋体" w:hAnsi="宋体"/>
          <w:bCs/>
          <w:color w:val="auto"/>
          <w:szCs w:val="21"/>
          <w:highlight w:val="none"/>
        </w:rPr>
        <w:t>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w:t>
      </w:r>
      <w:r>
        <w:rPr>
          <w:rFonts w:hint="eastAsia" w:asciiTheme="minorEastAsia" w:hAnsiTheme="minorEastAsia" w:eastAsiaTheme="minorEastAsia" w:cstheme="minorEastAsia"/>
          <w:color w:val="auto"/>
          <w:sz w:val="21"/>
          <w:szCs w:val="21"/>
          <w:highlight w:val="none"/>
          <w:lang w:val="zh-CN"/>
        </w:rPr>
        <w:t>对所投产品设备技术参数、性能指标、质量及特别带“▲”的响应情况和符合性</w:t>
      </w:r>
      <w:r>
        <w:rPr>
          <w:rFonts w:hint="eastAsia" w:ascii="宋体" w:hAnsi="宋体" w:cs="Times New Roman"/>
          <w:bCs/>
          <w:color w:val="auto"/>
          <w:szCs w:val="21"/>
          <w:highlight w:val="none"/>
        </w:rPr>
        <w:t>；</w:t>
      </w:r>
    </w:p>
    <w:p>
      <w:pPr>
        <w:spacing w:line="360" w:lineRule="auto"/>
        <w:ind w:left="420" w:leftChars="200" w:firstLine="105" w:firstLineChars="5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zh-CN"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val="zh-CN" w:eastAsia="zh-CN"/>
        </w:rPr>
        <w:t>）</w:t>
      </w:r>
      <w:r>
        <w:rPr>
          <w:rFonts w:hint="eastAsia" w:asciiTheme="minorEastAsia" w:hAnsiTheme="minorEastAsia" w:eastAsiaTheme="minorEastAsia" w:cstheme="minorEastAsia"/>
          <w:color w:val="auto"/>
          <w:sz w:val="21"/>
          <w:szCs w:val="21"/>
          <w:highlight w:val="none"/>
          <w:lang w:val="zh-CN"/>
        </w:rPr>
        <w:t>合同履行期进度计划承诺</w:t>
      </w:r>
      <w:r>
        <w:rPr>
          <w:rFonts w:hint="eastAsia" w:asciiTheme="minorEastAsia" w:hAnsiTheme="minorEastAsia" w:eastAsiaTheme="minorEastAsia" w:cstheme="minorEastAsia"/>
          <w:color w:val="auto"/>
          <w:sz w:val="21"/>
          <w:szCs w:val="21"/>
          <w:highlight w:val="none"/>
          <w:lang w:val="en-US" w:eastAsia="zh-CN"/>
        </w:rPr>
        <w:t>；</w:t>
      </w:r>
    </w:p>
    <w:p>
      <w:pPr>
        <w:spacing w:line="360" w:lineRule="auto"/>
        <w:ind w:left="420" w:leftChars="200" w:firstLine="105" w:firstLineChars="5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val="zh-CN"/>
        </w:rPr>
        <w:t>安装方案、安装组织设计及保证措施</w:t>
      </w:r>
      <w:r>
        <w:rPr>
          <w:rFonts w:hint="eastAsia" w:asciiTheme="minorEastAsia" w:hAnsiTheme="minorEastAsia" w:eastAsiaTheme="minorEastAsia" w:cstheme="minorEastAsia"/>
          <w:color w:val="auto"/>
          <w:sz w:val="21"/>
          <w:szCs w:val="21"/>
          <w:highlight w:val="none"/>
          <w:lang w:val="zh-CN" w:eastAsia="zh-CN"/>
        </w:rPr>
        <w:t>；</w:t>
      </w:r>
    </w:p>
    <w:p>
      <w:pPr>
        <w:spacing w:line="360" w:lineRule="auto"/>
        <w:ind w:left="420" w:leftChars="200" w:firstLine="105" w:firstLineChars="5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lang w:val="zh-CN"/>
        </w:rPr>
        <w:t>文明安全安装措施</w:t>
      </w:r>
      <w:r>
        <w:rPr>
          <w:rFonts w:hint="eastAsia" w:asciiTheme="minorEastAsia" w:hAnsiTheme="minorEastAsia" w:eastAsiaTheme="minorEastAsia" w:cstheme="minorEastAsia"/>
          <w:color w:val="auto"/>
          <w:sz w:val="21"/>
          <w:szCs w:val="21"/>
          <w:highlight w:val="none"/>
          <w:lang w:val="zh-CN" w:eastAsia="zh-CN"/>
        </w:rPr>
        <w:t>；</w:t>
      </w:r>
    </w:p>
    <w:p>
      <w:pPr>
        <w:spacing w:line="360" w:lineRule="auto"/>
        <w:ind w:left="420" w:leftChars="200" w:firstLine="105" w:firstLineChars="5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lang w:val="zh-CN"/>
        </w:rPr>
        <w:t>深化设计方案</w:t>
      </w:r>
      <w:r>
        <w:rPr>
          <w:rFonts w:hint="eastAsia" w:asciiTheme="minorEastAsia" w:hAnsiTheme="minorEastAsia" w:eastAsiaTheme="minorEastAsia" w:cstheme="minorEastAsia"/>
          <w:color w:val="auto"/>
          <w:sz w:val="21"/>
          <w:szCs w:val="21"/>
          <w:highlight w:val="none"/>
          <w:lang w:val="en-US" w:eastAsia="zh-CN"/>
        </w:rPr>
        <w:t>。</w:t>
      </w:r>
    </w:p>
    <w:p>
      <w:pPr>
        <w:pStyle w:val="46"/>
        <w:numPr>
          <w:ilvl w:val="0"/>
          <w:numId w:val="0"/>
        </w:numPr>
        <w:rPr>
          <w:rFonts w:hint="eastAsia"/>
          <w:color w:val="auto"/>
          <w:highlight w:val="none"/>
          <w:lang w:val="en-US" w:eastAsia="zh-CN"/>
        </w:rPr>
      </w:pPr>
      <w:r>
        <w:rPr>
          <w:rFonts w:hint="eastAsia"/>
          <w:color w:val="auto"/>
          <w:highlight w:val="none"/>
          <w:lang w:val="en-US" w:eastAsia="zh-CN"/>
        </w:rPr>
        <w:t xml:space="preserve">     </w:t>
      </w:r>
    </w:p>
    <w:p>
      <w:pPr>
        <w:pStyle w:val="46"/>
        <w:numPr>
          <w:ilvl w:val="0"/>
          <w:numId w:val="0"/>
        </w:numPr>
        <w:rPr>
          <w:rFonts w:hint="eastAsia"/>
          <w:color w:val="auto"/>
          <w:highlight w:val="none"/>
          <w:lang w:val="en-US" w:eastAsia="zh-CN"/>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kern w:val="2"/>
                <w:sz w:val="21"/>
                <w:szCs w:val="21"/>
                <w:highlight w:val="none"/>
              </w:rPr>
            </w:pPr>
            <w:r>
              <w:rPr>
                <w:rFonts w:hint="eastAsia" w:asciiTheme="majorEastAsia" w:hAnsiTheme="majorEastAsia" w:eastAsiaTheme="majorEastAsia" w:cstheme="majorEastAsia"/>
                <w:color w:val="auto"/>
                <w:kern w:val="2"/>
                <w:sz w:val="21"/>
                <w:szCs w:val="21"/>
                <w:highlight w:val="none"/>
              </w:rPr>
              <w:t>从事</w:t>
            </w:r>
            <w:r>
              <w:rPr>
                <w:rFonts w:hint="eastAsia" w:asciiTheme="majorEastAsia" w:hAnsiTheme="majorEastAsia" w:eastAsiaTheme="majorEastAsia" w:cstheme="majorEastAsia"/>
                <w:color w:val="auto"/>
                <w:sz w:val="21"/>
                <w:szCs w:val="21"/>
                <w:highlight w:val="none"/>
              </w:rPr>
              <w:t>同类</w:t>
            </w:r>
            <w:r>
              <w:rPr>
                <w:rFonts w:hint="eastAsia" w:asciiTheme="majorEastAsia" w:hAnsiTheme="majorEastAsia" w:eastAsiaTheme="majorEastAsia" w:cstheme="maj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成果质量</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w:t>
      </w:r>
      <w:r>
        <w:rPr>
          <w:rFonts w:hint="eastAsia" w:ascii="宋体" w:hAnsi="宋体"/>
          <w:b/>
          <w:color w:val="auto"/>
          <w:szCs w:val="21"/>
          <w:highlight w:val="none"/>
          <w:lang w:eastAsia="zh-CN"/>
        </w:rPr>
        <w:t>报价人</w:t>
      </w:r>
      <w:r>
        <w:rPr>
          <w:rFonts w:hint="eastAsia" w:ascii="宋体" w:hAnsi="宋体"/>
          <w:b/>
          <w:color w:val="auto"/>
          <w:szCs w:val="21"/>
          <w:highlight w:val="none"/>
        </w:rPr>
        <w:t>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★具有独立承担民事责任的能力【提供法人或者其他组织的营业执照、组织机构代码证和税务登记证（或三证合一证明）等证明文件】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★具有良好的商业信誉和健全的财务会计制度【提供2018年或2019年的财务状况报告或基本开户行（提供开户许可证）出具的资信证明复印件。如</w:t>
            </w:r>
            <w:r>
              <w:rPr>
                <w:rFonts w:hint="eastAsia" w:ascii="宋体" w:hAnsi="宋体" w:cs="宋体"/>
                <w:color w:val="auto"/>
                <w:kern w:val="0"/>
                <w:szCs w:val="21"/>
                <w:highlight w:val="none"/>
                <w:lang w:eastAsia="zh-CN"/>
              </w:rPr>
              <w:t>报价人</w:t>
            </w:r>
            <w:r>
              <w:rPr>
                <w:rFonts w:hint="eastAsia" w:ascii="宋体" w:hAnsi="宋体" w:eastAsia="宋体" w:cs="宋体"/>
                <w:color w:val="auto"/>
                <w:kern w:val="0"/>
                <w:szCs w:val="21"/>
                <w:highlight w:val="none"/>
              </w:rPr>
              <w:t>为新注册的，提供成立至今的月或季度财务状况报告复印件】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为非独立法人（即由合法法人依法建立的分公司），除了对</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单位负责人为同一人或者存在直接控股、管理关系的不同</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，不得参加同一合同项下的政府采购活动。为采购项目提供整体设计、规范编制或者项目管理、监理、检测等服务的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w:t>
      </w:r>
      <w:r>
        <w:rPr>
          <w:rFonts w:hint="eastAsia" w:ascii="宋体" w:hAnsi="宋体"/>
          <w:b/>
          <w:bCs/>
          <w:color w:val="auto"/>
          <w:szCs w:val="21"/>
          <w:highlight w:val="none"/>
          <w:lang w:eastAsia="zh-CN"/>
        </w:rPr>
        <w:t>报价人</w:t>
      </w:r>
      <w:r>
        <w:rPr>
          <w:rFonts w:hint="eastAsia" w:ascii="宋体" w:hAnsi="宋体"/>
          <w:b/>
          <w:bCs/>
          <w:color w:val="auto"/>
          <w:szCs w:val="21"/>
          <w:highlight w:val="none"/>
        </w:rPr>
        <w:t>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5"/>
      <w:bookmarkEnd w:id="344"/>
      <w:bookmarkEnd w:id="345"/>
      <w:bookmarkEnd w:id="346"/>
      <w:bookmarkEnd w:id="347"/>
      <w:bookmarkEnd w:id="348"/>
      <w:bookmarkEnd w:id="350"/>
      <w:bookmarkEnd w:id="351"/>
      <w:bookmarkEnd w:id="352"/>
      <w:bookmarkEnd w:id="353"/>
      <w:bookmarkEnd w:id="354"/>
      <w:bookmarkEnd w:id="355"/>
      <w:bookmarkEnd w:id="356"/>
      <w:bookmarkEnd w:id="357"/>
      <w:bookmarkEnd w:id="35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5347"/>
        <w:gridCol w:w="1088"/>
        <w:gridCol w:w="1187"/>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5347"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5347"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风管：采用PP材质塑料管材，风管具有防腐等性能，且内壁光滑，外形美观，支、吊架圆管采用A3钢抱箍风管，方管采用经防锈处理的吊杆紧固角钢来支撑风管；圆管厚度≥4mm, 方管厚度≥5mm</w:t>
            </w:r>
            <w:r>
              <w:rPr>
                <w:rFonts w:hint="eastAsia" w:asciiTheme="minorEastAsia" w:hAnsiTheme="minorEastAsia" w:eastAsiaTheme="minorEastAsia" w:cstheme="minorEastAsia"/>
                <w:color w:val="auto"/>
                <w:sz w:val="21"/>
                <w:szCs w:val="21"/>
                <w:highlight w:val="none"/>
                <w:lang w:eastAsia="zh-CN"/>
              </w:rPr>
              <w:t>。</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5347"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电子调节阀：电子调节阀为防腐PP材质标准模具制作，采用数显可调角度的电动风阀，阀体采用防腐PVC管制作并且有记忆功能（即可以记住此次调节的角度，下次打开时仍然调到设计的角度）,可调节每个通风末端的压阻平衡。</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5347"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▲防腐离心风机：采用防腐玻璃钢材质蜗壳离心风机。风机选型与技术参数：</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 F4-72- 6A,N=4Kw,Q= 6670-13340m3/h ,P= 1120-718Pa,r= 1450r/m；</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 F4-72- 7A,N=7.5Kw,Q= 11300-19400m3/h ,P= 1570-1045Pa,r= 1450r/m；</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 F4-72- 8C，N=11Kw，Q= 14100-26800m3/h，P= 11940-1078Pa，r= 1350r/m；</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产品特性：</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①适用一定浓度的腐蚀性气体技；</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②耐温、防腐、防爆；</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③风机型号具体根据风量，风压选型，详见清单；</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④为了消除风机运行过程中产生的震动须在楼板设风机固定座及橡胶减震片；</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⑤风机出口应设有防雨帽和防昆虫及啮齿动物的网。</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5347"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变频器:采用中外合资品牌，性能要求稳定</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①风机水泵应用；</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②循环软起；</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③用户自定义U/F曲线；</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④内置RFI滤波器作为标准配置，适用于第一和第二环境；</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⑤CE认证。</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347"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 xml:space="preserve">▲ </w:t>
            </w:r>
            <w:r>
              <w:rPr>
                <w:rFonts w:hint="eastAsia" w:asciiTheme="minorEastAsia" w:hAnsiTheme="minorEastAsia" w:eastAsiaTheme="minorEastAsia" w:cstheme="minorEastAsia"/>
                <w:color w:val="auto"/>
                <w:sz w:val="21"/>
                <w:szCs w:val="21"/>
                <w:highlight w:val="none"/>
              </w:rPr>
              <w:t>活性碳吸附器</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1、产品结构</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本活性碳吸附器采用≥10mm厚PP材质塑料板加工制作，采用卧式结构，抽屉式装碳装置，设两层蜂窝状活性炭过滤板，放≥150mm厚/层</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 xml:space="preserve"> 6块活性炭吸附板，采用单侧或双侧活动盖板门，便于安装检修，强度高，占地面积小。</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2、技术参数：</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(1)处理风量≥10000m3/h，采用≥10mm厚PP材质外箱尺寸≥1800*1500*1200mm，</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(2)处理风量≥15000m3/h，采用≥10mm厚PP材质外箱尺寸≥2400*1500*1200mm</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(3) 处理风量≥21000 m3/h , 采用≥10mm厚PP材质外箱尺寸≥2600*2000*1500 mm</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3、工作原理</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活性碳吸附器的实质是利用活性碳吸附的特性把低浓度大风量废气中的有机溶剂和有机废气吸附到活性碳中并浓缩，经活性碳吸附净化后的气体直接排到空中，其实质是一个吸附浓缩过程。吸附过程具有可逆性，易于脱附再生。由于固体表面存在着不平衡和未饱和的分子引力或化学键力，因此，当废气与大表面积的多孔性固体物质相接触，废气中的污染物便被吸附在固体表面上，使其与气体混合物分离，达到净化目的。</w:t>
            </w:r>
          </w:p>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这一原理，吸附装置采用活性碳作为吸附剂。活性碳比表面积达700-1500㎡/g，孔径分布广（2-20nm），吸附容量大，吸附速度快，而且再生容易，脱附彻底，经多次吸附后仍保持原有的吸附性能（达95%以上），因此对有机废气的净化率高。</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w:t>
      </w:r>
      <w:r>
        <w:rPr>
          <w:rFonts w:hint="eastAsia" w:ascii="宋体" w:hAnsi="宋体" w:cs="宋体"/>
          <w:b/>
          <w:bCs/>
          <w:color w:val="auto"/>
          <w:szCs w:val="21"/>
          <w:highlight w:val="none"/>
          <w:lang w:eastAsia="zh-CN"/>
        </w:rPr>
        <w:t>报价人</w:t>
      </w:r>
      <w:r>
        <w:rPr>
          <w:rFonts w:hint="eastAsia" w:ascii="宋体" w:hAnsi="宋体" w:eastAsia="宋体" w:cs="宋体"/>
          <w:b/>
          <w:bCs/>
          <w:color w:val="auto"/>
          <w:szCs w:val="21"/>
          <w:highlight w:val="none"/>
        </w:rPr>
        <w:t>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cs="宋体"/>
          <w:bCs/>
          <w:color w:val="auto"/>
          <w:szCs w:val="21"/>
          <w:highlight w:val="none"/>
          <w:lang w:eastAsia="zh-CN"/>
        </w:rPr>
        <w:t>报价人</w:t>
      </w:r>
      <w:r>
        <w:rPr>
          <w:rFonts w:hint="eastAsia" w:ascii="宋体" w:hAnsi="宋体" w:eastAsia="宋体" w:cs="宋体"/>
          <w:bCs/>
          <w:color w:val="auto"/>
          <w:szCs w:val="21"/>
          <w:highlight w:val="none"/>
        </w:rPr>
        <w:t>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lang w:eastAsia="zh-CN"/>
        </w:rPr>
        <w:t>报价人</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报价人</w:t>
      </w:r>
      <w:r>
        <w:rPr>
          <w:rFonts w:hint="eastAsia" w:ascii="宋体" w:hAnsi="宋体"/>
          <w:b/>
          <w:bCs/>
          <w:color w:val="auto"/>
          <w:kern w:val="0"/>
          <w:sz w:val="28"/>
          <w:szCs w:val="28"/>
          <w:highlight w:val="none"/>
        </w:rPr>
        <w:t>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7545C4A"/>
    <w:multiLevelType w:val="multilevel"/>
    <w:tmpl w:val="07545C4A"/>
    <w:lvl w:ilvl="0" w:tentative="0">
      <w:start w:val="1"/>
      <w:numFmt w:val="decimal"/>
      <w:lvlText w:val="%1、"/>
      <w:lvlJc w:val="left"/>
      <w:pPr>
        <w:tabs>
          <w:tab w:val="left" w:pos="1005"/>
        </w:tabs>
        <w:ind w:left="1005" w:hanging="720"/>
      </w:pPr>
      <w:rPr>
        <w:rFonts w:hint="eastAsia"/>
      </w:rPr>
    </w:lvl>
    <w:lvl w:ilvl="1" w:tentative="0">
      <w:start w:val="1"/>
      <w:numFmt w:val="decimal"/>
      <w:lvlText w:val="%2）"/>
      <w:lvlJc w:val="left"/>
      <w:pPr>
        <w:tabs>
          <w:tab w:val="left" w:pos="1425"/>
        </w:tabs>
        <w:ind w:left="1425" w:hanging="720"/>
      </w:pPr>
      <w:rPr>
        <w:rFonts w:hint="eastAsia"/>
      </w:rPr>
    </w:lvl>
    <w:lvl w:ilvl="2" w:tentative="0">
      <w:start w:val="0"/>
      <w:numFmt w:val="bullet"/>
      <w:lvlText w:val="▲"/>
      <w:lvlJc w:val="left"/>
      <w:pPr>
        <w:tabs>
          <w:tab w:val="left" w:pos="1485"/>
        </w:tabs>
        <w:ind w:left="1485" w:hanging="360"/>
      </w:pPr>
      <w:rPr>
        <w:rFonts w:hint="eastAsia" w:ascii="宋体" w:hAnsi="宋体" w:eastAsia="宋体" w:cs="Times New Roman"/>
      </w:rPr>
    </w:lvl>
    <w:lvl w:ilvl="3" w:tentative="0">
      <w:start w:val="1"/>
      <w:numFmt w:val="decimal"/>
      <w:lvlText w:val="%4."/>
      <w:lvlJc w:val="left"/>
      <w:pPr>
        <w:tabs>
          <w:tab w:val="left" w:pos="1965"/>
        </w:tabs>
        <w:ind w:left="1965" w:hanging="420"/>
      </w:pPr>
    </w:lvl>
    <w:lvl w:ilvl="4" w:tentative="0">
      <w:start w:val="1"/>
      <w:numFmt w:val="lowerLetter"/>
      <w:lvlText w:val="%5)"/>
      <w:lvlJc w:val="left"/>
      <w:pPr>
        <w:tabs>
          <w:tab w:val="left" w:pos="2385"/>
        </w:tabs>
        <w:ind w:left="2385" w:hanging="420"/>
      </w:pPr>
    </w:lvl>
    <w:lvl w:ilvl="5" w:tentative="0">
      <w:start w:val="1"/>
      <w:numFmt w:val="lowerRoman"/>
      <w:lvlText w:val="%6."/>
      <w:lvlJc w:val="right"/>
      <w:pPr>
        <w:tabs>
          <w:tab w:val="left" w:pos="2805"/>
        </w:tabs>
        <w:ind w:left="2805" w:hanging="420"/>
      </w:pPr>
    </w:lvl>
    <w:lvl w:ilvl="6" w:tentative="0">
      <w:start w:val="1"/>
      <w:numFmt w:val="decimal"/>
      <w:lvlText w:val="%7."/>
      <w:lvlJc w:val="left"/>
      <w:pPr>
        <w:tabs>
          <w:tab w:val="left" w:pos="3225"/>
        </w:tabs>
        <w:ind w:left="3225" w:hanging="420"/>
      </w:pPr>
    </w:lvl>
    <w:lvl w:ilvl="7" w:tentative="0">
      <w:start w:val="1"/>
      <w:numFmt w:val="lowerLetter"/>
      <w:lvlText w:val="%8)"/>
      <w:lvlJc w:val="left"/>
      <w:pPr>
        <w:tabs>
          <w:tab w:val="left" w:pos="3645"/>
        </w:tabs>
        <w:ind w:left="3645" w:hanging="420"/>
      </w:pPr>
    </w:lvl>
    <w:lvl w:ilvl="8" w:tentative="0">
      <w:start w:val="1"/>
      <w:numFmt w:val="lowerRoman"/>
      <w:lvlText w:val="%9."/>
      <w:lvlJc w:val="right"/>
      <w:pPr>
        <w:tabs>
          <w:tab w:val="left" w:pos="4065"/>
        </w:tabs>
        <w:ind w:left="4065" w:hanging="420"/>
      </w:pPr>
    </w:lvl>
  </w:abstractNum>
  <w:abstractNum w:abstractNumId="4">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D0B7790"/>
    <w:multiLevelType w:val="multilevel"/>
    <w:tmpl w:val="1D0B7790"/>
    <w:lvl w:ilvl="0" w:tentative="0">
      <w:start w:val="1"/>
      <w:numFmt w:val="decimal"/>
      <w:lvlText w:val="8.%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10">
    <w:nsid w:val="440C510B"/>
    <w:multiLevelType w:val="multilevel"/>
    <w:tmpl w:val="440C510B"/>
    <w:lvl w:ilvl="0" w:tentative="0">
      <w:start w:val="7"/>
      <w:numFmt w:val="decimal"/>
      <w:lvlText w:val="%1"/>
      <w:lvlJc w:val="left"/>
      <w:pPr>
        <w:tabs>
          <w:tab w:val="left" w:pos="360"/>
        </w:tabs>
        <w:ind w:left="360" w:hanging="360"/>
      </w:pPr>
      <w:rPr>
        <w:rFonts w:hint="default"/>
      </w:rPr>
    </w:lvl>
    <w:lvl w:ilvl="1" w:tentative="0">
      <w:start w:val="5"/>
      <w:numFmt w:val="decimal"/>
      <w:lvlText w:val="%1.%2"/>
      <w:lvlJc w:val="left"/>
      <w:pPr>
        <w:tabs>
          <w:tab w:val="left" w:pos="675"/>
        </w:tabs>
        <w:ind w:left="675" w:hanging="360"/>
      </w:pPr>
      <w:rPr>
        <w:rFonts w:hint="default"/>
      </w:rPr>
    </w:lvl>
    <w:lvl w:ilvl="2" w:tentative="0">
      <w:start w:val="1"/>
      <w:numFmt w:val="decimal"/>
      <w:lvlText w:val="%1.%2.%3"/>
      <w:lvlJc w:val="left"/>
      <w:pPr>
        <w:tabs>
          <w:tab w:val="left" w:pos="1350"/>
        </w:tabs>
        <w:ind w:left="1350" w:hanging="720"/>
      </w:pPr>
      <w:rPr>
        <w:rFonts w:hint="default"/>
      </w:rPr>
    </w:lvl>
    <w:lvl w:ilvl="3" w:tentative="0">
      <w:start w:val="1"/>
      <w:numFmt w:val="decimal"/>
      <w:lvlText w:val="%1.%2.%3.%4"/>
      <w:lvlJc w:val="left"/>
      <w:pPr>
        <w:tabs>
          <w:tab w:val="left" w:pos="2025"/>
        </w:tabs>
        <w:ind w:left="2025" w:hanging="1080"/>
      </w:pPr>
      <w:rPr>
        <w:rFonts w:hint="default"/>
      </w:rPr>
    </w:lvl>
    <w:lvl w:ilvl="4" w:tentative="0">
      <w:start w:val="1"/>
      <w:numFmt w:val="decimal"/>
      <w:lvlText w:val="%1.%2.%3.%4.%5"/>
      <w:lvlJc w:val="left"/>
      <w:pPr>
        <w:tabs>
          <w:tab w:val="left" w:pos="2340"/>
        </w:tabs>
        <w:ind w:left="2340" w:hanging="1080"/>
      </w:pPr>
      <w:rPr>
        <w:rFonts w:hint="default"/>
      </w:rPr>
    </w:lvl>
    <w:lvl w:ilvl="5" w:tentative="0">
      <w:start w:val="1"/>
      <w:numFmt w:val="decimal"/>
      <w:lvlText w:val="%1.%2.%3.%4.%5.%6"/>
      <w:lvlJc w:val="left"/>
      <w:pPr>
        <w:tabs>
          <w:tab w:val="left" w:pos="3015"/>
        </w:tabs>
        <w:ind w:left="3015" w:hanging="1440"/>
      </w:pPr>
      <w:rPr>
        <w:rFonts w:hint="default"/>
      </w:rPr>
    </w:lvl>
    <w:lvl w:ilvl="6" w:tentative="0">
      <w:start w:val="1"/>
      <w:numFmt w:val="decimal"/>
      <w:lvlText w:val="%1.%2.%3.%4.%5.%6.%7"/>
      <w:lvlJc w:val="left"/>
      <w:pPr>
        <w:tabs>
          <w:tab w:val="left" w:pos="3690"/>
        </w:tabs>
        <w:ind w:left="3690" w:hanging="1800"/>
      </w:pPr>
      <w:rPr>
        <w:rFonts w:hint="default"/>
      </w:rPr>
    </w:lvl>
    <w:lvl w:ilvl="7" w:tentative="0">
      <w:start w:val="1"/>
      <w:numFmt w:val="decimal"/>
      <w:lvlText w:val="%1.%2.%3.%4.%5.%6.%7.%8"/>
      <w:lvlJc w:val="left"/>
      <w:pPr>
        <w:tabs>
          <w:tab w:val="left" w:pos="4005"/>
        </w:tabs>
        <w:ind w:left="4005" w:hanging="1800"/>
      </w:pPr>
      <w:rPr>
        <w:rFonts w:hint="default"/>
      </w:rPr>
    </w:lvl>
    <w:lvl w:ilvl="8" w:tentative="0">
      <w:start w:val="1"/>
      <w:numFmt w:val="decimal"/>
      <w:lvlText w:val="%1.%2.%3.%4.%5.%6.%7.%8.%9"/>
      <w:lvlJc w:val="left"/>
      <w:pPr>
        <w:tabs>
          <w:tab w:val="left" w:pos="4680"/>
        </w:tabs>
        <w:ind w:left="4680" w:hanging="2160"/>
      </w:pPr>
      <w:rPr>
        <w:rFonts w:hint="default"/>
      </w:rPr>
    </w:lvl>
  </w:abstractNum>
  <w:abstractNum w:abstractNumId="11">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2">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4">
    <w:nsid w:val="652B6519"/>
    <w:multiLevelType w:val="multilevel"/>
    <w:tmpl w:val="652B6519"/>
    <w:lvl w:ilvl="0" w:tentative="0">
      <w:start w:val="1"/>
      <w:numFmt w:val="japaneseCounting"/>
      <w:lvlText w:val="%1、"/>
      <w:lvlJc w:val="left"/>
      <w:pPr>
        <w:tabs>
          <w:tab w:val="left" w:pos="960"/>
        </w:tabs>
        <w:ind w:left="96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79E4400"/>
    <w:multiLevelType w:val="multilevel"/>
    <w:tmpl w:val="779E4400"/>
    <w:lvl w:ilvl="0" w:tentative="0">
      <w:start w:val="1"/>
      <w:numFmt w:val="decimal"/>
      <w:lvlText w:val="7.%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8">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15"/>
  </w:num>
  <w:num w:numId="5">
    <w:abstractNumId w:val="13"/>
  </w:num>
  <w:num w:numId="6">
    <w:abstractNumId w:val="11"/>
  </w:num>
  <w:num w:numId="7">
    <w:abstractNumId w:val="14"/>
  </w:num>
  <w:num w:numId="8">
    <w:abstractNumId w:val="3"/>
  </w:num>
  <w:num w:numId="9">
    <w:abstractNumId w:val="10"/>
  </w:num>
  <w:num w:numId="10">
    <w:abstractNumId w:val="9"/>
  </w:num>
  <w:num w:numId="11">
    <w:abstractNumId w:val="18"/>
  </w:num>
  <w:num w:numId="12">
    <w:abstractNumId w:val="4"/>
  </w:num>
  <w:num w:numId="13">
    <w:abstractNumId w:val="16"/>
  </w:num>
  <w:num w:numId="14">
    <w:abstractNumId w:val="7"/>
  </w:num>
  <w:num w:numId="15">
    <w:abstractNumId w:val="12"/>
  </w:num>
  <w:num w:numId="16">
    <w:abstractNumId w:val="5"/>
  </w:num>
  <w:num w:numId="17">
    <w:abstractNumId w:val="17"/>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5006FA0"/>
    <w:rsid w:val="07161791"/>
    <w:rsid w:val="08694ADA"/>
    <w:rsid w:val="0AE11E48"/>
    <w:rsid w:val="0C045CD2"/>
    <w:rsid w:val="0CDF06FD"/>
    <w:rsid w:val="0D8152E8"/>
    <w:rsid w:val="0E294FAB"/>
    <w:rsid w:val="105C59F3"/>
    <w:rsid w:val="11A42212"/>
    <w:rsid w:val="167654DF"/>
    <w:rsid w:val="16A36F9A"/>
    <w:rsid w:val="199B7D6D"/>
    <w:rsid w:val="1A251978"/>
    <w:rsid w:val="1B62425E"/>
    <w:rsid w:val="1B9B22B5"/>
    <w:rsid w:val="1C245DE6"/>
    <w:rsid w:val="1D461912"/>
    <w:rsid w:val="1F1539B4"/>
    <w:rsid w:val="1F9E3FD7"/>
    <w:rsid w:val="210C2156"/>
    <w:rsid w:val="216E2E07"/>
    <w:rsid w:val="22535329"/>
    <w:rsid w:val="2301305E"/>
    <w:rsid w:val="233D3FD3"/>
    <w:rsid w:val="24EE7B33"/>
    <w:rsid w:val="255A3784"/>
    <w:rsid w:val="2988523F"/>
    <w:rsid w:val="2A1810D7"/>
    <w:rsid w:val="2A4464A6"/>
    <w:rsid w:val="2B8F5A11"/>
    <w:rsid w:val="2CC3315B"/>
    <w:rsid w:val="348E0D5D"/>
    <w:rsid w:val="354A32AA"/>
    <w:rsid w:val="35504E75"/>
    <w:rsid w:val="370D4E81"/>
    <w:rsid w:val="39144DD2"/>
    <w:rsid w:val="39613E61"/>
    <w:rsid w:val="3A817547"/>
    <w:rsid w:val="3B91650A"/>
    <w:rsid w:val="3C47493F"/>
    <w:rsid w:val="40F2232A"/>
    <w:rsid w:val="413E03B5"/>
    <w:rsid w:val="422B07EA"/>
    <w:rsid w:val="433C464F"/>
    <w:rsid w:val="45816D95"/>
    <w:rsid w:val="45BC0B50"/>
    <w:rsid w:val="47F7074A"/>
    <w:rsid w:val="48BB5163"/>
    <w:rsid w:val="4BA44348"/>
    <w:rsid w:val="4BC27EF0"/>
    <w:rsid w:val="4BD95E6C"/>
    <w:rsid w:val="4DBE3804"/>
    <w:rsid w:val="4E5221B2"/>
    <w:rsid w:val="4ECA1C10"/>
    <w:rsid w:val="500819AE"/>
    <w:rsid w:val="52A95F17"/>
    <w:rsid w:val="56A0651B"/>
    <w:rsid w:val="5CE9656C"/>
    <w:rsid w:val="5E363818"/>
    <w:rsid w:val="5E421EBB"/>
    <w:rsid w:val="5F9100C4"/>
    <w:rsid w:val="61C679A6"/>
    <w:rsid w:val="62113364"/>
    <w:rsid w:val="629F1549"/>
    <w:rsid w:val="68BC1C18"/>
    <w:rsid w:val="6C3237AC"/>
    <w:rsid w:val="6CF57457"/>
    <w:rsid w:val="6D6E5707"/>
    <w:rsid w:val="6D757E5C"/>
    <w:rsid w:val="6E7252CC"/>
    <w:rsid w:val="7151618F"/>
    <w:rsid w:val="73E10AC3"/>
    <w:rsid w:val="77D008D6"/>
    <w:rsid w:val="7B2E0E6C"/>
    <w:rsid w:val="7CC65E6E"/>
    <w:rsid w:val="7CE37D39"/>
    <w:rsid w:val="7D8D6193"/>
    <w:rsid w:val="7E7E2AD4"/>
    <w:rsid w:val="7F141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customStyle="1"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2"/>
    <w:qFormat/>
    <w:uiPriority w:val="0"/>
    <w:rPr>
      <w:rFonts w:hint="eastAsia" w:ascii="宋体" w:hAnsi="宋体" w:eastAsia="宋体" w:cs="宋体"/>
      <w:color w:val="000000"/>
      <w:sz w:val="22"/>
      <w:szCs w:val="22"/>
      <w:u w:val="none"/>
    </w:rPr>
  </w:style>
  <w:style w:type="character" w:customStyle="1" w:styleId="212">
    <w:name w:val="font01"/>
    <w:basedOn w:val="92"/>
    <w:qFormat/>
    <w:uiPriority w:val="0"/>
    <w:rPr>
      <w:rFonts w:hint="eastAsia" w:ascii="宋体" w:hAnsi="宋体" w:eastAsia="宋体" w:cs="宋体"/>
      <w:color w:val="333333"/>
      <w:sz w:val="22"/>
      <w:szCs w:val="22"/>
      <w:u w:val="none"/>
    </w:rPr>
  </w:style>
  <w:style w:type="character" w:customStyle="1" w:styleId="213">
    <w:name w:val="font51"/>
    <w:basedOn w:val="92"/>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5">
    <w:name w:val="font41"/>
    <w:basedOn w:val="92"/>
    <w:qFormat/>
    <w:uiPriority w:val="0"/>
    <w:rPr>
      <w:rFonts w:hint="eastAsia" w:ascii="宋体" w:hAnsi="宋体" w:eastAsia="宋体" w:cs="宋体"/>
      <w:color w:val="000000"/>
      <w:sz w:val="22"/>
      <w:szCs w:val="22"/>
      <w:u w:val="none"/>
    </w:rPr>
  </w:style>
  <w:style w:type="character" w:customStyle="1" w:styleId="216">
    <w:name w:val="font61"/>
    <w:basedOn w:val="92"/>
    <w:qFormat/>
    <w:uiPriority w:val="0"/>
    <w:rPr>
      <w:rFonts w:hint="eastAsia" w:ascii="宋体" w:hAnsi="宋体" w:eastAsia="宋体" w:cs="宋体"/>
      <w:color w:val="000000"/>
      <w:sz w:val="22"/>
      <w:szCs w:val="22"/>
      <w:u w:val="none"/>
    </w:rPr>
  </w:style>
  <w:style w:type="character" w:customStyle="1" w:styleId="217">
    <w:name w:val="font21"/>
    <w:basedOn w:val="92"/>
    <w:qFormat/>
    <w:uiPriority w:val="0"/>
    <w:rPr>
      <w:rFonts w:hint="eastAsia" w:ascii="宋体" w:hAnsi="宋体" w:eastAsia="宋体" w:cs="宋体"/>
      <w:color w:val="000000"/>
      <w:sz w:val="22"/>
      <w:szCs w:val="22"/>
      <w:u w:val="none"/>
    </w:rPr>
  </w:style>
  <w:style w:type="character" w:customStyle="1" w:styleId="218">
    <w:name w:val="font151"/>
    <w:basedOn w:val="92"/>
    <w:qFormat/>
    <w:uiPriority w:val="0"/>
    <w:rPr>
      <w:rFonts w:hint="default" w:ascii="Times New Roman" w:hAnsi="Times New Roman" w:cs="Times New Roman"/>
      <w:color w:val="000000"/>
      <w:sz w:val="20"/>
      <w:szCs w:val="20"/>
      <w:u w:val="none"/>
    </w:rPr>
  </w:style>
  <w:style w:type="character" w:customStyle="1" w:styleId="219">
    <w:name w:val="font71"/>
    <w:basedOn w:val="92"/>
    <w:qFormat/>
    <w:uiPriority w:val="0"/>
    <w:rPr>
      <w:rFonts w:hint="default" w:ascii="Times New Roman" w:hAnsi="Times New Roman" w:cs="Times New Roman"/>
      <w:color w:val="000000"/>
      <w:sz w:val="20"/>
      <w:szCs w:val="20"/>
      <w:u w:val="none"/>
    </w:rPr>
  </w:style>
  <w:style w:type="character" w:customStyle="1" w:styleId="220">
    <w:name w:val="font11"/>
    <w:basedOn w:val="92"/>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2</TotalTime>
  <ScaleCrop>false</ScaleCrop>
  <LinksUpToDate>false</LinksUpToDate>
  <CharactersWithSpaces>178505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2020-07-21T05:05:19Z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