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广东省农业科学院领军人才项目实验室间隔改造工程</w:t>
      </w:r>
      <w:r>
        <w:rPr>
          <w:rFonts w:hint="eastAsia" w:ascii="宋体" w:hAnsi="宋体"/>
          <w:b/>
          <w:color w:val="auto"/>
          <w:sz w:val="30"/>
          <w:szCs w:val="30"/>
          <w:highlight w:val="none"/>
        </w:rPr>
        <w:t xml:space="preserve"> </w:t>
      </w:r>
    </w:p>
    <w:p>
      <w:pPr>
        <w:spacing w:line="480" w:lineRule="auto"/>
        <w:jc w:val="center"/>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202008-184098-0052</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八</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31</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10014093"/>
      <w:bookmarkStart w:id="15" w:name="_Hlt509932460"/>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721"/>
      <w:bookmarkStart w:id="20" w:name="_Hlt509991722"/>
      <w:bookmarkStart w:id="21" w:name="_Hlt509991939"/>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162</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28489434"/>
      <w:bookmarkStart w:id="27" w:name="_Toc14450807"/>
      <w:r>
        <w:rPr>
          <w:rFonts w:hint="eastAsia" w:ascii="宋体" w:hAnsi="宋体" w:cs="宋体"/>
          <w:color w:val="auto"/>
          <w:szCs w:val="21"/>
          <w:highlight w:val="none"/>
          <w:lang w:eastAsia="zh-CN"/>
        </w:rPr>
        <w:t>广东省农业科学院领军人才项目实验室间隔改造工程</w:t>
      </w:r>
      <w:r>
        <w:rPr>
          <w:rFonts w:hint="eastAsia" w:ascii="宋体" w:hAnsi="宋体" w:cs="宋体"/>
          <w:color w:val="auto"/>
          <w:szCs w:val="21"/>
          <w:highlight w:val="none"/>
        </w:rPr>
        <w:t>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01</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202006-184098-00</w:t>
      </w:r>
      <w:r>
        <w:rPr>
          <w:rFonts w:hint="eastAsia" w:ascii="宋体" w:hAnsi="宋体" w:cs="宋体"/>
          <w:bCs/>
          <w:color w:val="auto"/>
          <w:szCs w:val="20"/>
          <w:highlight w:val="none"/>
          <w:lang w:val="en-US" w:eastAsia="zh-CN"/>
        </w:rPr>
        <w:t>50</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广东省农业科学院领军人才项目实验室间隔改造工程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488904.20元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488904.20元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广东省农业科学院领军人才项目实验室间隔改造工程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广东省农业科学院领军人才项目实验室间隔改造工程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488904.20</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val="en-US" w:eastAsia="zh-CN"/>
        </w:rPr>
        <w:t>488904.20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广东省农业科学院领军人才项目实验室间隔改造工程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21</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27</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35393633"/>
      <w:bookmarkStart w:id="29" w:name="_Toc28359016"/>
      <w:bookmarkStart w:id="30" w:name="_Toc28359093"/>
      <w:bookmarkStart w:id="31" w:name="_Toc35393802"/>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01</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bookmarkStart w:id="409" w:name="_GoBack"/>
      <w:bookmarkEnd w:id="409"/>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20</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0515065"/>
      <w:bookmarkStart w:id="37" w:name="_Toc315793450"/>
      <w:bookmarkStart w:id="38" w:name="_Toc322680342"/>
      <w:bookmarkStart w:id="39" w:name="_Toc323110975"/>
      <w:bookmarkStart w:id="40" w:name="_Toc320515016"/>
      <w:bookmarkStart w:id="41" w:name="_Toc475104468"/>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475104469"/>
      <w:bookmarkStart w:id="43" w:name="_Toc323110976"/>
      <w:bookmarkStart w:id="44" w:name="_Toc320515066"/>
      <w:bookmarkStart w:id="45" w:name="_Toc315793451"/>
      <w:bookmarkStart w:id="46" w:name="_Toc320515017"/>
      <w:bookmarkStart w:id="47" w:name="_Toc363737683"/>
      <w:bookmarkStart w:id="48" w:name="_Toc32268034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63737684"/>
      <w:bookmarkStart w:id="50" w:name="_Toc320515018"/>
      <w:bookmarkStart w:id="51" w:name="_Toc475104470"/>
      <w:bookmarkStart w:id="52" w:name="_Toc323110977"/>
      <w:bookmarkStart w:id="53" w:name="_Toc320515067"/>
      <w:bookmarkStart w:id="54" w:name="_Toc322680344"/>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63737685"/>
      <w:bookmarkStart w:id="56" w:name="_Toc320515019"/>
      <w:bookmarkStart w:id="57" w:name="_Toc322680345"/>
      <w:bookmarkStart w:id="58" w:name="_Toc475104471"/>
      <w:bookmarkStart w:id="59" w:name="_Toc323110978"/>
      <w:bookmarkStart w:id="60" w:name="_Toc315793453"/>
      <w:bookmarkStart w:id="61" w:name="_Toc320515068"/>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33236630"/>
      <w:bookmarkStart w:id="63" w:name="_Toc363737686"/>
      <w:bookmarkStart w:id="64" w:name="_Toc475104472"/>
      <w:bookmarkStart w:id="65" w:name="_Toc320515070"/>
      <w:bookmarkStart w:id="66" w:name="_Toc320515021"/>
      <w:bookmarkStart w:id="67" w:name="_Toc315793455"/>
      <w:bookmarkStart w:id="68" w:name="_Toc323110980"/>
      <w:bookmarkStart w:id="69" w:name="_Toc322680347"/>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3110981"/>
      <w:bookmarkStart w:id="74" w:name="_Toc320515022"/>
      <w:bookmarkStart w:id="75" w:name="_Toc32051507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475104475"/>
      <w:bookmarkStart w:id="79" w:name="_Toc320515073"/>
      <w:bookmarkStart w:id="80" w:name="_Toc320515024"/>
      <w:bookmarkStart w:id="81" w:name="_Toc315793458"/>
      <w:bookmarkStart w:id="82" w:name="_Toc323110983"/>
      <w:bookmarkStart w:id="83" w:name="_Toc363737689"/>
      <w:bookmarkStart w:id="84" w:name="_Toc322680350"/>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63737690"/>
      <w:bookmarkStart w:id="86" w:name="_Toc323110984"/>
      <w:bookmarkStart w:id="87" w:name="_Toc320515025"/>
      <w:bookmarkStart w:id="88" w:name="_Toc320515074"/>
      <w:bookmarkStart w:id="89" w:name="_Toc322680351"/>
      <w:bookmarkStart w:id="90" w:name="_Toc315793459"/>
      <w:bookmarkStart w:id="91" w:name="_Toc475104476"/>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3110985"/>
      <w:bookmarkStart w:id="93" w:name="_Toc363737691"/>
      <w:bookmarkStart w:id="94" w:name="_Toc320515026"/>
      <w:bookmarkStart w:id="95" w:name="_Toc475104477"/>
      <w:bookmarkStart w:id="96" w:name="_Toc322680352"/>
      <w:bookmarkStart w:id="97" w:name="_Toc320515075"/>
      <w:bookmarkStart w:id="98" w:name="_Toc315793460"/>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2680353"/>
      <w:bookmarkStart w:id="101" w:name="_Toc363737692"/>
      <w:bookmarkStart w:id="102" w:name="_Toc320515076"/>
      <w:bookmarkStart w:id="103" w:name="_Toc323110986"/>
      <w:bookmarkStart w:id="104" w:name="_Toc320515027"/>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475104479"/>
      <w:bookmarkStart w:id="107" w:name="_Toc322680354"/>
      <w:bookmarkStart w:id="108" w:name="_Toc363737693"/>
      <w:bookmarkStart w:id="109" w:name="_Toc320515028"/>
      <w:bookmarkStart w:id="110" w:name="_Toc323110987"/>
      <w:bookmarkStart w:id="111" w:name="_Toc320515077"/>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363737694"/>
      <w:bookmarkStart w:id="115" w:name="_Toc475104480"/>
      <w:bookmarkStart w:id="116" w:name="_Toc323110988"/>
      <w:bookmarkStart w:id="117" w:name="_Toc315793463"/>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363737695"/>
      <w:bookmarkStart w:id="123" w:name="_Toc322680356"/>
      <w:bookmarkStart w:id="124" w:name="_Toc320515030"/>
      <w:bookmarkStart w:id="125" w:name="_Toc475104482"/>
      <w:bookmarkStart w:id="126" w:name="_Toc323110989"/>
      <w:bookmarkStart w:id="127" w:name="_Toc315793464"/>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63737696"/>
      <w:bookmarkStart w:id="129" w:name="_Toc475104483"/>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311099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20515033"/>
      <w:bookmarkStart w:id="139" w:name="_Toc475104485"/>
      <w:bookmarkStart w:id="140" w:name="_Toc315793469"/>
      <w:bookmarkStart w:id="141" w:name="_Toc320515082"/>
      <w:bookmarkStart w:id="142" w:name="_Toc363737698"/>
      <w:bookmarkStart w:id="143" w:name="_Toc333236642"/>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94926941"/>
      <w:bookmarkStart w:id="147" w:name="_Toc475104487"/>
      <w:bookmarkStart w:id="148" w:name="_Toc351550769"/>
      <w:bookmarkStart w:id="149" w:name="_Toc363737700"/>
      <w:bookmarkStart w:id="150" w:name="_Toc323110994"/>
      <w:bookmarkStart w:id="151" w:name="_Toc315793471"/>
      <w:bookmarkStart w:id="152" w:name="_Toc322680361"/>
      <w:bookmarkStart w:id="153" w:name="_Toc320515035"/>
      <w:bookmarkStart w:id="154" w:name="_Toc32051508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85"/>
      <w:bookmarkStart w:id="160" w:name="_Toc315793472"/>
      <w:bookmarkStart w:id="161" w:name="_Toc320515036"/>
      <w:bookmarkStart w:id="162" w:name="_Toc363737701"/>
      <w:bookmarkStart w:id="163" w:name="_Toc475104494"/>
      <w:bookmarkStart w:id="164" w:name="_Toc320515086"/>
      <w:bookmarkStart w:id="165" w:name="_Toc320515037"/>
      <w:bookmarkStart w:id="166" w:name="_Toc322680363"/>
      <w:bookmarkStart w:id="167" w:name="_Toc323110996"/>
      <w:bookmarkStart w:id="168" w:name="_Toc31579347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15793474"/>
      <w:bookmarkStart w:id="173" w:name="_Toc363737703"/>
      <w:bookmarkStart w:id="174" w:name="_Toc320515087"/>
      <w:bookmarkStart w:id="175" w:name="_Toc320515038"/>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2680366"/>
      <w:bookmarkStart w:id="177" w:name="_Toc320515089"/>
      <w:bookmarkStart w:id="178" w:name="_Toc320515040"/>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475104499"/>
      <w:bookmarkStart w:id="185" w:name="_Toc363737706"/>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475104500"/>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63737708"/>
      <w:bookmarkStart w:id="190" w:name="_Toc475104501"/>
      <w:bookmarkStart w:id="191" w:name="_Toc323111002"/>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63737709"/>
      <w:bookmarkStart w:id="193" w:name="_Toc322680370"/>
      <w:bookmarkStart w:id="194" w:name="_Toc323111003"/>
      <w:bookmarkStart w:id="195" w:name="_Toc320515093"/>
      <w:bookmarkStart w:id="196" w:name="_Toc315793480"/>
      <w:bookmarkStart w:id="197" w:name="_Toc320515044"/>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475104503"/>
      <w:bookmarkStart w:id="201" w:name="_Toc363737710"/>
      <w:bookmarkStart w:id="202" w:name="_Toc351716665"/>
      <w:bookmarkStart w:id="203" w:name="_Toc320515096"/>
      <w:bookmarkStart w:id="204" w:name="_Toc322680372"/>
      <w:bookmarkStart w:id="205" w:name="_Toc323111005"/>
      <w:bookmarkStart w:id="206" w:name="_Toc320515047"/>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63737711"/>
      <w:bookmarkStart w:id="211" w:name="_Toc351716666"/>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15793484"/>
      <w:bookmarkStart w:id="216" w:name="_Toc320515048"/>
      <w:bookmarkStart w:id="217" w:name="_Toc320515097"/>
      <w:bookmarkStart w:id="218" w:name="_Toc363737713"/>
      <w:bookmarkStart w:id="219" w:name="_Toc47510450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50"/>
      <w:bookmarkStart w:id="225" w:name="_Toc475104510"/>
      <w:bookmarkStart w:id="226" w:name="_Toc320515099"/>
      <w:bookmarkStart w:id="227" w:name="_Toc363737715"/>
      <w:bookmarkStart w:id="228" w:name="_Toc315793486"/>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363737716"/>
      <w:bookmarkStart w:id="233" w:name="_Toc475104511"/>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63737717"/>
      <w:bookmarkStart w:id="238" w:name="_Toc320515052"/>
      <w:bookmarkStart w:id="239" w:name="_Toc315793488"/>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广东省农业科学院动物科学研究所</w:t>
      </w:r>
      <w:r>
        <w:rPr>
          <w:rFonts w:hint="eastAsia" w:ascii="宋体" w:hAnsi="宋体" w:cs="宋体"/>
          <w:color w:val="auto"/>
          <w:szCs w:val="21"/>
          <w:highlight w:val="none"/>
        </w:rPr>
        <w:t>网站（new.gdias.net或www.gdias.com ）</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4"/>
      <w:bookmarkEnd w:id="254"/>
      <w:bookmarkStart w:id="255" w:name="_Toc321815807"/>
      <w:bookmarkEnd w:id="255"/>
      <w:bookmarkStart w:id="256" w:name="_Toc321815822"/>
      <w:bookmarkEnd w:id="256"/>
      <w:bookmarkStart w:id="257" w:name="_Toc321815811"/>
      <w:bookmarkEnd w:id="257"/>
      <w:bookmarkStart w:id="258" w:name="_Toc321815824"/>
      <w:bookmarkEnd w:id="258"/>
      <w:bookmarkStart w:id="259" w:name="_Toc321815809"/>
      <w:bookmarkEnd w:id="259"/>
      <w:bookmarkStart w:id="260" w:name="_Toc321815802"/>
      <w:bookmarkEnd w:id="260"/>
      <w:bookmarkStart w:id="261" w:name="_Toc321815812"/>
      <w:bookmarkEnd w:id="261"/>
      <w:bookmarkStart w:id="262" w:name="_Toc321815816"/>
      <w:bookmarkEnd w:id="262"/>
      <w:bookmarkStart w:id="263" w:name="_Toc321815823"/>
      <w:bookmarkEnd w:id="263"/>
      <w:bookmarkStart w:id="264" w:name="_Toc321815806"/>
      <w:bookmarkEnd w:id="264"/>
      <w:bookmarkStart w:id="265" w:name="_Toc321815821"/>
      <w:bookmarkEnd w:id="265"/>
      <w:bookmarkStart w:id="266" w:name="_Toc321815820"/>
      <w:bookmarkEnd w:id="266"/>
      <w:bookmarkStart w:id="267" w:name="_Toc321815817"/>
      <w:bookmarkEnd w:id="267"/>
      <w:bookmarkStart w:id="268" w:name="_Toc321815805"/>
      <w:bookmarkEnd w:id="268"/>
      <w:bookmarkStart w:id="269" w:name="_Toc321815819"/>
      <w:bookmarkEnd w:id="269"/>
      <w:bookmarkStart w:id="270" w:name="_Toc321815818"/>
      <w:bookmarkEnd w:id="270"/>
      <w:bookmarkStart w:id="271" w:name="_Toc321815810"/>
      <w:bookmarkEnd w:id="271"/>
      <w:bookmarkStart w:id="272" w:name="_Toc321815813"/>
      <w:bookmarkEnd w:id="272"/>
      <w:bookmarkStart w:id="273" w:name="_Toc321815801"/>
      <w:bookmarkEnd w:id="273"/>
      <w:bookmarkStart w:id="274" w:name="_Toc321815804"/>
      <w:bookmarkEnd w:id="274"/>
      <w:bookmarkStart w:id="275" w:name="_Toc321815825"/>
      <w:bookmarkEnd w:id="275"/>
      <w:bookmarkStart w:id="276" w:name="_Toc321815826"/>
      <w:bookmarkEnd w:id="276"/>
      <w:bookmarkStart w:id="277" w:name="_Toc321815815"/>
      <w:bookmarkEnd w:id="277"/>
      <w:bookmarkStart w:id="278" w:name="_Toc321815808"/>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（一）项目名称：广东省农业科学院领军人才项目实验室间隔改造工程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zh-CN" w:eastAsia="zh-CN"/>
        </w:rPr>
        <w:t>（三）项目实施地点：天河区大丰一街</w:t>
      </w:r>
      <w:r>
        <w:rPr>
          <w:rFonts w:hint="eastAsia"/>
          <w:color w:val="auto"/>
          <w:highlight w:val="none"/>
          <w:lang w:val="en-US" w:eastAsia="zh-CN"/>
        </w:rPr>
        <w:t>1号动科所内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（四）采购预算：人民币</w:t>
      </w:r>
      <w:r>
        <w:rPr>
          <w:rFonts w:hint="eastAsia"/>
          <w:color w:val="auto"/>
          <w:highlight w:val="none"/>
          <w:lang w:val="en-US" w:eastAsia="zh-CN"/>
        </w:rPr>
        <w:t>488904.20</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五</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）报价人在报价时须提供主要材料的品牌厂家（填写《主要材料品牌厂家明细表》）。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45</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293341641"/>
      <w:bookmarkStart w:id="286" w:name="_Toc303110406"/>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广东省农业科学院领军人才项目实验室间隔改造工程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广东省农业科学院动物科学研究所</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4943"/>
      <w:bookmarkStart w:id="288" w:name="_Toc18985535"/>
      <w:bookmarkStart w:id="289" w:name="_Toc18985581"/>
      <w:bookmarkStart w:id="290" w:name="_Toc18985701"/>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广东省农业科学院领军人才项目实验室间隔改造工程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广东省农业科学院领军人才项目实验室间隔改造工程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333236680"/>
      <w:bookmarkStart w:id="378"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hint="eastAsia"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1.总体方案合理，对本项目需求情况熟悉且有针对性得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2.总体方案较合理，基本了解本项目需求情况，得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2</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1.对项目的重点、难点分析准确，采取的措施合理、可靠，得5分；</w:t>
            </w:r>
          </w:p>
          <w:p>
            <w:pPr>
              <w:snapToGrid w:val="0"/>
              <w:rPr>
                <w:rFonts w:hint="eastAsia" w:ascii="宋体" w:hAnsi="宋体" w:cs="宋体"/>
                <w:color w:val="auto"/>
                <w:highlight w:val="none"/>
              </w:rPr>
            </w:pPr>
            <w:r>
              <w:rPr>
                <w:rFonts w:hint="eastAsia" w:ascii="宋体" w:hAnsi="宋体" w:cs="宋体"/>
                <w:color w:val="auto"/>
                <w:highlight w:val="none"/>
              </w:rPr>
              <w:t>2.对项目的重点、难点分析基本准确，采取的措施基本合理、可靠，得3分；</w:t>
            </w:r>
          </w:p>
          <w:p>
            <w:pPr>
              <w:snapToGrid w:val="0"/>
              <w:rPr>
                <w:rFonts w:hint="eastAsia"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3</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w:t>
            </w:r>
            <w:r>
              <w:rPr>
                <w:rFonts w:hint="eastAsia" w:ascii="宋体" w:hAnsi="宋体" w:cs="宋体"/>
                <w:color w:val="auto"/>
                <w:highlight w:val="none"/>
                <w:lang w:val="en-US" w:eastAsia="zh-CN"/>
              </w:rPr>
              <w:t>6</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w:t>
            </w:r>
            <w:r>
              <w:rPr>
                <w:rFonts w:hint="eastAsia" w:ascii="宋体" w:hAnsi="宋体" w:cs="宋体"/>
                <w:color w:val="auto"/>
                <w:highlight w:val="none"/>
                <w:lang w:eastAsia="zh-CN"/>
              </w:rPr>
              <w:t>不得分</w:t>
            </w:r>
            <w:r>
              <w:rPr>
                <w:rFonts w:hint="eastAsia" w:ascii="宋体" w:hAnsi="宋体" w:cs="宋体"/>
                <w:color w:val="auto"/>
                <w:highlight w:val="none"/>
              </w:rPr>
              <w:t>。</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4</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1.质量保证体系健全，措施合理，得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2.质量保证体系基本健全，措施基本合理，得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3.质量保证体系不健全，措施不合理，</w:t>
            </w:r>
            <w:r>
              <w:rPr>
                <w:rFonts w:hint="eastAsia" w:ascii="宋体" w:hAnsi="宋体" w:cs="宋体"/>
                <w:color w:val="auto"/>
                <w:highlight w:val="none"/>
                <w:lang w:eastAsia="zh-CN"/>
              </w:rPr>
              <w:t>不得</w:t>
            </w:r>
            <w:r>
              <w:rPr>
                <w:rFonts w:hint="eastAsia" w:ascii="宋体" w:hAnsi="宋体" w:cs="宋体"/>
                <w:color w:val="auto"/>
                <w:highlight w:val="none"/>
              </w:rPr>
              <w:t>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5</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hint="eastAsia"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hint="eastAsia"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7"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合同履行期限为</w:t>
            </w:r>
            <w:r>
              <w:rPr>
                <w:rFonts w:hint="eastAsia" w:ascii="宋体" w:hAnsi="宋体" w:cs="宋体"/>
                <w:color w:val="auto"/>
                <w:kern w:val="0"/>
                <w:sz w:val="21"/>
                <w:szCs w:val="21"/>
                <w:highlight w:val="none"/>
                <w:lang w:val="en-US" w:eastAsia="zh-CN"/>
              </w:rPr>
              <w:t>45日历天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承诺合同履行期限为</w:t>
            </w:r>
            <w:r>
              <w:rPr>
                <w:rFonts w:hint="eastAsia" w:ascii="宋体" w:hAnsi="宋体" w:cs="宋体"/>
                <w:color w:val="auto"/>
                <w:kern w:val="0"/>
                <w:sz w:val="21"/>
                <w:szCs w:val="21"/>
                <w:highlight w:val="none"/>
                <w:lang w:val="en-US" w:eastAsia="zh-CN"/>
              </w:rPr>
              <w:t>45日历天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承诺合同履行期限每缩短</w:t>
            </w:r>
            <w:r>
              <w:rPr>
                <w:rFonts w:hint="eastAsia" w:ascii="宋体" w:hAnsi="宋体" w:cs="宋体"/>
                <w:color w:val="auto"/>
                <w:kern w:val="0"/>
                <w:sz w:val="21"/>
                <w:szCs w:val="21"/>
                <w:highlight w:val="none"/>
                <w:lang w:val="en-US" w:eastAsia="zh-CN"/>
              </w:rPr>
              <w:t>5日历天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1.投入项目团队人员具备中级或以上职称，人数为6人或以上（其中高级或以上职称不少于3人）的得6分；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人或以上（其中高级或以上职称不少于</w:t>
            </w:r>
            <w:r>
              <w:rPr>
                <w:rFonts w:hint="eastAsia" w:ascii="宋体" w:hAnsi="宋体" w:cs="宋体"/>
                <w:color w:val="auto"/>
                <w:highlight w:val="none"/>
              </w:rPr>
              <w:t>2</w:t>
            </w:r>
            <w:r>
              <w:rPr>
                <w:rFonts w:ascii="宋体" w:hAnsi="宋体" w:cs="宋体"/>
                <w:color w:val="auto"/>
                <w:highlight w:val="none"/>
              </w:rPr>
              <w:t>人）的得</w:t>
            </w:r>
            <w:r>
              <w:rPr>
                <w:rFonts w:hint="eastAsia" w:ascii="宋体" w:hAnsi="宋体" w:cs="宋体"/>
                <w:color w:val="auto"/>
                <w:highlight w:val="none"/>
              </w:rPr>
              <w:t>3</w:t>
            </w:r>
            <w:r>
              <w:rPr>
                <w:rFonts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3.投入项目团队人员具备中级或以上职称，人数为2人或以上（其中高级或以上职称不少于1人）的得1分。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rPr>
              <w:t>6</w:t>
            </w:r>
            <w:r>
              <w:rPr>
                <w:rFonts w:hint="eastAsia" w:ascii="宋体" w:hAnsi="宋体" w:cs="宋体"/>
                <w:color w:val="auto"/>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hint="eastAsia" w:ascii="宋体" w:hAnsi="宋体" w:cs="宋体"/>
                <w:color w:val="auto"/>
                <w:highlight w:val="none"/>
              </w:rPr>
            </w:pPr>
          </w:p>
        </w:tc>
        <w:tc>
          <w:tcPr>
            <w:tcW w:w="659" w:type="dxa"/>
            <w:vMerge w:val="continue"/>
            <w:tcBorders>
              <w:bottom w:val="single" w:color="auto" w:sz="4" w:space="0"/>
            </w:tcBorders>
            <w:vAlign w:val="center"/>
          </w:tcPr>
          <w:p>
            <w:pPr>
              <w:snapToGrid w:val="0"/>
              <w:rPr>
                <w:rFonts w:hint="eastAsia"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rPr>
              <w:t>3</w:t>
            </w:r>
            <w:r>
              <w:rPr>
                <w:rFonts w:hint="eastAsia" w:ascii="宋体" w:hAnsi="宋体" w:cs="宋体"/>
                <w:color w:val="auto"/>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30分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项目编号：</w:t>
      </w:r>
    </w:p>
    <w:tbl>
      <w:tblPr>
        <w:tblStyle w:val="90"/>
        <w:tblW w:w="966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043"/>
        <w:gridCol w:w="6823"/>
        <w:gridCol w:w="108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3" w:hRule="atLeast"/>
          <w:tblHeader/>
          <w:jc w:val="center"/>
        </w:trPr>
        <w:tc>
          <w:tcPr>
            <w:tcW w:w="705"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04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2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评分标准</w:t>
            </w:r>
          </w:p>
        </w:tc>
        <w:tc>
          <w:tcPr>
            <w:tcW w:w="1089"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84" w:hRule="atLeast"/>
          <w:jc w:val="center"/>
        </w:trPr>
        <w:tc>
          <w:tcPr>
            <w:tcW w:w="70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一</w:t>
            </w:r>
          </w:p>
        </w:tc>
        <w:tc>
          <w:tcPr>
            <w:tcW w:w="104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业绩</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7</w:t>
            </w:r>
            <w:r>
              <w:rPr>
                <w:rFonts w:hint="eastAsia" w:ascii="宋体" w:hAnsi="宋体" w:cs="宋体"/>
                <w:color w:val="auto"/>
                <w:highlight w:val="none"/>
              </w:rPr>
              <w:t>年1月1日至今承担过同类项目业绩得，每个业绩得0.5分，满分</w:t>
            </w:r>
            <w:r>
              <w:rPr>
                <w:rFonts w:hint="eastAsia" w:ascii="宋体" w:hAnsi="宋体" w:cs="宋体"/>
                <w:color w:val="auto"/>
                <w:highlight w:val="none"/>
                <w:lang w:val="en-US" w:eastAsia="zh-CN"/>
              </w:rPr>
              <w:t>9</w:t>
            </w:r>
            <w:r>
              <w:rPr>
                <w:rFonts w:hint="eastAsia" w:ascii="宋体" w:hAnsi="宋体" w:cs="宋体"/>
                <w:color w:val="auto"/>
                <w:highlight w:val="none"/>
              </w:rPr>
              <w:t>分，其他不得分。</w:t>
            </w:r>
          </w:p>
          <w:p>
            <w:pPr>
              <w:snapToGrid w:val="0"/>
              <w:rPr>
                <w:rFonts w:hint="eastAsia" w:ascii="宋体" w:hAnsi="宋体" w:cs="宋体"/>
                <w:color w:val="auto"/>
                <w:highlight w:val="none"/>
              </w:rPr>
            </w:pPr>
            <w:r>
              <w:rPr>
                <w:rFonts w:hint="eastAsia" w:ascii="宋体" w:hAnsi="宋体" w:cs="宋体"/>
                <w:color w:val="auto"/>
                <w:highlight w:val="none"/>
              </w:rPr>
              <w:t>（注：业绩需提供中标通知书及合同复印件。）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9</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705"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二</w:t>
            </w:r>
          </w:p>
        </w:tc>
        <w:tc>
          <w:tcPr>
            <w:tcW w:w="1043"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企业信用信誉</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w:t>
            </w:r>
            <w:r>
              <w:rPr>
                <w:rFonts w:hint="eastAsia" w:ascii="宋体" w:hAnsi="宋体" w:cs="宋体"/>
                <w:color w:val="auto"/>
                <w:highlight w:val="none"/>
                <w:lang w:val="en-US" w:eastAsia="zh-CN"/>
              </w:rPr>
              <w:t>6</w:t>
            </w:r>
            <w:r>
              <w:rPr>
                <w:rFonts w:hint="eastAsia" w:ascii="宋体" w:hAnsi="宋体" w:cs="宋体"/>
                <w:color w:val="auto"/>
                <w:highlight w:val="none"/>
              </w:rPr>
              <w:t>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w:t>
            </w:r>
            <w:r>
              <w:rPr>
                <w:rFonts w:hint="eastAsia" w:ascii="宋体" w:hAnsi="宋体" w:cs="宋体"/>
                <w:color w:val="auto"/>
                <w:highlight w:val="none"/>
                <w:lang w:val="en-US" w:eastAsia="zh-CN"/>
              </w:rPr>
              <w:t>3</w:t>
            </w:r>
            <w:r>
              <w:rPr>
                <w:rFonts w:hint="eastAsia" w:ascii="宋体" w:hAnsi="宋体" w:cs="宋体"/>
                <w:color w:val="auto"/>
                <w:highlight w:val="none"/>
              </w:rPr>
              <w:t>分，其他不得分。</w:t>
            </w:r>
          </w:p>
          <w:p>
            <w:pPr>
              <w:snapToGrid w:val="0"/>
              <w:rPr>
                <w:rFonts w:hint="eastAsia" w:ascii="宋体" w:hAnsi="宋体" w:cs="宋体"/>
                <w:color w:val="auto"/>
                <w:highlight w:val="none"/>
              </w:rPr>
            </w:pPr>
            <w:r>
              <w:rPr>
                <w:rFonts w:hint="eastAsia" w:ascii="宋体" w:hAnsi="宋体" w:cs="宋体"/>
                <w:color w:val="auto"/>
                <w:highlight w:val="none"/>
              </w:rPr>
              <w:t>（提供证书复印件）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04"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w:t>
            </w:r>
            <w:r>
              <w:rPr>
                <w:rFonts w:hint="eastAsia" w:ascii="宋体" w:hAnsi="宋体" w:cs="宋体"/>
                <w:color w:val="auto"/>
                <w:szCs w:val="21"/>
                <w:highlight w:val="none"/>
                <w:lang w:eastAsia="zh-CN"/>
              </w:rPr>
              <w:t>建筑</w:t>
            </w:r>
            <w:r>
              <w:rPr>
                <w:rFonts w:hint="eastAsia" w:ascii="宋体" w:hAnsi="宋体" w:cs="宋体"/>
                <w:color w:val="auto"/>
                <w:szCs w:val="21"/>
                <w:highlight w:val="none"/>
              </w:rPr>
              <w:t>工程”。每提供一个有效的证书得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分，最高</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分，</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w:t>
            </w:r>
            <w:r>
              <w:rPr>
                <w:rFonts w:hint="eastAsia" w:ascii="宋体" w:hAnsi="宋体" w:cs="宋体"/>
                <w:color w:val="auto"/>
                <w:highlight w:val="none"/>
                <w:lang w:val="en-US" w:eastAsia="zh-CN"/>
              </w:rPr>
              <w:t>6</w:t>
            </w:r>
            <w:r>
              <w:rPr>
                <w:rFonts w:hint="eastAsia" w:ascii="宋体" w:hAnsi="宋体" w:cs="宋体"/>
                <w:color w:val="auto"/>
                <w:highlight w:val="none"/>
              </w:rPr>
              <w:t>分；具有AA级等级的得</w:t>
            </w:r>
            <w:r>
              <w:rPr>
                <w:rFonts w:hint="eastAsia" w:ascii="宋体" w:hAnsi="宋体" w:cs="宋体"/>
                <w:color w:val="auto"/>
                <w:highlight w:val="none"/>
                <w:lang w:val="en-US" w:eastAsia="zh-CN"/>
              </w:rPr>
              <w:t>3</w:t>
            </w:r>
            <w:r>
              <w:rPr>
                <w:rFonts w:hint="eastAsia" w:ascii="宋体" w:hAnsi="宋体" w:cs="宋体"/>
                <w:color w:val="auto"/>
                <w:highlight w:val="none"/>
              </w:rPr>
              <w:t>分；其他不得分。</w:t>
            </w:r>
          </w:p>
          <w:p>
            <w:pPr>
              <w:snapToGrid w:val="0"/>
              <w:rPr>
                <w:rFonts w:hint="eastAsia" w:ascii="宋体" w:hAnsi="宋体" w:cs="宋体"/>
                <w:color w:val="auto"/>
                <w:szCs w:val="21"/>
                <w:highlight w:val="none"/>
              </w:rPr>
            </w:pPr>
            <w:r>
              <w:rPr>
                <w:rFonts w:hint="eastAsia" w:ascii="宋体" w:hAnsi="宋体" w:cs="宋体"/>
                <w:color w:val="auto"/>
                <w:highlight w:val="none"/>
              </w:rPr>
              <w:t>（提供证书复印件）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投标人获得由工商行政管理部门颁发的“守合同重信用”称号证书的得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（须提供相关证书的复印件）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1748" w:type="dxa"/>
            <w:gridSpan w:val="2"/>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合计</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0分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6"/>
        <w:spacing w:line="360" w:lineRule="auto"/>
        <w:jc w:val="left"/>
        <w:rPr>
          <w:rFonts w:hAnsi="宋体"/>
          <w:b/>
          <w:bCs/>
          <w:color w:val="auto"/>
          <w:sz w:val="24"/>
          <w:szCs w:val="24"/>
          <w:highlight w:val="none"/>
        </w:rPr>
      </w:pPr>
    </w:p>
    <w:p>
      <w:pPr>
        <w:pStyle w:val="47"/>
        <w:jc w:val="center"/>
        <w:rPr>
          <w:rFonts w:hint="eastAsia" w:hAnsi="宋体"/>
          <w:b/>
          <w:bCs/>
          <w:color w:val="auto"/>
          <w:sz w:val="28"/>
          <w:szCs w:val="28"/>
          <w:highlight w:val="none"/>
          <w:lang w:eastAsia="zh-CN"/>
        </w:rPr>
      </w:pPr>
      <w:r>
        <w:rPr>
          <w:rFonts w:hint="eastAsia" w:hAnsi="宋体"/>
          <w:b/>
          <w:bCs/>
          <w:color w:val="auto"/>
          <w:sz w:val="28"/>
          <w:szCs w:val="28"/>
          <w:highlight w:val="none"/>
          <w:lang w:eastAsia="zh-CN"/>
        </w:rPr>
        <w:t>格式自拟</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109467914"/>
      <w:bookmarkStart w:id="408"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（4）质量控制；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kern w:val="2"/>
                <w:sz w:val="21"/>
                <w:szCs w:val="21"/>
                <w:highlight w:val="none"/>
              </w:rPr>
            </w:pPr>
            <w:r>
              <w:rPr>
                <w:rFonts w:hint="eastAsia" w:asciiTheme="majorEastAsia" w:hAnsiTheme="majorEastAsia" w:eastAsiaTheme="majorEastAsia" w:cstheme="majorEastAsia"/>
                <w:color w:val="auto"/>
                <w:kern w:val="2"/>
                <w:sz w:val="21"/>
                <w:szCs w:val="21"/>
                <w:highlight w:val="none"/>
              </w:rPr>
              <w:t>从事</w:t>
            </w:r>
            <w:r>
              <w:rPr>
                <w:rFonts w:hint="eastAsia" w:asciiTheme="majorEastAsia" w:hAnsiTheme="majorEastAsia" w:eastAsiaTheme="majorEastAsia" w:cstheme="majorEastAsia"/>
                <w:color w:val="auto"/>
                <w:sz w:val="21"/>
                <w:szCs w:val="21"/>
                <w:highlight w:val="none"/>
              </w:rPr>
              <w:t>同类</w:t>
            </w:r>
            <w:r>
              <w:rPr>
                <w:rFonts w:hint="eastAsia" w:asciiTheme="majorEastAsia" w:hAnsiTheme="majorEastAsia" w:eastAsiaTheme="majorEastAsia" w:cstheme="maj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成果质量</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oXO7tEAAAADAQAADwAAAAAAAAABACAAAAAiAAAAZHJzL2Rvd25yZXYueG1sUEsBAhQAFAAA&#10;AAgAh07iQNa6ARz2AQAAxgMAAA4AAAAAAAAAAQAgAAAAIAEAAGRycy9lMm9Eb2MueG1sUEsFBgAA&#10;AAAGAAYAWQEAAIg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5006FA0"/>
    <w:rsid w:val="07161791"/>
    <w:rsid w:val="08694ADA"/>
    <w:rsid w:val="0AE11E48"/>
    <w:rsid w:val="0B871444"/>
    <w:rsid w:val="0C045CD2"/>
    <w:rsid w:val="0D8152E8"/>
    <w:rsid w:val="0E294FAB"/>
    <w:rsid w:val="0E462DAD"/>
    <w:rsid w:val="0EEF4841"/>
    <w:rsid w:val="11A42212"/>
    <w:rsid w:val="167654DF"/>
    <w:rsid w:val="16A36F9A"/>
    <w:rsid w:val="189161D3"/>
    <w:rsid w:val="199B7D6D"/>
    <w:rsid w:val="1A251978"/>
    <w:rsid w:val="1B62425E"/>
    <w:rsid w:val="1B9B22B5"/>
    <w:rsid w:val="1BB10FE2"/>
    <w:rsid w:val="1D461912"/>
    <w:rsid w:val="1D603FE9"/>
    <w:rsid w:val="1F1539B4"/>
    <w:rsid w:val="1F9E3FD7"/>
    <w:rsid w:val="20CE5A6D"/>
    <w:rsid w:val="210C2156"/>
    <w:rsid w:val="216E2E07"/>
    <w:rsid w:val="22535329"/>
    <w:rsid w:val="2301305E"/>
    <w:rsid w:val="233D3FD3"/>
    <w:rsid w:val="255A3784"/>
    <w:rsid w:val="2988523F"/>
    <w:rsid w:val="2A1810D7"/>
    <w:rsid w:val="2A4464A6"/>
    <w:rsid w:val="2B8F5A11"/>
    <w:rsid w:val="2B996E20"/>
    <w:rsid w:val="2C3F15A1"/>
    <w:rsid w:val="2CC3315B"/>
    <w:rsid w:val="30031F2E"/>
    <w:rsid w:val="348E0D5D"/>
    <w:rsid w:val="354A32AA"/>
    <w:rsid w:val="370D4E81"/>
    <w:rsid w:val="38AF7C5A"/>
    <w:rsid w:val="39144DD2"/>
    <w:rsid w:val="3B91650A"/>
    <w:rsid w:val="3C47493F"/>
    <w:rsid w:val="3E253455"/>
    <w:rsid w:val="40F2232A"/>
    <w:rsid w:val="413E03B5"/>
    <w:rsid w:val="433C464F"/>
    <w:rsid w:val="43E54961"/>
    <w:rsid w:val="45816D95"/>
    <w:rsid w:val="45BC0B50"/>
    <w:rsid w:val="47F7074A"/>
    <w:rsid w:val="4BA44348"/>
    <w:rsid w:val="4BC27EF0"/>
    <w:rsid w:val="4DBE3804"/>
    <w:rsid w:val="4E5221B2"/>
    <w:rsid w:val="500819AE"/>
    <w:rsid w:val="52A95F17"/>
    <w:rsid w:val="592B775C"/>
    <w:rsid w:val="5CE9656C"/>
    <w:rsid w:val="5E363818"/>
    <w:rsid w:val="5E421EBB"/>
    <w:rsid w:val="5F9100C4"/>
    <w:rsid w:val="61C679A6"/>
    <w:rsid w:val="645475E2"/>
    <w:rsid w:val="65B25C36"/>
    <w:rsid w:val="68BC1C18"/>
    <w:rsid w:val="6C3237AC"/>
    <w:rsid w:val="6CF57457"/>
    <w:rsid w:val="6D0C7F81"/>
    <w:rsid w:val="6D757E5C"/>
    <w:rsid w:val="70C704EA"/>
    <w:rsid w:val="7151618F"/>
    <w:rsid w:val="72472021"/>
    <w:rsid w:val="73250F8A"/>
    <w:rsid w:val="73E10AC3"/>
    <w:rsid w:val="77D008D6"/>
    <w:rsid w:val="781D5E1A"/>
    <w:rsid w:val="7B2E0E6C"/>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41</TotalTime>
  <ScaleCrop>false</ScaleCrop>
  <LinksUpToDate>false</LinksUpToDate>
  <CharactersWithSpaces>178505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2020-08-20T01:22:42Z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