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b/>
          <w:bCs/>
          <w:color w:val="auto"/>
          <w:sz w:val="28"/>
          <w:szCs w:val="28"/>
          <w:highlight w:val="none"/>
        </w:rPr>
      </w:pPr>
    </w:p>
    <w:p>
      <w:pPr>
        <w:spacing w:beforeLines="100" w:line="360" w:lineRule="auto"/>
        <w:jc w:val="center"/>
        <w:rPr>
          <w:rFonts w:ascii="宋体" w:hAnsi="宋体"/>
          <w:b/>
          <w:bCs/>
          <w:color w:val="auto"/>
          <w:spacing w:val="100"/>
          <w:sz w:val="96"/>
          <w:szCs w:val="96"/>
          <w:highlight w:val="none"/>
        </w:rPr>
      </w:pPr>
      <w:r>
        <w:rPr>
          <w:rFonts w:hint="eastAsia" w:ascii="宋体" w:hAnsi="宋体"/>
          <w:b/>
          <w:bCs/>
          <w:color w:val="auto"/>
          <w:spacing w:val="100"/>
          <w:sz w:val="96"/>
          <w:szCs w:val="96"/>
          <w:highlight w:val="none"/>
        </w:rPr>
        <w:t>政府采购</w:t>
      </w:r>
    </w:p>
    <w:p>
      <w:pPr>
        <w:spacing w:line="360" w:lineRule="auto"/>
        <w:rPr>
          <w:rFonts w:ascii="宋体" w:hAnsi="宋体"/>
          <w:b/>
          <w:bCs/>
          <w:color w:val="auto"/>
          <w:spacing w:val="100"/>
          <w:sz w:val="28"/>
          <w:szCs w:val="28"/>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项目名称：</w:t>
      </w:r>
      <w:r>
        <w:rPr>
          <w:rFonts w:hint="eastAsia" w:ascii="宋体" w:hAnsi="宋体"/>
          <w:b/>
          <w:color w:val="auto"/>
          <w:sz w:val="28"/>
          <w:szCs w:val="28"/>
          <w:highlight w:val="none"/>
          <w:lang w:eastAsia="zh-CN"/>
        </w:rPr>
        <w:t>广东省前沿动物保健有限公司车间仓库加固维修工程</w:t>
      </w:r>
      <w:r>
        <w:rPr>
          <w:rFonts w:hint="eastAsia" w:ascii="宋体" w:hAnsi="宋体"/>
          <w:b/>
          <w:color w:val="auto"/>
          <w:sz w:val="28"/>
          <w:szCs w:val="28"/>
          <w:highlight w:val="none"/>
        </w:rPr>
        <w:t xml:space="preserve"> </w:t>
      </w:r>
    </w:p>
    <w:p>
      <w:pPr>
        <w:spacing w:line="360" w:lineRule="auto"/>
        <w:jc w:val="center"/>
        <w:rPr>
          <w:rFonts w:hint="eastAsia" w:ascii="宋体" w:hAnsi="宋体" w:eastAsia="宋体"/>
          <w:b/>
          <w:color w:val="auto"/>
          <w:sz w:val="28"/>
          <w:szCs w:val="28"/>
          <w:highlight w:val="none"/>
          <w:lang w:val="en-US" w:eastAsia="zh-CN"/>
        </w:rPr>
      </w:pPr>
      <w:r>
        <w:rPr>
          <w:rFonts w:hint="eastAsia" w:ascii="宋体" w:hAnsi="宋体"/>
          <w:b/>
          <w:color w:val="auto"/>
          <w:sz w:val="28"/>
          <w:szCs w:val="28"/>
          <w:highlight w:val="none"/>
        </w:rPr>
        <w:t>项目编号：</w:t>
      </w:r>
      <w:r>
        <w:rPr>
          <w:rFonts w:hint="eastAsia" w:ascii="宋体" w:hAnsi="宋体"/>
          <w:b/>
          <w:color w:val="auto"/>
          <w:sz w:val="28"/>
          <w:szCs w:val="28"/>
          <w:highlight w:val="none"/>
          <w:lang w:eastAsia="zh-CN"/>
        </w:rPr>
        <w:t>202007-184098-0046</w:t>
      </w:r>
    </w:p>
    <w:p>
      <w:pPr>
        <w:spacing w:line="360" w:lineRule="auto"/>
        <w:rPr>
          <w:rFonts w:ascii="宋体" w:hAnsi="宋体"/>
          <w:color w:val="auto"/>
          <w:sz w:val="84"/>
          <w:highlight w:val="none"/>
        </w:rPr>
      </w:pPr>
    </w:p>
    <w:p>
      <w:pPr>
        <w:spacing w:line="360" w:lineRule="auto"/>
        <w:ind w:firstLine="1687" w:firstLineChars="200"/>
        <w:rPr>
          <w:rFonts w:ascii="宋体" w:hAnsi="宋体"/>
          <w:b/>
          <w:color w:val="auto"/>
          <w:sz w:val="84"/>
          <w:highlight w:val="none"/>
        </w:rPr>
      </w:pPr>
      <w:r>
        <w:rPr>
          <w:rFonts w:hint="eastAsia" w:ascii="宋体" w:hAnsi="宋体"/>
          <w:b/>
          <w:color w:val="auto"/>
          <w:sz w:val="84"/>
          <w:highlight w:val="none"/>
        </w:rPr>
        <w:t>竞争性磋商文件</w:t>
      </w: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pacing w:line="360" w:lineRule="auto"/>
        <w:rPr>
          <w:rFonts w:ascii="宋体" w:hAnsi="宋体"/>
          <w:color w:val="auto"/>
          <w:sz w:val="32"/>
          <w:szCs w:val="32"/>
          <w:highlight w:val="none"/>
        </w:rPr>
      </w:pP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   购   人：</w:t>
      </w:r>
      <w:r>
        <w:rPr>
          <w:rFonts w:hint="eastAsia" w:ascii="宋体" w:hAnsi="宋体" w:cs="宋体"/>
          <w:b/>
          <w:bCs/>
          <w:color w:val="auto"/>
          <w:sz w:val="30"/>
          <w:szCs w:val="30"/>
          <w:highlight w:val="none"/>
          <w:lang w:eastAsia="zh-CN"/>
        </w:rPr>
        <w:t>广东省农科资产经营有限公司</w:t>
      </w:r>
      <w:r>
        <w:rPr>
          <w:rFonts w:hint="eastAsia" w:ascii="宋体" w:hAnsi="宋体"/>
          <w:b/>
          <w:color w:val="auto"/>
          <w:sz w:val="30"/>
          <w:szCs w:val="30"/>
          <w:highlight w:val="none"/>
        </w:rPr>
        <w:t xml:space="preserve">  </w:t>
      </w:r>
    </w:p>
    <w:p>
      <w:pPr>
        <w:snapToGrid w:val="0"/>
        <w:spacing w:line="360" w:lineRule="auto"/>
        <w:ind w:firstLine="1205" w:firstLineChars="400"/>
        <w:rPr>
          <w:rFonts w:ascii="宋体" w:hAnsi="宋体"/>
          <w:b/>
          <w:color w:val="auto"/>
          <w:sz w:val="30"/>
          <w:szCs w:val="30"/>
          <w:highlight w:val="none"/>
        </w:rPr>
      </w:pPr>
      <w:r>
        <w:rPr>
          <w:rFonts w:hint="eastAsia" w:ascii="宋体" w:hAnsi="宋体"/>
          <w:b/>
          <w:color w:val="auto"/>
          <w:sz w:val="30"/>
          <w:szCs w:val="30"/>
          <w:highlight w:val="none"/>
        </w:rPr>
        <w:t>采购代理机构：广州市信怡招标代理有限公司</w:t>
      </w:r>
    </w:p>
    <w:p>
      <w:pPr>
        <w:snapToGrid w:val="0"/>
        <w:spacing w:line="360" w:lineRule="auto"/>
        <w:ind w:firstLine="1205" w:firstLineChars="400"/>
        <w:rPr>
          <w:rStyle w:val="95"/>
          <w:rFonts w:hint="eastAsia" w:ascii="宋体" w:hAnsi="宋体" w:eastAsia="宋体"/>
          <w:b/>
          <w:color w:val="auto"/>
          <w:sz w:val="30"/>
          <w:szCs w:val="30"/>
          <w:highlight w:val="none"/>
          <w:lang w:val="en-US" w:eastAsia="zh-CN"/>
        </w:rPr>
        <w:sectPr>
          <w:headerReference r:id="rId4" w:type="first"/>
          <w:footerReference r:id="rId7" w:type="first"/>
          <w:footerReference r:id="rId5" w:type="default"/>
          <w:headerReference r:id="rId3" w:type="even"/>
          <w:footerReference r:id="rId6" w:type="even"/>
          <w:pgSz w:w="11906" w:h="16838"/>
          <w:pgMar w:top="1134" w:right="1417" w:bottom="1134" w:left="1417" w:header="567" w:footer="737" w:gutter="0"/>
          <w:pgBorders>
            <w:top w:val="none" w:sz="0" w:space="0"/>
            <w:left w:val="none" w:sz="0" w:space="0"/>
            <w:bottom w:val="none" w:sz="0" w:space="0"/>
            <w:right w:val="none" w:sz="0" w:space="0"/>
          </w:pgBorders>
          <w:cols w:space="720" w:num="1"/>
          <w:titlePg/>
          <w:docGrid w:linePitch="312" w:charSpace="0"/>
        </w:sectPr>
      </w:pPr>
      <w:r>
        <w:rPr>
          <w:rFonts w:hint="eastAsia" w:ascii="宋体" w:hAnsi="宋体"/>
          <w:b/>
          <w:color w:val="auto"/>
          <w:sz w:val="30"/>
          <w:szCs w:val="30"/>
          <w:highlight w:val="none"/>
        </w:rPr>
        <w:t>日        期：</w:t>
      </w:r>
      <w:bookmarkStart w:id="0" w:name="_Toc28489433"/>
      <w:bookmarkStart w:id="1" w:name="_Toc14450806"/>
      <w:r>
        <w:rPr>
          <w:rStyle w:val="95"/>
          <w:rFonts w:hint="eastAsia" w:ascii="宋体" w:hAnsi="宋体"/>
          <w:b/>
          <w:color w:val="auto"/>
          <w:sz w:val="30"/>
          <w:szCs w:val="30"/>
          <w:highlight w:val="none"/>
          <w:u w:val="none"/>
        </w:rPr>
        <w:t xml:space="preserve"> 二○二○年</w:t>
      </w:r>
      <w:r>
        <w:rPr>
          <w:rStyle w:val="95"/>
          <w:rFonts w:hint="eastAsia" w:ascii="宋体" w:hAnsi="宋体"/>
          <w:b/>
          <w:color w:val="auto"/>
          <w:sz w:val="30"/>
          <w:szCs w:val="30"/>
          <w:highlight w:val="none"/>
          <w:u w:val="none"/>
          <w:lang w:eastAsia="zh-CN"/>
        </w:rPr>
        <w:t>九</w:t>
      </w:r>
      <w:r>
        <w:rPr>
          <w:rStyle w:val="95"/>
          <w:rFonts w:hint="eastAsia" w:ascii="宋体" w:hAnsi="宋体"/>
          <w:b/>
          <w:color w:val="auto"/>
          <w:sz w:val="30"/>
          <w:szCs w:val="30"/>
          <w:highlight w:val="none"/>
          <w:u w:val="none"/>
        </w:rPr>
        <w:t>月</w:t>
      </w:r>
    </w:p>
    <w:p>
      <w:pPr>
        <w:spacing w:beforeLines="50" w:afterLines="50" w:line="360" w:lineRule="auto"/>
        <w:rPr>
          <w:rFonts w:ascii="宋体" w:hAnsi="宋体"/>
          <w:b/>
          <w:color w:val="auto"/>
          <w:sz w:val="36"/>
          <w:highlight w:val="none"/>
        </w:rPr>
      </w:pPr>
    </w:p>
    <w:p>
      <w:pPr>
        <w:spacing w:beforeLines="50" w:afterLines="50" w:line="360" w:lineRule="auto"/>
        <w:jc w:val="center"/>
        <w:rPr>
          <w:rFonts w:ascii="宋体" w:hAnsi="宋体"/>
          <w:b/>
          <w:color w:val="auto"/>
          <w:sz w:val="36"/>
          <w:highlight w:val="none"/>
        </w:rPr>
      </w:pPr>
    </w:p>
    <w:p>
      <w:pPr>
        <w:spacing w:line="360" w:lineRule="auto"/>
        <w:jc w:val="center"/>
        <w:rPr>
          <w:rFonts w:ascii="宋体" w:hAnsi="宋体"/>
          <w:b/>
          <w:color w:val="auto"/>
          <w:sz w:val="28"/>
          <w:szCs w:val="28"/>
          <w:highlight w:val="none"/>
        </w:rPr>
      </w:pPr>
      <w:r>
        <w:rPr>
          <w:rFonts w:hint="eastAsia" w:ascii="宋体" w:hAnsi="宋体"/>
          <w:b/>
          <w:color w:val="auto"/>
          <w:sz w:val="28"/>
          <w:szCs w:val="28"/>
          <w:highlight w:val="none"/>
        </w:rPr>
        <w:t>温馨提示</w:t>
      </w:r>
    </w:p>
    <w:p>
      <w:pPr>
        <w:spacing w:line="360" w:lineRule="auto"/>
        <w:rPr>
          <w:rFonts w:ascii="宋体" w:hAnsi="宋体"/>
          <w:color w:val="auto"/>
          <w:szCs w:val="21"/>
          <w:highlight w:val="none"/>
        </w:rPr>
      </w:pP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如无另行说明，投标/报价文件递交时间为投标/报价文件</w:t>
      </w:r>
      <w:r>
        <w:rPr>
          <w:rFonts w:hint="eastAsia" w:ascii="宋体" w:hAnsi="宋体"/>
          <w:b/>
          <w:color w:val="auto"/>
          <w:szCs w:val="21"/>
          <w:highlight w:val="none"/>
          <w:u w:val="single"/>
        </w:rPr>
        <w:t>递交截止时间之前30分钟内。</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为避免因迟到而失去投标/报价资格，请</w:t>
      </w:r>
      <w:r>
        <w:rPr>
          <w:rFonts w:hint="eastAsia" w:ascii="宋体" w:hAnsi="宋体"/>
          <w:b/>
          <w:color w:val="auto"/>
          <w:szCs w:val="21"/>
          <w:highlight w:val="none"/>
          <w:u w:val="single"/>
        </w:rPr>
        <w:t>适当提前到达</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投标/报价文件应按顺序</w:t>
      </w:r>
      <w:r>
        <w:rPr>
          <w:rFonts w:hint="eastAsia" w:ascii="宋体" w:hAnsi="宋体"/>
          <w:b/>
          <w:color w:val="auto"/>
          <w:szCs w:val="21"/>
          <w:highlight w:val="none"/>
          <w:u w:val="single"/>
        </w:rPr>
        <w:t>编制页码</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请仔细检查投标/报价文件是否已按采购文件要求</w:t>
      </w:r>
      <w:r>
        <w:rPr>
          <w:rFonts w:hint="eastAsia" w:ascii="宋体" w:hAnsi="宋体"/>
          <w:b/>
          <w:color w:val="auto"/>
          <w:szCs w:val="21"/>
          <w:highlight w:val="none"/>
          <w:u w:val="single"/>
        </w:rPr>
        <w:t>盖章、签名、签署日期</w:t>
      </w:r>
      <w:r>
        <w:rPr>
          <w:rFonts w:hint="eastAsia" w:ascii="宋体" w:hAnsi="宋体"/>
          <w:color w:val="auto"/>
          <w:szCs w:val="21"/>
          <w:highlight w:val="none"/>
        </w:rPr>
        <w:t>。</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如投标/报价产品属于许可证管理范围内的，须提交相应的许可证复印件。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Arial" w:hAnsi="宋体" w:cs="Arial"/>
          <w:color w:val="auto"/>
          <w:szCs w:val="21"/>
          <w:highlight w:val="none"/>
        </w:rPr>
        <w:t>如投标</w:t>
      </w:r>
      <w:r>
        <w:rPr>
          <w:rFonts w:hint="eastAsia" w:ascii="宋体" w:hAnsi="宋体" w:cs="Arial"/>
          <w:color w:val="auto"/>
          <w:szCs w:val="21"/>
          <w:highlight w:val="none"/>
        </w:rPr>
        <w:t>/</w:t>
      </w:r>
      <w:r>
        <w:rPr>
          <w:rFonts w:hint="eastAsia" w:ascii="Arial" w:hAnsi="宋体" w:cs="Arial"/>
          <w:color w:val="auto"/>
          <w:szCs w:val="21"/>
          <w:highlight w:val="none"/>
        </w:rPr>
        <w:t>报价供应商以非独立法人注册的分公司名义代表总公司盖章和签署文件的</w:t>
      </w:r>
      <w:r>
        <w:rPr>
          <w:rFonts w:hint="eastAsia" w:ascii="宋体" w:hAnsi="宋体"/>
          <w:color w:val="auto"/>
          <w:szCs w:val="21"/>
          <w:highlight w:val="none"/>
        </w:rPr>
        <w:t>，须提供总公司的营业执照副本复印件及总公司针对本项目投标/报价的授权书原件。</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b/>
          <w:bCs/>
          <w:color w:val="auto"/>
          <w:szCs w:val="21"/>
          <w:highlight w:val="none"/>
        </w:rPr>
        <w:t>加★号的条款均被视为重要的指标要求，必须一一响应。若有一项带“★”的指标要求未响应或不满足，将按投标无效处理。</w:t>
      </w:r>
      <w:r>
        <w:rPr>
          <w:rFonts w:hint="eastAsia" w:ascii="宋体" w:hAnsi="宋体"/>
          <w:color w:val="auto"/>
          <w:szCs w:val="21"/>
          <w:highlight w:val="none"/>
        </w:rPr>
        <w:t xml:space="preserve"> </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以联合体形式投标/报价的，请提交《联合体共同投标协议书》。</w:t>
      </w:r>
    </w:p>
    <w:p>
      <w:pPr>
        <w:numPr>
          <w:ilvl w:val="0"/>
          <w:numId w:val="1"/>
        </w:numPr>
        <w:tabs>
          <w:tab w:val="left" w:pos="540"/>
        </w:tabs>
        <w:spacing w:line="600" w:lineRule="auto"/>
        <w:ind w:left="851" w:hanging="851"/>
        <w:rPr>
          <w:rFonts w:ascii="宋体" w:hAnsi="宋体"/>
          <w:color w:val="auto"/>
          <w:szCs w:val="21"/>
          <w:highlight w:val="none"/>
        </w:rPr>
      </w:pPr>
      <w:r>
        <w:rPr>
          <w:rFonts w:hint="eastAsia" w:ascii="宋体" w:hAnsi="宋体"/>
          <w:color w:val="auto"/>
          <w:szCs w:val="21"/>
          <w:highlight w:val="none"/>
        </w:rPr>
        <w:t>投标/报价供应商为中型、小型、微型企业的，请提交《中小企业声明函》。</w:t>
      </w:r>
    </w:p>
    <w:p>
      <w:pPr>
        <w:numPr>
          <w:ilvl w:val="0"/>
          <w:numId w:val="1"/>
        </w:numPr>
        <w:tabs>
          <w:tab w:val="left" w:pos="540"/>
        </w:tabs>
        <w:spacing w:line="600" w:lineRule="auto"/>
        <w:ind w:left="540" w:hanging="540"/>
        <w:rPr>
          <w:rFonts w:ascii="宋体" w:hAnsi="宋体"/>
          <w:color w:val="auto"/>
          <w:szCs w:val="21"/>
          <w:highlight w:val="none"/>
        </w:rPr>
      </w:pPr>
      <w:r>
        <w:rPr>
          <w:rFonts w:hint="eastAsia" w:ascii="宋体" w:hAnsi="宋体"/>
          <w:color w:val="auto"/>
          <w:szCs w:val="21"/>
          <w:highlight w:val="none"/>
        </w:rPr>
        <w:t>为了提高政府采购效率，节约社会交易成本与时间，希望购买了采购文件而决定不参加本次投标/报价的供应商，在投标/报价文件递交截止时间的3日前，按《投标/报价邀请函》中的联系方式，以书面形式告知采购代理机构。对您的支持与配合，谨此致谢。</w:t>
      </w:r>
    </w:p>
    <w:p>
      <w:pPr>
        <w:spacing w:beforeLines="50" w:afterLines="50" w:line="600" w:lineRule="auto"/>
        <w:jc w:val="center"/>
        <w:rPr>
          <w:rFonts w:ascii="宋体" w:hAnsi="宋体"/>
          <w:b/>
          <w:color w:val="auto"/>
          <w:sz w:val="36"/>
          <w:highlight w:val="none"/>
        </w:rPr>
      </w:pPr>
      <w:r>
        <w:rPr>
          <w:rFonts w:hint="eastAsia" w:ascii="宋体" w:hAnsi="宋体"/>
          <w:color w:val="auto"/>
          <w:szCs w:val="21"/>
          <w:highlight w:val="none"/>
        </w:rPr>
        <w:tab/>
      </w:r>
      <w:r>
        <w:rPr>
          <w:rFonts w:hint="eastAsia" w:ascii="宋体" w:hAnsi="宋体"/>
          <w:color w:val="auto"/>
          <w:szCs w:val="21"/>
          <w:highlight w:val="none"/>
        </w:rPr>
        <w:t>（本提示内容非采购文件的组成部分，仅为善意提醒。如有不一致，以采购文件为准）</w:t>
      </w:r>
      <w:r>
        <w:rPr>
          <w:rFonts w:hint="eastAsia" w:ascii="宋体" w:hAnsi="宋体"/>
          <w:b/>
          <w:color w:val="auto"/>
          <w:sz w:val="36"/>
          <w:highlight w:val="none"/>
        </w:rPr>
        <w:br w:type="page"/>
      </w:r>
      <w:r>
        <w:rPr>
          <w:rFonts w:hint="eastAsia" w:ascii="宋体" w:hAnsi="宋体"/>
          <w:b/>
          <w:color w:val="auto"/>
          <w:sz w:val="36"/>
          <w:highlight w:val="none"/>
        </w:rPr>
        <w:t>目   录</w:t>
      </w:r>
    </w:p>
    <w:p>
      <w:pPr>
        <w:spacing w:beforeLines="100" w:afterLines="100" w:line="360" w:lineRule="auto"/>
        <w:rPr>
          <w:rStyle w:val="95"/>
          <w:rFonts w:ascii="宋体" w:hAnsi="宋体"/>
          <w:smallCaps/>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r>
        <w:rPr>
          <w:rFonts w:ascii="宋体" w:hAnsi="宋体"/>
          <w:bCs w:val="0"/>
          <w:caps w:val="0"/>
          <w:smallCaps/>
          <w:color w:val="auto"/>
          <w:sz w:val="28"/>
          <w:szCs w:val="28"/>
          <w:highlight w:val="none"/>
        </w:rPr>
        <w:fldChar w:fldCharType="begin"/>
      </w:r>
      <w:r>
        <w:rPr>
          <w:rStyle w:val="95"/>
          <w:rFonts w:hint="eastAsia" w:ascii="宋体" w:hAnsi="宋体"/>
          <w:bCs w:val="0"/>
          <w:caps w:val="0"/>
          <w:smallCaps/>
          <w:color w:val="auto"/>
          <w:sz w:val="28"/>
          <w:szCs w:val="28"/>
          <w:highlight w:val="none"/>
        </w:rPr>
        <w:instrText xml:space="preserve">TOC \o "1-1" \h \z \u</w:instrText>
      </w:r>
      <w:r>
        <w:rPr>
          <w:rFonts w:ascii="宋体" w:hAnsi="宋体"/>
          <w:bCs w:val="0"/>
          <w:caps w:val="0"/>
          <w:smallCaps/>
          <w:color w:val="auto"/>
          <w:sz w:val="28"/>
          <w:szCs w:val="28"/>
          <w:highlight w:val="non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Style w:val="95"/>
          <w:rFonts w:hint="eastAsia"/>
          <w:color w:val="auto"/>
          <w:sz w:val="28"/>
          <w:szCs w:val="28"/>
          <w:highlight w:val="none"/>
        </w:rPr>
        <w:t>第一章 竞争性磋商</w:t>
      </w:r>
      <w:r>
        <w:rPr>
          <w:rStyle w:val="95"/>
          <w:rFonts w:hint="eastAsia"/>
          <w:color w:val="auto"/>
          <w:sz w:val="28"/>
          <w:szCs w:val="28"/>
          <w:highlight w:val="none"/>
          <w:lang w:val="en-US" w:eastAsia="zh-CN"/>
        </w:rPr>
        <w:t>公告</w:t>
      </w:r>
      <w:r>
        <w:rPr>
          <w:color w:val="auto"/>
          <w:sz w:val="28"/>
          <w:szCs w:val="28"/>
          <w:highlight w:val="none"/>
        </w:rPr>
        <w:tab/>
      </w:r>
      <w:r>
        <w:rPr>
          <w:color w:val="auto"/>
          <w:sz w:val="28"/>
          <w:szCs w:val="28"/>
          <w:highlight w:val="none"/>
        </w:rPr>
        <w:fldChar w:fldCharType="begin"/>
      </w:r>
      <w:r>
        <w:rPr>
          <w:color w:val="auto"/>
          <w:sz w:val="28"/>
          <w:szCs w:val="28"/>
          <w:highlight w:val="none"/>
        </w:rPr>
        <w:instrText xml:space="preserve"> PAGEREF _Toc475104466 \h </w:instrText>
      </w:r>
      <w:r>
        <w:rPr>
          <w:color w:val="auto"/>
          <w:sz w:val="28"/>
          <w:szCs w:val="28"/>
          <w:highlight w:val="none"/>
        </w:rPr>
        <w:fldChar w:fldCharType="separate"/>
      </w:r>
      <w:r>
        <w:rPr>
          <w:color w:val="auto"/>
          <w:sz w:val="28"/>
          <w:szCs w:val="28"/>
          <w:highlight w:val="none"/>
        </w:rPr>
        <w:t>4</w:t>
      </w:r>
      <w:r>
        <w:rPr>
          <w:color w:val="auto"/>
          <w:sz w:val="28"/>
          <w:szCs w:val="28"/>
          <w:highlight w:val="none"/>
        </w:rPr>
        <w:fldChar w:fldCharType="end"/>
      </w:r>
      <w:r>
        <w:rPr>
          <w:color w:val="auto"/>
          <w:sz w:val="28"/>
          <w:szCs w:val="28"/>
          <w:highlight w:val="none"/>
        </w:rPr>
        <w:fldChar w:fldCharType="end"/>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Style w:val="95"/>
          <w:rFonts w:hint="eastAsia"/>
          <w:color w:val="auto"/>
          <w:sz w:val="28"/>
          <w:szCs w:val="28"/>
          <w:highlight w:val="none"/>
        </w:rPr>
        <w:t>第二章 竞争性磋商须</w:t>
      </w:r>
      <w:bookmarkStart w:id="2" w:name="_Hlt509928387"/>
      <w:r>
        <w:rPr>
          <w:rStyle w:val="95"/>
          <w:rFonts w:hint="eastAsia"/>
          <w:color w:val="auto"/>
          <w:sz w:val="28"/>
          <w:szCs w:val="28"/>
          <w:highlight w:val="none"/>
        </w:rPr>
        <w:t>知</w:t>
      </w:r>
      <w:bookmarkEnd w:id="2"/>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8</w:t>
      </w:r>
    </w:p>
    <w:p>
      <w:pPr>
        <w:pStyle w:val="61"/>
        <w:tabs>
          <w:tab w:val="right" w:leader="dot" w:pos="9231"/>
        </w:tabs>
        <w:spacing w:line="360" w:lineRule="auto"/>
        <w:rPr>
          <w:rFonts w:hint="eastAsia" w:eastAsia="宋体"/>
          <w:b w:val="0"/>
          <w:bCs w:val="0"/>
          <w:caps w:val="0"/>
          <w:color w:val="auto"/>
          <w:sz w:val="28"/>
          <w:szCs w:val="28"/>
          <w:highlight w:val="none"/>
          <w:lang w:eastAsia="zh-CN"/>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Style w:val="95"/>
          <w:rFonts w:hint="eastAsia"/>
          <w:color w:val="auto"/>
          <w:sz w:val="28"/>
          <w:szCs w:val="28"/>
          <w:highlight w:val="none"/>
        </w:rPr>
        <w:t>第三章 采购人</w:t>
      </w:r>
      <w:bookmarkStart w:id="3" w:name="_Hlt510014101"/>
      <w:r>
        <w:rPr>
          <w:rStyle w:val="95"/>
          <w:rFonts w:hint="eastAsia"/>
          <w:color w:val="auto"/>
          <w:sz w:val="28"/>
          <w:szCs w:val="28"/>
          <w:highlight w:val="none"/>
        </w:rPr>
        <w:t>需</w:t>
      </w:r>
      <w:bookmarkEnd w:id="3"/>
      <w:bookmarkStart w:id="4" w:name="_Hlt510971526"/>
      <w:r>
        <w:rPr>
          <w:rStyle w:val="95"/>
          <w:rFonts w:hint="eastAsia"/>
          <w:color w:val="auto"/>
          <w:sz w:val="28"/>
          <w:szCs w:val="28"/>
          <w:highlight w:val="none"/>
        </w:rPr>
        <w:t>求</w:t>
      </w:r>
      <w:bookmarkEnd w:id="4"/>
      <w:bookmarkStart w:id="5" w:name="_Hlt510014036"/>
      <w:bookmarkStart w:id="6" w:name="_Hlt510014037"/>
      <w:r>
        <w:rPr>
          <w:rStyle w:val="95"/>
          <w:rFonts w:hint="eastAsia"/>
          <w:color w:val="auto"/>
          <w:sz w:val="28"/>
          <w:szCs w:val="28"/>
          <w:highlight w:val="none"/>
        </w:rPr>
        <w:t>书</w:t>
      </w:r>
      <w:bookmarkEnd w:id="5"/>
      <w:bookmarkEnd w:id="6"/>
      <w:bookmarkStart w:id="7" w:name="_Hlt509994710"/>
      <w:bookmarkStart w:id="8" w:name="_Hlt509991847"/>
      <w:bookmarkStart w:id="9" w:name="_Hlt509994711"/>
      <w:r>
        <w:rPr>
          <w:color w:val="auto"/>
          <w:sz w:val="28"/>
          <w:szCs w:val="28"/>
          <w:highlight w:val="none"/>
        </w:rPr>
        <w:tab/>
      </w:r>
      <w:bookmarkEnd w:id="7"/>
      <w:bookmarkEnd w:id="8"/>
      <w:bookmarkEnd w:id="9"/>
      <w:r>
        <w:rPr>
          <w:color w:val="auto"/>
          <w:sz w:val="28"/>
          <w:szCs w:val="28"/>
          <w:highlight w:val="none"/>
        </w:rPr>
        <w:fldChar w:fldCharType="end"/>
      </w:r>
      <w:r>
        <w:rPr>
          <w:rFonts w:hint="eastAsia"/>
          <w:color w:val="auto"/>
          <w:sz w:val="28"/>
          <w:szCs w:val="28"/>
          <w:highlight w:val="none"/>
        </w:rPr>
        <w:t>2</w:t>
      </w:r>
      <w:r>
        <w:rPr>
          <w:rFonts w:hint="eastAsia"/>
          <w:color w:val="auto"/>
          <w:sz w:val="28"/>
          <w:szCs w:val="28"/>
          <w:highlight w:val="none"/>
          <w:lang w:val="en-US" w:eastAsia="zh-CN"/>
        </w:rPr>
        <w:t>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Style w:val="95"/>
          <w:rFonts w:hint="eastAsia"/>
          <w:color w:val="auto"/>
          <w:sz w:val="28"/>
          <w:szCs w:val="28"/>
          <w:highlight w:val="none"/>
        </w:rPr>
        <w:t xml:space="preserve">第四章 </w:t>
      </w:r>
      <w:bookmarkStart w:id="10" w:name="_Hlt511828826"/>
      <w:r>
        <w:rPr>
          <w:rStyle w:val="95"/>
          <w:rFonts w:hint="eastAsia"/>
          <w:color w:val="auto"/>
          <w:sz w:val="28"/>
          <w:szCs w:val="28"/>
          <w:highlight w:val="none"/>
        </w:rPr>
        <w:t>政府采购合同（</w:t>
      </w:r>
      <w:bookmarkEnd w:id="10"/>
      <w:r>
        <w:rPr>
          <w:rStyle w:val="95"/>
          <w:rFonts w:hint="eastAsia"/>
          <w:color w:val="auto"/>
          <w:sz w:val="28"/>
          <w:szCs w:val="28"/>
          <w:highlight w:val="none"/>
        </w:rPr>
        <w:t>样本）</w:t>
      </w:r>
      <w:r>
        <w:rPr>
          <w:rStyle w:val="95"/>
          <w:rFonts w:hint="eastAsia"/>
          <w:color w:val="auto"/>
          <w:sz w:val="28"/>
          <w:szCs w:val="28"/>
          <w:highlight w:val="none"/>
        </w:rPr>
        <w:fldChar w:fldCharType="end"/>
      </w:r>
      <w:r>
        <w:rPr>
          <w:rFonts w:hint="eastAsia"/>
          <w:color w:val="auto"/>
          <w:sz w:val="28"/>
          <w:szCs w:val="28"/>
          <w:highlight w:val="none"/>
        </w:rPr>
        <w:t>........................................................................</w:t>
      </w:r>
      <w:r>
        <w:rPr>
          <w:rFonts w:hint="eastAsia"/>
          <w:color w:val="auto"/>
          <w:sz w:val="28"/>
          <w:szCs w:val="28"/>
          <w:highlight w:val="none"/>
          <w:lang w:val="en-US" w:eastAsia="zh-CN"/>
        </w:rPr>
        <w:t>31</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Style w:val="95"/>
          <w:rFonts w:hint="eastAsia"/>
          <w:color w:val="auto"/>
          <w:sz w:val="28"/>
          <w:szCs w:val="28"/>
          <w:highlight w:val="none"/>
        </w:rPr>
        <w:t>第五章 评分</w:t>
      </w:r>
      <w:bookmarkStart w:id="11" w:name="_Hlt509997395"/>
      <w:r>
        <w:rPr>
          <w:rStyle w:val="95"/>
          <w:rFonts w:hint="eastAsia"/>
          <w:color w:val="auto"/>
          <w:sz w:val="28"/>
          <w:szCs w:val="28"/>
          <w:highlight w:val="none"/>
        </w:rPr>
        <w:t>体</w:t>
      </w:r>
      <w:bookmarkEnd w:id="11"/>
      <w:bookmarkStart w:id="12" w:name="_Hlt475104622"/>
      <w:r>
        <w:rPr>
          <w:rStyle w:val="95"/>
          <w:rFonts w:hint="eastAsia"/>
          <w:color w:val="auto"/>
          <w:sz w:val="28"/>
          <w:szCs w:val="28"/>
          <w:highlight w:val="none"/>
        </w:rPr>
        <w:t>系</w:t>
      </w:r>
      <w:bookmarkEnd w:id="12"/>
      <w:bookmarkStart w:id="13" w:name="_Hlt509932461"/>
      <w:bookmarkStart w:id="14" w:name="_Hlt509932460"/>
      <w:bookmarkStart w:id="15" w:name="_Hlt510014093"/>
      <w:r>
        <w:rPr>
          <w:rStyle w:val="95"/>
          <w:rFonts w:hint="eastAsia"/>
          <w:color w:val="auto"/>
          <w:sz w:val="28"/>
          <w:szCs w:val="28"/>
          <w:highlight w:val="none"/>
        </w:rPr>
        <w:t>与</w:t>
      </w:r>
      <w:bookmarkEnd w:id="13"/>
      <w:bookmarkEnd w:id="14"/>
      <w:bookmarkEnd w:id="15"/>
      <w:bookmarkStart w:id="16" w:name="_Hlt509994748"/>
      <w:r>
        <w:rPr>
          <w:rStyle w:val="95"/>
          <w:rFonts w:hint="eastAsia"/>
          <w:color w:val="auto"/>
          <w:sz w:val="28"/>
          <w:szCs w:val="28"/>
          <w:highlight w:val="none"/>
        </w:rPr>
        <w:t>标</w:t>
      </w:r>
      <w:bookmarkEnd w:id="16"/>
      <w:bookmarkStart w:id="17" w:name="_Hlt509992254"/>
      <w:bookmarkStart w:id="18" w:name="_Hlt510014176"/>
      <w:r>
        <w:rPr>
          <w:rStyle w:val="95"/>
          <w:rFonts w:hint="eastAsia"/>
          <w:color w:val="auto"/>
          <w:sz w:val="28"/>
          <w:szCs w:val="28"/>
          <w:highlight w:val="none"/>
        </w:rPr>
        <w:t>准</w:t>
      </w:r>
      <w:bookmarkEnd w:id="17"/>
      <w:bookmarkEnd w:id="18"/>
      <w:bookmarkStart w:id="19" w:name="_Hlt509991939"/>
      <w:bookmarkStart w:id="20" w:name="_Hlt509991721"/>
      <w:bookmarkStart w:id="21" w:name="_Hlt509991722"/>
      <w:r>
        <w:rPr>
          <w:color w:val="auto"/>
          <w:sz w:val="28"/>
          <w:szCs w:val="28"/>
          <w:highlight w:val="none"/>
        </w:rPr>
        <w:tab/>
      </w:r>
      <w:bookmarkEnd w:id="19"/>
      <w:bookmarkEnd w:id="20"/>
      <w:bookmarkEnd w:id="21"/>
      <w:r>
        <w:rPr>
          <w:color w:val="auto"/>
          <w:sz w:val="28"/>
          <w:szCs w:val="28"/>
          <w:highlight w:val="none"/>
        </w:rPr>
        <w:fldChar w:fldCharType="end"/>
      </w:r>
      <w:r>
        <w:rPr>
          <w:rFonts w:hint="eastAsia"/>
          <w:color w:val="auto"/>
          <w:sz w:val="28"/>
          <w:szCs w:val="28"/>
          <w:highlight w:val="none"/>
          <w:lang w:val="en-US" w:eastAsia="zh-CN"/>
        </w:rPr>
        <w:t>154</w:t>
      </w:r>
    </w:p>
    <w:p>
      <w:pPr>
        <w:pStyle w:val="61"/>
        <w:tabs>
          <w:tab w:val="right" w:leader="dot" w:pos="9231"/>
        </w:tabs>
        <w:spacing w:line="360" w:lineRule="auto"/>
        <w:rPr>
          <w:rFonts w:hint="default" w:eastAsia="宋体"/>
          <w:b w:val="0"/>
          <w:bCs w:val="0"/>
          <w:caps w:val="0"/>
          <w:color w:val="auto"/>
          <w:sz w:val="28"/>
          <w:szCs w:val="28"/>
          <w:highlight w:val="none"/>
          <w:lang w:val="en-US" w:eastAsia="zh-CN"/>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Style w:val="95"/>
          <w:rFonts w:hint="eastAsia"/>
          <w:color w:val="auto"/>
          <w:sz w:val="28"/>
          <w:szCs w:val="28"/>
          <w:highlight w:val="none"/>
        </w:rPr>
        <w:t>第六章 附件（格</w:t>
      </w:r>
      <w:bookmarkStart w:id="22" w:name="_Hlt510014049"/>
      <w:r>
        <w:rPr>
          <w:rStyle w:val="95"/>
          <w:rFonts w:hint="eastAsia"/>
          <w:color w:val="auto"/>
          <w:sz w:val="28"/>
          <w:szCs w:val="28"/>
          <w:highlight w:val="none"/>
        </w:rPr>
        <w:t>式</w:t>
      </w:r>
      <w:bookmarkEnd w:id="22"/>
      <w:r>
        <w:rPr>
          <w:rStyle w:val="95"/>
          <w:rFonts w:hint="eastAsia"/>
          <w:color w:val="auto"/>
          <w:sz w:val="28"/>
          <w:szCs w:val="28"/>
          <w:highlight w:val="none"/>
        </w:rPr>
        <w:t>）</w:t>
      </w:r>
      <w:r>
        <w:rPr>
          <w:color w:val="auto"/>
          <w:sz w:val="28"/>
          <w:szCs w:val="28"/>
          <w:highlight w:val="none"/>
        </w:rPr>
        <w:tab/>
      </w:r>
      <w:r>
        <w:rPr>
          <w:color w:val="auto"/>
          <w:sz w:val="28"/>
          <w:szCs w:val="28"/>
          <w:highlight w:val="none"/>
        </w:rPr>
        <w:fldChar w:fldCharType="end"/>
      </w:r>
      <w:r>
        <w:rPr>
          <w:rFonts w:hint="eastAsia"/>
          <w:color w:val="auto"/>
          <w:sz w:val="28"/>
          <w:szCs w:val="28"/>
          <w:highlight w:val="none"/>
          <w:lang w:val="en-US" w:eastAsia="zh-CN"/>
        </w:rPr>
        <w:t>162</w:t>
      </w:r>
    </w:p>
    <w:p>
      <w:pPr>
        <w:pStyle w:val="61"/>
        <w:tabs>
          <w:tab w:val="right" w:leader="dot" w:pos="9231"/>
        </w:tabs>
        <w:spacing w:line="360" w:lineRule="auto"/>
        <w:rPr>
          <w:b w:val="0"/>
          <w:bCs w:val="0"/>
          <w:caps w:val="0"/>
          <w:color w:val="auto"/>
          <w:sz w:val="28"/>
          <w:szCs w:val="28"/>
          <w:highlight w:val="none"/>
        </w:rPr>
        <w:sectPr>
          <w:headerReference r:id="rId9" w:type="first"/>
          <w:footerReference r:id="rId11" w:type="first"/>
          <w:headerReference r:id="rId8" w:type="default"/>
          <w:footerReference r:id="rId10" w:type="default"/>
          <w:type w:val="continuous"/>
          <w:pgSz w:w="11906" w:h="16838"/>
          <w:pgMar w:top="567" w:right="1304" w:bottom="567" w:left="1361" w:header="567" w:footer="737" w:gutter="0"/>
          <w:pgBorders>
            <w:top w:val="none" w:sz="0" w:space="0"/>
            <w:left w:val="none" w:sz="0" w:space="0"/>
            <w:bottom w:val="none" w:sz="0" w:space="0"/>
            <w:right w:val="none" w:sz="0" w:space="0"/>
          </w:pgBorders>
          <w:cols w:space="720" w:num="1"/>
          <w:titlePg/>
          <w:docGrid w:linePitch="312" w:charSpace="0"/>
        </w:sectPr>
      </w:pPr>
    </w:p>
    <w:p>
      <w:pPr>
        <w:pStyle w:val="61"/>
        <w:tabs>
          <w:tab w:val="right" w:leader="dot" w:pos="9231"/>
        </w:tabs>
        <w:spacing w:line="360" w:lineRule="auto"/>
        <w:rPr>
          <w:b w:val="0"/>
          <w:bCs w:val="0"/>
          <w:caps w:val="0"/>
          <w:color w:val="auto"/>
          <w:sz w:val="28"/>
          <w:szCs w:val="28"/>
          <w:highlight w:val="none"/>
        </w:rPr>
      </w:pPr>
    </w:p>
    <w:p>
      <w:pPr>
        <w:pStyle w:val="61"/>
        <w:tabs>
          <w:tab w:val="right" w:leader="dot" w:pos="9231"/>
        </w:tabs>
        <w:spacing w:line="360" w:lineRule="auto"/>
        <w:rPr>
          <w:b w:val="0"/>
          <w:bCs w:val="0"/>
          <w:caps w:val="0"/>
          <w:color w:val="auto"/>
          <w:sz w:val="28"/>
          <w:szCs w:val="28"/>
          <w:highlight w:val="none"/>
        </w:rPr>
      </w:pPr>
    </w:p>
    <w:p>
      <w:pPr>
        <w:snapToGrid w:val="0"/>
        <w:spacing w:beforeLines="100" w:afterLines="100" w:line="360" w:lineRule="auto"/>
        <w:rPr>
          <w:rFonts w:ascii="宋体" w:hAnsi="宋体"/>
          <w:color w:val="auto"/>
          <w:sz w:val="28"/>
          <w:highlight w:val="none"/>
        </w:rPr>
      </w:pPr>
      <w:r>
        <w:rPr>
          <w:rFonts w:ascii="宋体" w:hAnsi="宋体"/>
          <w:bCs/>
          <w:caps/>
          <w:smallCaps/>
          <w:color w:val="auto"/>
          <w:sz w:val="28"/>
          <w:szCs w:val="28"/>
          <w:highlight w:val="none"/>
        </w:rPr>
        <w:fldChar w:fldCharType="end"/>
      </w: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rFonts w:hint="eastAsia" w:eastAsia="宋体"/>
          <w:color w:val="auto"/>
          <w:sz w:val="44"/>
          <w:highlight w:val="none"/>
          <w:lang w:eastAsia="zh-CN"/>
        </w:rPr>
      </w:pPr>
      <w:bookmarkStart w:id="23" w:name="_Toc475104466"/>
      <w:bookmarkStart w:id="24" w:name="_Toc320515014"/>
      <w:r>
        <w:rPr>
          <w:rFonts w:cs="ZWAdobeF"/>
          <w:b w:val="0"/>
          <w:color w:val="auto"/>
          <w:sz w:val="2"/>
          <w:szCs w:val="2"/>
          <w:highlight w:val="none"/>
        </w:rPr>
        <w:t>0B0B</w:t>
      </w:r>
      <w:r>
        <w:rPr>
          <w:rFonts w:hint="eastAsia"/>
          <w:color w:val="auto"/>
          <w:sz w:val="44"/>
          <w:highlight w:val="none"/>
        </w:rPr>
        <w:t>第一章</w:t>
      </w:r>
      <w:bookmarkStart w:id="25" w:name="_Toc10525513"/>
      <w:r>
        <w:rPr>
          <w:rFonts w:hint="eastAsia"/>
          <w:color w:val="auto"/>
          <w:sz w:val="44"/>
          <w:highlight w:val="none"/>
        </w:rPr>
        <w:t xml:space="preserve"> 竞争性磋商</w:t>
      </w:r>
      <w:bookmarkEnd w:id="0"/>
      <w:bookmarkEnd w:id="1"/>
      <w:bookmarkEnd w:id="23"/>
      <w:bookmarkEnd w:id="24"/>
      <w:bookmarkEnd w:id="25"/>
      <w:r>
        <w:rPr>
          <w:rFonts w:hint="eastAsia"/>
          <w:color w:val="auto"/>
          <w:sz w:val="44"/>
          <w:highlight w:val="none"/>
          <w:lang w:val="en-US" w:eastAsia="zh-CN"/>
        </w:rPr>
        <w:t>公告</w:t>
      </w:r>
    </w:p>
    <w:p>
      <w:pPr>
        <w:spacing w:line="480" w:lineRule="auto"/>
        <w:jc w:val="center"/>
        <w:rPr>
          <w:rFonts w:hint="eastAsia" w:ascii="宋体" w:hAnsi="宋体" w:eastAsia="宋体"/>
          <w:b/>
          <w:color w:val="auto"/>
          <w:sz w:val="30"/>
          <w:szCs w:val="30"/>
          <w:highlight w:val="none"/>
          <w:lang w:eastAsia="zh-CN"/>
        </w:rPr>
      </w:pPr>
      <w:r>
        <w:rPr>
          <w:rFonts w:ascii="宋体" w:hAnsi="宋体"/>
          <w:color w:val="auto"/>
          <w:highlight w:val="none"/>
        </w:rPr>
        <w:br w:type="page"/>
      </w:r>
      <w:r>
        <w:rPr>
          <w:rFonts w:hint="eastAsia" w:ascii="宋体" w:hAnsi="宋体"/>
          <w:b/>
          <w:color w:val="auto"/>
          <w:sz w:val="30"/>
          <w:szCs w:val="30"/>
          <w:highlight w:val="none"/>
        </w:rPr>
        <w:t>竞争性磋商</w:t>
      </w:r>
      <w:r>
        <w:rPr>
          <w:rFonts w:hint="eastAsia" w:ascii="宋体" w:hAnsi="宋体"/>
          <w:b/>
          <w:color w:val="auto"/>
          <w:sz w:val="30"/>
          <w:szCs w:val="30"/>
          <w:highlight w:val="none"/>
          <w:lang w:val="en-US" w:eastAsia="zh-CN"/>
        </w:rPr>
        <w:t>公告</w:t>
      </w:r>
    </w:p>
    <w:p>
      <w:pPr>
        <w:widowControl/>
        <w:adjustRightInd w:val="0"/>
        <w:snapToGrid w:val="0"/>
        <w:spacing w:before="100" w:beforeAutospacing="1" w:after="100" w:afterAutospacing="1" w:line="360" w:lineRule="auto"/>
        <w:jc w:val="center"/>
        <w:rPr>
          <w:rFonts w:ascii="宋体" w:hAnsi="宋体" w:cs="宋体"/>
          <w:b/>
          <w:bCs/>
          <w:color w:val="auto"/>
          <w:szCs w:val="21"/>
          <w:highlight w:val="none"/>
        </w:rPr>
      </w:pPr>
      <w:r>
        <w:rPr>
          <w:rFonts w:hint="eastAsia" w:ascii="宋体" w:hAnsi="宋体" w:cs="宋体"/>
          <w:b/>
          <w:bCs/>
          <w:color w:val="auto"/>
          <w:szCs w:val="21"/>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eastAsia="zh-CN"/>
        </w:rPr>
        <w:t>广东省前沿动物保健有限公司车间仓库加固维修工程</w:t>
      </w:r>
      <w:r>
        <w:rPr>
          <w:rFonts w:hint="eastAsia" w:ascii="宋体" w:hAnsi="宋体" w:cs="宋体"/>
          <w:color w:val="auto"/>
          <w:szCs w:val="21"/>
          <w:highlight w:val="none"/>
        </w:rPr>
        <w:t xml:space="preserve"> 招标项目的潜在投标人应在广州市海珠区红卫新村西路29号UP智谷D栋503房获取招标文件，并于2020年</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18</w:t>
      </w:r>
      <w:r>
        <w:rPr>
          <w:rFonts w:hint="eastAsia" w:ascii="宋体" w:hAnsi="宋体" w:cs="宋体"/>
          <w:color w:val="auto"/>
          <w:szCs w:val="21"/>
          <w:highlight w:val="none"/>
        </w:rPr>
        <w:t>日</w:t>
      </w:r>
      <w:r>
        <w:rPr>
          <w:rFonts w:hint="eastAsia" w:ascii="宋体" w:hAnsi="宋体" w:cs="宋体"/>
          <w:color w:val="auto"/>
          <w:szCs w:val="21"/>
          <w:highlight w:val="none"/>
          <w:lang w:val="en-US" w:eastAsia="zh-CN"/>
        </w:rPr>
        <w:t>09</w:t>
      </w:r>
      <w:r>
        <w:rPr>
          <w:rFonts w:hint="eastAsia" w:ascii="宋体" w:hAnsi="宋体" w:cs="宋体"/>
          <w:color w:val="auto"/>
          <w:szCs w:val="21"/>
          <w:highlight w:val="none"/>
        </w:rPr>
        <w:t>点30分（北京时间）前递交响应文件。</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一、项目基本情况</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项目编号：</w:t>
      </w:r>
      <w:r>
        <w:rPr>
          <w:rFonts w:hint="eastAsia" w:ascii="宋体" w:hAnsi="宋体" w:cs="宋体"/>
          <w:bCs/>
          <w:color w:val="auto"/>
          <w:szCs w:val="20"/>
          <w:highlight w:val="none"/>
          <w:lang w:eastAsia="zh-CN"/>
        </w:rPr>
        <w:t>202007-184098-0046</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项目名称：</w:t>
      </w:r>
      <w:r>
        <w:rPr>
          <w:rFonts w:hint="eastAsia" w:ascii="宋体" w:hAnsi="宋体" w:cs="宋体"/>
          <w:bCs/>
          <w:color w:val="auto"/>
          <w:szCs w:val="20"/>
          <w:highlight w:val="none"/>
          <w:lang w:eastAsia="zh-CN"/>
        </w:rPr>
        <w:t>广东省前沿动物保健有限公司车间仓库加固维修工程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采购方式：竞争性磋商</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预算金额：</w:t>
      </w:r>
      <w:r>
        <w:rPr>
          <w:rFonts w:hint="eastAsia" w:ascii="宋体" w:hAnsi="宋体" w:cs="宋体"/>
          <w:bCs/>
          <w:color w:val="auto"/>
          <w:szCs w:val="20"/>
          <w:highlight w:val="none"/>
          <w:lang w:eastAsia="zh-CN"/>
        </w:rPr>
        <w:t>825，479.58</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hint="eastAsia" w:ascii="宋体" w:hAnsi="宋体" w:eastAsia="宋体" w:cs="宋体"/>
          <w:bCs/>
          <w:color w:val="auto"/>
          <w:szCs w:val="20"/>
          <w:highlight w:val="none"/>
          <w:lang w:val="en-US" w:eastAsia="zh-CN"/>
        </w:rPr>
      </w:pPr>
      <w:r>
        <w:rPr>
          <w:rFonts w:ascii="宋体" w:hAnsi="宋体" w:cs="宋体"/>
          <w:bCs/>
          <w:color w:val="auto"/>
          <w:szCs w:val="20"/>
          <w:highlight w:val="none"/>
        </w:rPr>
        <w:t>最高限价：</w:t>
      </w:r>
      <w:r>
        <w:rPr>
          <w:rFonts w:hint="eastAsia" w:ascii="宋体" w:hAnsi="宋体" w:cs="宋体"/>
          <w:bCs/>
          <w:color w:val="auto"/>
          <w:szCs w:val="20"/>
          <w:highlight w:val="none"/>
          <w:lang w:eastAsia="zh-CN"/>
        </w:rPr>
        <w:t>825，479.58</w:t>
      </w:r>
      <w:r>
        <w:rPr>
          <w:rFonts w:hint="eastAsia" w:ascii="宋体" w:hAnsi="宋体" w:cs="宋体"/>
          <w:bCs/>
          <w:color w:val="auto"/>
          <w:szCs w:val="20"/>
          <w:highlight w:val="none"/>
          <w:lang w:val="en-US" w:eastAsia="zh-CN"/>
        </w:rPr>
        <w:t>元</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采购需求：（包括但不限于标的的名称、数量、简要技术需求或服务要求等）</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1、标的名称：</w:t>
      </w:r>
      <w:r>
        <w:rPr>
          <w:rFonts w:hint="eastAsia" w:ascii="宋体" w:hAnsi="宋体" w:cs="宋体"/>
          <w:bCs/>
          <w:color w:val="auto"/>
          <w:szCs w:val="20"/>
          <w:highlight w:val="none"/>
          <w:lang w:eastAsia="zh-CN"/>
        </w:rPr>
        <w:t>广东省前沿动物保健有限公司车间仓库加固维修工程</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2、标的数量：1项</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3、简要技术需求或服务要求：</w:t>
      </w:r>
    </w:p>
    <w:tbl>
      <w:tblPr>
        <w:tblStyle w:val="90"/>
        <w:tblW w:w="8214" w:type="dxa"/>
        <w:tblCellSpacing w:w="0" w:type="dxa"/>
        <w:tblInd w:w="991"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0" w:type="dxa"/>
          <w:bottom w:w="0" w:type="dxa"/>
          <w:right w:w="0" w:type="dxa"/>
        </w:tblCellMar>
      </w:tblPr>
      <w:tblGrid>
        <w:gridCol w:w="4038"/>
        <w:gridCol w:w="2053"/>
        <w:gridCol w:w="2123"/>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469"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采购内容</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数量</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采购预算</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0" w:type="dxa"/>
            <w:bottom w:w="0" w:type="dxa"/>
            <w:right w:w="0" w:type="dxa"/>
          </w:tblCellMar>
        </w:tblPrEx>
        <w:trPr>
          <w:trHeight w:val="855" w:hRule="atLeast"/>
          <w:tblCellSpacing w:w="0" w:type="dxa"/>
        </w:trPr>
        <w:tc>
          <w:tcPr>
            <w:tcW w:w="4038" w:type="dxa"/>
            <w:tcBorders>
              <w:tl2br w:val="nil"/>
              <w:tr2bl w:val="nil"/>
            </w:tcBorders>
            <w:vAlign w:val="center"/>
          </w:tcPr>
          <w:p>
            <w:pPr>
              <w:tabs>
                <w:tab w:val="left" w:pos="840"/>
                <w:tab w:val="left" w:pos="945"/>
              </w:tabs>
              <w:snapToGrid w:val="0"/>
              <w:spacing w:line="360" w:lineRule="auto"/>
              <w:jc w:val="center"/>
              <w:rPr>
                <w:rFonts w:hint="eastAsia" w:ascii="宋体" w:hAnsi="宋体" w:eastAsia="宋体" w:cs="宋体"/>
                <w:bCs/>
                <w:color w:val="auto"/>
                <w:szCs w:val="20"/>
                <w:highlight w:val="none"/>
                <w:lang w:eastAsia="zh-CN"/>
              </w:rPr>
            </w:pPr>
            <w:r>
              <w:rPr>
                <w:rFonts w:hint="eastAsia" w:ascii="宋体" w:hAnsi="宋体" w:cs="宋体"/>
                <w:bCs/>
                <w:color w:val="auto"/>
                <w:szCs w:val="20"/>
                <w:highlight w:val="none"/>
                <w:lang w:eastAsia="zh-CN"/>
              </w:rPr>
              <w:t>广东省前沿动物保健有限公司车间仓库加固维修工程</w:t>
            </w:r>
          </w:p>
        </w:tc>
        <w:tc>
          <w:tcPr>
            <w:tcW w:w="205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rPr>
              <w:t>1项</w:t>
            </w:r>
          </w:p>
        </w:tc>
        <w:tc>
          <w:tcPr>
            <w:tcW w:w="2123" w:type="dxa"/>
            <w:tcBorders>
              <w:tl2br w:val="nil"/>
              <w:tr2bl w:val="nil"/>
            </w:tcBorders>
            <w:vAlign w:val="center"/>
          </w:tcPr>
          <w:p>
            <w:pPr>
              <w:tabs>
                <w:tab w:val="left" w:pos="840"/>
                <w:tab w:val="left" w:pos="945"/>
              </w:tabs>
              <w:snapToGrid w:val="0"/>
              <w:spacing w:line="360" w:lineRule="auto"/>
              <w:jc w:val="center"/>
              <w:rPr>
                <w:rFonts w:ascii="宋体" w:hAnsi="宋体" w:cs="宋体"/>
                <w:bCs/>
                <w:color w:val="auto"/>
                <w:szCs w:val="20"/>
                <w:highlight w:val="none"/>
              </w:rPr>
            </w:pPr>
            <w:r>
              <w:rPr>
                <w:rFonts w:hint="eastAsia" w:ascii="宋体" w:hAnsi="宋体" w:cs="宋体"/>
                <w:bCs/>
                <w:color w:val="auto"/>
                <w:szCs w:val="20"/>
                <w:highlight w:val="none"/>
                <w:lang w:eastAsia="zh-CN"/>
              </w:rPr>
              <w:t>825，479.58</w:t>
            </w:r>
            <w:r>
              <w:rPr>
                <w:rFonts w:hint="eastAsia" w:ascii="宋体" w:hAnsi="宋体" w:cs="宋体"/>
                <w:bCs/>
                <w:color w:val="auto"/>
                <w:szCs w:val="20"/>
                <w:highlight w:val="none"/>
              </w:rPr>
              <w:t>元</w:t>
            </w:r>
          </w:p>
        </w:tc>
      </w:tr>
    </w:tbl>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详细请看第三章采购人需求书 。</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子项目1：最高限价：人民币</w:t>
      </w:r>
      <w:r>
        <w:rPr>
          <w:rFonts w:hint="eastAsia" w:ascii="宋体" w:hAnsi="宋体" w:cs="宋体"/>
          <w:bCs/>
          <w:color w:val="auto"/>
          <w:szCs w:val="20"/>
          <w:highlight w:val="none"/>
          <w:lang w:eastAsia="zh-CN"/>
        </w:rPr>
        <w:t>825，479.58</w:t>
      </w:r>
      <w:r>
        <w:rPr>
          <w:rFonts w:hint="eastAsia" w:ascii="宋体" w:hAnsi="宋体" w:cs="宋体"/>
          <w:bCs/>
          <w:color w:val="auto"/>
          <w:szCs w:val="20"/>
          <w:highlight w:val="none"/>
        </w:rPr>
        <w:t>元。</w:t>
      </w:r>
    </w:p>
    <w:p>
      <w:pPr>
        <w:numPr>
          <w:ilvl w:val="0"/>
          <w:numId w:val="2"/>
        </w:numPr>
        <w:tabs>
          <w:tab w:val="left" w:pos="840"/>
          <w:tab w:val="left" w:pos="945"/>
        </w:tabs>
        <w:snapToGrid w:val="0"/>
        <w:spacing w:line="360" w:lineRule="auto"/>
        <w:rPr>
          <w:rFonts w:ascii="宋体" w:hAnsi="宋体" w:cs="宋体"/>
          <w:bCs/>
          <w:color w:val="auto"/>
          <w:szCs w:val="20"/>
          <w:highlight w:val="none"/>
        </w:rPr>
      </w:pPr>
      <w:r>
        <w:rPr>
          <w:rFonts w:hint="eastAsia" w:ascii="宋体" w:hAnsi="宋体" w:cs="宋体"/>
          <w:bCs/>
          <w:color w:val="auto"/>
          <w:szCs w:val="20"/>
          <w:highlight w:val="none"/>
        </w:rPr>
        <w:t>项目基本概况简述：本项目为</w:t>
      </w:r>
      <w:r>
        <w:rPr>
          <w:rFonts w:hint="eastAsia" w:ascii="宋体" w:hAnsi="宋体" w:cs="宋体"/>
          <w:bCs/>
          <w:color w:val="auto"/>
          <w:szCs w:val="20"/>
          <w:highlight w:val="none"/>
          <w:lang w:eastAsia="zh-CN"/>
        </w:rPr>
        <w:t>广东省前沿动物保健有限公司车间仓库加固维修工程</w:t>
      </w:r>
      <w:r>
        <w:rPr>
          <w:rFonts w:hint="eastAsia"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4、其他：</w:t>
      </w:r>
      <w:r>
        <w:rPr>
          <w:rFonts w:hint="eastAsia" w:ascii="宋体" w:hAnsi="宋体" w:cs="宋体"/>
          <w:bCs/>
          <w:color w:val="auto"/>
          <w:szCs w:val="20"/>
          <w:highlight w:val="none"/>
        </w:rPr>
        <w:t>无</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合同履行期限</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lang w:val="en-US" w:eastAsia="zh-CN"/>
        </w:rPr>
        <w:t>45</w:t>
      </w:r>
      <w:r>
        <w:rPr>
          <w:rFonts w:hint="eastAsia" w:ascii="宋体" w:hAnsi="宋体" w:cs="宋体"/>
          <w:bCs/>
          <w:color w:val="auto"/>
          <w:szCs w:val="20"/>
          <w:highlight w:val="none"/>
          <w:lang w:eastAsia="zh-CN"/>
        </w:rPr>
        <w:t>日历天内</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本项目不接受联合体</w:t>
      </w:r>
      <w:r>
        <w:rPr>
          <w:rFonts w:hint="eastAsia"/>
          <w:color w:val="auto"/>
          <w:szCs w:val="21"/>
          <w:highlight w:val="none"/>
        </w:rPr>
        <w:t>磋商</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二、申请人的资格要求</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1.满足《中华人民共和国政府采购法》第二十二条规定；</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2.落实政府采购政策需满足的资格要求：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1)《政府采购促进中小企业发展暂行办法》（财库〔2011〕181号）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2)《关于政府采购支持监狱企业发展有关问题的通知》(财库〔2014〕68号)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3)《关于促进残疾人就业政府采购政策的通知》（财库〔2017〕141号)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4)《关于环境标志产品政府采购实施的意见》(财库〔2006〕90号）</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5)《节能产品政府采购实施意见》的通知（财库〔2004〕185号）。</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3.本项目的特定资格要求：</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（1）参加本项目磋商的供应商应具备《政府采购法》第二十二条供应商资格条件；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1）具有独立承担民事责任的能力</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提供法人或者其他组织的营业执照、组织机构代码证和税务登记证（或三证合一证明）等证明文件）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2）具有良好的商业信誉和健全的财务会计制度</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提供2018年或2019年的财务状况报告或基本开户行（提供开户许可证）出具的资信证明复印件。如投标人为新注册的，提供成立至今的月或季度财务状况报告复印件</w:t>
      </w:r>
      <w:r>
        <w:rPr>
          <w:rFonts w:hint="eastAsia" w:ascii="宋体" w:hAnsi="宋体" w:eastAsia="宋体" w:cs="宋体"/>
          <w:bCs/>
          <w:color w:val="auto"/>
          <w:szCs w:val="20"/>
          <w:highlight w:val="none"/>
        </w:rPr>
        <w:t>]</w:t>
      </w:r>
      <w:r>
        <w:rPr>
          <w:rFonts w:hint="eastAsia" w:ascii="宋体" w:hAnsi="宋体" w:cs="宋体"/>
          <w:bCs/>
          <w:color w:val="auto"/>
          <w:szCs w:val="20"/>
          <w:highlight w:val="none"/>
        </w:rPr>
        <w:t>；</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3）具有履行合同所必需的设备和专业技术能力（提供履行合同所必需的设备清单以及技术人员的名单材料）；</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4）有依法缴纳税收和社会保障资金的良好记录（提供缴纳税收和社会保险的凭证。如依法免税或不需要缴纳社会保障资金的，应提供相应文件证明）；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5）参加政府采购活动前三年内，在经营活动中没有重大违法记录（提供书面声明）；</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630" w:firstLineChars="3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6）法律、行政法规规定的其他条件。</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（2）供应商必须是具有独立承担民事责任能力的中华人民共和国境内注册的法人或其他组织；</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（3）供应商须具有承接本工程所需的特种工程（限结构补强）专业承包资质；</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（4）供应商须具有建设行政主管部门颁发的有效《安全生产许可证》；</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5）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（6）供应商提供《公平竞争承诺书》；</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hint="eastAsia"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7</w:t>
      </w:r>
      <w:r>
        <w:rPr>
          <w:rFonts w:hint="eastAsia" w:ascii="宋体" w:hAnsi="宋体" w:cs="宋体"/>
          <w:bCs/>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1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①</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由采购人、采购代理机构于投标截止日在上述网站进行查询，同时对信息查询记录和证据截图或下载存档；</w:t>
      </w:r>
      <w:r>
        <w:rPr>
          <w:rFonts w:hint="eastAsia" w:ascii="宋体" w:hAnsi="宋体" w:cs="宋体"/>
          <w:bCs/>
          <w:color w:val="auto"/>
          <w:szCs w:val="20"/>
          <w:highlight w:val="none"/>
        </w:rPr>
        <w:fldChar w:fldCharType="begin"/>
      </w:r>
      <w:r>
        <w:rPr>
          <w:rFonts w:hint="eastAsia" w:ascii="宋体" w:hAnsi="宋体" w:cs="宋体"/>
          <w:bCs/>
          <w:color w:val="auto"/>
          <w:szCs w:val="20"/>
          <w:highlight w:val="none"/>
        </w:rPr>
        <w:instrText xml:space="preserve"> = 2 \* GB3 \* MERGEFORMAT </w:instrText>
      </w:r>
      <w:r>
        <w:rPr>
          <w:rFonts w:hint="eastAsia" w:ascii="宋体" w:hAnsi="宋体" w:cs="宋体"/>
          <w:bCs/>
          <w:color w:val="auto"/>
          <w:szCs w:val="20"/>
          <w:highlight w:val="none"/>
        </w:rPr>
        <w:fldChar w:fldCharType="separate"/>
      </w:r>
      <w:r>
        <w:rPr>
          <w:rFonts w:hint="eastAsia" w:ascii="宋体" w:hAnsi="宋体" w:cs="宋体"/>
          <w:bCs/>
          <w:color w:val="auto"/>
          <w:szCs w:val="20"/>
          <w:highlight w:val="none"/>
        </w:rPr>
        <w:t>②</w:t>
      </w:r>
      <w:r>
        <w:rPr>
          <w:rFonts w:hint="eastAsia" w:ascii="宋体" w:hAnsi="宋体" w:cs="宋体"/>
          <w:bCs/>
          <w:color w:val="auto"/>
          <w:szCs w:val="20"/>
          <w:highlight w:val="none"/>
        </w:rPr>
        <w:fldChar w:fldCharType="end"/>
      </w:r>
      <w:r>
        <w:rPr>
          <w:rFonts w:hint="eastAsia" w:ascii="宋体" w:hAnsi="宋体" w:cs="宋体"/>
          <w:bCs/>
          <w:color w:val="auto"/>
          <w:szCs w:val="20"/>
          <w:highlight w:val="none"/>
        </w:rPr>
        <w:t>若分公司投标：供应商为非独立法人（即由合法法人依法建立的分公司），除了对供应商进行信息查询外，同时对总公司的信息查询记录和证据截图或下载存档）；</w:t>
      </w:r>
    </w:p>
    <w:p>
      <w:pPr>
        <w:keepNext w:val="0"/>
        <w:keepLines w:val="0"/>
        <w:pageBreakBefore w:val="0"/>
        <w:widowControl w:val="0"/>
        <w:tabs>
          <w:tab w:val="left" w:pos="840"/>
          <w:tab w:val="left" w:pos="945"/>
        </w:tabs>
        <w:kinsoku/>
        <w:wordWrap/>
        <w:overflowPunct/>
        <w:topLinePunct w:val="0"/>
        <w:autoSpaceDE/>
        <w:autoSpaceDN/>
        <w:bidi w:val="0"/>
        <w:adjustRightInd/>
        <w:snapToGrid w:val="0"/>
        <w:spacing w:line="360" w:lineRule="auto"/>
        <w:ind w:left="527" w:firstLine="420" w:firstLineChars="200"/>
        <w:textAlignment w:val="auto"/>
        <w:rPr>
          <w:rFonts w:ascii="宋体" w:hAnsi="宋体" w:cs="宋体"/>
          <w:bCs/>
          <w:color w:val="auto"/>
          <w:szCs w:val="20"/>
          <w:highlight w:val="none"/>
        </w:rPr>
      </w:pPr>
      <w:r>
        <w:rPr>
          <w:rFonts w:hint="eastAsia" w:ascii="宋体" w:hAnsi="宋体" w:cs="宋体"/>
          <w:bCs/>
          <w:color w:val="auto"/>
          <w:szCs w:val="20"/>
          <w:highlight w:val="none"/>
        </w:rPr>
        <w:t>（</w:t>
      </w:r>
      <w:r>
        <w:rPr>
          <w:rFonts w:hint="eastAsia" w:ascii="宋体" w:hAnsi="宋体" w:cs="宋体"/>
          <w:bCs/>
          <w:color w:val="auto"/>
          <w:szCs w:val="20"/>
          <w:highlight w:val="none"/>
          <w:lang w:val="en-US" w:eastAsia="zh-CN"/>
        </w:rPr>
        <w:t>8</w:t>
      </w:r>
      <w:r>
        <w:rPr>
          <w:rFonts w:hint="eastAsia" w:ascii="宋体" w:hAnsi="宋体" w:cs="宋体"/>
          <w:bCs/>
          <w:color w:val="auto"/>
          <w:szCs w:val="20"/>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承诺函，格式自拟）。</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三、获取</w:t>
      </w:r>
      <w:r>
        <w:rPr>
          <w:rFonts w:hint="eastAsia" w:ascii="宋体" w:hAnsi="宋体" w:cs="宋体"/>
          <w:b/>
          <w:bCs/>
          <w:color w:val="auto"/>
          <w:szCs w:val="20"/>
          <w:highlight w:val="none"/>
        </w:rPr>
        <w:t>采购</w:t>
      </w:r>
      <w:r>
        <w:rPr>
          <w:rFonts w:ascii="宋体" w:hAnsi="宋体" w:cs="宋体"/>
          <w:b/>
          <w:bCs/>
          <w:color w:val="auto"/>
          <w:szCs w:val="20"/>
          <w:highlight w:val="none"/>
        </w:rPr>
        <w:t>文件</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时间：2020年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08</w:t>
      </w:r>
      <w:r>
        <w:rPr>
          <w:rFonts w:ascii="宋体" w:hAnsi="宋体" w:cs="宋体"/>
          <w:bCs/>
          <w:color w:val="auto"/>
          <w:szCs w:val="20"/>
          <w:highlight w:val="none"/>
        </w:rPr>
        <w:t>日至2020年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14</w:t>
      </w:r>
      <w:r>
        <w:rPr>
          <w:rFonts w:ascii="宋体" w:hAnsi="宋体" w:cs="宋体"/>
          <w:bCs/>
          <w:color w:val="auto"/>
          <w:szCs w:val="20"/>
          <w:highlight w:val="none"/>
        </w:rPr>
        <w:t>日（磋商文件的发售期限自开始之日起不得少于5个工作日），每天上午</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w:t>
      </w:r>
      <w:r>
        <w:rPr>
          <w:rFonts w:hint="eastAsia" w:ascii="宋体" w:hAnsi="宋体" w:cs="宋体"/>
          <w:bCs/>
          <w:color w:val="auto"/>
          <w:szCs w:val="20"/>
          <w:highlight w:val="none"/>
          <w:lang w:val="en-US" w:eastAsia="zh-CN"/>
        </w:rPr>
        <w:t>0</w:t>
      </w:r>
      <w:r>
        <w:rPr>
          <w:rFonts w:ascii="宋体" w:hAnsi="宋体" w:cs="宋体"/>
          <w:bCs/>
          <w:color w:val="auto"/>
          <w:szCs w:val="20"/>
          <w:highlight w:val="none"/>
        </w:rPr>
        <w:t>0至12:00，下午14:30至17:30（北京时间，法定节假日除外 ）</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方式：现场</w:t>
      </w:r>
      <w:r>
        <w:rPr>
          <w:rFonts w:hint="eastAsia" w:ascii="宋体" w:hAnsi="宋体" w:cs="宋体"/>
          <w:bCs/>
          <w:color w:val="auto"/>
          <w:szCs w:val="20"/>
          <w:highlight w:val="none"/>
        </w:rPr>
        <w:t>登记</w:t>
      </w:r>
      <w:r>
        <w:rPr>
          <w:rFonts w:ascii="宋体" w:hAnsi="宋体" w:cs="宋体"/>
          <w:bCs/>
          <w:color w:val="auto"/>
          <w:szCs w:val="20"/>
          <w:highlight w:val="none"/>
        </w:rPr>
        <w:t>。</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售价（元）：</w:t>
      </w:r>
      <w:r>
        <w:rPr>
          <w:rFonts w:hint="eastAsia" w:ascii="宋体" w:hAnsi="宋体" w:cs="宋体"/>
          <w:bCs/>
          <w:color w:val="auto"/>
          <w:szCs w:val="20"/>
          <w:highlight w:val="none"/>
          <w:lang w:val="en-US" w:eastAsia="zh-CN"/>
        </w:rPr>
        <w:t>5</w:t>
      </w:r>
      <w:r>
        <w:rPr>
          <w:rFonts w:ascii="宋体" w:hAnsi="宋体" w:cs="宋体"/>
          <w:bCs/>
          <w:color w:val="auto"/>
          <w:szCs w:val="20"/>
          <w:highlight w:val="none"/>
        </w:rPr>
        <w:t>00</w:t>
      </w:r>
    </w:p>
    <w:p>
      <w:pPr>
        <w:tabs>
          <w:tab w:val="left" w:pos="840"/>
          <w:tab w:val="left" w:pos="945"/>
        </w:tabs>
        <w:snapToGrid w:val="0"/>
        <w:spacing w:line="360" w:lineRule="auto"/>
        <w:ind w:left="525"/>
        <w:rPr>
          <w:rFonts w:ascii="宋体" w:hAnsi="宋体" w:cs="宋体"/>
          <w:b/>
          <w:bCs/>
          <w:color w:val="auto"/>
          <w:szCs w:val="20"/>
          <w:highlight w:val="none"/>
        </w:rPr>
      </w:pPr>
      <w:r>
        <w:rPr>
          <w:rFonts w:ascii="宋体" w:hAnsi="宋体" w:cs="宋体"/>
          <w:b/>
          <w:bCs/>
          <w:color w:val="auto"/>
          <w:szCs w:val="20"/>
          <w:highlight w:val="none"/>
        </w:rPr>
        <w:t>四、响应文件提交</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hint="eastAsia" w:ascii="宋体" w:hAnsi="宋体" w:cs="宋体"/>
          <w:bCs/>
          <w:color w:val="auto"/>
          <w:szCs w:val="20"/>
          <w:highlight w:val="none"/>
        </w:rPr>
        <w:t>截止时间</w:t>
      </w:r>
      <w:r>
        <w:rPr>
          <w:rFonts w:hint="eastAsia" w:ascii="仿宋" w:hAnsi="仿宋" w:eastAsia="仿宋"/>
          <w:color w:val="auto"/>
          <w:sz w:val="28"/>
          <w:szCs w:val="28"/>
          <w:highlight w:val="none"/>
        </w:rPr>
        <w:t>：</w:t>
      </w:r>
      <w:r>
        <w:rPr>
          <w:rFonts w:ascii="宋体" w:hAnsi="宋体" w:cs="宋体"/>
          <w:bCs/>
          <w:color w:val="auto"/>
          <w:szCs w:val="20"/>
          <w:highlight w:val="none"/>
        </w:rPr>
        <w:t>2020年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18</w:t>
      </w:r>
      <w:r>
        <w:rPr>
          <w:rFonts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点30分（北京时间）（从磋商文件开始发出之日起至供应商提交首次响应文件截止之日止不得少于10日）</w:t>
      </w:r>
    </w:p>
    <w:p>
      <w:pPr>
        <w:tabs>
          <w:tab w:val="left" w:pos="840"/>
          <w:tab w:val="left" w:pos="945"/>
        </w:tabs>
        <w:snapToGrid w:val="0"/>
        <w:spacing w:line="360" w:lineRule="auto"/>
        <w:ind w:left="525" w:firstLine="210" w:firstLineChars="100"/>
        <w:rPr>
          <w:rFonts w:ascii="宋体" w:hAnsi="宋体" w:cs="宋体"/>
          <w:bCs/>
          <w:color w:val="auto"/>
          <w:szCs w:val="20"/>
          <w:highlight w:val="none"/>
        </w:rPr>
      </w:pPr>
      <w:r>
        <w:rPr>
          <w:rFonts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bookmarkStart w:id="26" w:name="_Toc28359093"/>
      <w:bookmarkStart w:id="27" w:name="_Toc35393633"/>
      <w:bookmarkStart w:id="28" w:name="_Toc28359016"/>
      <w:bookmarkStart w:id="29" w:name="_Toc35393802"/>
      <w:r>
        <w:rPr>
          <w:rFonts w:hint="eastAsia" w:ascii="宋体" w:hAnsi="宋体" w:cs="宋体"/>
          <w:b/>
          <w:bCs/>
          <w:color w:val="auto"/>
          <w:szCs w:val="20"/>
          <w:highlight w:val="none"/>
        </w:rPr>
        <w:t>五、开启</w:t>
      </w:r>
      <w:bookmarkEnd w:id="26"/>
      <w:bookmarkEnd w:id="27"/>
      <w:bookmarkEnd w:id="28"/>
      <w:bookmarkEnd w:id="29"/>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时间：2020年</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月</w:t>
      </w:r>
      <w:r>
        <w:rPr>
          <w:rFonts w:hint="eastAsia" w:ascii="宋体" w:hAnsi="宋体" w:cs="宋体"/>
          <w:bCs/>
          <w:color w:val="auto"/>
          <w:szCs w:val="20"/>
          <w:highlight w:val="none"/>
          <w:lang w:val="en-US" w:eastAsia="zh-CN"/>
        </w:rPr>
        <w:t>18</w:t>
      </w:r>
      <w:r>
        <w:rPr>
          <w:rFonts w:hint="eastAsia" w:ascii="宋体" w:hAnsi="宋体" w:cs="宋体"/>
          <w:bCs/>
          <w:color w:val="auto"/>
          <w:szCs w:val="20"/>
          <w:highlight w:val="none"/>
        </w:rPr>
        <w:t>日</w:t>
      </w:r>
      <w:r>
        <w:rPr>
          <w:rFonts w:hint="eastAsia" w:ascii="宋体" w:hAnsi="宋体" w:cs="宋体"/>
          <w:bCs/>
          <w:color w:val="auto"/>
          <w:szCs w:val="20"/>
          <w:highlight w:val="none"/>
          <w:lang w:val="en-US" w:eastAsia="zh-CN"/>
        </w:rPr>
        <w:t>09</w:t>
      </w:r>
      <w:r>
        <w:rPr>
          <w:rFonts w:hint="eastAsia" w:ascii="宋体" w:hAnsi="宋体" w:cs="宋体"/>
          <w:bCs/>
          <w:color w:val="auto"/>
          <w:szCs w:val="20"/>
          <w:highlight w:val="none"/>
        </w:rPr>
        <w:t>点</w:t>
      </w:r>
      <w:r>
        <w:rPr>
          <w:rFonts w:hint="eastAsia" w:ascii="宋体" w:hAnsi="宋体" w:cs="宋体"/>
          <w:bCs/>
          <w:color w:val="auto"/>
          <w:szCs w:val="20"/>
          <w:highlight w:val="none"/>
          <w:lang w:val="en-US" w:eastAsia="zh-CN"/>
        </w:rPr>
        <w:t>30</w:t>
      </w:r>
      <w:r>
        <w:rPr>
          <w:rFonts w:hint="eastAsia" w:ascii="宋体" w:hAnsi="宋体" w:cs="宋体"/>
          <w:bCs/>
          <w:color w:val="auto"/>
          <w:szCs w:val="20"/>
          <w:highlight w:val="none"/>
        </w:rPr>
        <w:t>分（北京时间）</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地点：</w:t>
      </w:r>
      <w:r>
        <w:rPr>
          <w:rFonts w:hint="eastAsia" w:ascii="宋体" w:hAnsi="宋体" w:cs="宋体"/>
          <w:color w:val="auto"/>
          <w:kern w:val="0"/>
          <w:szCs w:val="21"/>
          <w:highlight w:val="none"/>
        </w:rPr>
        <w:t>广州市海珠区红卫新村西路29号UP智谷D栋503房</w:t>
      </w:r>
      <w:r>
        <w:rPr>
          <w:rFonts w:ascii="宋体" w:hAnsi="宋体" w:cs="宋体"/>
          <w:bCs/>
          <w:color w:val="auto"/>
          <w:szCs w:val="20"/>
          <w:highlight w:val="none"/>
        </w:rPr>
        <w:t>。</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六</w:t>
      </w:r>
      <w:r>
        <w:rPr>
          <w:rFonts w:ascii="宋体" w:hAnsi="宋体" w:cs="宋体"/>
          <w:b/>
          <w:bCs/>
          <w:color w:val="auto"/>
          <w:szCs w:val="20"/>
          <w:highlight w:val="none"/>
        </w:rPr>
        <w:t>、公告期限</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自本公告发布之日起</w:t>
      </w:r>
      <w:r>
        <w:rPr>
          <w:rFonts w:hint="eastAsia" w:ascii="宋体" w:hAnsi="宋体" w:cs="宋体"/>
          <w:bCs/>
          <w:color w:val="auto"/>
          <w:szCs w:val="20"/>
          <w:highlight w:val="none"/>
        </w:rPr>
        <w:t>3</w:t>
      </w:r>
      <w:r>
        <w:rPr>
          <w:rFonts w:ascii="宋体" w:hAnsi="宋体" w:cs="宋体"/>
          <w:bCs/>
          <w:color w:val="auto"/>
          <w:szCs w:val="20"/>
          <w:highlight w:val="none"/>
        </w:rPr>
        <w:t>个工作日。</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七</w:t>
      </w:r>
      <w:r>
        <w:rPr>
          <w:rFonts w:ascii="宋体" w:hAnsi="宋体" w:cs="宋体"/>
          <w:b/>
          <w:bCs/>
          <w:color w:val="auto"/>
          <w:szCs w:val="20"/>
          <w:highlight w:val="none"/>
        </w:rPr>
        <w:t>、其他补充事宜</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1.只接受登记及领购采购文件的供应商投标。</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2.已成功登记及领购采购文件的供应商参加投标的，不代表通过资格性、符合性审查。投标资格最终根据投标人投标文件中的资格审查资料作出的结论为准。</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3.若已登记及领购采购文件而决定不参加本项目投标的供应商，应在开标前三日以书面形式（书面材料、信函或传真加盖供应商公章）通知采购代理机构。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5"/>
        <w:rPr>
          <w:rFonts w:ascii="宋体" w:hAnsi="宋体" w:cs="宋体"/>
          <w:bCs/>
          <w:color w:val="auto"/>
          <w:szCs w:val="20"/>
          <w:highlight w:val="none"/>
        </w:rPr>
      </w:pPr>
      <w:r>
        <w:rPr>
          <w:rFonts w:hint="eastAsia" w:ascii="宋体" w:hAnsi="宋体" w:cs="宋体"/>
          <w:bCs/>
          <w:color w:val="auto"/>
          <w:szCs w:val="20"/>
          <w:highlight w:val="none"/>
        </w:rPr>
        <w:t>4.采购文件的公示，根据《广东省实施〈中华人民共和国政府采购法〉办法》第三十五条的规定，供应商认为政府采购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cs="宋体"/>
          <w:b/>
          <w:bCs/>
          <w:color w:val="auto"/>
          <w:szCs w:val="20"/>
          <w:highlight w:val="none"/>
        </w:rPr>
      </w:pPr>
      <w:r>
        <w:rPr>
          <w:rFonts w:hint="eastAsia" w:ascii="宋体" w:hAnsi="宋体" w:cs="宋体"/>
          <w:b/>
          <w:bCs/>
          <w:color w:val="auto"/>
          <w:szCs w:val="20"/>
          <w:highlight w:val="none"/>
        </w:rPr>
        <w:t>八</w:t>
      </w:r>
      <w:r>
        <w:rPr>
          <w:rFonts w:ascii="宋体" w:hAnsi="宋体" w:cs="宋体"/>
          <w:b/>
          <w:bCs/>
          <w:color w:val="auto"/>
          <w:szCs w:val="20"/>
          <w:highlight w:val="none"/>
        </w:rPr>
        <w:t>、</w:t>
      </w:r>
      <w:r>
        <w:rPr>
          <w:rFonts w:hint="eastAsia" w:ascii="宋体" w:hAnsi="宋体" w:cs="宋体"/>
          <w:b/>
          <w:bCs/>
          <w:color w:val="auto"/>
          <w:szCs w:val="20"/>
          <w:highlight w:val="none"/>
        </w:rPr>
        <w:t>凡</w:t>
      </w:r>
      <w:r>
        <w:rPr>
          <w:rFonts w:ascii="宋体" w:hAnsi="宋体" w:cs="宋体"/>
          <w:b/>
          <w:bCs/>
          <w:color w:val="auto"/>
          <w:szCs w:val="20"/>
          <w:highlight w:val="none"/>
        </w:rPr>
        <w:t>对本次招标提出询问，请按以下方式联系</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1.采购人信息</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名称：</w:t>
      </w:r>
      <w:r>
        <w:rPr>
          <w:rFonts w:hint="eastAsia" w:ascii="宋体" w:hAnsi="宋体" w:cs="宋体"/>
          <w:color w:val="auto"/>
          <w:szCs w:val="21"/>
          <w:highlight w:val="none"/>
          <w:lang w:eastAsia="zh-CN"/>
        </w:rPr>
        <w:t>广东省农科资产经营有限公司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w:t>
      </w:r>
      <w:r>
        <w:rPr>
          <w:rFonts w:hint="eastAsia" w:ascii="宋体" w:hAnsi="宋体" w:cs="宋体"/>
          <w:bCs/>
          <w:color w:val="auto"/>
          <w:szCs w:val="20"/>
          <w:highlight w:val="none"/>
        </w:rPr>
        <w:t>广州市天河区金颖路29号省农科院办公大楼</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w:t>
      </w:r>
      <w:r>
        <w:rPr>
          <w:rFonts w:hint="eastAsia" w:ascii="宋体" w:hAnsi="宋体" w:cs="宋体"/>
          <w:bCs/>
          <w:color w:val="auto"/>
          <w:szCs w:val="20"/>
          <w:highlight w:val="none"/>
        </w:rPr>
        <w:t>郭先生</w:t>
      </w:r>
      <w:r>
        <w:rPr>
          <w:rFonts w:hint="eastAsia" w:ascii="宋体" w:hAnsi="宋体" w:cs="宋体"/>
          <w:bCs/>
          <w:color w:val="auto"/>
          <w:szCs w:val="20"/>
          <w:highlight w:val="none"/>
          <w:lang w:eastAsia="zh-CN"/>
        </w:rPr>
        <w:t>、</w:t>
      </w:r>
      <w:r>
        <w:rPr>
          <w:rFonts w:hint="eastAsia" w:ascii="宋体" w:hAnsi="宋体" w:cs="宋体"/>
          <w:bCs/>
          <w:color w:val="auto"/>
          <w:szCs w:val="20"/>
          <w:highlight w:val="none"/>
        </w:rPr>
        <w:t>020</w:t>
      </w:r>
      <w:r>
        <w:rPr>
          <w:rFonts w:hint="eastAsia" w:ascii="宋体" w:hAnsi="宋体" w:cs="宋体"/>
          <w:bCs/>
          <w:color w:val="auto"/>
          <w:szCs w:val="20"/>
          <w:highlight w:val="none"/>
          <w:lang w:val="en-US" w:eastAsia="zh-CN"/>
        </w:rPr>
        <w:t>-</w:t>
      </w:r>
      <w:r>
        <w:rPr>
          <w:rFonts w:hint="eastAsia" w:ascii="宋体" w:hAnsi="宋体" w:cs="宋体"/>
          <w:bCs/>
          <w:color w:val="auto"/>
          <w:szCs w:val="20"/>
          <w:highlight w:val="none"/>
        </w:rPr>
        <w:t>66289662，18688887023</w:t>
      </w:r>
      <w:r>
        <w:rPr>
          <w:rFonts w:hint="eastAsia" w:ascii="宋体" w:hAnsi="宋体" w:cs="宋体"/>
          <w:bCs/>
          <w:color w:val="auto"/>
          <w:szCs w:val="20"/>
          <w:highlight w:val="none"/>
          <w:lang w:val="en-US" w:eastAsia="zh-CN"/>
        </w:rPr>
        <w:t xml:space="preserve"> </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2.采购代理机构信息</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名称：广州市信怡招标代理有限公司</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地址：广州市海珠区红卫新村西路29号UP智谷D栋503房</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联系方式：020-8900129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3.项目联系方式</w:t>
      </w:r>
    </w:p>
    <w:p>
      <w:pPr>
        <w:tabs>
          <w:tab w:val="left" w:pos="840"/>
          <w:tab w:val="left" w:pos="945"/>
        </w:tabs>
        <w:snapToGrid w:val="0"/>
        <w:spacing w:line="360" w:lineRule="auto"/>
        <w:ind w:left="525"/>
        <w:rPr>
          <w:rFonts w:ascii="宋体" w:hAnsi="宋体" w:cs="宋体"/>
          <w:bCs/>
          <w:color w:val="auto"/>
          <w:szCs w:val="20"/>
          <w:highlight w:val="none"/>
        </w:rPr>
      </w:pPr>
      <w:r>
        <w:rPr>
          <w:rFonts w:ascii="宋体" w:hAnsi="宋体" w:cs="宋体"/>
          <w:bCs/>
          <w:color w:val="auto"/>
          <w:szCs w:val="20"/>
          <w:highlight w:val="none"/>
        </w:rPr>
        <w:t>   项目联系人：陈小姐</w:t>
      </w:r>
    </w:p>
    <w:p>
      <w:pPr>
        <w:tabs>
          <w:tab w:val="left" w:pos="840"/>
          <w:tab w:val="left" w:pos="945"/>
        </w:tabs>
        <w:snapToGrid w:val="0"/>
        <w:spacing w:line="360" w:lineRule="auto"/>
        <w:ind w:left="525"/>
        <w:rPr>
          <w:rFonts w:hint="eastAsia" w:ascii="宋体" w:hAnsi="宋体" w:eastAsia="宋体" w:cs="宋体"/>
          <w:bCs/>
          <w:color w:val="auto"/>
          <w:szCs w:val="20"/>
          <w:highlight w:val="none"/>
          <w:lang w:eastAsia="zh-CN"/>
        </w:rPr>
      </w:pPr>
      <w:r>
        <w:rPr>
          <w:rFonts w:ascii="宋体" w:hAnsi="宋体" w:cs="宋体"/>
          <w:bCs/>
          <w:color w:val="auto"/>
          <w:szCs w:val="20"/>
          <w:highlight w:val="none"/>
        </w:rPr>
        <w:t>   电话：020-8900129</w:t>
      </w:r>
      <w:r>
        <w:rPr>
          <w:rFonts w:hint="eastAsia" w:ascii="宋体" w:hAnsi="宋体" w:cs="宋体"/>
          <w:bCs/>
          <w:color w:val="auto"/>
          <w:szCs w:val="20"/>
          <w:highlight w:val="none"/>
          <w:lang w:val="en-US" w:eastAsia="zh-CN"/>
        </w:rPr>
        <w:t>6</w:t>
      </w:r>
    </w:p>
    <w:p>
      <w:pPr>
        <w:tabs>
          <w:tab w:val="left" w:pos="840"/>
          <w:tab w:val="left" w:pos="945"/>
        </w:tabs>
        <w:snapToGrid w:val="0"/>
        <w:spacing w:line="360" w:lineRule="auto"/>
        <w:ind w:left="525"/>
        <w:rPr>
          <w:rFonts w:hint="eastAsia" w:ascii="宋体" w:hAnsi="宋体" w:cs="宋体"/>
          <w:bCs/>
          <w:color w:val="auto"/>
          <w:szCs w:val="20"/>
          <w:highlight w:val="none"/>
        </w:rPr>
      </w:pPr>
      <w:r>
        <w:rPr>
          <w:rFonts w:hint="eastAsia" w:ascii="宋体" w:hAnsi="宋体" w:cs="宋体"/>
          <w:bCs/>
          <w:color w:val="auto"/>
          <w:szCs w:val="20"/>
          <w:highlight w:val="none"/>
        </w:rPr>
        <w:t> </w:t>
      </w:r>
    </w:p>
    <w:p>
      <w:pPr>
        <w:pStyle w:val="46"/>
        <w:rPr>
          <w:rFonts w:hint="eastAsia" w:ascii="宋体" w:hAnsi="宋体" w:cs="宋体"/>
          <w:bCs/>
          <w:color w:val="auto"/>
          <w:szCs w:val="20"/>
          <w:highlight w:val="none"/>
        </w:rPr>
      </w:pPr>
    </w:p>
    <w:p>
      <w:pPr>
        <w:pStyle w:val="47"/>
        <w:rPr>
          <w:color w:val="auto"/>
          <w:highlight w:val="none"/>
        </w:rPr>
      </w:pPr>
    </w:p>
    <w:p>
      <w:pPr>
        <w:tabs>
          <w:tab w:val="left" w:pos="840"/>
          <w:tab w:val="left" w:pos="945"/>
        </w:tabs>
        <w:snapToGrid w:val="0"/>
        <w:spacing w:line="360" w:lineRule="auto"/>
        <w:ind w:left="525"/>
        <w:jc w:val="right"/>
        <w:rPr>
          <w:rFonts w:ascii="宋体" w:hAnsi="宋体" w:cs="宋体"/>
          <w:bCs/>
          <w:color w:val="auto"/>
          <w:szCs w:val="20"/>
          <w:highlight w:val="none"/>
        </w:rPr>
      </w:pPr>
      <w:r>
        <w:rPr>
          <w:rFonts w:ascii="宋体" w:hAnsi="宋体" w:cs="宋体"/>
          <w:bCs/>
          <w:color w:val="auto"/>
          <w:szCs w:val="20"/>
          <w:highlight w:val="none"/>
        </w:rPr>
        <w:t>发布人：广州市信怡招标代理有限公司</w:t>
      </w:r>
    </w:p>
    <w:p>
      <w:pPr>
        <w:pStyle w:val="36"/>
        <w:snapToGrid w:val="0"/>
        <w:spacing w:line="528" w:lineRule="auto"/>
        <w:ind w:firstLine="630" w:firstLineChars="300"/>
        <w:jc w:val="right"/>
        <w:rPr>
          <w:rFonts w:ascii="宋体" w:hAnsi="宋体"/>
          <w:color w:val="auto"/>
          <w:sz w:val="28"/>
          <w:highlight w:val="none"/>
        </w:rPr>
      </w:pPr>
      <w:r>
        <w:rPr>
          <w:rFonts w:ascii="宋体" w:hAnsi="宋体" w:cs="宋体"/>
          <w:bCs/>
          <w:color w:val="auto"/>
          <w:szCs w:val="20"/>
          <w:highlight w:val="none"/>
        </w:rPr>
        <w:t>发布时间：2020 年</w:t>
      </w:r>
      <w:r>
        <w:rPr>
          <w:rFonts w:hint="eastAsia" w:ascii="宋体" w:hAnsi="宋体" w:cs="宋体"/>
          <w:bCs/>
          <w:color w:val="auto"/>
          <w:szCs w:val="20"/>
          <w:highlight w:val="none"/>
          <w:lang w:val="en-US" w:eastAsia="zh-CN"/>
        </w:rPr>
        <w:t>09</w:t>
      </w:r>
      <w:r>
        <w:rPr>
          <w:rFonts w:ascii="宋体" w:hAnsi="宋体" w:cs="宋体"/>
          <w:bCs/>
          <w:color w:val="auto"/>
          <w:szCs w:val="20"/>
          <w:highlight w:val="none"/>
        </w:rPr>
        <w:t>月</w:t>
      </w:r>
      <w:r>
        <w:rPr>
          <w:rFonts w:hint="eastAsia" w:ascii="宋体" w:hAnsi="宋体" w:cs="宋体"/>
          <w:bCs/>
          <w:color w:val="auto"/>
          <w:szCs w:val="20"/>
          <w:highlight w:val="none"/>
          <w:lang w:val="en-US" w:eastAsia="zh-CN"/>
        </w:rPr>
        <w:t>07</w:t>
      </w:r>
      <w:r>
        <w:rPr>
          <w:rFonts w:ascii="宋体" w:hAnsi="宋体" w:cs="宋体"/>
          <w:bCs/>
          <w:color w:val="auto"/>
          <w:szCs w:val="20"/>
          <w:highlight w:val="none"/>
        </w:rPr>
        <w:t>日</w:t>
      </w:r>
      <w:bookmarkStart w:id="30" w:name="_Toc14450807"/>
      <w:bookmarkStart w:id="31" w:name="_Toc28489434"/>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pStyle w:val="2"/>
        <w:rPr>
          <w:rFonts w:ascii="宋体" w:hAnsi="宋体"/>
          <w:color w:val="auto"/>
          <w:sz w:val="28"/>
          <w:highlight w:val="none"/>
        </w:rPr>
      </w:pPr>
    </w:p>
    <w:p>
      <w:pPr>
        <w:spacing w:line="360" w:lineRule="auto"/>
        <w:rPr>
          <w:rFonts w:ascii="宋体" w:hAnsi="宋体"/>
          <w:color w:val="auto"/>
          <w:sz w:val="28"/>
          <w:highlight w:val="none"/>
        </w:rPr>
      </w:pPr>
    </w:p>
    <w:p>
      <w:pPr>
        <w:spacing w:line="360" w:lineRule="auto"/>
        <w:rPr>
          <w:rFonts w:ascii="宋体" w:hAnsi="宋体"/>
          <w:color w:val="auto"/>
          <w:sz w:val="28"/>
          <w:highlight w:val="none"/>
        </w:rPr>
      </w:pPr>
    </w:p>
    <w:p>
      <w:pPr>
        <w:pStyle w:val="4"/>
        <w:autoSpaceDE w:val="0"/>
        <w:rPr>
          <w:color w:val="auto"/>
          <w:sz w:val="44"/>
          <w:highlight w:val="none"/>
        </w:rPr>
      </w:pPr>
      <w:bookmarkStart w:id="32" w:name="_Toc475104467"/>
      <w:bookmarkStart w:id="33" w:name="_Toc320515015"/>
      <w:r>
        <w:rPr>
          <w:rFonts w:cs="ZWAdobeF"/>
          <w:b w:val="0"/>
          <w:color w:val="auto"/>
          <w:sz w:val="2"/>
          <w:szCs w:val="2"/>
          <w:highlight w:val="none"/>
        </w:rPr>
        <w:t>1B1B</w:t>
      </w:r>
      <w:r>
        <w:rPr>
          <w:rFonts w:hint="eastAsia"/>
          <w:color w:val="auto"/>
          <w:sz w:val="44"/>
          <w:highlight w:val="none"/>
        </w:rPr>
        <w:t>第二章</w:t>
      </w:r>
      <w:bookmarkStart w:id="34" w:name="_Toc10525515"/>
      <w:r>
        <w:rPr>
          <w:rFonts w:hint="eastAsia"/>
          <w:color w:val="auto"/>
          <w:sz w:val="44"/>
          <w:highlight w:val="none"/>
        </w:rPr>
        <w:t xml:space="preserve"> 竞争性磋商须知</w:t>
      </w:r>
      <w:bookmarkEnd w:id="30"/>
      <w:bookmarkEnd w:id="31"/>
      <w:bookmarkEnd w:id="32"/>
      <w:bookmarkEnd w:id="33"/>
      <w:bookmarkEnd w:id="34"/>
    </w:p>
    <w:p>
      <w:pPr>
        <w:spacing w:line="360" w:lineRule="auto"/>
        <w:jc w:val="center"/>
        <w:rPr>
          <w:rFonts w:ascii="宋体" w:hAnsi="宋体"/>
          <w:b/>
          <w:bCs/>
          <w:color w:val="auto"/>
          <w:sz w:val="30"/>
          <w:highlight w:val="none"/>
        </w:rPr>
      </w:pPr>
      <w:r>
        <w:rPr>
          <w:rFonts w:ascii="宋体" w:hAnsi="宋体"/>
          <w:color w:val="auto"/>
          <w:sz w:val="44"/>
          <w:highlight w:val="none"/>
        </w:rPr>
        <w:br w:type="page"/>
      </w:r>
      <w:r>
        <w:rPr>
          <w:rFonts w:hint="eastAsia" w:ascii="宋体" w:hAnsi="宋体"/>
          <w:b/>
          <w:bCs/>
          <w:color w:val="auto"/>
          <w:sz w:val="30"/>
          <w:highlight w:val="none"/>
        </w:rPr>
        <w:t>竞争性磋商须知一览表</w:t>
      </w:r>
    </w:p>
    <w:tbl>
      <w:tblPr>
        <w:tblStyle w:val="90"/>
        <w:tblW w:w="9941"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项目</w:t>
            </w:r>
          </w:p>
        </w:tc>
        <w:tc>
          <w:tcPr>
            <w:tcW w:w="6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b/>
                <w:color w:val="auto"/>
                <w:szCs w:val="21"/>
                <w:highlight w:val="none"/>
              </w:rPr>
            </w:pPr>
            <w:r>
              <w:rPr>
                <w:rFonts w:hint="eastAsia" w:ascii="宋体" w:hAnsi="宋体"/>
                <w:b/>
                <w:color w:val="auto"/>
                <w:szCs w:val="21"/>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保证金</w:t>
            </w:r>
          </w:p>
        </w:tc>
        <w:tc>
          <w:tcPr>
            <w:tcW w:w="6234" w:type="dxa"/>
            <w:tcBorders>
              <w:top w:val="single" w:color="auto" w:sz="4" w:space="0"/>
              <w:left w:val="single" w:color="auto" w:sz="4" w:space="0"/>
              <w:right w:val="single" w:color="auto" w:sz="4" w:space="0"/>
            </w:tcBorders>
            <w:vAlign w:val="center"/>
          </w:tcPr>
          <w:p>
            <w:pPr>
              <w:jc w:val="left"/>
              <w:rPr>
                <w:rFonts w:ascii="宋体" w:hAnsi="宋体"/>
                <w:color w:val="auto"/>
                <w:szCs w:val="21"/>
                <w:highlight w:val="none"/>
              </w:rPr>
            </w:pPr>
            <w:r>
              <w:rPr>
                <w:rFonts w:ascii="宋体" w:hAnsi="宋体" w:cs="宋体"/>
                <w:color w:val="auto"/>
                <w:szCs w:val="21"/>
                <w:highlight w:val="none"/>
              </w:rPr>
              <w:t>本项目不收磋商保证金。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0" w:hRule="atLeast"/>
          <w:jc w:val="center"/>
        </w:trPr>
        <w:tc>
          <w:tcPr>
            <w:tcW w:w="839" w:type="dxa"/>
            <w:tcBorders>
              <w:top w:val="single" w:color="auto" w:sz="4" w:space="0"/>
              <w:left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采购代理服务费及专家费</w:t>
            </w:r>
          </w:p>
        </w:tc>
        <w:tc>
          <w:tcPr>
            <w:tcW w:w="6234"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s="宋体"/>
                <w:color w:val="auto"/>
                <w:szCs w:val="21"/>
                <w:highlight w:val="none"/>
              </w:rPr>
            </w:pPr>
            <w:r>
              <w:rPr>
                <w:rFonts w:hint="eastAsia" w:ascii="宋体" w:hAnsi="宋体" w:cs="宋体"/>
                <w:color w:val="auto"/>
                <w:szCs w:val="21"/>
                <w:highlight w:val="none"/>
              </w:rPr>
              <w:t>本项目招标代理服务费为</w:t>
            </w:r>
            <w:r>
              <w:rPr>
                <w:rFonts w:hint="eastAsia" w:ascii="宋体" w:hAnsi="宋体" w:cs="宋体"/>
                <w:color w:val="auto"/>
                <w:szCs w:val="21"/>
                <w:highlight w:val="none"/>
                <w:lang w:eastAsia="zh-CN"/>
              </w:rPr>
              <w:t>壹万元整</w:t>
            </w:r>
            <w:r>
              <w:rPr>
                <w:rFonts w:hint="eastAsia" w:ascii="宋体" w:hAnsi="宋体" w:cs="宋体"/>
                <w:color w:val="auto"/>
                <w:szCs w:val="21"/>
                <w:highlight w:val="none"/>
              </w:rPr>
              <w:t>及专家费（专家费按实进行结算）。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0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采购代理服务费</w:t>
            </w:r>
            <w:r>
              <w:rPr>
                <w:rFonts w:hint="eastAsia" w:ascii="宋体" w:hAnsi="宋体" w:cs="宋体"/>
                <w:color w:val="auto"/>
                <w:szCs w:val="21"/>
                <w:highlight w:val="none"/>
              </w:rPr>
              <w:t>支付方式</w:t>
            </w:r>
          </w:p>
        </w:tc>
        <w:tc>
          <w:tcPr>
            <w:tcW w:w="623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leftChars="0" w:right="0" w:rightChars="0"/>
              <w:rPr>
                <w:rFonts w:ascii="宋体" w:hAnsi="宋体"/>
                <w:color w:val="auto"/>
                <w:szCs w:val="21"/>
                <w:highlight w:val="none"/>
              </w:rPr>
            </w:pPr>
            <w:r>
              <w:rPr>
                <w:rFonts w:hint="eastAsia" w:ascii="宋体" w:hAnsi="宋体" w:eastAsia="宋体" w:cs="宋体"/>
                <w:color w:val="auto"/>
                <w:szCs w:val="21"/>
                <w:highlight w:val="none"/>
              </w:rPr>
              <w:t>中标人在领取《中标通知书》前直接一次性向采购代理机构足额支付招标代理服务费及专家费</w:t>
            </w:r>
            <w:r>
              <w:rPr>
                <w:rFonts w:hint="eastAsia" w:ascii="宋体" w:hAnsi="宋体" w:eastAsia="宋体" w:cs="宋体"/>
                <w:color w:val="auto"/>
                <w:szCs w:val="21"/>
                <w:highlight w:val="none"/>
                <w:lang w:eastAsia="zh-CN"/>
              </w:rPr>
              <w:t>（专家费按实进行结算）</w:t>
            </w:r>
            <w:r>
              <w:rPr>
                <w:rFonts w:hint="eastAsia" w:ascii="宋体" w:hAnsi="宋体" w:eastAsia="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lang w:val="en-GB"/>
              </w:rPr>
              <w:t>统一结算</w:t>
            </w:r>
            <w:r>
              <w:rPr>
                <w:rFonts w:hint="eastAsia" w:ascii="宋体" w:hAnsi="宋体"/>
                <w:color w:val="auto"/>
                <w:szCs w:val="21"/>
                <w:highlight w:val="none"/>
              </w:rPr>
              <w:t>币种</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响应有效期</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自从磋商响应文件递交截止日起90天，成交供应商的响应有效期自动延长至合同终止为止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响应文件数量</w:t>
            </w:r>
          </w:p>
        </w:tc>
        <w:tc>
          <w:tcPr>
            <w:tcW w:w="6234"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color w:val="auto"/>
                <w:szCs w:val="21"/>
                <w:highlight w:val="none"/>
              </w:rPr>
            </w:pPr>
            <w:r>
              <w:rPr>
                <w:rFonts w:hint="eastAsia" w:ascii="宋体" w:hAnsi="宋体"/>
                <w:color w:val="auto"/>
                <w:szCs w:val="21"/>
                <w:highlight w:val="none"/>
              </w:rPr>
              <w:t>三份（一份正本、两份副本）、电子文档一份（要求光盘介质，WORD或EXCEL格式，不留密码，无病毒，不压缩，内容应与供应商打印产生的纸质磋商响应文件内容一致，如有不同，以纸质磋商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6"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w:t>
            </w:r>
            <w:r>
              <w:rPr>
                <w:rFonts w:hint="eastAsia" w:ascii="宋体" w:hAnsi="宋体"/>
                <w:color w:val="auto"/>
                <w:szCs w:val="21"/>
                <w:highlight w:val="none"/>
              </w:rPr>
              <w:t>响应文件递交时间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highlight w:val="none"/>
              </w:rPr>
            </w:pPr>
            <w:r>
              <w:rPr>
                <w:rFonts w:hint="eastAsia" w:ascii="宋体" w:hAnsi="宋体"/>
                <w:color w:val="auto"/>
                <w:szCs w:val="21"/>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bCs/>
                <w:color w:val="auto"/>
                <w:szCs w:val="21"/>
                <w:highlight w:val="none"/>
              </w:rPr>
              <w:t>磋商响应文件递交</w:t>
            </w:r>
            <w:r>
              <w:rPr>
                <w:rFonts w:hint="eastAsia" w:ascii="宋体" w:hAnsi="宋体"/>
                <w:color w:val="auto"/>
                <w:highlight w:val="none"/>
              </w:rPr>
              <w:t>截止时间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磋商时间</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5"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合同履约保证金</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olor w:val="auto"/>
                <w:szCs w:val="21"/>
                <w:highlight w:val="none"/>
              </w:rPr>
              <w:t>详见竞争性</w:t>
            </w:r>
            <w:r>
              <w:rPr>
                <w:rFonts w:hint="eastAsia" w:ascii="宋体" w:hAnsi="宋体"/>
                <w:bCs/>
                <w:color w:val="auto"/>
                <w:szCs w:val="21"/>
                <w:highlight w:val="none"/>
              </w:rPr>
              <w:t>磋商</w:t>
            </w:r>
            <w:r>
              <w:rPr>
                <w:rFonts w:hint="eastAsia" w:ascii="宋体" w:hAnsi="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kern w:val="0"/>
                <w:szCs w:val="21"/>
                <w:highlight w:val="none"/>
              </w:rPr>
              <w:t>采购项目预算金额</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auto"/>
                <w:szCs w:val="21"/>
                <w:highlight w:val="none"/>
              </w:rPr>
            </w:pPr>
            <w:r>
              <w:rPr>
                <w:rFonts w:hint="eastAsia" w:ascii="宋体" w:hAnsi="宋体" w:cs="宋体"/>
                <w:color w:val="auto"/>
                <w:szCs w:val="21"/>
                <w:highlight w:val="none"/>
              </w:rPr>
              <w:t>详见</w:t>
            </w:r>
            <w:r>
              <w:rPr>
                <w:rFonts w:hint="eastAsia" w:ascii="宋体" w:hAnsi="宋体"/>
                <w:color w:val="auto"/>
                <w:szCs w:val="21"/>
                <w:highlight w:val="none"/>
              </w:rPr>
              <w:t>竞争性</w:t>
            </w:r>
            <w:r>
              <w:rPr>
                <w:rFonts w:hint="eastAsia" w:ascii="宋体" w:hAnsi="宋体"/>
                <w:bCs/>
                <w:color w:val="auto"/>
                <w:szCs w:val="21"/>
                <w:highlight w:val="none"/>
              </w:rPr>
              <w:t>磋商</w:t>
            </w:r>
            <w:r>
              <w:rPr>
                <w:rFonts w:hint="eastAsia" w:ascii="宋体" w:hAnsi="宋体" w:cs="宋体"/>
                <w:color w:val="auto"/>
                <w:szCs w:val="21"/>
                <w:highlight w:val="none"/>
              </w:rPr>
              <w:t>邀请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1"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auto"/>
                <w:szCs w:val="21"/>
                <w:highlight w:val="none"/>
              </w:rPr>
            </w:pPr>
            <w:r>
              <w:rPr>
                <w:rFonts w:hint="eastAsia" w:ascii="宋体" w:hAnsi="宋体" w:cs="宋体"/>
                <w:color w:val="auto"/>
                <w:szCs w:val="21"/>
                <w:highlight w:val="none"/>
              </w:rPr>
              <w:t>资金来源</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财政性</w:t>
            </w:r>
            <w:r>
              <w:rPr>
                <w:rFonts w:hint="eastAsia" w:ascii="宋体" w:hAnsi="宋体" w:cs="宋体"/>
                <w:color w:val="auto"/>
                <w:szCs w:val="21"/>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839" w:type="dxa"/>
            <w:tcBorders>
              <w:top w:val="single" w:color="auto" w:sz="4" w:space="0"/>
              <w:left w:val="single" w:color="auto" w:sz="4" w:space="0"/>
              <w:bottom w:val="single" w:color="auto" w:sz="4" w:space="0"/>
              <w:right w:val="single" w:color="auto" w:sz="4" w:space="0"/>
            </w:tcBorders>
            <w:vAlign w:val="center"/>
          </w:tcPr>
          <w:p>
            <w:pPr>
              <w:numPr>
                <w:ilvl w:val="0"/>
                <w:numId w:val="3"/>
              </w:numPr>
              <w:ind w:left="360" w:hanging="360"/>
              <w:jc w:val="right"/>
              <w:rPr>
                <w:rFonts w:ascii="宋体" w:hAnsi="宋体"/>
                <w:color w:val="auto"/>
                <w:szCs w:val="21"/>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auto"/>
                <w:szCs w:val="21"/>
                <w:highlight w:val="none"/>
              </w:rPr>
            </w:pPr>
            <w:r>
              <w:rPr>
                <w:rFonts w:hint="eastAsia" w:ascii="宋体" w:hAnsi="宋体" w:cs="宋体"/>
                <w:color w:val="auto"/>
                <w:szCs w:val="21"/>
                <w:highlight w:val="none"/>
              </w:rPr>
              <w:t>询问函、质疑函格式</w:t>
            </w:r>
          </w:p>
        </w:tc>
        <w:tc>
          <w:tcPr>
            <w:tcW w:w="6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auto"/>
                <w:szCs w:val="21"/>
                <w:highlight w:val="none"/>
              </w:rPr>
            </w:pPr>
            <w:r>
              <w:rPr>
                <w:rFonts w:hint="eastAsia" w:ascii="宋体" w:hAnsi="宋体" w:cs="宋体"/>
                <w:color w:val="auto"/>
                <w:szCs w:val="21"/>
                <w:highlight w:val="none"/>
              </w:rPr>
              <w:t>详见投标人须知</w:t>
            </w:r>
          </w:p>
        </w:tc>
      </w:tr>
    </w:tbl>
    <w:p>
      <w:pPr>
        <w:spacing w:line="360" w:lineRule="auto"/>
        <w:jc w:val="center"/>
        <w:rPr>
          <w:rFonts w:ascii="宋体" w:hAnsi="宋体"/>
          <w:b/>
          <w:bCs/>
          <w:color w:val="auto"/>
          <w:sz w:val="30"/>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cs="楷体_GB2312"/>
          <w:color w:val="auto"/>
          <w:szCs w:val="21"/>
          <w:highlight w:val="none"/>
        </w:rPr>
      </w:pPr>
      <w:r>
        <w:rPr>
          <w:rFonts w:ascii="宋体" w:hAnsi="宋体"/>
          <w:color w:val="auto"/>
          <w:highlight w:val="none"/>
        </w:rPr>
        <w:br w:type="page"/>
      </w:r>
      <w:bookmarkStart w:id="35" w:name="_Toc320515065"/>
      <w:bookmarkStart w:id="36" w:name="_Toc475104468"/>
      <w:bookmarkStart w:id="37" w:name="_Toc320515016"/>
      <w:bookmarkStart w:id="38" w:name="_Toc363737682"/>
      <w:bookmarkStart w:id="39" w:name="_Toc322680342"/>
      <w:bookmarkStart w:id="40" w:name="_Toc323110975"/>
      <w:bookmarkStart w:id="41" w:name="_Toc315793450"/>
      <w:r>
        <w:rPr>
          <w:rFonts w:hint="eastAsia" w:ascii="宋体" w:hAnsi="宋体"/>
          <w:b/>
          <w:color w:val="auto"/>
          <w:sz w:val="28"/>
          <w:szCs w:val="28"/>
          <w:highlight w:val="none"/>
          <w:lang w:eastAsia="zh-TW"/>
        </w:rPr>
        <w:t>说 明</w:t>
      </w:r>
      <w:bookmarkEnd w:id="35"/>
      <w:bookmarkEnd w:id="36"/>
      <w:bookmarkEnd w:id="37"/>
      <w:bookmarkEnd w:id="38"/>
      <w:bookmarkEnd w:id="39"/>
      <w:bookmarkEnd w:id="40"/>
      <w:bookmarkEnd w:id="41"/>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2" w:name="_Toc323110976"/>
      <w:bookmarkStart w:id="43" w:name="_Toc322680343"/>
      <w:bookmarkStart w:id="44" w:name="_Toc320515066"/>
      <w:bookmarkStart w:id="45" w:name="_Toc363737683"/>
      <w:bookmarkStart w:id="46" w:name="_Toc315793451"/>
      <w:bookmarkStart w:id="47" w:name="_Toc475104469"/>
      <w:bookmarkStart w:id="48" w:name="_Toc320515017"/>
      <w:r>
        <w:rPr>
          <w:rFonts w:hint="eastAsia" w:ascii="宋体" w:hAnsi="宋体"/>
          <w:b/>
          <w:bCs/>
          <w:color w:val="auto"/>
          <w:sz w:val="24"/>
          <w:highlight w:val="none"/>
        </w:rPr>
        <w:t>招标适用范围</w:t>
      </w:r>
      <w:bookmarkEnd w:id="42"/>
      <w:bookmarkEnd w:id="43"/>
      <w:bookmarkEnd w:id="44"/>
      <w:bookmarkEnd w:id="45"/>
      <w:bookmarkEnd w:id="46"/>
      <w:bookmarkEnd w:id="47"/>
      <w:bookmarkEnd w:id="48"/>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r>
        <w:rPr>
          <w:rFonts w:hint="eastAsia" w:ascii="宋体" w:hAnsi="宋体"/>
          <w:color w:val="auto"/>
          <w:szCs w:val="21"/>
          <w:highlight w:val="none"/>
        </w:rPr>
        <w:t>本竞争性磋商文件适用于本竞争性磋商邀请中所述项目的政府采购。</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49" w:name="_Toc475104470"/>
      <w:bookmarkStart w:id="50" w:name="_Toc320515018"/>
      <w:bookmarkStart w:id="51" w:name="_Toc363737684"/>
      <w:bookmarkStart w:id="52" w:name="_Toc320515067"/>
      <w:bookmarkStart w:id="53" w:name="_Toc322680344"/>
      <w:bookmarkStart w:id="54" w:name="_Toc323110977"/>
      <w:r>
        <w:rPr>
          <w:rFonts w:hint="eastAsia" w:ascii="宋体" w:hAnsi="宋体"/>
          <w:b/>
          <w:bCs/>
          <w:color w:val="auto"/>
          <w:sz w:val="24"/>
          <w:highlight w:val="none"/>
        </w:rPr>
        <w:t>定义</w:t>
      </w:r>
      <w:bookmarkEnd w:id="49"/>
      <w:bookmarkEnd w:id="50"/>
      <w:bookmarkEnd w:id="51"/>
      <w:bookmarkEnd w:id="52"/>
      <w:bookmarkEnd w:id="53"/>
      <w:bookmarkEnd w:id="54"/>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“采购人”系指</w:t>
      </w:r>
      <w:r>
        <w:rPr>
          <w:rFonts w:hint="eastAsia" w:ascii="宋体" w:hAnsi="宋体" w:cs="宋体"/>
          <w:color w:val="auto"/>
          <w:szCs w:val="21"/>
          <w:highlight w:val="none"/>
          <w:lang w:eastAsia="zh-CN"/>
        </w:rPr>
        <w:t>广东省农科资产经营有限公司</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“采购代理机构”系指广州市信怡招标代理有限公司。</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olor w:val="auto"/>
          <w:highlight w:val="none"/>
        </w:rPr>
        <w:t>供应商</w:t>
      </w:r>
      <w:r>
        <w:rPr>
          <w:rFonts w:hint="eastAsia" w:ascii="宋体" w:hAnsi="宋体" w:cs="宋体"/>
          <w:color w:val="auto"/>
          <w:szCs w:val="21"/>
          <w:highlight w:val="none"/>
        </w:rPr>
        <w:t>”系指向采购代理机构提交</w:t>
      </w:r>
      <w:r>
        <w:rPr>
          <w:rFonts w:hint="eastAsia" w:ascii="宋体" w:hAnsi="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文件的自然人、法人或其他组织。</w:t>
      </w:r>
    </w:p>
    <w:p>
      <w:pPr>
        <w:numPr>
          <w:ilvl w:val="1"/>
          <w:numId w:val="5"/>
        </w:numPr>
        <w:autoSpaceDE w:val="0"/>
        <w:autoSpaceDN w:val="0"/>
        <w:adjustRightInd w:val="0"/>
        <w:snapToGrid w:val="0"/>
        <w:spacing w:line="360" w:lineRule="auto"/>
        <w:rPr>
          <w:rFonts w:ascii="宋体" w:hAnsi="宋体" w:cs="宋体"/>
          <w:color w:val="auto"/>
          <w:szCs w:val="21"/>
          <w:highlight w:val="none"/>
          <w:lang w:eastAsia="zh-TW"/>
        </w:rPr>
      </w:pPr>
      <w:r>
        <w:rPr>
          <w:rFonts w:hint="eastAsia" w:ascii="宋体" w:hAnsi="宋体" w:cs="宋体"/>
          <w:color w:val="auto"/>
          <w:szCs w:val="21"/>
          <w:highlight w:val="none"/>
          <w:lang w:eastAsia="zh-TW"/>
        </w:rPr>
        <w:t>“甲方”系指采购人。</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“乙方”系指成交供应商。</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“日期”指公历日,“时间”指北京时间。</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“书面形式”系指纸质文件形式，不包含电子邮件、手机短信等非纸质形式。</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“成交供应商”系指</w:t>
      </w:r>
      <w:r>
        <w:rPr>
          <w:rFonts w:hint="eastAsia" w:ascii="宋体" w:hAnsi="宋体"/>
          <w:color w:val="auto"/>
          <w:szCs w:val="21"/>
          <w:highlight w:val="none"/>
        </w:rPr>
        <w:t>法定程序确定并授予合同的</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“实质性响应”系指符合竞争性磋商文件的所有要求、条款、条件和规定，且没有不利于项目实施质量效果和服务保障的重大偏离或保留。</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“重大偏离或保留”系指影响到竞争性磋商文件规定的范围、质量和性能或限制了采购人的权力和</w:t>
      </w:r>
      <w:r>
        <w:rPr>
          <w:rFonts w:hint="eastAsia" w:ascii="宋体" w:hAnsi="宋体"/>
          <w:color w:val="auto"/>
          <w:highlight w:val="none"/>
        </w:rPr>
        <w:t>供应商</w:t>
      </w:r>
      <w:r>
        <w:rPr>
          <w:rFonts w:hint="eastAsia" w:ascii="宋体" w:hAnsi="宋体" w:cs="宋体"/>
          <w:color w:val="auto"/>
          <w:szCs w:val="21"/>
          <w:highlight w:val="none"/>
        </w:rPr>
        <w:t>义务的规定，而纠正这些偏离将影响到其它</w:t>
      </w:r>
      <w:r>
        <w:rPr>
          <w:rFonts w:hint="eastAsia" w:ascii="宋体" w:hAnsi="宋体"/>
          <w:color w:val="auto"/>
          <w:highlight w:val="none"/>
        </w:rPr>
        <w:t>供应商</w:t>
      </w:r>
      <w:r>
        <w:rPr>
          <w:rFonts w:hint="eastAsia" w:ascii="宋体" w:hAnsi="宋体" w:cs="宋体"/>
          <w:color w:val="auto"/>
          <w:szCs w:val="21"/>
          <w:highlight w:val="none"/>
        </w:rPr>
        <w:t>的公平竞争地位。</w:t>
      </w:r>
    </w:p>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竞争性磋商文件中的标题或题名仅起引导作用，而不应该作为对竞争性磋商文件内容的理解或解释。</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55" w:name="_Toc363737685"/>
      <w:bookmarkStart w:id="56" w:name="_Toc315793453"/>
      <w:bookmarkStart w:id="57" w:name="_Toc320515068"/>
      <w:bookmarkStart w:id="58" w:name="_Toc320515019"/>
      <w:bookmarkStart w:id="59" w:name="_Toc475104471"/>
      <w:bookmarkStart w:id="60" w:name="_Toc323110978"/>
      <w:bookmarkStart w:id="61" w:name="_Toc322680345"/>
      <w:r>
        <w:rPr>
          <w:rFonts w:hint="eastAsia" w:ascii="宋体" w:hAnsi="宋体"/>
          <w:b/>
          <w:bCs/>
          <w:color w:val="auto"/>
          <w:sz w:val="24"/>
          <w:highlight w:val="none"/>
        </w:rPr>
        <w:t>合格的</w:t>
      </w:r>
      <w:bookmarkEnd w:id="55"/>
      <w:bookmarkEnd w:id="56"/>
      <w:bookmarkEnd w:id="57"/>
      <w:bookmarkEnd w:id="58"/>
      <w:bookmarkEnd w:id="59"/>
      <w:bookmarkEnd w:id="60"/>
      <w:bookmarkEnd w:id="61"/>
      <w:r>
        <w:rPr>
          <w:rFonts w:hint="eastAsia" w:ascii="宋体" w:hAnsi="宋体"/>
          <w:b/>
          <w:bCs/>
          <w:color w:val="auto"/>
          <w:sz w:val="24"/>
          <w:highlight w:val="none"/>
        </w:rPr>
        <w:t>供应商</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是响应磋商并且符合竞争性磋商文件规定资格条件和参加</w:t>
      </w:r>
      <w:r>
        <w:rPr>
          <w:rFonts w:hint="eastAsia" w:ascii="宋体" w:hAnsi="宋体"/>
          <w:color w:val="auto"/>
          <w:highlight w:val="none"/>
        </w:rPr>
        <w:t>磋商</w:t>
      </w:r>
      <w:r>
        <w:rPr>
          <w:rFonts w:hint="eastAsia" w:ascii="宋体" w:hAnsi="宋体"/>
          <w:color w:val="auto"/>
          <w:szCs w:val="21"/>
          <w:highlight w:val="none"/>
        </w:rPr>
        <w:t>竞争的法人、其他组织或者自然人。</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合格的</w:t>
      </w:r>
      <w:r>
        <w:rPr>
          <w:rFonts w:hint="eastAsia" w:ascii="宋体" w:hAnsi="宋体"/>
          <w:color w:val="auto"/>
          <w:highlight w:val="none"/>
        </w:rPr>
        <w:t>供应商</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具备《政府采购法》第二十二条</w:t>
      </w:r>
      <w:r>
        <w:rPr>
          <w:rFonts w:hint="eastAsia" w:ascii="宋体" w:hAnsi="宋体"/>
          <w:bCs/>
          <w:color w:val="auto"/>
          <w:highlight w:val="none"/>
        </w:rPr>
        <w:t>供应商</w:t>
      </w:r>
      <w:r>
        <w:rPr>
          <w:rFonts w:hint="eastAsia" w:ascii="宋体" w:hAnsi="宋体"/>
          <w:color w:val="auto"/>
          <w:szCs w:val="21"/>
          <w:highlight w:val="none"/>
        </w:rPr>
        <w:t>资格条件</w:t>
      </w:r>
      <w:r>
        <w:rPr>
          <w:rFonts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ascii="宋体" w:hAnsi="宋体"/>
          <w:color w:val="auto"/>
          <w:szCs w:val="21"/>
          <w:highlight w:val="none"/>
        </w:rPr>
        <w:t>具有</w:t>
      </w:r>
      <w:r>
        <w:rPr>
          <w:rFonts w:hint="eastAsia" w:ascii="宋体" w:hAnsi="宋体"/>
          <w:color w:val="auto"/>
          <w:szCs w:val="21"/>
          <w:highlight w:val="none"/>
        </w:rPr>
        <w:t>独立承担民事责任的能力。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具有良好的商业信誉和健全的财务会计制度。</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具有履行合同所必需的设备和专业技术能力。</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有依法缴纳税收和社会保障资金的良好记录。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参加政府采购活动前三年内，在经营活动中没有重大违法记录。</w:t>
      </w:r>
    </w:p>
    <w:p>
      <w:pPr>
        <w:numPr>
          <w:ilvl w:val="2"/>
          <w:numId w:val="5"/>
        </w:numPr>
        <w:tabs>
          <w:tab w:val="left" w:pos="426"/>
          <w:tab w:val="left" w:pos="720"/>
          <w:tab w:val="clear" w:pos="709"/>
        </w:tabs>
        <w:autoSpaceDE w:val="0"/>
        <w:autoSpaceDN w:val="0"/>
        <w:adjustRightInd w:val="0"/>
        <w:snapToGrid w:val="0"/>
        <w:spacing w:line="360" w:lineRule="auto"/>
        <w:rPr>
          <w:rFonts w:ascii="宋体" w:hAnsi="宋体"/>
          <w:color w:val="auto"/>
          <w:highlight w:val="none"/>
        </w:rPr>
      </w:pPr>
      <w:r>
        <w:rPr>
          <w:rFonts w:hint="eastAsia" w:ascii="宋体" w:hAnsi="宋体"/>
          <w:color w:val="auto"/>
          <w:highlight w:val="none"/>
        </w:rPr>
        <w:t>法律、行政法规规定的其他条件。</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符合</w:t>
      </w:r>
      <w:r>
        <w:rPr>
          <w:rFonts w:hint="eastAsia" w:ascii="宋体" w:hAnsi="宋体" w:cs="黑体"/>
          <w:color w:val="auto"/>
          <w:szCs w:val="21"/>
          <w:highlight w:val="none"/>
        </w:rPr>
        <w:t>竞争性</w:t>
      </w:r>
      <w:r>
        <w:rPr>
          <w:rFonts w:hint="eastAsia" w:ascii="宋体" w:hAnsi="宋体"/>
          <w:color w:val="auto"/>
          <w:highlight w:val="none"/>
        </w:rPr>
        <w:t>磋商</w:t>
      </w:r>
      <w:r>
        <w:rPr>
          <w:rFonts w:hint="eastAsia" w:ascii="宋体" w:hAnsi="宋体" w:cs="黑体"/>
          <w:color w:val="auto"/>
          <w:szCs w:val="21"/>
          <w:highlight w:val="none"/>
        </w:rPr>
        <w:t>邀请“供应商资格”要求</w:t>
      </w:r>
      <w:r>
        <w:rPr>
          <w:rFonts w:hint="eastAsia" w:ascii="宋体" w:hAnsi="宋体"/>
          <w:color w:val="auto"/>
          <w:szCs w:val="21"/>
          <w:highlight w:val="none"/>
        </w:rPr>
        <w:t>的特殊条款</w:t>
      </w:r>
      <w:r>
        <w:rPr>
          <w:rFonts w:hint="eastAsia" w:ascii="宋体" w:hAnsi="宋体" w:cs="黑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不得参与本采购项目竞争的</w:t>
      </w:r>
      <w:r>
        <w:rPr>
          <w:rFonts w:hint="eastAsia" w:ascii="宋体" w:hAnsi="宋体"/>
          <w:color w:val="auto"/>
          <w:highlight w:val="none"/>
        </w:rPr>
        <w:t>供应商</w:t>
      </w:r>
    </w:p>
    <w:p>
      <w:pPr>
        <w:snapToGrid w:val="0"/>
        <w:spacing w:line="360" w:lineRule="auto"/>
        <w:ind w:left="546" w:leftChars="260"/>
        <w:rPr>
          <w:rFonts w:ascii="宋体" w:hAnsi="宋体"/>
          <w:color w:val="auto"/>
          <w:szCs w:val="21"/>
          <w:highlight w:val="none"/>
        </w:rPr>
      </w:pPr>
      <w:r>
        <w:rPr>
          <w:rFonts w:hint="eastAsia" w:ascii="宋体" w:hAnsi="宋体"/>
          <w:color w:val="auto"/>
          <w:szCs w:val="21"/>
          <w:highlight w:val="none"/>
        </w:rPr>
        <w:t>除联合体外（如允许），不同的</w:t>
      </w:r>
      <w:r>
        <w:rPr>
          <w:rFonts w:hint="eastAsia" w:ascii="宋体" w:hAnsi="宋体"/>
          <w:color w:val="auto"/>
          <w:highlight w:val="none"/>
        </w:rPr>
        <w:t>供应商</w:t>
      </w:r>
      <w:r>
        <w:rPr>
          <w:rFonts w:hint="eastAsia" w:ascii="宋体" w:hAnsi="宋体"/>
          <w:color w:val="auto"/>
          <w:szCs w:val="21"/>
          <w:highlight w:val="none"/>
        </w:rPr>
        <w:t>之间有下列情形之一的，不接受同时参与本采购项目竞争的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彼此存在投资与被投资关系的。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彼此的经营者、董事会（或同类管理机构）成员属于直系亲属或配偶关系的。</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法定代表人或单位负责人为同一人或者存在控股、管理关系的不同单位，不接受作为参与同一采购项目竞争的</w:t>
      </w:r>
      <w:r>
        <w:rPr>
          <w:rFonts w:hint="eastAsia" w:ascii="宋体" w:hAnsi="宋体"/>
          <w:color w:val="auto"/>
          <w:highlight w:val="none"/>
        </w:rPr>
        <w:t>供应商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同一品牌同一型号的产品可由多家</w:t>
      </w:r>
      <w:r>
        <w:rPr>
          <w:rFonts w:hint="eastAsia" w:ascii="宋体" w:hAnsi="宋体"/>
          <w:color w:val="auto"/>
          <w:highlight w:val="none"/>
        </w:rPr>
        <w:t>供应商</w:t>
      </w:r>
      <w:r>
        <w:rPr>
          <w:rFonts w:hint="eastAsia" w:ascii="宋体" w:hAnsi="宋体"/>
          <w:color w:val="auto"/>
          <w:szCs w:val="21"/>
          <w:highlight w:val="none"/>
        </w:rPr>
        <w:t>参加竞争，但只作为一家</w:t>
      </w:r>
      <w:r>
        <w:rPr>
          <w:rFonts w:hint="eastAsia" w:ascii="宋体" w:hAnsi="宋体"/>
          <w:color w:val="auto"/>
          <w:highlight w:val="none"/>
        </w:rPr>
        <w:t>供应商</w:t>
      </w:r>
      <w:r>
        <w:rPr>
          <w:rFonts w:hint="eastAsia" w:ascii="宋体" w:hAnsi="宋体"/>
          <w:color w:val="auto"/>
          <w:szCs w:val="21"/>
          <w:highlight w:val="none"/>
        </w:rPr>
        <w:t>计算。同一品牌不同型号的产品由多家</w:t>
      </w:r>
      <w:r>
        <w:rPr>
          <w:rFonts w:hint="eastAsia" w:ascii="宋体" w:hAnsi="宋体"/>
          <w:color w:val="auto"/>
          <w:highlight w:val="none"/>
        </w:rPr>
        <w:t>供应商</w:t>
      </w:r>
      <w:r>
        <w:rPr>
          <w:rFonts w:hint="eastAsia" w:ascii="宋体" w:hAnsi="宋体"/>
          <w:color w:val="auto"/>
          <w:szCs w:val="21"/>
          <w:highlight w:val="none"/>
        </w:rPr>
        <w:t>参加竞争，作为不同的</w:t>
      </w:r>
      <w:r>
        <w:rPr>
          <w:rFonts w:hint="eastAsia" w:ascii="宋体" w:hAnsi="宋体"/>
          <w:color w:val="auto"/>
          <w:highlight w:val="none"/>
        </w:rPr>
        <w:t>供应商</w:t>
      </w:r>
      <w:r>
        <w:rPr>
          <w:rFonts w:hint="eastAsia" w:ascii="宋体" w:hAnsi="宋体"/>
          <w:color w:val="auto"/>
          <w:szCs w:val="21"/>
          <w:highlight w:val="none"/>
        </w:rPr>
        <w:t>计算。</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62" w:name="_Toc363737686"/>
      <w:bookmarkStart w:id="63" w:name="_Toc475104472"/>
      <w:bookmarkStart w:id="64" w:name="_Toc333236630"/>
      <w:bookmarkStart w:id="65" w:name="_Toc320515021"/>
      <w:bookmarkStart w:id="66" w:name="_Toc322680347"/>
      <w:bookmarkStart w:id="67" w:name="_Toc323110980"/>
      <w:bookmarkStart w:id="68" w:name="_Toc320515070"/>
      <w:bookmarkStart w:id="69" w:name="_Toc315793455"/>
      <w:r>
        <w:rPr>
          <w:rFonts w:hint="eastAsia" w:ascii="宋体" w:hAnsi="宋体"/>
          <w:b/>
          <w:bCs/>
          <w:color w:val="auto"/>
          <w:sz w:val="24"/>
          <w:highlight w:val="none"/>
        </w:rPr>
        <w:t>合格的服务和货物</w:t>
      </w:r>
      <w:bookmarkEnd w:id="62"/>
      <w:bookmarkEnd w:id="63"/>
      <w:bookmarkEnd w:id="64"/>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“服务” 是指</w:t>
      </w:r>
      <w:r>
        <w:rPr>
          <w:rFonts w:hint="eastAsia" w:ascii="宋体" w:hAnsi="宋体"/>
          <w:color w:val="auto"/>
          <w:highlight w:val="none"/>
        </w:rPr>
        <w:t>供应商</w:t>
      </w:r>
      <w:r>
        <w:rPr>
          <w:rFonts w:hint="eastAsia" w:ascii="宋体" w:hAnsi="宋体"/>
          <w:color w:val="auto"/>
          <w:szCs w:val="21"/>
          <w:highlight w:val="none"/>
        </w:rPr>
        <w:t>按竞争性磋商文件规定完成的全部服务内容，其中包括完成服务所需的货物，及须承担的技术支持、培训和其它伴随服务。</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olor w:val="auto"/>
          <w:szCs w:val="21"/>
          <w:highlight w:val="none"/>
        </w:rPr>
        <w:t>“货物”是指</w:t>
      </w:r>
      <w:r>
        <w:rPr>
          <w:rFonts w:hint="eastAsia" w:ascii="宋体" w:hAnsi="宋体"/>
          <w:color w:val="auto"/>
          <w:highlight w:val="none"/>
        </w:rPr>
        <w:t>供应商</w:t>
      </w:r>
      <w:r>
        <w:rPr>
          <w:rFonts w:hint="eastAsia" w:ascii="宋体" w:hAnsi="宋体"/>
          <w:color w:val="auto"/>
          <w:szCs w:val="21"/>
          <w:highlight w:val="none"/>
        </w:rPr>
        <w:t>制造或组织符合竞争性磋商文件要求的货物等。提供的货物必须是其合法生产、合法来源的符合国家有关标准要求的货物，并满足竞争性磋商文件规定的规格、参数、质量、价格、有效期、售后服务等要求。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提供的所有服务，其质量、技术等特征必须符合国家、行业现行法律、法规的相关标准和《中华人民共和国政府采购法》的有关规定及用户需求。</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采购人有权拒绝接受任何不合格的服务，由此产生的费用及相关后果均由</w:t>
      </w:r>
      <w:r>
        <w:rPr>
          <w:rFonts w:hint="eastAsia" w:ascii="宋体" w:hAnsi="宋体"/>
          <w:color w:val="auto"/>
          <w:highlight w:val="none"/>
        </w:rPr>
        <w:t>供应商</w:t>
      </w:r>
      <w:r>
        <w:rPr>
          <w:rFonts w:hint="eastAsia" w:ascii="宋体" w:hAnsi="宋体"/>
          <w:color w:val="auto"/>
          <w:szCs w:val="21"/>
          <w:highlight w:val="none"/>
        </w:rPr>
        <w:t>自行承担。</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供应商</w:t>
      </w:r>
      <w:r>
        <w:rPr>
          <w:rFonts w:hint="eastAsia" w:ascii="宋体" w:hAnsi="宋体"/>
          <w:color w:val="auto"/>
          <w:szCs w:val="21"/>
          <w:highlight w:val="none"/>
        </w:rPr>
        <w:t>应保证为本项目提供的技术、服务或其任何一部分不会产生因第三方提出侵犯其专利权、商标权或其他知识产权而引起的法律和经济纠纷；如果</w:t>
      </w:r>
      <w:r>
        <w:rPr>
          <w:rFonts w:hint="eastAsia" w:ascii="宋体" w:hAnsi="宋体"/>
          <w:color w:val="auto"/>
          <w:highlight w:val="none"/>
        </w:rPr>
        <w:t>供应商</w:t>
      </w:r>
      <w:r>
        <w:rPr>
          <w:rFonts w:hint="eastAsia" w:ascii="宋体" w:hAnsi="宋体"/>
          <w:color w:val="auto"/>
          <w:szCs w:val="21"/>
          <w:highlight w:val="none"/>
        </w:rPr>
        <w:t>不拥有相应的知识产权，则须在报价中包括合法获取该知识产权的相关费用，并在响应文件中附有相关证明文件。如因第三方提出其专利权、商标权或其他知识产权的侵权之诉，则一切法律责任由</w:t>
      </w:r>
      <w:r>
        <w:rPr>
          <w:rFonts w:hint="eastAsia" w:ascii="宋体" w:hAnsi="宋体"/>
          <w:color w:val="auto"/>
          <w:highlight w:val="none"/>
        </w:rPr>
        <w:t>供应商</w:t>
      </w:r>
      <w:r>
        <w:rPr>
          <w:rFonts w:hint="eastAsia" w:ascii="宋体" w:hAnsi="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0" w:name="_Toc475104473"/>
      <w:bookmarkStart w:id="71" w:name="_Toc363737687"/>
      <w:r>
        <w:rPr>
          <w:rFonts w:hint="eastAsia" w:ascii="宋体" w:hAnsi="宋体"/>
          <w:b/>
          <w:bCs/>
          <w:color w:val="auto"/>
          <w:sz w:val="24"/>
          <w:highlight w:val="none"/>
        </w:rPr>
        <w:t>磋商费用</w:t>
      </w:r>
      <w:bookmarkEnd w:id="65"/>
      <w:bookmarkEnd w:id="66"/>
      <w:bookmarkEnd w:id="67"/>
      <w:bookmarkEnd w:id="68"/>
      <w:bookmarkEnd w:id="69"/>
      <w:bookmarkEnd w:id="70"/>
      <w:bookmarkEnd w:id="71"/>
    </w:p>
    <w:p>
      <w:pPr>
        <w:numPr>
          <w:ilvl w:val="1"/>
          <w:numId w:val="5"/>
        </w:numPr>
        <w:autoSpaceDE w:val="0"/>
        <w:autoSpaceDN w:val="0"/>
        <w:adjustRightInd w:val="0"/>
        <w:snapToGrid w:val="0"/>
        <w:spacing w:line="360" w:lineRule="auto"/>
        <w:jc w:val="left"/>
        <w:rPr>
          <w:rFonts w:ascii="宋体" w:hAnsi="宋体"/>
          <w:b/>
          <w:bCs/>
          <w:color w:val="auto"/>
          <w:szCs w:val="21"/>
          <w:highlight w:val="none"/>
        </w:rPr>
      </w:pPr>
      <w:bookmarkStart w:id="72" w:name="_Toc320515071"/>
      <w:bookmarkStart w:id="73" w:name="_Toc322680348"/>
      <w:bookmarkStart w:id="74" w:name="_Toc320515022"/>
      <w:bookmarkStart w:id="75" w:name="_Toc323110981"/>
      <w:bookmarkStart w:id="76" w:name="_Toc315793456"/>
      <w:r>
        <w:rPr>
          <w:rFonts w:hint="eastAsia" w:ascii="宋体" w:hAnsi="宋体"/>
          <w:color w:val="auto"/>
          <w:highlight w:val="none"/>
        </w:rPr>
        <w:t>供应商</w:t>
      </w:r>
      <w:r>
        <w:rPr>
          <w:rFonts w:hint="eastAsia" w:ascii="宋体" w:hAnsi="宋体" w:cs="宋体"/>
          <w:color w:val="auto"/>
          <w:szCs w:val="21"/>
          <w:highlight w:val="none"/>
        </w:rPr>
        <w:t>应承担所有与编写磋商</w:t>
      </w:r>
      <w:r>
        <w:rPr>
          <w:rFonts w:hint="eastAsia" w:ascii="宋体" w:hAnsi="宋体"/>
          <w:color w:val="auto"/>
          <w:highlight w:val="none"/>
        </w:rPr>
        <w:t>响应</w:t>
      </w:r>
      <w:r>
        <w:rPr>
          <w:rFonts w:hint="eastAsia" w:ascii="宋体" w:hAnsi="宋体" w:cs="宋体"/>
          <w:color w:val="auto"/>
          <w:szCs w:val="21"/>
          <w:highlight w:val="none"/>
        </w:rPr>
        <w:t>文件和参加报价的所有费用，不论磋商的结果如何，采购代理机构和采购人在任何情况下均无义务和责任承担这些费用。</w:t>
      </w:r>
      <w:bookmarkEnd w:id="72"/>
      <w:bookmarkEnd w:id="73"/>
      <w:bookmarkEnd w:id="74"/>
      <w:bookmarkEnd w:id="75"/>
    </w:p>
    <w:bookmarkEnd w:id="76"/>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77" w:name="_Toc475104474"/>
      <w:r>
        <w:rPr>
          <w:rFonts w:hint="eastAsia" w:ascii="宋体" w:hAnsi="宋体"/>
          <w:b/>
          <w:color w:val="auto"/>
          <w:sz w:val="28"/>
          <w:szCs w:val="28"/>
          <w:highlight w:val="none"/>
          <w:lang w:eastAsia="zh-TW"/>
        </w:rPr>
        <w:t>竞争性磋商文件</w:t>
      </w:r>
      <w:bookmarkEnd w:id="77"/>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78" w:name="_Toc320515024"/>
      <w:bookmarkStart w:id="79" w:name="_Toc315793458"/>
      <w:bookmarkStart w:id="80" w:name="_Toc322680350"/>
      <w:bookmarkStart w:id="81" w:name="_Toc323110983"/>
      <w:bookmarkStart w:id="82" w:name="_Toc320515073"/>
      <w:bookmarkStart w:id="83" w:name="_Toc363737689"/>
      <w:bookmarkStart w:id="84" w:name="_Toc475104475"/>
      <w:r>
        <w:rPr>
          <w:rFonts w:hint="eastAsia" w:ascii="宋体" w:hAnsi="宋体"/>
          <w:b/>
          <w:bCs/>
          <w:color w:val="auto"/>
          <w:sz w:val="24"/>
          <w:highlight w:val="none"/>
        </w:rPr>
        <w:t>竞争性磋商文件的编制依据与构成</w:t>
      </w:r>
      <w:bookmarkEnd w:id="78"/>
      <w:bookmarkEnd w:id="79"/>
      <w:bookmarkEnd w:id="80"/>
      <w:bookmarkEnd w:id="81"/>
      <w:bookmarkEnd w:id="82"/>
      <w:bookmarkEnd w:id="83"/>
      <w:bookmarkEnd w:id="84"/>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本竞争性磋商文件的编制依据是《中华人民共和国政府采购法》、</w:t>
      </w:r>
      <w:r>
        <w:rPr>
          <w:rFonts w:hint="eastAsia" w:ascii="宋体" w:hAnsi="宋体"/>
          <w:color w:val="auto"/>
          <w:szCs w:val="21"/>
          <w:highlight w:val="none"/>
        </w:rPr>
        <w:t>中华人民共和国财政部令第74号《政府采购非招标采购方式管理办法》、中华人民共和国政府采购法实施条例、</w:t>
      </w:r>
      <w:r>
        <w:rPr>
          <w:rFonts w:hint="eastAsia" w:ascii="宋体" w:hAnsi="宋体" w:cs="宋体"/>
          <w:color w:val="auto"/>
          <w:szCs w:val="21"/>
          <w:highlight w:val="none"/>
        </w:rPr>
        <w:t>《政府采购竞争性磋商管理办法》（财库[2014]214号）和《广东省实施〈中华人民共和国政府采购法〉办法》。</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要求提供的货物或服务、采购过程和合同条件在竞争性磋商文件中均有说明。竞争性磋商文件以中文文字编写。</w:t>
      </w:r>
    </w:p>
    <w:p>
      <w:pPr>
        <w:numPr>
          <w:ilvl w:val="1"/>
          <w:numId w:val="5"/>
        </w:numPr>
        <w:spacing w:line="360" w:lineRule="auto"/>
        <w:outlineLvl w:val="3"/>
        <w:rPr>
          <w:rFonts w:ascii="宋体" w:hAnsi="宋体" w:cs="宋体"/>
          <w:color w:val="auto"/>
          <w:szCs w:val="21"/>
          <w:highlight w:val="none"/>
          <w:lang w:eastAsia="zh-TW"/>
        </w:rPr>
      </w:pPr>
      <w:r>
        <w:rPr>
          <w:rFonts w:hint="eastAsia" w:ascii="宋体" w:hAnsi="宋体" w:cs="宋体"/>
          <w:color w:val="auto"/>
          <w:szCs w:val="21"/>
          <w:highlight w:val="none"/>
          <w:lang w:eastAsia="zh-TW"/>
        </w:rPr>
        <w:t>竞争性磋商文件的组成</w:t>
      </w:r>
    </w:p>
    <w:p>
      <w:pPr>
        <w:spacing w:line="360" w:lineRule="auto"/>
        <w:ind w:firstLine="240"/>
        <w:rPr>
          <w:rFonts w:ascii="宋体" w:hAns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邀请</w:t>
      </w:r>
    </w:p>
    <w:p>
      <w:pPr>
        <w:spacing w:line="360" w:lineRule="auto"/>
        <w:ind w:firstLine="240"/>
        <w:rPr>
          <w:rFonts w:ascii="宋体" w:hAnsi="宋体"/>
          <w:color w:val="auto"/>
          <w:szCs w:val="21"/>
          <w:highlight w:val="none"/>
        </w:rPr>
      </w:pPr>
      <w:r>
        <w:rPr>
          <w:rFonts w:ascii="宋体" w:hAnsi="宋体"/>
          <w:color w:val="auto"/>
          <w:szCs w:val="21"/>
          <w:highlight w:val="none"/>
        </w:rPr>
        <w:t>（2）</w:t>
      </w:r>
      <w:r>
        <w:rPr>
          <w:rFonts w:hint="eastAsia" w:ascii="宋体" w:hAnsi="宋体"/>
          <w:color w:val="auto"/>
          <w:szCs w:val="21"/>
          <w:highlight w:val="none"/>
        </w:rPr>
        <w:t>竞争性</w:t>
      </w:r>
      <w:r>
        <w:rPr>
          <w:rFonts w:hint="eastAsia" w:ascii="宋体" w:hAnsi="宋体" w:cs="宋体"/>
          <w:color w:val="auto"/>
          <w:szCs w:val="21"/>
          <w:highlight w:val="none"/>
        </w:rPr>
        <w:t>磋商</w:t>
      </w:r>
      <w:r>
        <w:rPr>
          <w:rFonts w:hint="eastAsia" w:ascii="宋体" w:hAnsi="宋体"/>
          <w:color w:val="auto"/>
          <w:szCs w:val="21"/>
          <w:highlight w:val="none"/>
        </w:rPr>
        <w:t>须知</w:t>
      </w:r>
    </w:p>
    <w:p>
      <w:pPr>
        <w:spacing w:line="360" w:lineRule="auto"/>
        <w:ind w:firstLine="240"/>
        <w:rPr>
          <w:rFonts w:ascii="宋体" w:hAnsi="宋体"/>
          <w:color w:val="auto"/>
          <w:szCs w:val="21"/>
          <w:highlight w:val="none"/>
        </w:rPr>
      </w:pPr>
      <w:r>
        <w:rPr>
          <w:rFonts w:ascii="宋体" w:hAnsi="宋体"/>
          <w:color w:val="auto"/>
          <w:szCs w:val="21"/>
          <w:highlight w:val="none"/>
        </w:rPr>
        <w:t>（3）</w:t>
      </w:r>
      <w:r>
        <w:rPr>
          <w:rFonts w:hint="eastAsia" w:ascii="宋体" w:hAnsi="宋体"/>
          <w:color w:val="auto"/>
          <w:szCs w:val="21"/>
          <w:highlight w:val="none"/>
        </w:rPr>
        <w:t>采购人需求书</w:t>
      </w:r>
    </w:p>
    <w:p>
      <w:pPr>
        <w:spacing w:line="360" w:lineRule="auto"/>
        <w:ind w:firstLine="240"/>
        <w:rPr>
          <w:rFonts w:ascii="宋体" w:hAnsi="宋体"/>
          <w:color w:val="auto"/>
          <w:szCs w:val="21"/>
          <w:highlight w:val="none"/>
        </w:rPr>
      </w:pPr>
      <w:r>
        <w:rPr>
          <w:rFonts w:ascii="宋体" w:hAnsi="宋体"/>
          <w:color w:val="auto"/>
          <w:szCs w:val="21"/>
          <w:highlight w:val="none"/>
        </w:rPr>
        <w:t>（4）</w:t>
      </w:r>
      <w:r>
        <w:rPr>
          <w:rFonts w:hint="eastAsia" w:ascii="宋体" w:hAnsi="宋体"/>
          <w:color w:val="auto"/>
          <w:szCs w:val="21"/>
          <w:highlight w:val="none"/>
        </w:rPr>
        <w:t>政府采购合同（样本）</w:t>
      </w:r>
    </w:p>
    <w:p>
      <w:pPr>
        <w:spacing w:line="360" w:lineRule="auto"/>
        <w:ind w:firstLine="240"/>
        <w:rPr>
          <w:rFonts w:hint="eastAsia" w:ascii="宋体" w:hAnsi="宋体"/>
          <w:color w:val="auto"/>
          <w:szCs w:val="21"/>
          <w:highlight w:val="none"/>
        </w:rPr>
      </w:pPr>
      <w:r>
        <w:rPr>
          <w:rFonts w:hint="eastAsia" w:ascii="宋体" w:hAnsi="宋体"/>
          <w:color w:val="auto"/>
          <w:szCs w:val="21"/>
          <w:highlight w:val="none"/>
        </w:rPr>
        <w:t>（5）附件（格式）</w:t>
      </w:r>
    </w:p>
    <w:p>
      <w:pPr>
        <w:spacing w:line="360" w:lineRule="auto"/>
        <w:ind w:firstLine="240"/>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szCs w:val="21"/>
          <w:highlight w:val="none"/>
        </w:rPr>
        <w:t>清单报价表</w:t>
      </w:r>
      <w:r>
        <w:rPr>
          <w:rFonts w:hint="eastAsia" w:ascii="宋体" w:hAnsi="宋体"/>
          <w:color w:val="auto"/>
          <w:szCs w:val="21"/>
          <w:highlight w:val="none"/>
        </w:rPr>
        <w:t>（另册）</w:t>
      </w:r>
    </w:p>
    <w:p>
      <w:pPr>
        <w:spacing w:line="360" w:lineRule="auto"/>
        <w:ind w:firstLine="240"/>
        <w:rPr>
          <w:rFonts w:ascii="宋体" w:hAnsi="宋体"/>
          <w:color w:val="auto"/>
          <w:szCs w:val="21"/>
          <w:highlight w:val="none"/>
        </w:rPr>
      </w:pPr>
      <w:r>
        <w:rPr>
          <w:rFonts w:hint="eastAsia" w:ascii="宋体" w:hAnsi="宋体"/>
          <w:color w:val="auto"/>
          <w:szCs w:val="21"/>
          <w:highlight w:val="none"/>
        </w:rPr>
        <w:t>★投标人《</w:t>
      </w:r>
      <w:r>
        <w:rPr>
          <w:rFonts w:hint="eastAsia" w:ascii="宋体" w:hAnsi="宋体" w:cs="宋体"/>
          <w:color w:val="auto"/>
          <w:szCs w:val="21"/>
          <w:highlight w:val="none"/>
        </w:rPr>
        <w:t>清单报价表</w:t>
      </w:r>
      <w:r>
        <w:rPr>
          <w:rFonts w:hint="eastAsia" w:ascii="宋体" w:hAnsi="宋体"/>
          <w:color w:val="auto"/>
          <w:szCs w:val="21"/>
          <w:highlight w:val="none"/>
        </w:rPr>
        <w:t>》正本须用采购人提供的原件手工填写（含封面），并逐页加盖法人公章确认，投标人不得修改《</w:t>
      </w:r>
      <w:r>
        <w:rPr>
          <w:rFonts w:hint="eastAsia" w:ascii="宋体" w:hAnsi="宋体" w:cs="宋体"/>
          <w:color w:val="auto"/>
          <w:szCs w:val="21"/>
          <w:highlight w:val="none"/>
        </w:rPr>
        <w:t>清单报价表</w:t>
      </w:r>
      <w:r>
        <w:rPr>
          <w:rFonts w:hint="eastAsia" w:ascii="宋体" w:hAnsi="宋体"/>
          <w:color w:val="auto"/>
          <w:szCs w:val="21"/>
          <w:highlight w:val="none"/>
        </w:rPr>
        <w:t>》中项目内容及工程数量；副本可以采用正本复印并逐页加盖法人公章确认。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应认真阅读、并充分理解竞争性磋商文件的全部内容（包括所有的补充、修改内容、重要事项、格式、条款和技术规范、参数及要求等）。</w:t>
      </w:r>
      <w:r>
        <w:rPr>
          <w:rFonts w:hint="eastAsia" w:ascii="宋体" w:hAnsi="宋体"/>
          <w:color w:val="auto"/>
          <w:highlight w:val="none"/>
        </w:rPr>
        <w:t>供应商</w:t>
      </w:r>
      <w:r>
        <w:rPr>
          <w:rFonts w:hint="eastAsia" w:ascii="宋体" w:hAnsi="宋体" w:cs="宋体"/>
          <w:color w:val="auto"/>
          <w:szCs w:val="21"/>
          <w:highlight w:val="none"/>
        </w:rPr>
        <w:t>没有按照竞争性磋商文件要求提交全部资料，或者磋商响应文件没有对竞争性磋商文件在各方面都作出实质性响应是</w:t>
      </w:r>
      <w:r>
        <w:rPr>
          <w:rFonts w:hint="eastAsia" w:ascii="宋体" w:hAnsi="宋体"/>
          <w:color w:val="auto"/>
          <w:highlight w:val="none"/>
        </w:rPr>
        <w:t>供应商</w:t>
      </w:r>
      <w:r>
        <w:rPr>
          <w:rFonts w:hint="eastAsia" w:ascii="宋体" w:hAnsi="宋体" w:cs="宋体"/>
          <w:color w:val="auto"/>
          <w:szCs w:val="21"/>
          <w:highlight w:val="none"/>
        </w:rPr>
        <w:t>的风险，有可能导致其报价被拒绝，或被认定为无效响应。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85" w:name="_Toc320515025"/>
      <w:bookmarkStart w:id="86" w:name="_Toc475104476"/>
      <w:bookmarkStart w:id="87" w:name="_Toc323110984"/>
      <w:bookmarkStart w:id="88" w:name="_Toc320515074"/>
      <w:bookmarkStart w:id="89" w:name="_Toc322680351"/>
      <w:bookmarkStart w:id="90" w:name="_Toc315793459"/>
      <w:bookmarkStart w:id="91" w:name="_Toc363737690"/>
      <w:r>
        <w:rPr>
          <w:rFonts w:hint="eastAsia" w:ascii="宋体" w:hAnsi="宋体"/>
          <w:b/>
          <w:bCs/>
          <w:color w:val="auto"/>
          <w:sz w:val="24"/>
          <w:highlight w:val="none"/>
        </w:rPr>
        <w:t>竞争性磋商文件的澄清</w:t>
      </w:r>
      <w:bookmarkEnd w:id="85"/>
      <w:bookmarkEnd w:id="86"/>
      <w:bookmarkEnd w:id="87"/>
      <w:bookmarkEnd w:id="88"/>
      <w:bookmarkEnd w:id="89"/>
      <w:bookmarkEnd w:id="90"/>
      <w:bookmarkEnd w:id="91"/>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任何要求对竞争性磋商文件进行澄清的</w:t>
      </w:r>
      <w:r>
        <w:rPr>
          <w:rFonts w:hint="eastAsia" w:ascii="宋体" w:hAnsi="宋体"/>
          <w:color w:val="auto"/>
          <w:highlight w:val="none"/>
        </w:rPr>
        <w:t>供应商</w:t>
      </w:r>
      <w:r>
        <w:rPr>
          <w:rFonts w:hint="eastAsia" w:ascii="宋体" w:hAnsi="宋体" w:cs="宋体"/>
          <w:color w:val="auto"/>
          <w:szCs w:val="21"/>
          <w:highlight w:val="none"/>
        </w:rPr>
        <w:t>，均应以书面形式在磋商</w:t>
      </w:r>
      <w:r>
        <w:rPr>
          <w:rFonts w:hint="eastAsia" w:ascii="宋体" w:hAnsi="宋体"/>
          <w:color w:val="auto"/>
          <w:highlight w:val="none"/>
        </w:rPr>
        <w:t>响应</w:t>
      </w:r>
      <w:r>
        <w:rPr>
          <w:rFonts w:hint="eastAsia" w:ascii="宋体" w:hAnsi="宋体" w:cs="宋体"/>
          <w:color w:val="auto"/>
          <w:szCs w:val="21"/>
          <w:highlight w:val="none"/>
        </w:rPr>
        <w:t>文件递交截止时间前通知采购代理机构。采购代理机构将组织采购人对</w:t>
      </w:r>
      <w:r>
        <w:rPr>
          <w:rFonts w:hint="eastAsia" w:ascii="宋体" w:hAnsi="宋体"/>
          <w:color w:val="auto"/>
          <w:highlight w:val="none"/>
        </w:rPr>
        <w:t>供应商</w:t>
      </w:r>
      <w:r>
        <w:rPr>
          <w:rFonts w:hint="eastAsia" w:ascii="宋体" w:hAnsi="宋体" w:cs="宋体"/>
          <w:color w:val="auto"/>
          <w:szCs w:val="21"/>
          <w:highlight w:val="none"/>
        </w:rPr>
        <w:t>所要求澄清的内容均以书面形式予以答复。必要时，采购代理机构将组织相关专家召开答疑会，并将会议内容以书面形式发给每个购买竞争性磋商文件的潜在</w:t>
      </w:r>
      <w:r>
        <w:rPr>
          <w:rFonts w:hint="eastAsia" w:ascii="宋体" w:hAnsi="宋体"/>
          <w:color w:val="auto"/>
          <w:highlight w:val="none"/>
        </w:rPr>
        <w:t>供应商</w:t>
      </w:r>
      <w:r>
        <w:rPr>
          <w:rFonts w:hint="eastAsia" w:ascii="宋体" w:hAnsi="宋体" w:cs="宋体"/>
          <w:color w:val="auto"/>
          <w:szCs w:val="21"/>
          <w:highlight w:val="none"/>
        </w:rPr>
        <w:t>，答复中不包括问题的来源。</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在规定的时间内未对竞争性磋商文件提出澄清或疑问的，采购代理机构将视其为无异议。对竞争性磋商文件中描述有歧意或前后不一致的地方，磋商小组有权进行评判，但对同一条款的评判应适用于每个</w:t>
      </w:r>
      <w:r>
        <w:rPr>
          <w:rFonts w:hint="eastAsia" w:ascii="宋体" w:hAnsi="宋体"/>
          <w:color w:val="auto"/>
          <w:highlight w:val="none"/>
        </w:rPr>
        <w:t>供应商</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除非需要，不举行项目集中答疑会或现场考察，如举行集中答疑会或现场考察的，则按以下规定：</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在</w:t>
      </w:r>
      <w:r>
        <w:rPr>
          <w:rFonts w:hint="eastAsia" w:ascii="宋体" w:hAnsi="宋体" w:cs="黑体"/>
          <w:color w:val="auto"/>
          <w:szCs w:val="21"/>
          <w:highlight w:val="none"/>
        </w:rPr>
        <w:t>竞争性磋商邀请</w:t>
      </w:r>
      <w:r>
        <w:rPr>
          <w:rFonts w:hint="eastAsia" w:ascii="宋体" w:hAnsi="宋体" w:cs="宋体"/>
          <w:color w:val="auto"/>
          <w:szCs w:val="21"/>
          <w:highlight w:val="none"/>
        </w:rPr>
        <w:t>中规定的日期、时间和地点组织公开答疑会或现场考察；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对本项目提出的疑问，需在答疑会或现场考察召开日前至少一个工作日将问题清单以书面形式（加盖公章）提交至政府采购代理机构，</w:t>
      </w:r>
      <w:r>
        <w:rPr>
          <w:rFonts w:hint="eastAsia" w:ascii="宋体" w:hAnsi="宋体"/>
          <w:color w:val="auto"/>
          <w:highlight w:val="none"/>
        </w:rPr>
        <w:t>供应商</w:t>
      </w:r>
      <w:r>
        <w:rPr>
          <w:rFonts w:hint="eastAsia" w:ascii="宋体" w:hAnsi="宋体" w:cs="宋体"/>
          <w:color w:val="auto"/>
          <w:szCs w:val="21"/>
          <w:highlight w:val="none"/>
        </w:rPr>
        <w:t>授权代表于上述的时间和地点出席答疑会或现场考察。</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已购买竞争性磋商文件的</w:t>
      </w:r>
      <w:r>
        <w:rPr>
          <w:rFonts w:hint="eastAsia" w:ascii="宋体" w:hAnsi="宋体"/>
          <w:color w:val="auto"/>
          <w:highlight w:val="none"/>
        </w:rPr>
        <w:t>供应商</w:t>
      </w:r>
      <w:r>
        <w:rPr>
          <w:rFonts w:hint="eastAsia" w:ascii="宋体" w:hAnsi="宋体" w:cs="宋体"/>
          <w:color w:val="auto"/>
          <w:szCs w:val="21"/>
          <w:highlight w:val="none"/>
        </w:rPr>
        <w:t>如不出席答疑会或现场考察视为对竞争性磋商文件所有内容无任何异议。</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92" w:name="_Toc320515026"/>
      <w:bookmarkStart w:id="93" w:name="_Toc323110985"/>
      <w:bookmarkStart w:id="94" w:name="_Toc322680352"/>
      <w:bookmarkStart w:id="95" w:name="_Toc315793460"/>
      <w:bookmarkStart w:id="96" w:name="_Toc363737691"/>
      <w:bookmarkStart w:id="97" w:name="_Toc475104477"/>
      <w:bookmarkStart w:id="98" w:name="_Toc320515075"/>
      <w:r>
        <w:rPr>
          <w:rFonts w:hint="eastAsia" w:ascii="宋体" w:hAnsi="宋体"/>
          <w:b/>
          <w:bCs/>
          <w:color w:val="auto"/>
          <w:sz w:val="24"/>
          <w:highlight w:val="none"/>
        </w:rPr>
        <w:t>竞争性磋商文件的修改</w:t>
      </w:r>
      <w:bookmarkEnd w:id="92"/>
      <w:bookmarkEnd w:id="93"/>
      <w:bookmarkEnd w:id="94"/>
      <w:bookmarkEnd w:id="95"/>
      <w:bookmarkEnd w:id="96"/>
      <w:bookmarkEnd w:id="97"/>
      <w:bookmarkEnd w:id="98"/>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cs="宋体"/>
          <w:color w:val="auto"/>
          <w:szCs w:val="21"/>
          <w:highlight w:val="none"/>
        </w:rPr>
        <w:t>无论出于何种原因，采购代理机构可主动地或在解答</w:t>
      </w:r>
      <w:r>
        <w:rPr>
          <w:rFonts w:hint="eastAsia" w:ascii="宋体" w:hAnsi="宋体"/>
          <w:color w:val="auto"/>
          <w:highlight w:val="none"/>
        </w:rPr>
        <w:t>供应商</w:t>
      </w:r>
      <w:r>
        <w:rPr>
          <w:rFonts w:hint="eastAsia" w:ascii="宋体" w:hAnsi="宋体" w:cs="宋体"/>
          <w:color w:val="auto"/>
          <w:szCs w:val="21"/>
          <w:highlight w:val="none"/>
        </w:rPr>
        <w:t>提出的疑问时对竞争性磋商文件进行修改，政府采购代理机构对已发出的竞争性磋商文件进行必要修改的，应当</w:t>
      </w:r>
      <w:r>
        <w:rPr>
          <w:rFonts w:hint="eastAsia" w:ascii="宋体" w:hAnsi="宋体"/>
          <w:color w:val="auto"/>
          <w:szCs w:val="21"/>
          <w:highlight w:val="none"/>
        </w:rPr>
        <w:t>于</w:t>
      </w:r>
      <w:r>
        <w:rPr>
          <w:rFonts w:hint="eastAsia" w:ascii="宋体" w:hAnsi="宋体" w:cs="宋体"/>
          <w:color w:val="auto"/>
          <w:szCs w:val="21"/>
          <w:highlight w:val="none"/>
        </w:rPr>
        <w:t>磋商</w:t>
      </w:r>
      <w:r>
        <w:rPr>
          <w:rFonts w:hint="eastAsia" w:ascii="宋体" w:hAnsi="宋体"/>
          <w:color w:val="auto"/>
          <w:highlight w:val="none"/>
        </w:rPr>
        <w:t>响应</w:t>
      </w:r>
      <w:r>
        <w:rPr>
          <w:rFonts w:hint="eastAsia" w:ascii="宋体" w:hAnsi="宋体" w:cs="宋体"/>
          <w:color w:val="auto"/>
          <w:szCs w:val="21"/>
          <w:highlight w:val="none"/>
        </w:rPr>
        <w:t>文件递交</w:t>
      </w:r>
      <w:r>
        <w:rPr>
          <w:rFonts w:hint="eastAsia" w:ascii="宋体" w:hAnsi="宋体"/>
          <w:color w:val="auto"/>
          <w:szCs w:val="21"/>
          <w:highlight w:val="none"/>
        </w:rPr>
        <w:t>截止</w:t>
      </w:r>
      <w:r>
        <w:rPr>
          <w:rFonts w:hint="eastAsia" w:ascii="宋体" w:hAnsi="宋体" w:cs="宋体"/>
          <w:color w:val="auto"/>
          <w:szCs w:val="21"/>
          <w:highlight w:val="none"/>
        </w:rPr>
        <w:t>时间</w:t>
      </w:r>
      <w:r>
        <w:rPr>
          <w:rFonts w:hint="eastAsia" w:ascii="宋体" w:hAnsi="宋体"/>
          <w:color w:val="auto"/>
          <w:szCs w:val="21"/>
          <w:highlight w:val="none"/>
        </w:rPr>
        <w:t>前</w:t>
      </w:r>
      <w:r>
        <w:rPr>
          <w:rFonts w:hint="eastAsia" w:ascii="宋体" w:hAnsi="宋体"/>
          <w:bCs/>
          <w:color w:val="auto"/>
          <w:szCs w:val="21"/>
          <w:highlight w:val="none"/>
        </w:rPr>
        <w:t>在政府采购指定媒体上发布公告</w:t>
      </w:r>
      <w:r>
        <w:rPr>
          <w:rFonts w:ascii="宋体" w:hAnsi="宋体"/>
          <w:color w:val="auto"/>
          <w:szCs w:val="21"/>
          <w:highlight w:val="none"/>
        </w:rPr>
        <w:t>通知所有</w:t>
      </w:r>
      <w:r>
        <w:rPr>
          <w:rFonts w:hint="eastAsia" w:ascii="宋体" w:hAnsi="宋体"/>
          <w:color w:val="auto"/>
          <w:szCs w:val="21"/>
          <w:highlight w:val="none"/>
        </w:rPr>
        <w:t>已获取竞争性磋商文件的</w:t>
      </w:r>
      <w:r>
        <w:rPr>
          <w:rFonts w:hint="eastAsia" w:ascii="宋体" w:hAnsi="宋体"/>
          <w:color w:val="auto"/>
          <w:highlight w:val="none"/>
        </w:rPr>
        <w:t>供应商</w:t>
      </w:r>
      <w:r>
        <w:rPr>
          <w:rFonts w:hint="eastAsia" w:ascii="宋体" w:hAnsi="宋体"/>
          <w:bCs/>
          <w:color w:val="auto"/>
          <w:szCs w:val="21"/>
          <w:highlight w:val="none"/>
        </w:rPr>
        <w:t>，</w:t>
      </w:r>
      <w:r>
        <w:rPr>
          <w:rFonts w:hint="eastAsia" w:ascii="宋体" w:hAnsi="宋体"/>
          <w:color w:val="auto"/>
          <w:highlight w:val="none"/>
        </w:rPr>
        <w:t>供应商</w:t>
      </w:r>
      <w:r>
        <w:rPr>
          <w:rFonts w:hint="eastAsia" w:ascii="宋体" w:hAnsi="宋体"/>
          <w:color w:val="auto"/>
          <w:szCs w:val="21"/>
          <w:highlight w:val="none"/>
        </w:rPr>
        <w:t>在收到</w:t>
      </w:r>
      <w:r>
        <w:rPr>
          <w:rFonts w:hint="eastAsia" w:ascii="宋体" w:hAnsi="宋体"/>
          <w:bCs/>
          <w:color w:val="auto"/>
          <w:szCs w:val="21"/>
          <w:highlight w:val="none"/>
        </w:rPr>
        <w:t>补充</w:t>
      </w:r>
      <w:r>
        <w:rPr>
          <w:rFonts w:ascii="宋体" w:hAnsi="宋体"/>
          <w:color w:val="auto"/>
          <w:szCs w:val="21"/>
          <w:highlight w:val="none"/>
        </w:rPr>
        <w:t>或修改</w:t>
      </w:r>
      <w:r>
        <w:rPr>
          <w:rFonts w:hint="eastAsia" w:ascii="宋体" w:hAnsi="宋体"/>
          <w:color w:val="auto"/>
          <w:szCs w:val="21"/>
          <w:highlight w:val="none"/>
        </w:rPr>
        <w:t>通知后应立即以书面形式予以确认，</w:t>
      </w:r>
      <w:r>
        <w:rPr>
          <w:rFonts w:ascii="宋体" w:hAnsi="宋体"/>
          <w:color w:val="auto"/>
          <w:szCs w:val="21"/>
          <w:highlight w:val="none"/>
        </w:rPr>
        <w:t>该</w:t>
      </w:r>
      <w:r>
        <w:rPr>
          <w:rFonts w:hint="eastAsia" w:ascii="宋体" w:hAnsi="宋体"/>
          <w:bCs/>
          <w:color w:val="auto"/>
          <w:szCs w:val="21"/>
          <w:highlight w:val="none"/>
        </w:rPr>
        <w:t>补充</w:t>
      </w:r>
      <w:r>
        <w:rPr>
          <w:rFonts w:ascii="宋体" w:hAnsi="宋体"/>
          <w:color w:val="auto"/>
          <w:szCs w:val="21"/>
          <w:highlight w:val="none"/>
        </w:rPr>
        <w:t>或修改的内容为竞争性磋商文件的组成部分</w:t>
      </w:r>
      <w:r>
        <w:rPr>
          <w:rFonts w:hint="eastAsia" w:ascii="宋体" w:hAnsi="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bCs/>
          <w:color w:val="auto"/>
          <w:szCs w:val="21"/>
          <w:highlight w:val="none"/>
        </w:rPr>
      </w:pPr>
      <w:r>
        <w:rPr>
          <w:rFonts w:hint="eastAsia" w:ascii="宋体" w:hAnsi="宋体"/>
          <w:bCs/>
          <w:color w:val="auto"/>
          <w:szCs w:val="21"/>
          <w:highlight w:val="none"/>
        </w:rPr>
        <w:t>根据采购项目的具体情况，采购代理机构可延长磋商响应文件递交截止时间和磋商时间，但至少应当在规定的磋商响应文件递交截止时间至少</w:t>
      </w:r>
      <w:r>
        <w:rPr>
          <w:rStyle w:val="96"/>
          <w:rFonts w:hint="eastAsia"/>
          <w:color w:val="auto"/>
          <w:highlight w:val="none"/>
        </w:rPr>
        <w:t>五</w:t>
      </w:r>
      <w:r>
        <w:rPr>
          <w:rFonts w:hint="eastAsia" w:ascii="宋体" w:hAnsi="宋体"/>
          <w:bCs/>
          <w:color w:val="auto"/>
          <w:szCs w:val="21"/>
          <w:highlight w:val="none"/>
        </w:rPr>
        <w:t>日前，将变更时间在政府采购指定媒体上发布公告，并通知所有报名的</w:t>
      </w:r>
      <w:r>
        <w:rPr>
          <w:rFonts w:hint="eastAsia" w:ascii="宋体" w:hAnsi="宋体"/>
          <w:color w:val="auto"/>
          <w:highlight w:val="none"/>
        </w:rPr>
        <w:t>供应商</w:t>
      </w:r>
      <w:r>
        <w:rPr>
          <w:rFonts w:hint="eastAsia" w:ascii="宋体" w:hAnsi="宋体"/>
          <w:bCs/>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竞争性磋商文件的修改内容是竞争性磋商文件的组成部分，将以书面形式通知所有购买竞争性磋商文件的潜在</w:t>
      </w:r>
      <w:r>
        <w:rPr>
          <w:rFonts w:hint="eastAsia" w:ascii="宋体" w:hAnsi="宋体"/>
          <w:color w:val="auto"/>
          <w:highlight w:val="none"/>
        </w:rPr>
        <w:t>供应商</w:t>
      </w:r>
      <w:r>
        <w:rPr>
          <w:rFonts w:hint="eastAsia" w:ascii="宋体" w:hAnsi="宋体" w:cs="宋体"/>
          <w:color w:val="auto"/>
          <w:szCs w:val="21"/>
          <w:highlight w:val="none"/>
        </w:rPr>
        <w:t>，并对潜在</w:t>
      </w:r>
      <w:r>
        <w:rPr>
          <w:rFonts w:hint="eastAsia" w:ascii="宋体" w:hAnsi="宋体"/>
          <w:color w:val="auto"/>
          <w:highlight w:val="none"/>
        </w:rPr>
        <w:t>供应商</w:t>
      </w:r>
      <w:r>
        <w:rPr>
          <w:rFonts w:hint="eastAsia" w:ascii="宋体" w:hAnsi="宋体" w:cs="宋体"/>
          <w:color w:val="auto"/>
          <w:szCs w:val="21"/>
          <w:highlight w:val="none"/>
        </w:rPr>
        <w:t>具有约束力。潜在</w:t>
      </w:r>
      <w:r>
        <w:rPr>
          <w:rFonts w:hint="eastAsia" w:ascii="宋体" w:hAnsi="宋体"/>
          <w:color w:val="auto"/>
          <w:highlight w:val="none"/>
        </w:rPr>
        <w:t>供应商</w:t>
      </w:r>
      <w:r>
        <w:rPr>
          <w:rFonts w:hint="eastAsia" w:ascii="宋体" w:hAnsi="宋体" w:cs="宋体"/>
          <w:color w:val="auto"/>
          <w:szCs w:val="21"/>
          <w:highlight w:val="none"/>
        </w:rPr>
        <w:t>在收到上述通知后，应立即以书面形式向采购代理机构确认。如在24小时之内无书面回函则视为同意修改内容，并有责任履行相应的义务。</w:t>
      </w:r>
    </w:p>
    <w:p>
      <w:pPr>
        <w:autoSpaceDE w:val="0"/>
        <w:autoSpaceDN w:val="0"/>
        <w:adjustRightInd w:val="0"/>
        <w:snapToGrid w:val="0"/>
        <w:spacing w:line="360" w:lineRule="auto"/>
        <w:jc w:val="left"/>
        <w:rPr>
          <w:rFonts w:ascii="宋体" w:hAnsi="宋体" w:cs="宋体"/>
          <w:color w:val="auto"/>
          <w:szCs w:val="21"/>
          <w:highlight w:val="none"/>
        </w:rPr>
      </w:pP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99" w:name="_Toc315793461"/>
      <w:bookmarkStart w:id="100" w:name="_Toc320515027"/>
      <w:bookmarkStart w:id="101" w:name="_Toc323110986"/>
      <w:bookmarkStart w:id="102" w:name="_Toc475104478"/>
      <w:bookmarkStart w:id="103" w:name="_Toc363737692"/>
      <w:bookmarkStart w:id="104" w:name="_Toc322680353"/>
      <w:bookmarkStart w:id="105" w:name="_Toc320515076"/>
      <w:r>
        <w:rPr>
          <w:rFonts w:hint="eastAsia" w:ascii="宋体" w:hAnsi="宋体"/>
          <w:b/>
          <w:color w:val="auto"/>
          <w:sz w:val="28"/>
          <w:szCs w:val="28"/>
          <w:highlight w:val="none"/>
          <w:lang w:eastAsia="zh-TW"/>
        </w:rPr>
        <w:t>磋商响应文件的编制</w:t>
      </w:r>
      <w:bookmarkEnd w:id="99"/>
      <w:bookmarkEnd w:id="100"/>
      <w:bookmarkEnd w:id="101"/>
      <w:bookmarkEnd w:id="102"/>
      <w:bookmarkEnd w:id="103"/>
      <w:bookmarkEnd w:id="104"/>
      <w:bookmarkEnd w:id="10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06" w:name="_Toc322680354"/>
      <w:bookmarkStart w:id="107" w:name="_Toc363737693"/>
      <w:bookmarkStart w:id="108" w:name="_Toc320515028"/>
      <w:bookmarkStart w:id="109" w:name="_Toc320515077"/>
      <w:bookmarkStart w:id="110" w:name="_Toc475104479"/>
      <w:bookmarkStart w:id="111" w:name="_Toc323110987"/>
      <w:bookmarkStart w:id="112" w:name="_Toc315793462"/>
      <w:r>
        <w:rPr>
          <w:rFonts w:hint="eastAsia" w:ascii="宋体" w:hAnsi="宋体"/>
          <w:b/>
          <w:bCs/>
          <w:color w:val="auto"/>
          <w:sz w:val="24"/>
          <w:highlight w:val="none"/>
        </w:rPr>
        <w:t>响应的语言</w:t>
      </w:r>
      <w:bookmarkEnd w:id="106"/>
      <w:bookmarkEnd w:id="107"/>
      <w:bookmarkEnd w:id="108"/>
      <w:bookmarkEnd w:id="109"/>
      <w:bookmarkEnd w:id="110"/>
      <w:bookmarkEnd w:id="111"/>
      <w:bookmarkEnd w:id="11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提交的磋商响应文件以及</w:t>
      </w:r>
      <w:r>
        <w:rPr>
          <w:rFonts w:hint="eastAsia" w:ascii="宋体" w:hAnsi="宋体"/>
          <w:color w:val="auto"/>
          <w:highlight w:val="none"/>
        </w:rPr>
        <w:t>供应商</w:t>
      </w:r>
      <w:r>
        <w:rPr>
          <w:rFonts w:hint="eastAsia" w:ascii="宋体" w:hAnsi="宋体" w:cs="宋体"/>
          <w:color w:val="auto"/>
          <w:szCs w:val="21"/>
          <w:highlight w:val="none"/>
        </w:rPr>
        <w:t>与采购代理机构就有关磋商响应的所有来往函电均应使用中文书写。</w:t>
      </w:r>
      <w:r>
        <w:rPr>
          <w:rFonts w:hint="eastAsia" w:ascii="宋体" w:hAnsi="宋体"/>
          <w:color w:val="auto"/>
          <w:highlight w:val="none"/>
        </w:rPr>
        <w:t>供应商</w:t>
      </w:r>
      <w:r>
        <w:rPr>
          <w:rFonts w:hint="eastAsia" w:ascii="宋体" w:hAnsi="宋体" w:cs="宋体"/>
          <w:color w:val="auto"/>
          <w:szCs w:val="21"/>
          <w:highlight w:val="none"/>
        </w:rPr>
        <w:t>提交的支持资料和己印刷的文献可以用另一种语言，但相应内容应附有中文翻译本，在解释磋商响应文件的修改内容时以中文翻译本为准。对中文翻译有异议的，以权威机构的译本为准。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13" w:name="_Toc315793463"/>
      <w:bookmarkStart w:id="114" w:name="_Toc322680355"/>
      <w:bookmarkStart w:id="115" w:name="_Toc320515029"/>
      <w:bookmarkStart w:id="116" w:name="_Toc363737694"/>
      <w:bookmarkStart w:id="117" w:name="_Toc475104480"/>
      <w:bookmarkStart w:id="118" w:name="_Toc320515078"/>
      <w:bookmarkStart w:id="119" w:name="_Toc323110988"/>
      <w:r>
        <w:rPr>
          <w:rFonts w:hint="eastAsia" w:ascii="宋体" w:hAnsi="宋体"/>
          <w:b/>
          <w:bCs/>
          <w:color w:val="auto"/>
          <w:sz w:val="24"/>
          <w:highlight w:val="none"/>
        </w:rPr>
        <w:t>磋商响应文件的构成</w:t>
      </w:r>
      <w:bookmarkEnd w:id="113"/>
      <w:bookmarkEnd w:id="114"/>
      <w:bookmarkEnd w:id="115"/>
      <w:bookmarkEnd w:id="116"/>
      <w:bookmarkEnd w:id="117"/>
      <w:bookmarkEnd w:id="118"/>
      <w:bookmarkEnd w:id="119"/>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olor w:val="auto"/>
          <w:highlight w:val="none"/>
        </w:rPr>
        <w:t>供应商</w:t>
      </w:r>
      <w:r>
        <w:rPr>
          <w:rFonts w:hint="eastAsia" w:ascii="宋体" w:hAnsi="宋体" w:cs="宋体"/>
          <w:color w:val="auto"/>
          <w:szCs w:val="21"/>
          <w:highlight w:val="none"/>
        </w:rPr>
        <w:t>编写的磋商响应文件应编排为三部分：①商务响应文件（包括</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）；②技术响应文件；③报价信封，磋商响应文件应包含但不限于以下内容：</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①按规定填写的竞争性磋商函、资格声明函、同意竞争性磋商文件条款说明、《清单报价表》正本；</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②按要求出具的资格证明文件，证明</w:t>
      </w:r>
      <w:r>
        <w:rPr>
          <w:rFonts w:hint="eastAsia" w:ascii="宋体" w:hAnsi="宋体"/>
          <w:color w:val="auto"/>
          <w:highlight w:val="none"/>
        </w:rPr>
        <w:t>供应商</w:t>
      </w:r>
      <w:r>
        <w:rPr>
          <w:rFonts w:hint="eastAsia" w:ascii="宋体" w:hAnsi="宋体" w:cs="宋体"/>
          <w:color w:val="auto"/>
          <w:szCs w:val="21"/>
          <w:highlight w:val="none"/>
        </w:rPr>
        <w:t>是合格的，而且获得成交资格后有能力履行合同；</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③按规定出具的证明文件，证明</w:t>
      </w:r>
      <w:r>
        <w:rPr>
          <w:rFonts w:hint="eastAsia" w:ascii="宋体" w:hAnsi="宋体"/>
          <w:color w:val="auto"/>
          <w:highlight w:val="none"/>
        </w:rPr>
        <w:t>供应商</w:t>
      </w:r>
      <w:r>
        <w:rPr>
          <w:rFonts w:hint="eastAsia" w:ascii="宋体" w:hAnsi="宋体" w:cs="宋体"/>
          <w:color w:val="auto"/>
          <w:szCs w:val="21"/>
          <w:highlight w:val="none"/>
        </w:rPr>
        <w:t>提供的服务及货物是合格的，而且符合竞争性磋商文件的规定；</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④对竞争性磋商文件第三章作出的书面响应，包括但不限于服务及商务要求等；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cs="宋体"/>
          <w:color w:val="auto"/>
          <w:szCs w:val="21"/>
          <w:highlight w:val="none"/>
        </w:rPr>
      </w:pPr>
      <w:r>
        <w:rPr>
          <w:rFonts w:hint="eastAsia" w:ascii="宋体" w:hAnsi="宋体" w:cs="宋体"/>
          <w:color w:val="auto"/>
          <w:szCs w:val="21"/>
          <w:highlight w:val="none"/>
        </w:rPr>
        <w:t>⑤</w:t>
      </w:r>
      <w:r>
        <w:rPr>
          <w:rFonts w:hint="eastAsia" w:ascii="宋体" w:hAnsi="宋体"/>
          <w:color w:val="auto"/>
          <w:highlight w:val="none"/>
        </w:rPr>
        <w:t>供应商</w:t>
      </w:r>
      <w:r>
        <w:rPr>
          <w:rFonts w:hint="eastAsia" w:ascii="宋体" w:hAnsi="宋体" w:cs="宋体"/>
          <w:color w:val="auto"/>
          <w:szCs w:val="21"/>
          <w:highlight w:val="none"/>
        </w:rPr>
        <w:t>认为须提交与评审内容相关的其他资料。</w:t>
      </w:r>
    </w:p>
    <w:p>
      <w:pPr>
        <w:pStyle w:val="177"/>
        <w:numPr>
          <w:ilvl w:val="1"/>
          <w:numId w:val="5"/>
        </w:numPr>
        <w:tabs>
          <w:tab w:val="left" w:pos="360"/>
          <w:tab w:val="left" w:pos="709"/>
        </w:tabs>
        <w:adjustRightInd w:val="0"/>
        <w:spacing w:line="360" w:lineRule="auto"/>
        <w:textAlignment w:val="baseline"/>
        <w:outlineLvl w:val="9"/>
        <w:rPr>
          <w:rFonts w:cs="宋体"/>
          <w:color w:val="auto"/>
          <w:sz w:val="21"/>
          <w:szCs w:val="21"/>
          <w:highlight w:val="none"/>
        </w:rPr>
      </w:pPr>
      <w:bookmarkStart w:id="120" w:name="_Toc475104481"/>
      <w:r>
        <w:rPr>
          <w:rFonts w:hint="eastAsia" w:cs="宋体"/>
          <w:color w:val="auto"/>
          <w:sz w:val="21"/>
          <w:szCs w:val="21"/>
          <w:highlight w:val="none"/>
        </w:rPr>
        <w:t>商务部分文件是指供应商提交的证明供应商的资格合格，且获得成交资格后有能力履行合同的文件。服务部分文件是指证明供应商提供的服务和货物是合格的，而且符合本竞争性磋商文件规定的文件。</w:t>
      </w:r>
      <w:bookmarkEnd w:id="12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磋商响应文件的构成应符合法律法规及竞争性磋商文件的要求。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1" w:name="_Toc475104482"/>
      <w:bookmarkStart w:id="122" w:name="_Toc320515030"/>
      <w:bookmarkStart w:id="123" w:name="_Toc315793464"/>
      <w:bookmarkStart w:id="124" w:name="_Toc323110989"/>
      <w:bookmarkStart w:id="125" w:name="_Toc320515079"/>
      <w:bookmarkStart w:id="126" w:name="_Toc363737695"/>
      <w:bookmarkStart w:id="127" w:name="_Toc322680356"/>
      <w:r>
        <w:rPr>
          <w:rFonts w:hint="eastAsia" w:ascii="宋体" w:hAnsi="宋体"/>
          <w:b/>
          <w:bCs/>
          <w:color w:val="auto"/>
          <w:sz w:val="24"/>
          <w:highlight w:val="none"/>
        </w:rPr>
        <w:t>磋商响应文件的编写</w:t>
      </w:r>
      <w:bookmarkEnd w:id="121"/>
      <w:bookmarkEnd w:id="122"/>
      <w:bookmarkEnd w:id="123"/>
      <w:bookmarkEnd w:id="124"/>
      <w:bookmarkEnd w:id="125"/>
      <w:bookmarkEnd w:id="126"/>
      <w:bookmarkEnd w:id="127"/>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应仔细阅读竞争性磋商文件的所有内容，按竞争性磋商文件的要求制作并递交磋商响应文件，并保证所提供的全部资料的真实性、准确性，以确保其报价对竞争性磋商文件做出实质性响应。</w:t>
      </w:r>
      <w:r>
        <w:rPr>
          <w:rFonts w:hint="eastAsia" w:cs="宋体"/>
          <w:color w:val="auto"/>
          <w:szCs w:val="21"/>
          <w:highlight w:val="none"/>
        </w:rPr>
        <w:t>供应商</w:t>
      </w:r>
      <w:r>
        <w:rPr>
          <w:rFonts w:hint="eastAsia" w:ascii="宋体" w:hAnsi="宋体" w:cs="宋体"/>
          <w:color w:val="auto"/>
          <w:szCs w:val="21"/>
          <w:highlight w:val="none"/>
        </w:rPr>
        <w:t>在报价中提供不真实的材料，无论其材料是否重要，都将直接导致磋商响应文件无效，并承担由此产生的法律责任。</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响应语言和计量单位：磋商响应文件和来往函件应用简体中文书写，</w:t>
      </w:r>
      <w:r>
        <w:rPr>
          <w:rFonts w:hint="eastAsia" w:cs="宋体"/>
          <w:color w:val="auto"/>
          <w:szCs w:val="21"/>
          <w:highlight w:val="none"/>
        </w:rPr>
        <w:t>供应商</w:t>
      </w:r>
      <w:r>
        <w:rPr>
          <w:rFonts w:hint="eastAsia" w:ascii="宋体" w:hAnsi="宋体" w:cs="宋体"/>
          <w:color w:val="auto"/>
          <w:szCs w:val="21"/>
          <w:highlight w:val="none"/>
        </w:rPr>
        <w:t>提供的支持文件、技术资料和印刷的文献可以用其他语言，但相应内容应附有中文翻译文本（经公证处公证），对不同文字文本磋商响应文件的解释发生异议的，以中文文本为准。计量单位应使用国际公制单位。</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须用人民币作为报价的货币单位。磋商响应文件的大写金额和小写金额不一致的，以大写金额为准；总价金额与按单价汇总金额不一致的，以单价金额计算结果为准；单价金额小数点有明显错位的，应以总价为准，并修改单价。</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应当对磋商响应文件进行装订，对未经装订的磋商响应文件可能发生的文件散落或缺损，由此造成的后果和责任由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必须对磋商响应文件所提供的全部资料的真实性承担法律责任，并无条件接受采购人、政府采购代理机构及政府采购监督管理部门等对其中任何资料进行核实的要求。</w:t>
      </w:r>
    </w:p>
    <w:p>
      <w:pPr>
        <w:numPr>
          <w:ilvl w:val="1"/>
          <w:numId w:val="5"/>
        </w:numPr>
        <w:tabs>
          <w:tab w:val="left" w:pos="709"/>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如果因为</w:t>
      </w:r>
      <w:r>
        <w:rPr>
          <w:rFonts w:hint="eastAsia" w:cs="宋体"/>
          <w:color w:val="auto"/>
          <w:szCs w:val="21"/>
          <w:highlight w:val="none"/>
        </w:rPr>
        <w:t>供应商</w:t>
      </w:r>
      <w:r>
        <w:rPr>
          <w:rFonts w:hint="eastAsia" w:ascii="宋体" w:hAnsi="宋体" w:cs="宋体"/>
          <w:color w:val="auto"/>
          <w:szCs w:val="21"/>
          <w:highlight w:val="none"/>
        </w:rPr>
        <w:t>的磋商响应文件只填写和提供了本竞争性磋商文件要求的部分内容和附件，或没有提供竞争性磋商文件中所要求的全部资料及数据，由此造成的后果和责任由</w:t>
      </w:r>
      <w:r>
        <w:rPr>
          <w:rFonts w:hint="eastAsia" w:cs="宋体"/>
          <w:color w:val="auto"/>
          <w:szCs w:val="21"/>
          <w:highlight w:val="none"/>
        </w:rPr>
        <w:t>供应商</w:t>
      </w:r>
      <w:r>
        <w:rPr>
          <w:rFonts w:hint="eastAsia" w:ascii="宋体" w:hAnsi="宋体" w:cs="宋体"/>
          <w:color w:val="auto"/>
          <w:szCs w:val="21"/>
          <w:highlight w:val="none"/>
        </w:rPr>
        <w:t>承担。</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28" w:name="_Toc363737696"/>
      <w:bookmarkStart w:id="129" w:name="_Toc475104483"/>
      <w:bookmarkStart w:id="130" w:name="_Toc323110990"/>
      <w:r>
        <w:rPr>
          <w:rFonts w:hint="eastAsia" w:ascii="宋体" w:hAnsi="宋体"/>
          <w:b/>
          <w:bCs/>
          <w:color w:val="auto"/>
          <w:sz w:val="24"/>
          <w:highlight w:val="none"/>
        </w:rPr>
        <w:t>竞争性磋商报价</w:t>
      </w:r>
      <w:bookmarkEnd w:id="128"/>
      <w:bookmarkEnd w:id="129"/>
      <w:bookmarkEnd w:id="130"/>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31" w:name="_Toc322680358"/>
      <w:bookmarkStart w:id="132" w:name="_Toc323110991"/>
      <w:bookmarkStart w:id="133" w:name="_Toc320515032"/>
      <w:bookmarkStart w:id="134" w:name="_Toc315793468"/>
      <w:bookmarkStart w:id="135" w:name="_Toc320515081"/>
      <w:r>
        <w:rPr>
          <w:rFonts w:hint="eastAsia" w:cs="宋体"/>
          <w:color w:val="auto"/>
          <w:szCs w:val="21"/>
          <w:highlight w:val="none"/>
        </w:rPr>
        <w:t>供应商</w:t>
      </w:r>
      <w:r>
        <w:rPr>
          <w:rFonts w:hint="eastAsia" w:ascii="宋体" w:hAnsi="宋体" w:cs="宋体"/>
          <w:color w:val="auto"/>
          <w:szCs w:val="21"/>
          <w:highlight w:val="none"/>
          <w:lang w:eastAsia="zh-TW"/>
        </w:rPr>
        <w:t>人应按照“第</w:t>
      </w:r>
      <w:r>
        <w:rPr>
          <w:rFonts w:hint="eastAsia" w:ascii="宋体" w:hAnsi="宋体" w:cs="宋体"/>
          <w:color w:val="auto"/>
          <w:szCs w:val="21"/>
          <w:highlight w:val="none"/>
        </w:rPr>
        <w:t>三</w:t>
      </w:r>
      <w:r>
        <w:rPr>
          <w:rFonts w:hint="eastAsia" w:ascii="宋体" w:hAnsi="宋体" w:cs="宋体"/>
          <w:color w:val="auto"/>
          <w:szCs w:val="21"/>
          <w:highlight w:val="none"/>
          <w:lang w:eastAsia="zh-TW"/>
        </w:rPr>
        <w:t>章　</w:t>
      </w:r>
      <w:r>
        <w:rPr>
          <w:rFonts w:hint="eastAsia" w:ascii="宋体" w:hAnsi="宋体" w:cs="宋体"/>
          <w:color w:val="auto"/>
          <w:szCs w:val="21"/>
          <w:highlight w:val="none"/>
        </w:rPr>
        <w:t>采购人</w:t>
      </w:r>
      <w:r>
        <w:rPr>
          <w:rFonts w:hint="eastAsia" w:ascii="宋体" w:hAnsi="宋体" w:cs="宋体"/>
          <w:color w:val="auto"/>
          <w:szCs w:val="21"/>
          <w:highlight w:val="none"/>
          <w:lang w:eastAsia="zh-TW"/>
        </w:rPr>
        <w:t>需求</w:t>
      </w:r>
      <w:r>
        <w:rPr>
          <w:rFonts w:hint="eastAsia" w:ascii="宋体" w:hAnsi="宋体" w:cs="宋体"/>
          <w:color w:val="auto"/>
          <w:szCs w:val="21"/>
          <w:highlight w:val="none"/>
        </w:rPr>
        <w:t>书</w:t>
      </w:r>
      <w:r>
        <w:rPr>
          <w:rFonts w:hint="eastAsia" w:ascii="宋体" w:hAnsi="宋体" w:cs="宋体"/>
          <w:color w:val="auto"/>
          <w:szCs w:val="21"/>
          <w:highlight w:val="none"/>
          <w:lang w:eastAsia="zh-TW"/>
        </w:rPr>
        <w:t xml:space="preserve">” </w:t>
      </w:r>
      <w:r>
        <w:rPr>
          <w:rFonts w:hint="eastAsia" w:ascii="宋体" w:hAnsi="宋体" w:cs="宋体"/>
          <w:color w:val="auto"/>
          <w:szCs w:val="21"/>
          <w:highlight w:val="none"/>
        </w:rPr>
        <w:t>中</w:t>
      </w:r>
      <w:r>
        <w:rPr>
          <w:rFonts w:hint="eastAsia" w:ascii="宋体" w:hAnsi="宋体" w:cs="宋体"/>
          <w:color w:val="auto"/>
          <w:szCs w:val="21"/>
          <w:highlight w:val="none"/>
          <w:lang w:eastAsia="zh-TW"/>
        </w:rPr>
        <w:t>采购项目</w:t>
      </w:r>
      <w:r>
        <w:rPr>
          <w:rFonts w:hint="eastAsia" w:ascii="宋体" w:hAnsi="宋体" w:cs="宋体"/>
          <w:color w:val="auto"/>
          <w:szCs w:val="21"/>
          <w:highlight w:val="none"/>
        </w:rPr>
        <w:t>服务</w:t>
      </w:r>
      <w:r>
        <w:rPr>
          <w:rFonts w:hint="eastAsia" w:ascii="宋体" w:hAnsi="宋体" w:cs="宋体"/>
          <w:color w:val="auto"/>
          <w:szCs w:val="21"/>
          <w:highlight w:val="none"/>
          <w:lang w:eastAsia="zh-TW"/>
        </w:rPr>
        <w:t>要求规定的内容、责任范围进行报价。并按《</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lang w:eastAsia="zh-TW"/>
        </w:rPr>
        <w:t>》的</w:t>
      </w:r>
      <w:r>
        <w:rPr>
          <w:rFonts w:hint="eastAsia" w:ascii="宋体" w:hAnsi="宋体" w:cs="宋体"/>
          <w:color w:val="auto"/>
          <w:szCs w:val="21"/>
          <w:highlight w:val="none"/>
        </w:rPr>
        <w:t>要求</w:t>
      </w:r>
      <w:r>
        <w:rPr>
          <w:rFonts w:hint="eastAsia" w:ascii="宋体" w:hAnsi="宋体" w:cs="宋体"/>
          <w:color w:val="auto"/>
          <w:szCs w:val="21"/>
          <w:highlight w:val="none"/>
          <w:lang w:eastAsia="zh-TW"/>
        </w:rPr>
        <w:t>报出总价和分项价格。</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总价中不得包含</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文件要求以外的内容，否则，在评标时不予核减。</w:t>
      </w:r>
      <w:r>
        <w:rPr>
          <w:rFonts w:hint="eastAsia" w:ascii="宋体" w:hAnsi="宋体" w:cs="宋体"/>
          <w:color w:val="auto"/>
          <w:szCs w:val="21"/>
          <w:highlight w:val="none"/>
        </w:rPr>
        <w:t>响应报价</w:t>
      </w:r>
      <w:r>
        <w:rPr>
          <w:rFonts w:hint="eastAsia" w:ascii="宋体" w:hAnsi="宋体" w:cs="宋体"/>
          <w:color w:val="auto"/>
          <w:szCs w:val="21"/>
          <w:highlight w:val="none"/>
          <w:lang w:eastAsia="zh-TW"/>
        </w:rPr>
        <w:t>总价中也不得缺漏</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文件所要求的内容，否则，被视为</w:t>
      </w:r>
      <w:r>
        <w:rPr>
          <w:rFonts w:hint="eastAsia" w:ascii="宋体" w:hAnsi="宋体" w:cs="宋体"/>
          <w:color w:val="auto"/>
          <w:szCs w:val="21"/>
          <w:highlight w:val="none"/>
        </w:rPr>
        <w:t>包含在报价中</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的报价明显低于其他响应报价，使得其响应报价可能低于其个别成本的，有可能影响服务质量和不能诚信履约的，磋商小组可以要求该</w:t>
      </w:r>
      <w:r>
        <w:rPr>
          <w:rFonts w:hint="eastAsia" w:cs="宋体"/>
          <w:color w:val="auto"/>
          <w:szCs w:val="21"/>
          <w:highlight w:val="none"/>
        </w:rPr>
        <w:t>供应商</w:t>
      </w:r>
      <w:r>
        <w:rPr>
          <w:rFonts w:hint="eastAsia" w:ascii="宋体" w:hAnsi="宋体" w:cs="宋体"/>
          <w:color w:val="auto"/>
          <w:szCs w:val="21"/>
          <w:highlight w:val="none"/>
        </w:rPr>
        <w:t>作出书面说明并提供相关证明材料。</w:t>
      </w:r>
      <w:r>
        <w:rPr>
          <w:rFonts w:hint="eastAsia" w:cs="宋体"/>
          <w:color w:val="auto"/>
          <w:szCs w:val="21"/>
          <w:highlight w:val="none"/>
        </w:rPr>
        <w:t>供应商</w:t>
      </w:r>
      <w:r>
        <w:rPr>
          <w:rFonts w:hint="eastAsia" w:ascii="宋体" w:hAnsi="宋体" w:cs="宋体"/>
          <w:color w:val="auto"/>
          <w:szCs w:val="21"/>
          <w:highlight w:val="none"/>
        </w:rPr>
        <w:t>不能合理说明或者不能提供相关证明材料的，由磋商小组认定该供应商以低于成本报价竞标其报价应作无效竞标处理。</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报价明细表</w:t>
      </w:r>
      <w:r>
        <w:rPr>
          <w:rFonts w:hint="eastAsia" w:ascii="宋体" w:hAnsi="宋体" w:cs="宋体"/>
          <w:color w:val="auto"/>
          <w:szCs w:val="21"/>
          <w:highlight w:val="none"/>
        </w:rPr>
        <w:t>内容应包含：</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竞争性磋商文件要求全部服务所需的费用；</w:t>
      </w:r>
    </w:p>
    <w:p>
      <w:pPr>
        <w:numPr>
          <w:ilvl w:val="2"/>
          <w:numId w:val="5"/>
        </w:numPr>
        <w:tabs>
          <w:tab w:val="left" w:pos="851"/>
        </w:tabs>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报价包含履行合同所有相关服务所需的费用；</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报价均应包含所有的税费；</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其他一切隐含及不可预见的费用；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报价为本次采购内容的综合单价包干响应报价即为合同价，不得在成交后提出任何增加费用要求，</w:t>
      </w:r>
      <w:r>
        <w:rPr>
          <w:rFonts w:hint="eastAsia" w:cs="宋体"/>
          <w:color w:val="auto"/>
          <w:szCs w:val="21"/>
          <w:highlight w:val="none"/>
        </w:rPr>
        <w:t>供应商</w:t>
      </w:r>
      <w:r>
        <w:rPr>
          <w:rFonts w:hint="eastAsia" w:ascii="宋体" w:hAnsi="宋体" w:cs="宋体"/>
          <w:color w:val="auto"/>
          <w:szCs w:val="21"/>
          <w:highlight w:val="none"/>
        </w:rPr>
        <w:t>在报价时应充分考虑相关风险性因素。</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cs="宋体"/>
          <w:color w:val="auto"/>
          <w:szCs w:val="21"/>
          <w:highlight w:val="none"/>
        </w:rPr>
        <w:t>供应商</w:t>
      </w:r>
      <w:r>
        <w:rPr>
          <w:rFonts w:hint="eastAsia" w:ascii="宋体" w:hAnsi="宋体" w:cs="宋体"/>
          <w:color w:val="auto"/>
          <w:szCs w:val="21"/>
          <w:highlight w:val="none"/>
        </w:rPr>
        <w:t>在获得成交资格并签署合同后，服务期限内出现的任何遗漏，均由成交供应商负责，采购人将不再支付任何费用。</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对于报价免费的项目须标明“免费”。</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所报的</w:t>
      </w:r>
      <w:r>
        <w:rPr>
          <w:rFonts w:hint="eastAsia" w:ascii="宋体" w:hAnsi="宋体" w:cs="宋体"/>
          <w:color w:val="auto"/>
          <w:szCs w:val="21"/>
          <w:highlight w:val="none"/>
        </w:rPr>
        <w:t>响应报</w:t>
      </w:r>
      <w:r>
        <w:rPr>
          <w:rFonts w:hint="eastAsia" w:ascii="宋体" w:hAnsi="宋体" w:cs="宋体"/>
          <w:color w:val="auto"/>
          <w:szCs w:val="21"/>
          <w:highlight w:val="none"/>
          <w:lang w:eastAsia="zh-TW"/>
        </w:rPr>
        <w:t>价在合同执行过程中是固定不变的</w:t>
      </w:r>
      <w:r>
        <w:rPr>
          <w:rFonts w:hint="eastAsia" w:ascii="宋体" w:hAnsi="宋体" w:cs="宋体"/>
          <w:color w:val="auto"/>
          <w:szCs w:val="21"/>
          <w:highlight w:val="none"/>
        </w:rPr>
        <w:t>，</w:t>
      </w:r>
      <w:r>
        <w:rPr>
          <w:rFonts w:hint="eastAsia" w:ascii="宋体" w:hAnsi="宋体" w:cs="宋体"/>
          <w:color w:val="auto"/>
          <w:szCs w:val="21"/>
          <w:highlight w:val="none"/>
          <w:lang w:eastAsia="zh-TW"/>
        </w:rPr>
        <w:t>不得以任何理由予以变更。任何包含价格调整要求的</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被认为是非实质性响应而予以拒绝。</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投标报价应为包括设计图纸和工程量清单项目所发生的人工费、材料费、机械费、管理费、利润、项目措施费、规费、税金、配合费、预留金以及施工合同包含的所有风险、责任等全部费用。</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文件中另有规定，本次采购不接受选择性报价及备选方案，</w:t>
      </w:r>
      <w:r>
        <w:rPr>
          <w:rFonts w:hint="eastAsia" w:ascii="宋体" w:hAnsi="宋体" w:cs="宋体"/>
          <w:color w:val="auto"/>
          <w:szCs w:val="21"/>
          <w:highlight w:val="none"/>
        </w:rPr>
        <w:t>否则将被视为无效报价。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除</w:t>
      </w:r>
      <w:r>
        <w:rPr>
          <w:rFonts w:hint="eastAsia" w:ascii="宋体" w:hAnsi="宋体" w:cs="宋体"/>
          <w:color w:val="auto"/>
          <w:szCs w:val="21"/>
          <w:highlight w:val="none"/>
        </w:rPr>
        <w:t>磋商</w:t>
      </w:r>
      <w:r>
        <w:rPr>
          <w:rFonts w:hint="eastAsia" w:ascii="宋体" w:hAnsi="宋体"/>
          <w:color w:val="auto"/>
          <w:szCs w:val="21"/>
          <w:highlight w:val="none"/>
        </w:rPr>
        <w:t>文件中另有规定，本次采购不接受具有附加条件的报价，否则将被视为无效响应。</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6" w:name="_Toc475104484"/>
      <w:bookmarkStart w:id="137" w:name="_Toc363737697"/>
      <w:r>
        <w:rPr>
          <w:rFonts w:hint="eastAsia" w:ascii="宋体" w:hAnsi="宋体"/>
          <w:b/>
          <w:bCs/>
          <w:color w:val="auto"/>
          <w:sz w:val="24"/>
          <w:highlight w:val="none"/>
        </w:rPr>
        <w:t>证明供应商合格和资格的文件</w:t>
      </w:r>
      <w:bookmarkEnd w:id="131"/>
      <w:bookmarkEnd w:id="132"/>
      <w:bookmarkEnd w:id="133"/>
      <w:bookmarkEnd w:id="134"/>
      <w:bookmarkEnd w:id="135"/>
      <w:bookmarkEnd w:id="136"/>
      <w:bookmarkEnd w:id="137"/>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rPr>
        <w:t>应提交证明其有资格参加磋商响应和获得成交资格后有能力履行合同的文件，并作为其磋商响应文件的一部分。如果</w:t>
      </w:r>
      <w:r>
        <w:rPr>
          <w:rFonts w:hint="eastAsia" w:cs="宋体"/>
          <w:color w:val="auto"/>
          <w:szCs w:val="21"/>
          <w:highlight w:val="none"/>
        </w:rPr>
        <w:t>供应商</w:t>
      </w:r>
      <w:r>
        <w:rPr>
          <w:rFonts w:hint="eastAsia" w:ascii="宋体" w:hAnsi="宋体" w:cs="宋体"/>
          <w:color w:val="auto"/>
          <w:szCs w:val="21"/>
          <w:highlight w:val="none"/>
        </w:rPr>
        <w:t>为联合体，应提交联合体各方的资格证明文件、联合体协议并注明主体方及各方拟承担的工作和责任。否则，将导致其响应无效。</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供应商提交的资格证明文件应证明其满足本须知定义的合格</w:t>
      </w:r>
      <w:r>
        <w:rPr>
          <w:rFonts w:hint="eastAsia" w:cs="宋体"/>
          <w:color w:val="auto"/>
          <w:szCs w:val="21"/>
          <w:highlight w:val="none"/>
        </w:rPr>
        <w:t>供应商</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38" w:name="_Toc333236642"/>
      <w:bookmarkStart w:id="139" w:name="_Toc475104485"/>
      <w:bookmarkStart w:id="140" w:name="_Toc320515082"/>
      <w:bookmarkStart w:id="141" w:name="_Toc315793469"/>
      <w:bookmarkStart w:id="142" w:name="_Toc320515033"/>
      <w:bookmarkStart w:id="143" w:name="_Toc363737698"/>
      <w:bookmarkStart w:id="144" w:name="_Toc323110993"/>
      <w:r>
        <w:rPr>
          <w:rFonts w:hint="eastAsia" w:ascii="宋体" w:hAnsi="宋体"/>
          <w:b/>
          <w:bCs/>
          <w:color w:val="auto"/>
          <w:sz w:val="24"/>
          <w:highlight w:val="none"/>
        </w:rPr>
        <w:t>证明服务的合格性和符合磋商文件规定的文件</w:t>
      </w:r>
      <w:bookmarkEnd w:id="138"/>
      <w:bookmarkEnd w:id="139"/>
      <w:bookmarkEnd w:id="140"/>
      <w:bookmarkEnd w:id="141"/>
      <w:bookmarkEnd w:id="142"/>
      <w:bookmarkEnd w:id="143"/>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cs="宋体"/>
          <w:color w:val="auto"/>
          <w:szCs w:val="21"/>
          <w:highlight w:val="none"/>
          <w:lang w:eastAsia="zh-TW"/>
        </w:rPr>
        <w:t>供应商应提交证明文件</w:t>
      </w:r>
      <w:r>
        <w:rPr>
          <w:rFonts w:hint="eastAsia" w:ascii="宋体" w:hAnsi="宋体" w:cs="宋体"/>
          <w:color w:val="auto"/>
          <w:szCs w:val="21"/>
          <w:highlight w:val="none"/>
        </w:rPr>
        <w:t>，</w:t>
      </w:r>
      <w:r>
        <w:rPr>
          <w:rFonts w:hint="eastAsia" w:ascii="宋体" w:hAnsi="宋体" w:cs="宋体"/>
          <w:color w:val="auto"/>
          <w:szCs w:val="21"/>
          <w:highlight w:val="none"/>
          <w:lang w:eastAsia="zh-TW"/>
        </w:rPr>
        <w:t>证明其拟</w:t>
      </w:r>
      <w:r>
        <w:rPr>
          <w:rFonts w:hint="eastAsia" w:ascii="宋体" w:hAnsi="宋体" w:cs="宋体"/>
          <w:color w:val="auto"/>
          <w:szCs w:val="21"/>
          <w:highlight w:val="none"/>
        </w:rPr>
        <w:t>报价</w:t>
      </w:r>
      <w:r>
        <w:rPr>
          <w:rFonts w:hint="eastAsia" w:ascii="宋体" w:hAnsi="宋体" w:cs="宋体"/>
          <w:color w:val="auto"/>
          <w:szCs w:val="21"/>
          <w:highlight w:val="none"/>
          <w:lang w:eastAsia="zh-TW"/>
        </w:rPr>
        <w:t>的服务的合格性符合</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规定。该证明文件作为</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的一部分。</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证明服务与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的要求相一致的文件，可以是文字资料、图纸和数据，它包括：</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服务主要内容、方案、质量、标准指标等的详细说明；</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对照竞争性磋商文件服务内容与要求，逐条说明所提供服务已对磋商文件的服务内容与要求作出了实质性的响应，并申明与服务内容与要求条文的偏差和例外。特别对有具体参数要求的指标，</w:t>
      </w:r>
      <w:r>
        <w:rPr>
          <w:rFonts w:hint="eastAsia" w:cs="宋体"/>
          <w:color w:val="auto"/>
          <w:szCs w:val="21"/>
          <w:highlight w:val="none"/>
        </w:rPr>
        <w:t>供应商</w:t>
      </w:r>
      <w:r>
        <w:rPr>
          <w:rFonts w:hint="eastAsia" w:ascii="宋体" w:hAnsi="宋体" w:cs="宋体"/>
          <w:color w:val="auto"/>
          <w:szCs w:val="21"/>
          <w:highlight w:val="none"/>
        </w:rPr>
        <w:t>须提供所投服务的具体参数值。</w:t>
      </w:r>
      <w:r>
        <w:rPr>
          <w:rFonts w:hint="eastAsia" w:cs="宋体"/>
          <w:color w:val="auto"/>
          <w:szCs w:val="21"/>
          <w:highlight w:val="none"/>
        </w:rPr>
        <w:t>供应商</w:t>
      </w:r>
      <w:r>
        <w:rPr>
          <w:rFonts w:hint="eastAsia" w:ascii="宋体" w:hAnsi="宋体" w:cs="宋体"/>
          <w:color w:val="auto"/>
          <w:szCs w:val="21"/>
          <w:highlight w:val="none"/>
        </w:rPr>
        <w:t>在阐述时应注意竞争性磋商文件的服务内容、要求和标准，</w:t>
      </w:r>
      <w:r>
        <w:rPr>
          <w:rFonts w:hint="eastAsia" w:cs="宋体"/>
          <w:color w:val="auto"/>
          <w:szCs w:val="21"/>
          <w:highlight w:val="none"/>
        </w:rPr>
        <w:t>供应商</w:t>
      </w:r>
      <w:r>
        <w:rPr>
          <w:rFonts w:hint="eastAsia" w:ascii="宋体" w:hAnsi="宋体" w:cs="宋体"/>
          <w:color w:val="auto"/>
          <w:szCs w:val="21"/>
          <w:highlight w:val="none"/>
        </w:rPr>
        <w:t>在报价中要实质上满足或超过竞争性磋商文件的要求。</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5" w:name="_Toc363737699"/>
      <w:r>
        <w:rPr>
          <w:rFonts w:hint="eastAsia" w:ascii="宋体" w:hAnsi="宋体"/>
          <w:b/>
          <w:bCs/>
          <w:color w:val="auto"/>
          <w:sz w:val="24"/>
          <w:highlight w:val="none"/>
        </w:rPr>
        <w:t>磋商保证金</w:t>
      </w:r>
    </w:p>
    <w:bookmarkEnd w:id="145"/>
    <w:p>
      <w:pPr>
        <w:numPr>
          <w:ilvl w:val="1"/>
          <w:numId w:val="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本项目不收取磋商保证金</w:t>
      </w:r>
    </w:p>
    <w:bookmarkEnd w:id="144"/>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46" w:name="_Toc475104487"/>
      <w:bookmarkStart w:id="147" w:name="_Toc351550769"/>
      <w:bookmarkStart w:id="148" w:name="_Toc394926941"/>
      <w:bookmarkStart w:id="149" w:name="_Toc322680361"/>
      <w:bookmarkStart w:id="150" w:name="_Toc320515084"/>
      <w:bookmarkStart w:id="151" w:name="_Toc320515035"/>
      <w:bookmarkStart w:id="152" w:name="_Toc363737700"/>
      <w:bookmarkStart w:id="153" w:name="_Toc315793471"/>
      <w:bookmarkStart w:id="154" w:name="_Toc323110994"/>
      <w:r>
        <w:rPr>
          <w:rFonts w:hint="eastAsia" w:ascii="宋体" w:hAnsi="宋体"/>
          <w:b/>
          <w:bCs/>
          <w:color w:val="auto"/>
          <w:sz w:val="24"/>
          <w:highlight w:val="none"/>
        </w:rPr>
        <w:t>政府采购信用担保</w:t>
      </w:r>
      <w:bookmarkEnd w:id="146"/>
      <w:bookmarkEnd w:id="147"/>
      <w:bookmarkEnd w:id="148"/>
    </w:p>
    <w:bookmarkEnd w:id="149"/>
    <w:bookmarkEnd w:id="150"/>
    <w:bookmarkEnd w:id="151"/>
    <w:bookmarkEnd w:id="152"/>
    <w:bookmarkEnd w:id="153"/>
    <w:bookmarkEnd w:id="154"/>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5" w:name="_Toc475104489"/>
      <w:r>
        <w:rPr>
          <w:rFonts w:hint="eastAsia" w:ascii="宋体" w:hAnsi="宋体"/>
          <w:color w:val="auto"/>
          <w:szCs w:val="21"/>
          <w:highlight w:val="none"/>
        </w:rPr>
        <w:t>履约担保，是指由专业担保机构为</w:t>
      </w:r>
      <w:r>
        <w:rPr>
          <w:rFonts w:hint="eastAsia" w:cs="宋体"/>
          <w:color w:val="auto"/>
          <w:szCs w:val="21"/>
          <w:highlight w:val="none"/>
        </w:rPr>
        <w:t>供应商</w:t>
      </w:r>
      <w:r>
        <w:rPr>
          <w:rFonts w:hint="eastAsia" w:ascii="宋体" w:hAnsi="宋体"/>
          <w:color w:val="auto"/>
          <w:szCs w:val="21"/>
          <w:highlight w:val="none"/>
        </w:rPr>
        <w:t>支付履约保证金的义务向采购人提供的保证担保。</w:t>
      </w:r>
      <w:r>
        <w:rPr>
          <w:rFonts w:hint="eastAsia" w:cs="宋体"/>
          <w:color w:val="auto"/>
          <w:szCs w:val="21"/>
          <w:highlight w:val="none"/>
        </w:rPr>
        <w:t>供应商</w:t>
      </w:r>
      <w:r>
        <w:rPr>
          <w:rFonts w:hint="eastAsia" w:ascii="宋体" w:hAnsi="宋体"/>
          <w:color w:val="auto"/>
          <w:szCs w:val="21"/>
          <w:highlight w:val="none"/>
        </w:rPr>
        <w:t>未按政府采购合同履行约定义务而应实际支付保证金的，由专业担保机构按照担保函约定履行担保责任。</w:t>
      </w:r>
      <w:r>
        <w:rPr>
          <w:rFonts w:hint="eastAsia" w:cs="宋体"/>
          <w:color w:val="auto"/>
          <w:szCs w:val="21"/>
          <w:highlight w:val="none"/>
        </w:rPr>
        <w:t>供应商</w:t>
      </w:r>
      <w:r>
        <w:rPr>
          <w:rFonts w:hint="eastAsia" w:ascii="宋体" w:hAnsi="宋体"/>
          <w:color w:val="auto"/>
          <w:szCs w:val="21"/>
          <w:highlight w:val="none"/>
        </w:rPr>
        <w:t>可以自行选择是否采取履约担保函的形式交纳履约保证金。</w:t>
      </w:r>
      <w:bookmarkEnd w:id="155"/>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6" w:name="_Toc475104490"/>
      <w:bookmarkStart w:id="157" w:name="_Toc315793300"/>
      <w:r>
        <w:rPr>
          <w:rFonts w:hint="eastAsia"/>
          <w:color w:val="auto"/>
          <w:szCs w:val="21"/>
          <w:highlight w:val="none"/>
        </w:rPr>
        <w:t>融资担保，是指由专业担保机构为</w:t>
      </w:r>
      <w:r>
        <w:rPr>
          <w:rFonts w:hint="eastAsia" w:cs="宋体"/>
          <w:color w:val="auto"/>
          <w:szCs w:val="21"/>
          <w:highlight w:val="none"/>
        </w:rPr>
        <w:t>供应商</w:t>
      </w:r>
      <w:r>
        <w:rPr>
          <w:rFonts w:hint="eastAsia"/>
          <w:color w:val="auto"/>
          <w:szCs w:val="21"/>
          <w:highlight w:val="none"/>
        </w:rPr>
        <w:t>向银行融资提供的保证担保。</w:t>
      </w:r>
      <w:r>
        <w:rPr>
          <w:rFonts w:hint="eastAsia" w:cs="宋体"/>
          <w:color w:val="auto"/>
          <w:szCs w:val="21"/>
          <w:highlight w:val="none"/>
        </w:rPr>
        <w:t>供应商</w:t>
      </w:r>
      <w:r>
        <w:rPr>
          <w:rFonts w:hint="eastAsia"/>
          <w:color w:val="auto"/>
          <w:szCs w:val="21"/>
          <w:highlight w:val="none"/>
        </w:rPr>
        <w:t>可以自愿选择是否采取融资担保的形式为政府采购履约进行融资。</w:t>
      </w:r>
      <w:bookmarkEnd w:id="156"/>
      <w:bookmarkEnd w:id="157"/>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158" w:name="_Toc475104493"/>
      <w:r>
        <w:rPr>
          <w:rFonts w:hint="eastAsia" w:ascii="宋体" w:hAnsi="宋体"/>
          <w:color w:val="auto"/>
          <w:szCs w:val="21"/>
          <w:highlight w:val="none"/>
        </w:rPr>
        <w:t>专业担保机构的选择。</w:t>
      </w:r>
      <w:r>
        <w:rPr>
          <w:rFonts w:hint="eastAsia" w:cs="宋体"/>
          <w:color w:val="auto"/>
          <w:szCs w:val="21"/>
          <w:highlight w:val="none"/>
        </w:rPr>
        <w:t>供应商</w:t>
      </w:r>
      <w:r>
        <w:rPr>
          <w:rFonts w:hint="eastAsia" w:ascii="宋体" w:hAnsi="宋体"/>
          <w:color w:val="auto"/>
          <w:szCs w:val="21"/>
          <w:highlight w:val="none"/>
        </w:rPr>
        <w:t>必须选定有合法资质的担保公司任一家作为专业担保机构。</w:t>
      </w:r>
    </w:p>
    <w:bookmarkEnd w:id="158"/>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响应有效期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从磋商响应文件递交截止日起，响应有效期为</w:t>
      </w:r>
      <w:r>
        <w:rPr>
          <w:rFonts w:ascii="宋体" w:hAnsi="宋体" w:cs="ZWAdobeF"/>
          <w:color w:val="auto"/>
          <w:sz w:val="2"/>
          <w:szCs w:val="2"/>
          <w:highlight w:val="none"/>
        </w:rPr>
        <w:t>UU</w:t>
      </w:r>
      <w:r>
        <w:rPr>
          <w:rFonts w:hint="eastAsia" w:ascii="宋体" w:hAnsi="宋体" w:cs="宋体"/>
          <w:color w:val="auto"/>
          <w:szCs w:val="21"/>
          <w:highlight w:val="none"/>
          <w:u w:val="single"/>
        </w:rPr>
        <w:t>90</w:t>
      </w:r>
      <w:r>
        <w:rPr>
          <w:rFonts w:ascii="宋体" w:hAnsi="宋体" w:cs="ZWAdobeF"/>
          <w:color w:val="auto"/>
          <w:sz w:val="2"/>
          <w:szCs w:val="2"/>
          <w:highlight w:val="none"/>
        </w:rPr>
        <w:t>UU</w:t>
      </w:r>
      <w:r>
        <w:rPr>
          <w:rFonts w:hint="eastAsia" w:ascii="宋体" w:hAnsi="宋体" w:cs="宋体"/>
          <w:color w:val="auto"/>
          <w:szCs w:val="21"/>
          <w:highlight w:val="none"/>
        </w:rPr>
        <w:t>天（日历天）。响应有效期不足的响应将被视为非实质性响应</w:t>
      </w:r>
      <w:r>
        <w:rPr>
          <w:rFonts w:hint="eastAsia" w:ascii="宋体" w:hAnsi="宋体"/>
          <w:color w:val="auto"/>
          <w:szCs w:val="21"/>
          <w:highlight w:val="none"/>
        </w:rPr>
        <w:t>，</w:t>
      </w:r>
      <w:r>
        <w:rPr>
          <w:rFonts w:hint="eastAsia" w:ascii="宋体" w:hAnsi="宋体" w:cs="宋体"/>
          <w:color w:val="auto"/>
          <w:szCs w:val="21"/>
          <w:highlight w:val="none"/>
        </w:rPr>
        <w:t>视为无效响应。</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特殊情况下，在原响应有效期截止之前，政府采购代理机构可要求</w:t>
      </w:r>
      <w:r>
        <w:rPr>
          <w:rFonts w:hint="eastAsia" w:cs="宋体"/>
          <w:color w:val="auto"/>
          <w:szCs w:val="21"/>
          <w:highlight w:val="none"/>
        </w:rPr>
        <w:t>供应商</w:t>
      </w:r>
      <w:r>
        <w:rPr>
          <w:rFonts w:hint="eastAsia" w:ascii="宋体" w:hAnsi="宋体" w:cs="宋体"/>
          <w:color w:val="auto"/>
          <w:szCs w:val="21"/>
          <w:highlight w:val="none"/>
        </w:rPr>
        <w:t>延长响应有效期。这种要求与答复均应以书面形式提交。</w:t>
      </w:r>
      <w:r>
        <w:rPr>
          <w:rFonts w:hint="eastAsia" w:cs="宋体"/>
          <w:color w:val="auto"/>
          <w:szCs w:val="21"/>
          <w:highlight w:val="none"/>
        </w:rPr>
        <w:t>供应商</w:t>
      </w:r>
      <w:r>
        <w:rPr>
          <w:rFonts w:hint="eastAsia" w:ascii="宋体" w:hAnsi="宋体" w:cs="宋体"/>
          <w:color w:val="auto"/>
          <w:szCs w:val="21"/>
          <w:highlight w:val="none"/>
        </w:rPr>
        <w:t>可拒绝政府采购代理机构的这种要求，但其磋商响应在原响应有效期期满后将不再有效。同意延长响应有效期的</w:t>
      </w:r>
      <w:r>
        <w:rPr>
          <w:rFonts w:hint="eastAsia" w:cs="宋体"/>
          <w:color w:val="auto"/>
          <w:szCs w:val="21"/>
          <w:highlight w:val="none"/>
        </w:rPr>
        <w:t>供应商</w:t>
      </w:r>
      <w:r>
        <w:rPr>
          <w:rFonts w:hint="eastAsia" w:ascii="宋体" w:hAnsi="宋体" w:cs="宋体"/>
          <w:color w:val="auto"/>
          <w:szCs w:val="21"/>
          <w:highlight w:val="none"/>
        </w:rPr>
        <w:t>将不会被要求和允许修正其磋商响应</w:t>
      </w:r>
      <w:r>
        <w:rPr>
          <w:rFonts w:hint="eastAsia" w:ascii="宋体" w:hAnsi="宋体" w:cs="宋体"/>
          <w:color w:val="auto"/>
          <w:szCs w:val="21"/>
          <w:highlight w:val="none"/>
          <w:lang w:eastAsia="zh-TW"/>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59" w:name="_Toc320515036"/>
      <w:bookmarkStart w:id="160" w:name="_Toc315793472"/>
      <w:bookmarkStart w:id="161" w:name="_Toc320515085"/>
      <w:bookmarkStart w:id="162" w:name="_Toc363737701"/>
      <w:bookmarkStart w:id="163" w:name="_Toc475104494"/>
      <w:bookmarkStart w:id="164" w:name="_Toc322680363"/>
      <w:bookmarkStart w:id="165" w:name="_Toc323110996"/>
      <w:bookmarkStart w:id="166" w:name="_Toc315793473"/>
      <w:bookmarkStart w:id="167" w:name="_Toc320515037"/>
      <w:bookmarkStart w:id="168" w:name="_Toc320515086"/>
      <w:r>
        <w:rPr>
          <w:rFonts w:hint="eastAsia" w:ascii="宋体" w:hAnsi="宋体"/>
          <w:b/>
          <w:bCs/>
          <w:color w:val="auto"/>
          <w:sz w:val="24"/>
          <w:highlight w:val="none"/>
        </w:rPr>
        <w:t>磋商响应文件的式样和签署</w:t>
      </w:r>
      <w:bookmarkEnd w:id="159"/>
      <w:bookmarkEnd w:id="160"/>
      <w:bookmarkEnd w:id="161"/>
      <w:bookmarkEnd w:id="162"/>
      <w:bookmarkEnd w:id="16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全部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r>
        <w:rPr>
          <w:rFonts w:hint="eastAsia" w:ascii="宋体" w:hAnsi="宋体" w:cs="宋体"/>
          <w:color w:val="auto"/>
          <w:szCs w:val="21"/>
          <w:highlight w:val="none"/>
        </w:rPr>
        <w:t>数量参看《竞争性磋商须知一览表》</w:t>
      </w:r>
      <w:r>
        <w:rPr>
          <w:rFonts w:hint="eastAsia" w:ascii="宋体" w:hAnsi="宋体" w:cs="宋体"/>
          <w:color w:val="auto"/>
          <w:szCs w:val="21"/>
          <w:highlight w:val="none"/>
          <w:lang w:eastAsia="zh-TW"/>
        </w:rPr>
        <w:t>，所有</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响应文件应用A4规格纸打印装订成册</w:t>
      </w:r>
      <w:r>
        <w:rPr>
          <w:rFonts w:hint="eastAsia" w:ascii="宋体" w:hAnsi="宋体" w:cs="宋体"/>
          <w:color w:val="auto"/>
          <w:szCs w:val="21"/>
          <w:highlight w:val="none"/>
        </w:rPr>
        <w:t>（如采购需求要求提交设计方案展示图纸，图纸规格统一按A0(约1189mm×841mm)规格编制）。于封面注明“正本”和“副本”。如果正本与副本不符，应以正本为准。所有不完整的磋商响应将被拒绝。无论磋商结果如何，</w:t>
      </w:r>
      <w:r>
        <w:rPr>
          <w:rFonts w:hint="eastAsia" w:cs="宋体"/>
          <w:color w:val="auto"/>
          <w:szCs w:val="21"/>
          <w:highlight w:val="none"/>
        </w:rPr>
        <w:t>供应商</w:t>
      </w:r>
      <w:r>
        <w:rPr>
          <w:rFonts w:hint="eastAsia" w:ascii="宋体" w:hAnsi="宋体" w:cs="宋体"/>
          <w:color w:val="auto"/>
          <w:szCs w:val="21"/>
          <w:highlight w:val="none"/>
        </w:rPr>
        <w:t>的全部磋商响应文件均不退回。</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投标人《清单报价表》正本须用采购人提供的原件填写（含封面），并逐页加盖法人公章确认，投标人不得修改《清单报价表》中项目内容及工程数量；副本可以采用正本复印并逐页加盖法人公章确认。</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响应文件的签署：</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磋商响应文件的正本需打印，磋商响应文件要求签名的由法定代表人或经其正式授权的代表签字，</w:t>
      </w:r>
      <w:r>
        <w:rPr>
          <w:rFonts w:ascii="宋体" w:hAnsi="宋体" w:cs="ZWAdobeF"/>
          <w:color w:val="auto"/>
          <w:sz w:val="2"/>
          <w:szCs w:val="2"/>
          <w:highlight w:val="none"/>
        </w:rPr>
        <w:t>UU</w:t>
      </w:r>
      <w:r>
        <w:rPr>
          <w:rFonts w:hint="eastAsia" w:ascii="宋体" w:hAnsi="宋体" w:cs="宋体"/>
          <w:b/>
          <w:color w:val="auto"/>
          <w:szCs w:val="21"/>
          <w:highlight w:val="none"/>
          <w:u w:val="single"/>
        </w:rPr>
        <w:t>磋商响应文件正本每一页均要求加盖供应商公章</w:t>
      </w:r>
      <w:r>
        <w:rPr>
          <w:rFonts w:ascii="宋体" w:hAnsi="宋体" w:cs="ZWAdobeF"/>
          <w:color w:val="auto"/>
          <w:sz w:val="2"/>
          <w:szCs w:val="2"/>
          <w:highlight w:val="none"/>
        </w:rPr>
        <w:t>UU</w:t>
      </w:r>
      <w:r>
        <w:rPr>
          <w:rFonts w:hint="eastAsia" w:ascii="宋体" w:hAnsi="宋体" w:cs="宋体"/>
          <w:color w:val="auto"/>
          <w:szCs w:val="21"/>
          <w:highlight w:val="none"/>
        </w:rPr>
        <w:t>，副本可以复印，与正本具有同等法律效力。授权代表须将以书面形式出具的《法定代表人授权委托书》附在磋商响应文件中。</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磋商响应文件中的任何重要的插字、涂改、增删和修正，必须由法定代表人或经其正式授权的代表在旁边签章或签字才有效。</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69" w:name="_Toc363737702"/>
      <w:bookmarkStart w:id="170" w:name="_Toc475104495"/>
      <w:r>
        <w:rPr>
          <w:rFonts w:hint="eastAsia" w:ascii="宋体" w:hAnsi="宋体"/>
          <w:b/>
          <w:color w:val="auto"/>
          <w:sz w:val="28"/>
          <w:szCs w:val="28"/>
          <w:highlight w:val="none"/>
          <w:lang w:eastAsia="zh-TW"/>
        </w:rPr>
        <w:t>磋商响应文件的递交</w:t>
      </w:r>
      <w:bookmarkEnd w:id="164"/>
      <w:bookmarkEnd w:id="165"/>
      <w:bookmarkEnd w:id="166"/>
      <w:bookmarkEnd w:id="167"/>
      <w:bookmarkEnd w:id="168"/>
      <w:bookmarkEnd w:id="169"/>
      <w:bookmarkEnd w:id="170"/>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1" w:name="_Toc320515038"/>
      <w:bookmarkStart w:id="172" w:name="_Toc363737703"/>
      <w:bookmarkStart w:id="173" w:name="_Toc320515087"/>
      <w:bookmarkStart w:id="174" w:name="_Toc315793474"/>
      <w:bookmarkStart w:id="175" w:name="_Toc475104496"/>
      <w:r>
        <w:rPr>
          <w:rFonts w:hint="eastAsia" w:ascii="宋体" w:hAnsi="宋体"/>
          <w:b/>
          <w:bCs/>
          <w:color w:val="auto"/>
          <w:sz w:val="24"/>
          <w:highlight w:val="none"/>
        </w:rPr>
        <w:t>磋商响应文件的密封和标记</w:t>
      </w:r>
      <w:bookmarkEnd w:id="171"/>
      <w:bookmarkEnd w:id="172"/>
      <w:bookmarkEnd w:id="173"/>
      <w:bookmarkEnd w:id="174"/>
      <w:bookmarkEnd w:id="175"/>
    </w:p>
    <w:p>
      <w:pPr>
        <w:numPr>
          <w:ilvl w:val="1"/>
          <w:numId w:val="5"/>
        </w:numPr>
        <w:autoSpaceDE w:val="0"/>
        <w:autoSpaceDN w:val="0"/>
        <w:adjustRightInd w:val="0"/>
        <w:snapToGrid w:val="0"/>
        <w:spacing w:line="360" w:lineRule="auto"/>
        <w:rPr>
          <w:rFonts w:ascii="宋体" w:hAnsi="宋体" w:cs="黑体"/>
          <w:b/>
          <w:bCs/>
          <w:dstrike/>
          <w:color w:val="auto"/>
          <w:szCs w:val="21"/>
          <w:highlight w:val="none"/>
        </w:rPr>
      </w:pPr>
      <w:r>
        <w:rPr>
          <w:rFonts w:hint="eastAsia" w:ascii="宋体" w:hAnsi="宋体" w:cs="宋体"/>
          <w:color w:val="auto"/>
          <w:szCs w:val="21"/>
          <w:highlight w:val="none"/>
        </w:rPr>
        <w:t>报价信封的密封和标记：</w:t>
      </w:r>
    </w:p>
    <w:p>
      <w:pPr>
        <w:numPr>
          <w:ilvl w:val="2"/>
          <w:numId w:val="5"/>
        </w:numPr>
        <w:tabs>
          <w:tab w:val="left" w:pos="851"/>
        </w:tabs>
        <w:autoSpaceDE w:val="0"/>
        <w:autoSpaceDN w:val="0"/>
        <w:adjustRightInd w:val="0"/>
        <w:snapToGrid w:val="0"/>
        <w:spacing w:line="360" w:lineRule="auto"/>
        <w:jc w:val="left"/>
        <w:rPr>
          <w:rFonts w:ascii="宋体" w:hAnsi="宋体" w:cs="黑体"/>
          <w:b/>
          <w:bCs/>
          <w:dstrike/>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应将</w:t>
      </w:r>
      <w:r>
        <w:rPr>
          <w:rFonts w:hint="eastAsia" w:ascii="宋体" w:hAnsi="宋体" w:cs="宋体"/>
          <w:color w:val="auto"/>
          <w:kern w:val="0"/>
          <w:szCs w:val="21"/>
          <w:highlight w:val="none"/>
        </w:rPr>
        <w:t>竞争性磋商函</w:t>
      </w:r>
      <w:r>
        <w:rPr>
          <w:rFonts w:hint="eastAsia" w:ascii="宋体" w:hAnsi="宋体" w:cs="宋体"/>
          <w:color w:val="auto"/>
          <w:szCs w:val="21"/>
          <w:highlight w:val="none"/>
        </w:rPr>
        <w:t>和电子文件</w:t>
      </w:r>
      <w:r>
        <w:rPr>
          <w:rFonts w:hint="eastAsia" w:ascii="宋体" w:hAnsi="宋体" w:cs="宋体"/>
          <w:color w:val="auto"/>
          <w:szCs w:val="21"/>
          <w:highlight w:val="none"/>
          <w:lang w:eastAsia="zh-TW"/>
        </w:rPr>
        <w:t>单独</w:t>
      </w:r>
      <w:r>
        <w:rPr>
          <w:rFonts w:hint="eastAsia" w:ascii="宋体" w:hAnsi="宋体" w:cs="宋体"/>
          <w:color w:val="auto"/>
          <w:szCs w:val="21"/>
          <w:highlight w:val="none"/>
        </w:rPr>
        <w:t>一起</w:t>
      </w:r>
      <w:r>
        <w:rPr>
          <w:rFonts w:hint="eastAsia" w:ascii="宋体" w:hAnsi="宋体" w:cs="宋体"/>
          <w:color w:val="auto"/>
          <w:szCs w:val="21"/>
          <w:highlight w:val="none"/>
          <w:lang w:eastAsia="zh-TW"/>
        </w:rPr>
        <w:t>密封提交</w:t>
      </w:r>
      <w:r>
        <w:rPr>
          <w:rFonts w:hint="eastAsia" w:ascii="宋体" w:hAnsi="宋体" w:cs="宋体"/>
          <w:color w:val="auto"/>
          <w:szCs w:val="21"/>
          <w:highlight w:val="none"/>
        </w:rPr>
        <w:t>，</w:t>
      </w:r>
      <w:r>
        <w:rPr>
          <w:rFonts w:hint="eastAsia" w:ascii="宋体" w:hAnsi="宋体" w:cs="宋体"/>
          <w:color w:val="auto"/>
          <w:szCs w:val="21"/>
          <w:highlight w:val="none"/>
          <w:lang w:eastAsia="zh-TW"/>
        </w:rPr>
        <w:t>并在信封上标明</w:t>
      </w:r>
      <w:r>
        <w:rPr>
          <w:rFonts w:hint="eastAsia" w:ascii="宋体" w:hAnsi="宋体" w:cs="宋体"/>
          <w:color w:val="auto"/>
          <w:szCs w:val="21"/>
          <w:highlight w:val="none"/>
        </w:rPr>
        <w:t>“报价信封”的</w:t>
      </w:r>
      <w:r>
        <w:rPr>
          <w:rFonts w:hint="eastAsia" w:ascii="宋体" w:hAnsi="宋体" w:cs="宋体"/>
          <w:color w:val="auto"/>
          <w:szCs w:val="21"/>
          <w:highlight w:val="none"/>
          <w:lang w:eastAsia="zh-TW"/>
        </w:rPr>
        <w:t>字样。</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磋商响应文件递交及封装：</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所有磋商响应文件及样板（如有）应在磋商响应文件递交截止时间前送达磋商响应文件递交地点（时间及地点以第一章竞争性磋商邀请为准），并当面交予采购代理机构专责人员，采购代理机构将拒绝以下情况之一的磋商响应文件：</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（1）迟于磋商响应文件递交截止时间递交的；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（2）以电报、电话、电传、传真或邮递形式递交的；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cs="宋体"/>
          <w:color w:val="auto"/>
          <w:szCs w:val="21"/>
          <w:highlight w:val="none"/>
        </w:rPr>
      </w:pPr>
      <w:r>
        <w:rPr>
          <w:rFonts w:hint="eastAsia" w:ascii="宋体" w:hAnsi="宋体" w:cs="宋体"/>
          <w:color w:val="auto"/>
          <w:szCs w:val="21"/>
          <w:highlight w:val="none"/>
        </w:rPr>
        <w:t>（3）密封不严、册装不整的。</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正本单独封装，副本全部一起封装，报价信封单独封装，封套表面标明 “正本”、“副本”或“报价信封”字样。在每一封套上按以下顺序标明如下字样，注明竞争性磋商邀请中指明的项目名称、项目编号和“在(竞争性磋商文件中规定的磋商响应文件递交截止时间)之前不得启封”的字样，如：</w:t>
      </w:r>
    </w:p>
    <w:tbl>
      <w:tblPr>
        <w:tblStyle w:val="90"/>
        <w:tblW w:w="7200" w:type="dxa"/>
        <w:tblInd w:w="118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00" w:type="dxa"/>
          </w:tcPr>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收件人名称：广州市信怡招标代理有限公司</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 xml:space="preserve">项目编号：                 </w:t>
            </w:r>
          </w:p>
          <w:p>
            <w:pPr>
              <w:spacing w:line="360" w:lineRule="auto"/>
              <w:ind w:firstLine="420" w:firstLineChars="200"/>
              <w:rPr>
                <w:rFonts w:ascii="宋体" w:hAnsi="宋体" w:cs="宋体"/>
                <w:color w:val="auto"/>
                <w:szCs w:val="21"/>
                <w:highlight w:val="none"/>
              </w:rPr>
            </w:pPr>
            <w:r>
              <w:rPr>
                <w:rFonts w:hint="eastAsia" w:ascii="宋体" w:hAnsi="宋体"/>
                <w:color w:val="auto"/>
                <w:szCs w:val="21"/>
                <w:highlight w:val="none"/>
              </w:rPr>
              <w:t>项目名称：</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包装内容：</w:t>
            </w:r>
            <w:r>
              <w:rPr>
                <w:rFonts w:hint="eastAsia" w:ascii="宋体" w:hAnsi="宋体" w:cs="宋体"/>
                <w:color w:val="auto"/>
                <w:szCs w:val="21"/>
                <w:highlight w:val="none"/>
              </w:rPr>
              <w:t>磋商</w:t>
            </w:r>
            <w:r>
              <w:rPr>
                <w:rFonts w:hint="eastAsia" w:ascii="宋体" w:hAnsi="宋体"/>
                <w:color w:val="auto"/>
                <w:szCs w:val="21"/>
                <w:highlight w:val="none"/>
              </w:rPr>
              <w:t>响应文件正本</w:t>
            </w:r>
            <w:r>
              <w:rPr>
                <w:rFonts w:ascii="宋体" w:hAnsi="宋体"/>
                <w:color w:val="auto"/>
                <w:szCs w:val="21"/>
                <w:highlight w:val="none"/>
              </w:rPr>
              <w:t>/</w:t>
            </w:r>
            <w:r>
              <w:rPr>
                <w:rFonts w:hint="eastAsia" w:ascii="宋体" w:hAnsi="宋体"/>
                <w:color w:val="auto"/>
                <w:szCs w:val="21"/>
                <w:highlight w:val="none"/>
              </w:rPr>
              <w:t>副本</w:t>
            </w:r>
            <w:r>
              <w:rPr>
                <w:rFonts w:ascii="宋体" w:hAnsi="宋体"/>
                <w:color w:val="auto"/>
                <w:szCs w:val="21"/>
                <w:highlight w:val="none"/>
              </w:rPr>
              <w:t>/</w:t>
            </w:r>
            <w:r>
              <w:rPr>
                <w:rFonts w:hint="eastAsia" w:ascii="宋体" w:hAnsi="宋体"/>
                <w:color w:val="auto"/>
                <w:szCs w:val="21"/>
                <w:highlight w:val="none"/>
              </w:rPr>
              <w:t>报价信封</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名称：</w:t>
            </w:r>
          </w:p>
          <w:p>
            <w:pPr>
              <w:spacing w:line="360" w:lineRule="auto"/>
              <w:ind w:firstLine="420" w:firstLineChars="200"/>
              <w:rPr>
                <w:rFonts w:ascii="宋体" w:hAnsi="宋体"/>
                <w:color w:val="auto"/>
                <w:szCs w:val="21"/>
                <w:highlight w:val="none"/>
              </w:rPr>
            </w:pPr>
            <w:r>
              <w:rPr>
                <w:rFonts w:hint="eastAsia" w:cs="宋体"/>
                <w:color w:val="auto"/>
                <w:szCs w:val="21"/>
                <w:highlight w:val="none"/>
              </w:rPr>
              <w:t>供应商</w:t>
            </w:r>
            <w:r>
              <w:rPr>
                <w:rFonts w:hint="eastAsia" w:ascii="宋体" w:hAnsi="宋体"/>
                <w:color w:val="auto"/>
                <w:szCs w:val="21"/>
                <w:highlight w:val="none"/>
              </w:rPr>
              <w:t>地址：</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w:t>
            </w:r>
            <w:r>
              <w:rPr>
                <w:rFonts w:ascii="宋体" w:hAnsi="宋体"/>
                <w:color w:val="auto"/>
                <w:szCs w:val="21"/>
                <w:highlight w:val="none"/>
              </w:rPr>
              <w:t xml:space="preserve"> 系 人：</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联系电话：</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olor w:val="auto"/>
                <w:szCs w:val="21"/>
                <w:highlight w:val="none"/>
              </w:rPr>
              <w:t>在规定的磋商时间2020</w:t>
            </w:r>
            <w:r>
              <w:rPr>
                <w:rFonts w:ascii="宋体" w:hAnsi="宋体"/>
                <w:color w:val="auto"/>
                <w:szCs w:val="21"/>
                <w:highlight w:val="none"/>
              </w:rPr>
              <w:t>年</w:t>
            </w:r>
            <w:r>
              <w:rPr>
                <w:rFonts w:hint="eastAsia" w:ascii="宋体" w:hAnsi="宋体"/>
                <w:color w:val="auto"/>
                <w:szCs w:val="21"/>
                <w:highlight w:val="none"/>
              </w:rPr>
              <w:t xml:space="preserve"> </w:t>
            </w:r>
            <w:r>
              <w:rPr>
                <w:rFonts w:ascii="宋体" w:hAnsi="宋体"/>
                <w:color w:val="auto"/>
                <w:szCs w:val="21"/>
                <w:highlight w:val="none"/>
              </w:rPr>
              <w:t>月</w:t>
            </w:r>
            <w:r>
              <w:rPr>
                <w:rFonts w:hint="eastAsia" w:ascii="宋体" w:hAnsi="宋体"/>
                <w:color w:val="auto"/>
                <w:szCs w:val="21"/>
                <w:highlight w:val="none"/>
              </w:rPr>
              <w:t xml:space="preserve"> </w:t>
            </w:r>
            <w:r>
              <w:rPr>
                <w:rFonts w:ascii="宋体" w:hAnsi="宋体"/>
                <w:color w:val="auto"/>
                <w:szCs w:val="21"/>
                <w:highlight w:val="none"/>
              </w:rPr>
              <w:t>日</w:t>
            </w:r>
            <w:r>
              <w:rPr>
                <w:rFonts w:hint="eastAsia" w:ascii="宋体" w:hAnsi="宋体"/>
                <w:color w:val="auto"/>
                <w:szCs w:val="21"/>
                <w:highlight w:val="none"/>
              </w:rPr>
              <w:t>前不得启封</w:t>
            </w:r>
          </w:p>
        </w:tc>
      </w:tr>
    </w:tbl>
    <w:p>
      <w:pPr>
        <w:numPr>
          <w:ilvl w:val="1"/>
          <w:numId w:val="5"/>
        </w:numPr>
        <w:autoSpaceDE w:val="0"/>
        <w:autoSpaceDN w:val="0"/>
        <w:adjustRightInd w:val="0"/>
        <w:snapToGrid w:val="0"/>
        <w:spacing w:line="360" w:lineRule="auto"/>
        <w:rPr>
          <w:rFonts w:ascii="宋体" w:hAnsi="宋体" w:cs="宋体"/>
          <w:color w:val="auto"/>
          <w:szCs w:val="21"/>
          <w:highlight w:val="none"/>
        </w:rPr>
      </w:pPr>
      <w:r>
        <w:rPr>
          <w:rFonts w:hint="eastAsia" w:ascii="宋体" w:hAnsi="宋体" w:cs="宋体"/>
          <w:color w:val="auto"/>
          <w:szCs w:val="21"/>
          <w:highlight w:val="none"/>
        </w:rPr>
        <w:t>采购代理机构对因不可抗力事件造成的磋商响应文件的损坏、丢失不承担责任。</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s="宋体"/>
          <w:color w:val="auto"/>
          <w:szCs w:val="21"/>
          <w:highlight w:val="none"/>
          <w:lang w:eastAsia="zh-TW"/>
        </w:rPr>
        <w:t>如果未按本须知</w:t>
      </w:r>
      <w:r>
        <w:rPr>
          <w:rFonts w:hint="eastAsia" w:ascii="宋体" w:hAnsi="宋体" w:cs="宋体"/>
          <w:color w:val="auto"/>
          <w:szCs w:val="21"/>
          <w:highlight w:val="none"/>
        </w:rPr>
        <w:t>上款</w:t>
      </w:r>
      <w:r>
        <w:rPr>
          <w:rFonts w:hint="eastAsia" w:ascii="宋体" w:hAnsi="宋体" w:cs="宋体"/>
          <w:color w:val="auto"/>
          <w:szCs w:val="21"/>
          <w:highlight w:val="none"/>
          <w:lang w:eastAsia="zh-TW"/>
        </w:rPr>
        <w:t>要求加写标记和</w:t>
      </w:r>
      <w:r>
        <w:rPr>
          <w:rFonts w:hint="eastAsia" w:ascii="宋体" w:hAnsi="宋体" w:cs="宋体"/>
          <w:color w:val="auto"/>
          <w:szCs w:val="21"/>
          <w:highlight w:val="none"/>
        </w:rPr>
        <w:t>密封，</w:t>
      </w:r>
      <w:r>
        <w:rPr>
          <w:rFonts w:hint="eastAsia" w:ascii="宋体" w:hAnsi="宋体" w:cs="宋体"/>
          <w:color w:val="auto"/>
          <w:szCs w:val="21"/>
          <w:highlight w:val="none"/>
          <w:lang w:eastAsia="zh-TW"/>
        </w:rPr>
        <w:t>政府采购代理机构对误投或提前启封概不负责</w:t>
      </w:r>
      <w:r>
        <w:rPr>
          <w:rFonts w:hint="eastAsia" w:ascii="宋体" w:hAnsi="宋体" w:cs="宋体"/>
          <w:color w:val="auto"/>
          <w:szCs w:val="21"/>
          <w:highlight w:val="none"/>
        </w:rPr>
        <w:t>。</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76" w:name="_Toc320515040"/>
      <w:bookmarkStart w:id="177" w:name="_Toc322680366"/>
      <w:bookmarkStart w:id="178" w:name="_Toc315793476"/>
      <w:bookmarkStart w:id="179" w:name="_Toc320515089"/>
      <w:bookmarkStart w:id="180" w:name="_Toc323110999"/>
      <w:r>
        <w:rPr>
          <w:rFonts w:hint="eastAsia" w:ascii="宋体" w:hAnsi="宋体"/>
          <w:b/>
          <w:bCs/>
          <w:color w:val="auto"/>
          <w:sz w:val="24"/>
          <w:highlight w:val="none"/>
        </w:rPr>
        <w:t>磋商响应文件递交截止期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应在不迟于</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响应文件递交至政府采购代理机构</w:t>
      </w:r>
      <w:r>
        <w:rPr>
          <w:rFonts w:hint="eastAsia" w:ascii="宋体" w:hAnsi="宋体" w:cs="宋体"/>
          <w:color w:val="auto"/>
          <w:szCs w:val="21"/>
          <w:highlight w:val="none"/>
        </w:rPr>
        <w:t>，</w:t>
      </w:r>
      <w:r>
        <w:rPr>
          <w:rFonts w:hint="eastAsia" w:ascii="宋体" w:hAnsi="宋体" w:cs="宋体"/>
          <w:color w:val="auto"/>
          <w:szCs w:val="21"/>
          <w:highlight w:val="none"/>
          <w:lang w:eastAsia="zh-TW"/>
        </w:rPr>
        <w:t>递交地点应是</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中指明的地址。</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采购代理机构将拒绝在规定的</w:t>
      </w:r>
      <w:r>
        <w:rPr>
          <w:rFonts w:hint="eastAsia" w:ascii="宋体" w:hAnsi="宋体" w:cs="宋体"/>
          <w:color w:val="auto"/>
          <w:szCs w:val="21"/>
          <w:highlight w:val="none"/>
        </w:rPr>
        <w:t>磋商响应文件递交截止时间</w:t>
      </w:r>
      <w:r>
        <w:rPr>
          <w:rFonts w:hint="eastAsia" w:ascii="宋体" w:hAnsi="宋体" w:cs="宋体"/>
          <w:color w:val="auto"/>
          <w:szCs w:val="21"/>
          <w:highlight w:val="none"/>
          <w:lang w:eastAsia="zh-TW"/>
        </w:rPr>
        <w:t>后收到的任何</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w:t>
      </w:r>
    </w:p>
    <w:bookmarkEnd w:id="176"/>
    <w:bookmarkEnd w:id="177"/>
    <w:bookmarkEnd w:id="178"/>
    <w:bookmarkEnd w:id="179"/>
    <w:bookmarkEnd w:id="180"/>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1" w:name="_Toc475104498"/>
      <w:bookmarkStart w:id="182" w:name="_Toc363737705"/>
      <w:bookmarkStart w:id="183" w:name="_Toc323111000"/>
      <w:r>
        <w:rPr>
          <w:rFonts w:hint="eastAsia" w:ascii="宋体" w:hAnsi="宋体"/>
          <w:b/>
          <w:bCs/>
          <w:color w:val="auto"/>
          <w:sz w:val="24"/>
          <w:highlight w:val="none"/>
        </w:rPr>
        <w:t>磋商响应文件的修改和撤回</w:t>
      </w:r>
      <w:bookmarkEnd w:id="181"/>
      <w:bookmarkEnd w:id="182"/>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cs="宋体"/>
          <w:color w:val="auto"/>
          <w:szCs w:val="21"/>
          <w:highlight w:val="none"/>
        </w:rPr>
        <w:t>供应商</w:t>
      </w:r>
      <w:r>
        <w:rPr>
          <w:rFonts w:hint="eastAsia" w:ascii="宋体" w:hAnsi="宋体" w:cs="宋体"/>
          <w:color w:val="auto"/>
          <w:szCs w:val="21"/>
          <w:highlight w:val="none"/>
          <w:lang w:eastAsia="zh-TW"/>
        </w:rPr>
        <w:t>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前，可以对所递交的</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响应文件进行补充、修改或者撤回，并书面通知</w:t>
      </w:r>
      <w:r>
        <w:rPr>
          <w:rFonts w:hint="eastAsia" w:ascii="宋体" w:hAnsi="宋体" w:cs="宋体"/>
          <w:color w:val="auto"/>
          <w:szCs w:val="21"/>
          <w:highlight w:val="none"/>
        </w:rPr>
        <w:t>采购代理机构</w:t>
      </w:r>
      <w:r>
        <w:rPr>
          <w:rFonts w:hint="eastAsia" w:ascii="宋体" w:hAnsi="宋体" w:cs="宋体"/>
          <w:color w:val="auto"/>
          <w:szCs w:val="21"/>
          <w:highlight w:val="none"/>
          <w:lang w:eastAsia="zh-TW"/>
        </w:rPr>
        <w:t>。补充、修改的内容应当按竞争性磋商文件要求签署、盖章</w:t>
      </w:r>
      <w:r>
        <w:rPr>
          <w:rFonts w:hint="eastAsia" w:ascii="宋体" w:hAnsi="宋体" w:cs="宋体"/>
          <w:color w:val="auto"/>
          <w:szCs w:val="21"/>
          <w:highlight w:val="none"/>
        </w:rPr>
        <w:t>和密封</w:t>
      </w:r>
      <w:r>
        <w:rPr>
          <w:rFonts w:hint="eastAsia" w:ascii="宋体" w:hAnsi="宋体" w:cs="宋体"/>
          <w:color w:val="auto"/>
          <w:szCs w:val="21"/>
          <w:highlight w:val="none"/>
          <w:lang w:eastAsia="zh-TW"/>
        </w:rPr>
        <w:t>，</w:t>
      </w:r>
      <w:r>
        <w:rPr>
          <w:rFonts w:hint="eastAsia" w:ascii="宋体" w:hAnsi="宋体" w:cs="宋体"/>
          <w:color w:val="auto"/>
          <w:szCs w:val="21"/>
          <w:highlight w:val="none"/>
        </w:rPr>
        <w:t>在磋商响应文件递交截止时间前密封好提交，</w:t>
      </w:r>
      <w:r>
        <w:rPr>
          <w:rFonts w:hint="eastAsia" w:ascii="宋体" w:hAnsi="宋体" w:cs="宋体"/>
          <w:color w:val="auto"/>
          <w:szCs w:val="21"/>
          <w:highlight w:val="none"/>
          <w:lang w:eastAsia="zh-TW"/>
        </w:rPr>
        <w:t>并作为</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响应文件的组成部分。补充、修改的内容与响应文件不一致的，以补充、修改的内容为准。在</w:t>
      </w:r>
      <w:r>
        <w:rPr>
          <w:rFonts w:hint="eastAsia" w:ascii="宋体" w:hAnsi="宋体"/>
          <w:color w:val="auto"/>
          <w:highlight w:val="none"/>
        </w:rPr>
        <w:t>磋商响应文件递交截止时间</w:t>
      </w:r>
      <w:r>
        <w:rPr>
          <w:rFonts w:hint="eastAsia" w:ascii="宋体" w:hAnsi="宋体" w:cs="宋体"/>
          <w:color w:val="auto"/>
          <w:szCs w:val="21"/>
          <w:highlight w:val="none"/>
          <w:lang w:eastAsia="zh-TW"/>
        </w:rPr>
        <w:t>后，</w:t>
      </w:r>
      <w:r>
        <w:rPr>
          <w:rFonts w:hint="eastAsia" w:cs="宋体"/>
          <w:color w:val="auto"/>
          <w:szCs w:val="21"/>
          <w:highlight w:val="none"/>
        </w:rPr>
        <w:t>供应商</w:t>
      </w:r>
      <w:r>
        <w:rPr>
          <w:rFonts w:hint="eastAsia" w:ascii="宋体" w:hAnsi="宋体" w:cs="宋体"/>
          <w:color w:val="auto"/>
          <w:szCs w:val="21"/>
          <w:highlight w:val="none"/>
          <w:lang w:eastAsia="zh-TW"/>
        </w:rPr>
        <w:t>不得对其</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响应文件做任何修改和补充。</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184" w:name="_Toc363737706"/>
      <w:bookmarkStart w:id="185" w:name="_Toc475104499"/>
      <w:r>
        <w:rPr>
          <w:rFonts w:hint="eastAsia" w:ascii="宋体" w:hAnsi="宋体"/>
          <w:b/>
          <w:color w:val="auto"/>
          <w:sz w:val="28"/>
          <w:szCs w:val="28"/>
          <w:highlight w:val="none"/>
        </w:rPr>
        <w:t>竞争性磋商流程</w:t>
      </w:r>
      <w:bookmarkEnd w:id="183"/>
      <w:bookmarkEnd w:id="184"/>
      <w:bookmarkEnd w:id="185"/>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6" w:name="_Toc475104500"/>
      <w:bookmarkStart w:id="187" w:name="_Toc363737707"/>
      <w:bookmarkStart w:id="188" w:name="_Toc323111001"/>
      <w:r>
        <w:rPr>
          <w:rFonts w:hint="eastAsia" w:ascii="宋体" w:hAnsi="宋体"/>
          <w:b/>
          <w:bCs/>
          <w:color w:val="auto"/>
          <w:sz w:val="24"/>
          <w:highlight w:val="none"/>
        </w:rPr>
        <w:t>磋商及抽取磋商顺序</w:t>
      </w:r>
      <w:bookmarkEnd w:id="186"/>
      <w:bookmarkEnd w:id="187"/>
      <w:bookmarkEnd w:id="18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磋商在竞争性磋商文件确定的</w:t>
      </w:r>
      <w:r>
        <w:rPr>
          <w:rFonts w:hint="eastAsia" w:ascii="宋体" w:hAnsi="宋体" w:cs="宋体"/>
          <w:color w:val="auto"/>
          <w:szCs w:val="21"/>
          <w:highlight w:val="none"/>
        </w:rPr>
        <w:t>磋商响应</w:t>
      </w:r>
      <w:r>
        <w:rPr>
          <w:rFonts w:hint="eastAsia" w:ascii="宋体" w:hAnsi="宋体" w:cs="宋体"/>
          <w:color w:val="auto"/>
          <w:szCs w:val="21"/>
          <w:highlight w:val="none"/>
          <w:lang w:eastAsia="zh-TW"/>
        </w:rPr>
        <w:t>文件递交截止时间的同一时间公开进行，磋商地点为竞争性磋商文件预先确定的地点。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磋商由</w:t>
      </w:r>
      <w:r>
        <w:rPr>
          <w:rFonts w:hint="eastAsia" w:ascii="宋体" w:hAnsi="宋体" w:cs="宋体"/>
          <w:color w:val="auto"/>
          <w:szCs w:val="21"/>
          <w:highlight w:val="none"/>
        </w:rPr>
        <w:t>采购人或</w:t>
      </w:r>
      <w:r>
        <w:rPr>
          <w:rFonts w:hint="eastAsia" w:ascii="宋体" w:hAnsi="宋体" w:cs="宋体"/>
          <w:color w:val="auto"/>
          <w:szCs w:val="21"/>
          <w:highlight w:val="none"/>
          <w:lang w:eastAsia="zh-TW"/>
        </w:rPr>
        <w:t>采购代理机构主持，</w:t>
      </w:r>
      <w:r>
        <w:rPr>
          <w:rFonts w:hint="eastAsia" w:ascii="宋体" w:hAnsi="宋体" w:cs="宋体"/>
          <w:b/>
          <w:color w:val="auto"/>
          <w:szCs w:val="21"/>
          <w:highlight w:val="none"/>
          <w:lang w:eastAsia="zh-TW"/>
        </w:rPr>
        <w:t>邀请所有供应商代表持本人身份证原件</w:t>
      </w:r>
      <w:r>
        <w:rPr>
          <w:rFonts w:hint="eastAsia" w:ascii="宋体" w:hAnsi="宋体" w:cs="宋体"/>
          <w:b/>
          <w:color w:val="auto"/>
          <w:szCs w:val="21"/>
          <w:highlight w:val="none"/>
        </w:rPr>
        <w:t>、法定代表人证明书、法定代表人授权书（如适用）参加。</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在竞争性磋商文件规定的</w:t>
      </w:r>
      <w:r>
        <w:rPr>
          <w:rFonts w:hint="eastAsia" w:ascii="宋体" w:hAnsi="宋体"/>
          <w:color w:val="auto"/>
          <w:highlight w:val="none"/>
        </w:rPr>
        <w:t>磋商响应文件递交</w:t>
      </w:r>
      <w:r>
        <w:rPr>
          <w:rFonts w:hint="eastAsia" w:ascii="宋体" w:hAnsi="宋体"/>
          <w:color w:val="auto"/>
          <w:szCs w:val="21"/>
          <w:highlight w:val="none"/>
        </w:rPr>
        <w:t>截止时间到点时，主持人应当宣布</w:t>
      </w:r>
      <w:r>
        <w:rPr>
          <w:rFonts w:hint="eastAsia" w:ascii="宋体" w:hAnsi="宋体"/>
          <w:color w:val="auto"/>
          <w:highlight w:val="none"/>
        </w:rPr>
        <w:t>磋商响应文件递交截止时间</w:t>
      </w:r>
      <w:r>
        <w:rPr>
          <w:rFonts w:hint="eastAsia" w:ascii="宋体" w:hAnsi="宋体"/>
          <w:color w:val="auto"/>
          <w:szCs w:val="21"/>
          <w:highlight w:val="none"/>
        </w:rPr>
        <w:t>已到，以后递交的磋商响应文件一律不予接受。</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主持人宣读磋商大会会场纪律。</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在</w:t>
      </w:r>
      <w:r>
        <w:rPr>
          <w:rFonts w:hint="eastAsia" w:ascii="宋体" w:hAnsi="宋体"/>
          <w:color w:val="auto"/>
          <w:szCs w:val="21"/>
          <w:highlight w:val="none"/>
        </w:rPr>
        <w:t>磋商响应文件递交截止时间</w:t>
      </w:r>
      <w:r>
        <w:rPr>
          <w:rFonts w:hint="eastAsia" w:ascii="宋体" w:hAnsi="宋体" w:cs="宋体"/>
          <w:color w:val="auto"/>
          <w:szCs w:val="21"/>
          <w:highlight w:val="none"/>
          <w:lang w:eastAsia="zh-TW"/>
        </w:rPr>
        <w:t>前收到的所有经检查合格的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，磋商时，</w:t>
      </w:r>
      <w:r>
        <w:rPr>
          <w:rFonts w:hint="eastAsia" w:ascii="宋体" w:hAnsi="宋体" w:cs="宋体"/>
          <w:color w:val="auto"/>
          <w:kern w:val="0"/>
          <w:szCs w:val="21"/>
          <w:highlight w:val="none"/>
        </w:rPr>
        <w:t>由递交</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响应文件的前三名</w:t>
      </w:r>
      <w:r>
        <w:rPr>
          <w:rFonts w:hint="eastAsia" w:cs="宋体"/>
          <w:color w:val="auto"/>
          <w:szCs w:val="21"/>
          <w:highlight w:val="none"/>
        </w:rPr>
        <w:t>供应商</w:t>
      </w:r>
      <w:r>
        <w:rPr>
          <w:rFonts w:hint="eastAsia" w:ascii="宋体" w:hAnsi="宋体" w:cs="宋体"/>
          <w:color w:val="auto"/>
          <w:kern w:val="0"/>
          <w:szCs w:val="21"/>
          <w:highlight w:val="none"/>
        </w:rPr>
        <w:t>授权代表作为全体</w:t>
      </w:r>
      <w:r>
        <w:rPr>
          <w:rFonts w:hint="eastAsia" w:cs="宋体"/>
          <w:color w:val="auto"/>
          <w:szCs w:val="21"/>
          <w:highlight w:val="none"/>
        </w:rPr>
        <w:t>供应商</w:t>
      </w:r>
      <w:r>
        <w:rPr>
          <w:rFonts w:hint="eastAsia" w:ascii="宋体" w:hAnsi="宋体" w:cs="宋体"/>
          <w:color w:val="auto"/>
          <w:kern w:val="0"/>
          <w:szCs w:val="21"/>
          <w:highlight w:val="none"/>
        </w:rPr>
        <w:t>推选的代表就全部</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响应文件的密封情况进行检查，也可以由采购人委托的公证机构检查并公证；经确认无误后，由</w:t>
      </w:r>
      <w:r>
        <w:rPr>
          <w:rFonts w:hint="eastAsia" w:ascii="宋体" w:hAnsi="宋体"/>
          <w:color w:val="auto"/>
          <w:szCs w:val="21"/>
          <w:highlight w:val="none"/>
        </w:rPr>
        <w:t>磋商</w:t>
      </w:r>
      <w:r>
        <w:rPr>
          <w:rFonts w:hint="eastAsia" w:ascii="宋体" w:hAnsi="宋体" w:cs="宋体"/>
          <w:color w:val="auto"/>
          <w:kern w:val="0"/>
          <w:szCs w:val="21"/>
          <w:highlight w:val="none"/>
        </w:rPr>
        <w:t>工作人员当众拆封，宣读</w:t>
      </w:r>
      <w:r>
        <w:rPr>
          <w:rFonts w:hint="eastAsia" w:cs="宋体"/>
          <w:color w:val="auto"/>
          <w:szCs w:val="21"/>
          <w:highlight w:val="none"/>
        </w:rPr>
        <w:t>供应商</w:t>
      </w:r>
      <w:r>
        <w:rPr>
          <w:rFonts w:hint="eastAsia" w:ascii="宋体" w:hAnsi="宋体" w:cs="宋体"/>
          <w:color w:val="auto"/>
          <w:kern w:val="0"/>
          <w:szCs w:val="21"/>
          <w:highlight w:val="none"/>
        </w:rPr>
        <w:t>名称、初次报价和</w:t>
      </w:r>
      <w:r>
        <w:rPr>
          <w:rFonts w:hint="eastAsia" w:ascii="宋体" w:hAnsi="宋体"/>
          <w:color w:val="auto"/>
          <w:szCs w:val="21"/>
          <w:highlight w:val="none"/>
        </w:rPr>
        <w:t>磋商</w:t>
      </w:r>
      <w:r>
        <w:rPr>
          <w:rFonts w:hint="eastAsia" w:ascii="宋体" w:hAnsi="宋体" w:cs="宋体"/>
          <w:color w:val="auto"/>
          <w:kern w:val="0"/>
          <w:szCs w:val="21"/>
          <w:highlight w:val="none"/>
        </w:rPr>
        <w:t>响应文件的其他主要内容</w:t>
      </w:r>
      <w:r>
        <w:rPr>
          <w:rFonts w:hint="eastAsia" w:ascii="宋体" w:hAnsi="宋体" w:cs="宋体"/>
          <w:color w:val="auto"/>
          <w:szCs w:val="21"/>
          <w:highlight w:val="none"/>
          <w:lang w:eastAsia="zh-TW"/>
        </w:rPr>
        <w:t>。</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lang w:eastAsia="zh-TW"/>
        </w:rPr>
        <w:t>磋商会记录人应在磋商记录表上记录唱标内容，并当场公示。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s="宋体"/>
          <w:color w:val="auto"/>
          <w:szCs w:val="21"/>
          <w:highlight w:val="none"/>
        </w:rPr>
        <w:t>代理机构组织</w:t>
      </w:r>
      <w:r>
        <w:rPr>
          <w:rFonts w:hint="eastAsia" w:cs="宋体"/>
          <w:color w:val="auto"/>
          <w:szCs w:val="21"/>
          <w:highlight w:val="none"/>
        </w:rPr>
        <w:t>供应商</w:t>
      </w:r>
      <w:r>
        <w:rPr>
          <w:rFonts w:hint="eastAsia" w:ascii="宋体" w:hAnsi="宋体" w:cs="宋体"/>
          <w:color w:val="auto"/>
          <w:szCs w:val="21"/>
          <w:highlight w:val="none"/>
        </w:rPr>
        <w:t>抽签决定磋商顺序。</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189" w:name="_Toc363737708"/>
      <w:bookmarkStart w:id="190" w:name="_Toc475104501"/>
      <w:bookmarkStart w:id="191" w:name="_Toc323111002"/>
      <w:r>
        <w:rPr>
          <w:rFonts w:hint="eastAsia" w:ascii="宋体" w:hAnsi="宋体"/>
          <w:b/>
          <w:bCs/>
          <w:color w:val="auto"/>
          <w:sz w:val="24"/>
          <w:highlight w:val="none"/>
        </w:rPr>
        <w:t>磋商小组</w:t>
      </w:r>
      <w:bookmarkEnd w:id="189"/>
      <w:bookmarkEnd w:id="190"/>
      <w:bookmarkEnd w:id="191"/>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bookmarkStart w:id="192" w:name="_Toc323111003"/>
      <w:bookmarkStart w:id="193" w:name="_Toc322680370"/>
      <w:bookmarkStart w:id="194" w:name="_Toc320515044"/>
      <w:bookmarkStart w:id="195" w:name="_Toc315793480"/>
      <w:bookmarkStart w:id="196" w:name="_Toc363737709"/>
      <w:bookmarkStart w:id="197" w:name="_Toc320515093"/>
      <w:bookmarkStart w:id="198" w:name="_Toc475104502"/>
      <w:r>
        <w:rPr>
          <w:rFonts w:hint="eastAsia" w:ascii="宋体" w:hAnsi="宋体"/>
          <w:color w:val="auto"/>
          <w:szCs w:val="21"/>
          <w:highlight w:val="none"/>
        </w:rPr>
        <w:t>磋商</w:t>
      </w:r>
      <w:r>
        <w:rPr>
          <w:rFonts w:hint="eastAsia" w:ascii="宋体" w:hAnsi="宋体" w:cs="宋体"/>
          <w:color w:val="auto"/>
          <w:szCs w:val="21"/>
          <w:highlight w:val="none"/>
        </w:rPr>
        <w:t>由依照政府采购法律、法规、规章、政策的规定组建的</w:t>
      </w:r>
      <w:r>
        <w:rPr>
          <w:rFonts w:hint="eastAsia" w:ascii="宋体" w:hAnsi="宋体"/>
          <w:color w:val="auto"/>
          <w:szCs w:val="21"/>
          <w:highlight w:val="none"/>
        </w:rPr>
        <w:t>磋商</w:t>
      </w:r>
      <w:r>
        <w:rPr>
          <w:rFonts w:hint="eastAsia" w:ascii="宋体" w:hAnsi="宋体" w:cs="宋体"/>
          <w:color w:val="auto"/>
          <w:szCs w:val="21"/>
          <w:highlight w:val="none"/>
        </w:rPr>
        <w:t>小组负责。磋商小组由采购人代表和评审专家组成，其中评审专家人数不得少于磋商小组成员总数的2/3。评审专家从政府采购评审专家库内相关专业的专家名单中随机抽取。</w:t>
      </w:r>
    </w:p>
    <w:p>
      <w:pPr>
        <w:numPr>
          <w:ilvl w:val="1"/>
          <w:numId w:val="5"/>
        </w:numPr>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名单在</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结果确定前严格保密。评审专家（含采购人代表）</w:t>
      </w:r>
      <w:r>
        <w:rPr>
          <w:rFonts w:hint="eastAsia" w:ascii="宋体" w:hAnsi="宋体" w:cs="宋体"/>
          <w:color w:val="auto"/>
          <w:szCs w:val="21"/>
          <w:highlight w:val="none"/>
        </w:rPr>
        <w:t>不得参与同自己或任职单位有利害关系的政府采购项目磋商活动。具有下列情形之一的，评审专家应主动提出回避，采购人、采购代理机构和政府采购监管部门也可以要求其回避</w:t>
      </w:r>
      <w:r>
        <w:rPr>
          <w:rFonts w:hint="eastAsia" w:ascii="宋体" w:hAnsi="宋体" w:cs="宋体"/>
          <w:color w:val="auto"/>
          <w:szCs w:val="21"/>
          <w:highlight w:val="none"/>
          <w:lang w:eastAsia="zh-TW"/>
        </w:rPr>
        <w:t xml:space="preserve">： </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本人、配偶或直系亲属3年内曾在参加该采购项目的</w:t>
      </w:r>
      <w:r>
        <w:rPr>
          <w:rFonts w:hint="eastAsia" w:cs="宋体"/>
          <w:color w:val="auto"/>
          <w:szCs w:val="21"/>
          <w:highlight w:val="none"/>
        </w:rPr>
        <w:t>供应商</w:t>
      </w:r>
      <w:r>
        <w:rPr>
          <w:rFonts w:hint="eastAsia" w:ascii="宋体" w:hAnsi="宋体" w:cs="宋体"/>
          <w:color w:val="auto"/>
          <w:szCs w:val="21"/>
          <w:highlight w:val="none"/>
        </w:rPr>
        <w:t>中任职（包括一般工作）或担任顾问，或参与该采购项目的</w:t>
      </w:r>
      <w:r>
        <w:rPr>
          <w:rFonts w:hint="eastAsia" w:cs="宋体"/>
          <w:color w:val="auto"/>
          <w:szCs w:val="21"/>
          <w:highlight w:val="none"/>
        </w:rPr>
        <w:t>供应商</w:t>
      </w:r>
      <w:r>
        <w:rPr>
          <w:rFonts w:hint="eastAsia" w:ascii="宋体" w:hAnsi="宋体" w:cs="宋体"/>
          <w:color w:val="auto"/>
          <w:szCs w:val="21"/>
          <w:highlight w:val="none"/>
        </w:rPr>
        <w:t>发生过法律纠纷；</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任职单位与采购人或参加该采购项目</w:t>
      </w:r>
      <w:r>
        <w:rPr>
          <w:rFonts w:hint="eastAsia" w:cs="宋体"/>
          <w:color w:val="auto"/>
          <w:szCs w:val="21"/>
          <w:highlight w:val="none"/>
        </w:rPr>
        <w:t>供应商</w:t>
      </w:r>
      <w:r>
        <w:rPr>
          <w:rFonts w:hint="eastAsia" w:ascii="宋体" w:hAnsi="宋体" w:cs="宋体"/>
          <w:color w:val="auto"/>
          <w:szCs w:val="21"/>
          <w:highlight w:val="none"/>
        </w:rPr>
        <w:t>存在行政隶属关系；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曾经参加过该采购项目的进口产品或</w:t>
      </w:r>
      <w:r>
        <w:rPr>
          <w:rFonts w:hint="eastAsia" w:ascii="宋体" w:hAnsi="宋体"/>
          <w:bCs/>
          <w:color w:val="auto"/>
          <w:szCs w:val="21"/>
          <w:highlight w:val="none"/>
        </w:rPr>
        <w:t>竞争性磋商文件</w:t>
      </w:r>
      <w:r>
        <w:rPr>
          <w:rFonts w:hint="eastAsia" w:ascii="宋体" w:hAnsi="宋体" w:cs="宋体"/>
          <w:color w:val="auto"/>
          <w:szCs w:val="21"/>
          <w:highlight w:val="none"/>
        </w:rPr>
        <w:t>、采购需求、采购方式的论证和咨询服务工作；</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是参加该采购项目</w:t>
      </w:r>
      <w:r>
        <w:rPr>
          <w:rFonts w:hint="eastAsia" w:cs="宋体"/>
          <w:color w:val="auto"/>
          <w:szCs w:val="21"/>
          <w:highlight w:val="none"/>
        </w:rPr>
        <w:t>供应商</w:t>
      </w:r>
      <w:r>
        <w:rPr>
          <w:rFonts w:hint="eastAsia" w:ascii="宋体" w:hAnsi="宋体" w:cs="宋体"/>
          <w:color w:val="auto"/>
          <w:szCs w:val="21"/>
          <w:highlight w:val="none"/>
        </w:rPr>
        <w:t>的上级主管部门、控股或参股单位的工作人员、或与该</w:t>
      </w:r>
      <w:r>
        <w:rPr>
          <w:rFonts w:hint="eastAsia" w:cs="宋体"/>
          <w:color w:val="auto"/>
          <w:szCs w:val="21"/>
          <w:highlight w:val="none"/>
        </w:rPr>
        <w:t>供应商</w:t>
      </w:r>
      <w:r>
        <w:rPr>
          <w:rFonts w:hint="eastAsia" w:ascii="宋体" w:hAnsi="宋体" w:cs="宋体"/>
          <w:color w:val="auto"/>
          <w:szCs w:val="21"/>
          <w:highlight w:val="none"/>
        </w:rPr>
        <w:t>存在其他经济利益关系；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olor w:val="auto"/>
          <w:szCs w:val="21"/>
          <w:highlight w:val="none"/>
        </w:rPr>
        <w:t>磋商</w:t>
      </w:r>
      <w:r>
        <w:rPr>
          <w:rFonts w:hint="eastAsia" w:ascii="宋体" w:hAnsi="宋体" w:cs="宋体"/>
          <w:color w:val="auto"/>
          <w:szCs w:val="21"/>
          <w:highlight w:val="none"/>
        </w:rPr>
        <w:t>小组成员之间具有配偶、近亲属关系；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同一单位的评审专家在同一项目</w:t>
      </w:r>
      <w:r>
        <w:rPr>
          <w:rFonts w:hint="eastAsia" w:ascii="宋体" w:hAnsi="宋体"/>
          <w:color w:val="auto"/>
          <w:szCs w:val="21"/>
          <w:highlight w:val="none"/>
        </w:rPr>
        <w:t>磋商</w:t>
      </w:r>
      <w:r>
        <w:rPr>
          <w:rFonts w:hint="eastAsia" w:ascii="宋体" w:hAnsi="宋体" w:cs="宋体"/>
          <w:color w:val="auto"/>
          <w:szCs w:val="21"/>
          <w:highlight w:val="none"/>
        </w:rPr>
        <w:t>小组成员中超过两名；</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与</w:t>
      </w:r>
      <w:r>
        <w:rPr>
          <w:rFonts w:hint="eastAsia" w:cs="宋体"/>
          <w:color w:val="auto"/>
          <w:szCs w:val="21"/>
          <w:highlight w:val="none"/>
        </w:rPr>
        <w:t>供应商</w:t>
      </w:r>
      <w:r>
        <w:rPr>
          <w:rFonts w:hint="eastAsia" w:ascii="宋体" w:hAnsi="宋体" w:cs="宋体"/>
          <w:color w:val="auto"/>
          <w:szCs w:val="21"/>
          <w:highlight w:val="none"/>
        </w:rPr>
        <w:t>的法定代表人或者负责人有夫妻、直系血亲、三代以内旁系血亲或者近姻亲关系；</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其他可能影响评审工作公正性情形。</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w:t>
      </w:r>
      <w:bookmarkEnd w:id="192"/>
      <w:bookmarkEnd w:id="193"/>
      <w:bookmarkEnd w:id="194"/>
      <w:bookmarkEnd w:id="195"/>
      <w:bookmarkEnd w:id="196"/>
      <w:bookmarkEnd w:id="197"/>
      <w:r>
        <w:rPr>
          <w:rFonts w:hint="eastAsia" w:ascii="宋体" w:hAnsi="宋体"/>
          <w:b/>
          <w:bCs/>
          <w:color w:val="auto"/>
          <w:sz w:val="24"/>
          <w:highlight w:val="none"/>
        </w:rPr>
        <w:t>资格性审查及符合性检查</w:t>
      </w:r>
      <w:bookmarkEnd w:id="198"/>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磋商</w:t>
      </w:r>
      <w:r>
        <w:rPr>
          <w:rFonts w:hint="eastAsia" w:ascii="宋体" w:hAnsi="宋体" w:cs="宋体"/>
          <w:color w:val="auto"/>
          <w:szCs w:val="21"/>
          <w:highlight w:val="none"/>
        </w:rPr>
        <w:t>小组</w:t>
      </w:r>
      <w:r>
        <w:rPr>
          <w:rFonts w:hint="eastAsia" w:ascii="宋体" w:hAnsi="宋体" w:cs="宋体"/>
          <w:color w:val="auto"/>
          <w:szCs w:val="21"/>
          <w:highlight w:val="none"/>
          <w:lang w:eastAsia="zh-TW"/>
        </w:rPr>
        <w:t>将根据</w:t>
      </w:r>
      <w:r>
        <w:rPr>
          <w:rFonts w:hint="eastAsia" w:ascii="宋体" w:hAnsi="宋体" w:cs="宋体"/>
          <w:color w:val="auto"/>
          <w:szCs w:val="21"/>
          <w:highlight w:val="none"/>
        </w:rPr>
        <w:t>竞争性磋商文件</w:t>
      </w:r>
      <w:r>
        <w:rPr>
          <w:rFonts w:hint="eastAsia" w:ascii="宋体" w:hAnsi="宋体" w:cs="宋体"/>
          <w:color w:val="auto"/>
          <w:szCs w:val="21"/>
          <w:highlight w:val="none"/>
          <w:lang w:eastAsia="zh-TW"/>
        </w:rPr>
        <w:t>的规定，对各</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进行资格性审查及符合性检查</w:t>
      </w:r>
      <w:r>
        <w:rPr>
          <w:rFonts w:hint="eastAsia" w:ascii="宋体" w:hAnsi="宋体" w:cs="宋体"/>
          <w:color w:val="auto"/>
          <w:szCs w:val="21"/>
          <w:highlight w:val="none"/>
        </w:rPr>
        <w:t>。</w:t>
      </w:r>
      <w:r>
        <w:rPr>
          <w:rFonts w:hint="eastAsia" w:ascii="宋体" w:hAnsi="宋体"/>
          <w:color w:val="auto"/>
          <w:szCs w:val="21"/>
          <w:highlight w:val="none"/>
        </w:rPr>
        <w:t>磋商</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出现下列情况之一时将被认定为</w:t>
      </w:r>
      <w:r>
        <w:rPr>
          <w:rFonts w:hint="eastAsia" w:ascii="宋体" w:hAnsi="宋体" w:cs="宋体"/>
          <w:color w:val="auto"/>
          <w:szCs w:val="21"/>
          <w:highlight w:val="none"/>
        </w:rPr>
        <w:t>采购响应无效</w:t>
      </w:r>
      <w:r>
        <w:rPr>
          <w:rFonts w:hint="eastAsia" w:ascii="宋体" w:hAnsi="宋体" w:cs="宋体"/>
          <w:color w:val="auto"/>
          <w:szCs w:val="21"/>
          <w:highlight w:val="none"/>
          <w:lang w:eastAsia="zh-TW"/>
        </w:rPr>
        <w:t>：</w:t>
      </w:r>
    </w:p>
    <w:p>
      <w:pPr>
        <w:autoSpaceDE w:val="0"/>
        <w:autoSpaceDN w:val="0"/>
        <w:adjustRightInd w:val="0"/>
        <w:snapToGrid w:val="0"/>
        <w:spacing w:line="360" w:lineRule="auto"/>
        <w:ind w:firstLine="525" w:firstLineChars="250"/>
        <w:jc w:val="left"/>
        <w:rPr>
          <w:rFonts w:ascii="宋体" w:hAnsi="宋体" w:cs="黑体"/>
          <w:bCs/>
          <w:color w:val="auto"/>
          <w:szCs w:val="21"/>
          <w:highlight w:val="none"/>
        </w:rPr>
      </w:pPr>
      <w:r>
        <w:rPr>
          <w:rFonts w:hint="eastAsia" w:ascii="宋体" w:hAnsi="宋体" w:cs="黑体"/>
          <w:bCs/>
          <w:color w:val="auto"/>
          <w:szCs w:val="21"/>
          <w:highlight w:val="none"/>
        </w:rPr>
        <w:t>1）</w:t>
      </w:r>
      <w:r>
        <w:rPr>
          <w:rFonts w:hint="eastAsia" w:cs="宋体"/>
          <w:color w:val="auto"/>
          <w:szCs w:val="21"/>
          <w:highlight w:val="none"/>
        </w:rPr>
        <w:t>供应商</w:t>
      </w:r>
      <w:r>
        <w:rPr>
          <w:rFonts w:hint="eastAsia" w:ascii="宋体" w:hAnsi="宋体" w:cs="黑体"/>
          <w:bCs/>
          <w:color w:val="auto"/>
          <w:szCs w:val="21"/>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2）</w:t>
      </w:r>
      <w:r>
        <w:rPr>
          <w:rFonts w:hint="eastAsia" w:ascii="宋体" w:hAnsi="宋体"/>
          <w:color w:val="auto"/>
          <w:szCs w:val="21"/>
          <w:highlight w:val="none"/>
        </w:rPr>
        <w:t>磋商</w:t>
      </w:r>
      <w:r>
        <w:rPr>
          <w:rFonts w:hint="eastAsia" w:ascii="宋体" w:hAnsi="宋体"/>
          <w:color w:val="auto"/>
          <w:kern w:val="0"/>
          <w:szCs w:val="21"/>
          <w:highlight w:val="none"/>
        </w:rPr>
        <w:t>响应文件没有</w:t>
      </w:r>
      <w:r>
        <w:rPr>
          <w:rFonts w:hint="eastAsia" w:cs="宋体"/>
          <w:color w:val="auto"/>
          <w:szCs w:val="21"/>
          <w:highlight w:val="none"/>
        </w:rPr>
        <w:t>供应商</w:t>
      </w:r>
      <w:r>
        <w:rPr>
          <w:rFonts w:hint="eastAsia" w:ascii="宋体" w:hAnsi="宋体"/>
          <w:color w:val="auto"/>
          <w:kern w:val="0"/>
          <w:szCs w:val="21"/>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3）</w:t>
      </w:r>
      <w:r>
        <w:rPr>
          <w:rFonts w:hint="eastAsia" w:cs="宋体"/>
          <w:color w:val="auto"/>
          <w:szCs w:val="21"/>
          <w:highlight w:val="none"/>
        </w:rPr>
        <w:t>供应商</w:t>
      </w:r>
      <w:r>
        <w:rPr>
          <w:rFonts w:hint="eastAsia" w:ascii="宋体" w:hAnsi="宋体"/>
          <w:color w:val="auto"/>
          <w:kern w:val="0"/>
          <w:szCs w:val="21"/>
          <w:highlight w:val="none"/>
        </w:rPr>
        <w:t>不符合资格条件；</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4）</w:t>
      </w:r>
      <w:r>
        <w:rPr>
          <w:rFonts w:hint="eastAsia" w:ascii="宋体" w:hAnsi="宋体"/>
          <w:color w:val="auto"/>
          <w:szCs w:val="21"/>
          <w:highlight w:val="none"/>
        </w:rPr>
        <w:t>磋商</w:t>
      </w:r>
      <w:r>
        <w:rPr>
          <w:rFonts w:hint="eastAsia" w:ascii="宋体" w:hAnsi="宋体"/>
          <w:color w:val="auto"/>
          <w:kern w:val="0"/>
          <w:szCs w:val="21"/>
          <w:highlight w:val="none"/>
        </w:rPr>
        <w:t>响应文件提供虚假材料；</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5）</w:t>
      </w:r>
      <w:r>
        <w:rPr>
          <w:rFonts w:hint="eastAsia" w:ascii="宋体" w:hAnsi="宋体"/>
          <w:color w:val="auto"/>
          <w:szCs w:val="21"/>
          <w:highlight w:val="none"/>
        </w:rPr>
        <w:t>磋商</w:t>
      </w:r>
      <w:r>
        <w:rPr>
          <w:rFonts w:hint="eastAsia" w:ascii="宋体" w:hAnsi="宋体"/>
          <w:color w:val="auto"/>
          <w:kern w:val="0"/>
          <w:szCs w:val="21"/>
          <w:highlight w:val="none"/>
        </w:rPr>
        <w:t>响应文件未完全满足竞争性磋商文件中带“★”号的条款或指标；</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6）</w:t>
      </w:r>
      <w:r>
        <w:rPr>
          <w:rFonts w:hint="eastAsia" w:cs="宋体"/>
          <w:color w:val="auto"/>
          <w:szCs w:val="21"/>
          <w:highlight w:val="none"/>
        </w:rPr>
        <w:t>供应商</w:t>
      </w:r>
      <w:r>
        <w:rPr>
          <w:rFonts w:hint="eastAsia" w:ascii="宋体" w:hAnsi="宋体"/>
          <w:color w:val="auto"/>
          <w:kern w:val="0"/>
          <w:szCs w:val="21"/>
          <w:highlight w:val="none"/>
        </w:rPr>
        <w:t>的相关证件、证明文件、合同和其他文件的原件、复印件没有按竞争性磋商文件规定提交或提交的原件与复印件不一致的；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7）</w:t>
      </w:r>
      <w:r>
        <w:rPr>
          <w:rFonts w:hint="eastAsia" w:ascii="宋体" w:hAnsi="宋体"/>
          <w:color w:val="auto"/>
          <w:kern w:val="0"/>
          <w:szCs w:val="21"/>
          <w:highlight w:val="none"/>
        </w:rPr>
        <w:t>最终响应报价不确定或超过竞争性磋商文件中列出的采购预算（最高限价）的；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8)恶意竞争低于成本价的；</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s="黑体"/>
          <w:bCs/>
          <w:color w:val="auto"/>
          <w:szCs w:val="21"/>
          <w:highlight w:val="none"/>
        </w:rPr>
        <w:t>9）</w:t>
      </w:r>
      <w:r>
        <w:rPr>
          <w:rFonts w:hint="eastAsia" w:ascii="宋体" w:hAnsi="宋体"/>
          <w:color w:val="auto"/>
          <w:szCs w:val="21"/>
          <w:highlight w:val="none"/>
        </w:rPr>
        <w:t>磋商</w:t>
      </w:r>
      <w:r>
        <w:rPr>
          <w:rFonts w:hint="eastAsia" w:ascii="宋体" w:hAnsi="宋体"/>
          <w:color w:val="auto"/>
          <w:kern w:val="0"/>
          <w:szCs w:val="21"/>
          <w:highlight w:val="none"/>
        </w:rPr>
        <w:t>期间，</w:t>
      </w:r>
      <w:r>
        <w:rPr>
          <w:rFonts w:hint="eastAsia" w:cs="宋体"/>
          <w:color w:val="auto"/>
          <w:szCs w:val="21"/>
          <w:highlight w:val="none"/>
        </w:rPr>
        <w:t>供应商</w:t>
      </w:r>
      <w:r>
        <w:rPr>
          <w:rFonts w:hint="eastAsia" w:ascii="宋体" w:hAnsi="宋体"/>
          <w:color w:val="auto"/>
          <w:kern w:val="0"/>
          <w:szCs w:val="21"/>
          <w:highlight w:val="none"/>
        </w:rPr>
        <w:t>没有按</w:t>
      </w:r>
      <w:r>
        <w:rPr>
          <w:rFonts w:hint="eastAsia" w:ascii="宋体" w:hAnsi="宋体"/>
          <w:color w:val="auto"/>
          <w:szCs w:val="21"/>
          <w:highlight w:val="none"/>
        </w:rPr>
        <w:t>磋商</w:t>
      </w:r>
      <w:r>
        <w:rPr>
          <w:rFonts w:hint="eastAsia" w:ascii="宋体" w:hAnsi="宋体"/>
          <w:color w:val="auto"/>
          <w:kern w:val="0"/>
          <w:szCs w:val="21"/>
          <w:highlight w:val="none"/>
        </w:rPr>
        <w:t>小组的要求提交经授权代表签字的澄清、说明、补正或改变了</w:t>
      </w:r>
      <w:r>
        <w:rPr>
          <w:rFonts w:hint="eastAsia" w:ascii="宋体" w:hAnsi="宋体"/>
          <w:color w:val="auto"/>
          <w:szCs w:val="21"/>
          <w:highlight w:val="none"/>
        </w:rPr>
        <w:t>磋商</w:t>
      </w:r>
      <w:r>
        <w:rPr>
          <w:rFonts w:hint="eastAsia" w:ascii="宋体" w:hAnsi="宋体"/>
          <w:color w:val="auto"/>
          <w:kern w:val="0"/>
          <w:szCs w:val="21"/>
          <w:highlight w:val="none"/>
        </w:rPr>
        <w:t>响应文件的实质性内容；</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10）</w:t>
      </w:r>
      <w:r>
        <w:rPr>
          <w:rFonts w:hint="eastAsia" w:cs="宋体"/>
          <w:color w:val="auto"/>
          <w:szCs w:val="21"/>
          <w:highlight w:val="none"/>
        </w:rPr>
        <w:t>供应商</w:t>
      </w:r>
      <w:r>
        <w:rPr>
          <w:rFonts w:hint="eastAsia" w:ascii="宋体" w:hAnsi="宋体"/>
          <w:color w:val="auto"/>
          <w:kern w:val="0"/>
          <w:szCs w:val="21"/>
          <w:highlight w:val="none"/>
        </w:rPr>
        <w:t>对采购人、采购代理机构、</w:t>
      </w:r>
      <w:r>
        <w:rPr>
          <w:rFonts w:hint="eastAsia" w:ascii="宋体" w:hAnsi="宋体"/>
          <w:color w:val="auto"/>
          <w:szCs w:val="21"/>
          <w:highlight w:val="none"/>
        </w:rPr>
        <w:t>磋商</w:t>
      </w:r>
      <w:r>
        <w:rPr>
          <w:rFonts w:hint="eastAsia" w:ascii="宋体" w:hAnsi="宋体"/>
          <w:color w:val="auto"/>
          <w:kern w:val="0"/>
          <w:szCs w:val="21"/>
          <w:highlight w:val="none"/>
        </w:rPr>
        <w:t>小组及其工作人员施加影响，有碍公平、公正；</w:t>
      </w:r>
    </w:p>
    <w:p>
      <w:pPr>
        <w:autoSpaceDE w:val="0"/>
        <w:autoSpaceDN w:val="0"/>
        <w:adjustRightInd w:val="0"/>
        <w:snapToGrid w:val="0"/>
        <w:spacing w:line="360" w:lineRule="auto"/>
        <w:ind w:firstLine="525" w:firstLineChars="250"/>
        <w:jc w:val="left"/>
        <w:rPr>
          <w:rFonts w:ascii="宋体" w:hAnsi="宋体"/>
          <w:color w:val="auto"/>
          <w:kern w:val="0"/>
          <w:szCs w:val="21"/>
          <w:highlight w:val="none"/>
        </w:rPr>
      </w:pPr>
      <w:r>
        <w:rPr>
          <w:rFonts w:hint="eastAsia" w:ascii="宋体" w:hAnsi="宋体"/>
          <w:color w:val="auto"/>
          <w:kern w:val="0"/>
          <w:szCs w:val="21"/>
          <w:highlight w:val="none"/>
        </w:rPr>
        <w:t>11）法律、法规、规章规定属于报价无效的其他情形。</w:t>
      </w:r>
    </w:p>
    <w:p>
      <w:pPr>
        <w:spacing w:line="360" w:lineRule="auto"/>
        <w:ind w:left="420" w:leftChars="200" w:firstLine="315" w:firstLineChars="150"/>
        <w:jc w:val="left"/>
        <w:rPr>
          <w:rFonts w:ascii="宋体" w:hAnsi="宋体"/>
          <w:color w:val="auto"/>
          <w:szCs w:val="21"/>
          <w:highlight w:val="none"/>
        </w:rPr>
      </w:pPr>
      <w:bookmarkStart w:id="199" w:name="_Toc323111004"/>
      <w:bookmarkStart w:id="200" w:name="_Toc475104503"/>
      <w:bookmarkStart w:id="201" w:name="_Toc363737710"/>
      <w:bookmarkStart w:id="202" w:name="_Toc351716665"/>
      <w:bookmarkStart w:id="203" w:name="_Toc320515096"/>
      <w:bookmarkStart w:id="204" w:name="_Toc323111005"/>
      <w:bookmarkStart w:id="205" w:name="_Toc315793483"/>
      <w:bookmarkStart w:id="206" w:name="_Toc320515047"/>
      <w:bookmarkStart w:id="207" w:name="_Toc322680372"/>
      <w:r>
        <w:rPr>
          <w:rFonts w:hint="eastAsia" w:ascii="宋体" w:hAnsi="宋体"/>
          <w:color w:val="auto"/>
          <w:szCs w:val="21"/>
          <w:highlight w:val="none"/>
        </w:rPr>
        <w:t>磋商</w:t>
      </w:r>
      <w:r>
        <w:rPr>
          <w:rFonts w:hint="eastAsia" w:ascii="宋体" w:hAnsi="宋体" w:cs="黑体"/>
          <w:bCs/>
          <w:color w:val="auto"/>
          <w:szCs w:val="21"/>
          <w:highlight w:val="none"/>
        </w:rPr>
        <w:t>小组进行资格性、符合性检查时发现</w:t>
      </w:r>
      <w:r>
        <w:rPr>
          <w:rFonts w:hint="eastAsia" w:cs="宋体"/>
          <w:color w:val="auto"/>
          <w:szCs w:val="21"/>
          <w:highlight w:val="none"/>
        </w:rPr>
        <w:t>供应商</w:t>
      </w:r>
      <w:r>
        <w:rPr>
          <w:rFonts w:hint="eastAsia" w:ascii="宋体" w:hAnsi="宋体" w:cs="黑体"/>
          <w:bCs/>
          <w:color w:val="auto"/>
          <w:szCs w:val="21"/>
          <w:highlight w:val="none"/>
        </w:rPr>
        <w:t>有实质性不响应</w:t>
      </w:r>
      <w:r>
        <w:rPr>
          <w:rFonts w:hint="eastAsia" w:ascii="宋体" w:hAnsi="宋体"/>
          <w:color w:val="auto"/>
          <w:kern w:val="0"/>
          <w:szCs w:val="21"/>
          <w:highlight w:val="none"/>
        </w:rPr>
        <w:t>竞争性磋商文件</w:t>
      </w:r>
      <w:r>
        <w:rPr>
          <w:rFonts w:hint="eastAsia" w:ascii="宋体" w:hAnsi="宋体" w:cs="黑体"/>
          <w:bCs/>
          <w:color w:val="auto"/>
          <w:szCs w:val="21"/>
          <w:highlight w:val="none"/>
        </w:rPr>
        <w:t>的，即现场告知</w:t>
      </w:r>
      <w:r>
        <w:rPr>
          <w:rFonts w:hint="eastAsia" w:cs="宋体"/>
          <w:color w:val="auto"/>
          <w:szCs w:val="21"/>
          <w:highlight w:val="none"/>
        </w:rPr>
        <w:t>供应商</w:t>
      </w:r>
      <w:r>
        <w:rPr>
          <w:rFonts w:hint="eastAsia" w:ascii="宋体" w:hAnsi="宋体" w:cs="黑体"/>
          <w:bCs/>
          <w:color w:val="auto"/>
          <w:szCs w:val="21"/>
          <w:highlight w:val="none"/>
        </w:rPr>
        <w:t>并说明理由。如其</w:t>
      </w:r>
      <w:r>
        <w:rPr>
          <w:rFonts w:hint="eastAsia" w:ascii="宋体" w:hAnsi="宋体"/>
          <w:color w:val="auto"/>
          <w:szCs w:val="21"/>
          <w:highlight w:val="none"/>
        </w:rPr>
        <w:t>磋商</w:t>
      </w:r>
      <w:r>
        <w:rPr>
          <w:rFonts w:hint="eastAsia" w:ascii="宋体" w:hAnsi="宋体" w:cs="黑体"/>
          <w:bCs/>
          <w:color w:val="auto"/>
          <w:szCs w:val="21"/>
          <w:highlight w:val="none"/>
        </w:rPr>
        <w:t>响应文件</w:t>
      </w:r>
      <w:r>
        <w:rPr>
          <w:rFonts w:hint="eastAsia" w:ascii="宋体" w:hAnsi="宋体" w:cs="宋体"/>
          <w:color w:val="auto"/>
          <w:szCs w:val="21"/>
          <w:highlight w:val="none"/>
          <w:lang w:eastAsia="zh-TW"/>
        </w:rPr>
        <w:t>被认定为无效</w:t>
      </w:r>
      <w:r>
        <w:rPr>
          <w:rFonts w:hint="eastAsia" w:ascii="宋体" w:hAnsi="宋体" w:cs="宋体"/>
          <w:color w:val="auto"/>
          <w:szCs w:val="21"/>
          <w:highlight w:val="none"/>
        </w:rPr>
        <w:t>报价</w:t>
      </w:r>
      <w:r>
        <w:rPr>
          <w:rFonts w:hint="eastAsia" w:ascii="宋体" w:hAnsi="宋体" w:cs="黑体"/>
          <w:bCs/>
          <w:color w:val="auto"/>
          <w:szCs w:val="21"/>
          <w:highlight w:val="none"/>
        </w:rPr>
        <w:t>即被视为不能通过资格性审查及符合性检查，不得参与技术、商务和价格等的后续磋商。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磋商响应文件的详细评审</w:t>
      </w:r>
      <w:bookmarkEnd w:id="199"/>
      <w:r>
        <w:rPr>
          <w:rFonts w:hint="eastAsia" w:ascii="宋体" w:hAnsi="宋体"/>
          <w:b/>
          <w:bCs/>
          <w:color w:val="auto"/>
          <w:sz w:val="24"/>
          <w:highlight w:val="none"/>
        </w:rPr>
        <w:t>及谈判</w:t>
      </w:r>
      <w:bookmarkEnd w:id="200"/>
      <w:bookmarkEnd w:id="201"/>
      <w:bookmarkEnd w:id="202"/>
    </w:p>
    <w:p>
      <w:pPr>
        <w:numPr>
          <w:ilvl w:val="1"/>
          <w:numId w:val="5"/>
        </w:numPr>
        <w:autoSpaceDE w:val="0"/>
        <w:autoSpaceDN w:val="0"/>
        <w:adjustRightInd w:val="0"/>
        <w:snapToGrid w:val="0"/>
        <w:spacing w:line="360" w:lineRule="auto"/>
        <w:jc w:val="left"/>
        <w:rPr>
          <w:rFonts w:ascii="宋体" w:hAnsi="宋体"/>
          <w:color w:val="auto"/>
          <w:szCs w:val="21"/>
          <w:highlight w:val="none"/>
        </w:rPr>
      </w:pPr>
      <w:bookmarkStart w:id="208" w:name="_Toc475104505"/>
      <w:bookmarkStart w:id="209" w:name="_Toc363737712"/>
      <w:r>
        <w:rPr>
          <w:rFonts w:hint="eastAsia" w:ascii="宋体" w:hAnsi="宋体" w:cs="黑体"/>
          <w:color w:val="auto"/>
          <w:szCs w:val="21"/>
          <w:highlight w:val="none"/>
        </w:rPr>
        <w:t>提交首次响应文件截止之日前，采购人、采购代理机构或者磋商小组可以对已发出的磋商文件进行必要的澄清或者修改，澄清或者修改的内容作为磋商文件的组成部分。澄清或者修改的内容可能影响响应文件编制的，采购人、采购代理机构或者磋商小组应当在提交首次响应文件截止之日3个工作日前，以书面形式通知所有接收磋商文件的报价人，不足3个工作日的，应当顺延提交首次响应文件截止之日。</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磋商小组将对</w:t>
      </w:r>
      <w:r>
        <w:rPr>
          <w:rFonts w:hint="eastAsia" w:cs="宋体"/>
          <w:color w:val="auto"/>
          <w:szCs w:val="21"/>
          <w:highlight w:val="none"/>
        </w:rPr>
        <w:t>供应商</w:t>
      </w:r>
      <w:r>
        <w:rPr>
          <w:rFonts w:hint="eastAsia" w:ascii="宋体" w:hAnsi="宋体"/>
          <w:color w:val="auto"/>
          <w:szCs w:val="21"/>
          <w:highlight w:val="none"/>
        </w:rPr>
        <w:t>磋商响应文件进行审查，审查磋商响应文件是否对竞争性磋商文件作出实质性的响应。对未作出实质性响应的</w:t>
      </w:r>
      <w:r>
        <w:rPr>
          <w:rFonts w:hint="eastAsia" w:cs="宋体"/>
          <w:color w:val="auto"/>
          <w:szCs w:val="21"/>
          <w:highlight w:val="none"/>
        </w:rPr>
        <w:t>供应商</w:t>
      </w:r>
      <w:r>
        <w:rPr>
          <w:rFonts w:hint="eastAsia" w:ascii="宋体" w:hAnsi="宋体"/>
          <w:color w:val="auto"/>
          <w:szCs w:val="21"/>
          <w:highlight w:val="none"/>
        </w:rPr>
        <w:t>应实行现场告知，以让其核证、澄清事实。</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磋商小组所有成员集中将逐一与通过符合性审（检）查的</w:t>
      </w:r>
      <w:r>
        <w:rPr>
          <w:rFonts w:hint="eastAsia" w:cs="宋体"/>
          <w:color w:val="auto"/>
          <w:szCs w:val="21"/>
          <w:highlight w:val="none"/>
        </w:rPr>
        <w:t>供应商</w:t>
      </w:r>
      <w:r>
        <w:rPr>
          <w:rFonts w:hint="eastAsia" w:ascii="宋体" w:hAnsi="宋体"/>
          <w:color w:val="auto"/>
          <w:szCs w:val="21"/>
          <w:highlight w:val="none"/>
        </w:rPr>
        <w:t>（以抽签顺序为准）分别进行相同轮次的磋商（一轮或多轮，不超过三轮报价，具体磋商轮次由磋商小组视情况决定），磋商的内容包括但不限于：商务条件、技术规格、价格、验收、合同执行计划、相关服务、质量保证、与采购人配合等内容，磋商目的在于澄清报价、优化需求，在磋商中，磋商小组及有关当事人应当严格遵守保密原则，任何人不得透露与谈判有关的</w:t>
      </w:r>
      <w:r>
        <w:rPr>
          <w:rFonts w:hint="eastAsia" w:cs="宋体"/>
          <w:color w:val="auto"/>
          <w:szCs w:val="21"/>
          <w:highlight w:val="none"/>
        </w:rPr>
        <w:t>供应商</w:t>
      </w:r>
      <w:r>
        <w:rPr>
          <w:rFonts w:hint="eastAsia" w:ascii="宋体" w:hAnsi="宋体"/>
          <w:color w:val="auto"/>
          <w:szCs w:val="21"/>
          <w:highlight w:val="none"/>
        </w:rPr>
        <w:t>的服务、价格和其他任何信息。</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在磋商过程中，磋商小组可以根据磋商文件和磋商情况实质性变动采购需求中的技术、服务要求以及合同草案条款，但不得变动磋商文件中的其他内容。实质性变动的内容，须经采购人代表确认。</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对</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文件作出的实质性变动是</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文件的有效组成部分，</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小组应当及时以书面形式同时通知所有参加</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的</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w:t>
      </w:r>
    </w:p>
    <w:p>
      <w:pPr>
        <w:numPr>
          <w:ilvl w:val="2"/>
          <w:numId w:val="5"/>
        </w:numPr>
        <w:tabs>
          <w:tab w:val="left" w:pos="851"/>
        </w:tabs>
        <w:autoSpaceDE w:val="0"/>
        <w:autoSpaceDN w:val="0"/>
        <w:adjustRightInd w:val="0"/>
        <w:snapToGrid w:val="0"/>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应当按照</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文件的变动情况和</w:t>
      </w:r>
      <w:r>
        <w:rPr>
          <w:rFonts w:hint="eastAsia" w:ascii="宋体" w:hAnsi="宋体" w:cs="宋体"/>
          <w:color w:val="auto"/>
          <w:szCs w:val="21"/>
          <w:highlight w:val="none"/>
        </w:rPr>
        <w:t>磋商</w:t>
      </w:r>
      <w:r>
        <w:rPr>
          <w:rFonts w:hint="eastAsia" w:ascii="宋体" w:hAnsi="宋体" w:cs="宋体"/>
          <w:color w:val="auto"/>
          <w:szCs w:val="21"/>
          <w:highlight w:val="none"/>
          <w:lang w:eastAsia="zh-TW"/>
        </w:rPr>
        <w:t>小组的要求重新提交响应文件，并由其法定代表人或授权代表签字或者加盖公章。由授权代表签字的，应当附法定代表人授权书。</w:t>
      </w:r>
      <w:r>
        <w:rPr>
          <w:rFonts w:hint="eastAsia" w:ascii="宋体" w:hAnsi="宋体" w:cs="宋体"/>
          <w:color w:val="auto"/>
          <w:szCs w:val="21"/>
          <w:highlight w:val="none"/>
        </w:rPr>
        <w:t>报价人</w:t>
      </w:r>
      <w:r>
        <w:rPr>
          <w:rFonts w:hint="eastAsia" w:ascii="宋体" w:hAnsi="宋体" w:cs="宋体"/>
          <w:color w:val="auto"/>
          <w:szCs w:val="21"/>
          <w:highlight w:val="none"/>
          <w:lang w:eastAsia="zh-TW"/>
        </w:rPr>
        <w:t>为自然人的，应当由本人签字并附身份证明。</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竞争性磋商文件的修正：磋商小组调整或修改采购需求内容时，应取得磋商小组的一致同意，并以书面形式通知所有参加磋商的</w:t>
      </w:r>
      <w:r>
        <w:rPr>
          <w:rFonts w:hint="eastAsia" w:cs="宋体"/>
          <w:color w:val="auto"/>
          <w:szCs w:val="21"/>
          <w:highlight w:val="none"/>
        </w:rPr>
        <w:t>供应商</w:t>
      </w:r>
      <w:r>
        <w:rPr>
          <w:rFonts w:hint="eastAsia" w:ascii="宋体" w:hAnsi="宋体"/>
          <w:color w:val="auto"/>
          <w:szCs w:val="21"/>
          <w:highlight w:val="none"/>
        </w:rPr>
        <w:t>。但任何形式的决定须以符合公平、公正原则和有利于项目的顺利实施为前提。</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磋商小组在谈判结束后，要求所有参加磋商的</w:t>
      </w:r>
      <w:r>
        <w:rPr>
          <w:rFonts w:hint="eastAsia" w:cs="宋体"/>
          <w:color w:val="auto"/>
          <w:szCs w:val="21"/>
          <w:highlight w:val="none"/>
        </w:rPr>
        <w:t>供应商</w:t>
      </w:r>
      <w:r>
        <w:rPr>
          <w:rFonts w:hint="eastAsia" w:ascii="宋体" w:hAnsi="宋体"/>
          <w:color w:val="auto"/>
          <w:szCs w:val="21"/>
          <w:highlight w:val="none"/>
        </w:rPr>
        <w:t>在规定的时间内集中密封提交最后报价（最后报价时间视磋商进程由磋商小组决定）及作出有关承诺。</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在磋商过程中，</w:t>
      </w:r>
      <w:r>
        <w:rPr>
          <w:rFonts w:hint="eastAsia" w:cs="宋体"/>
          <w:color w:val="auto"/>
          <w:szCs w:val="21"/>
          <w:highlight w:val="none"/>
        </w:rPr>
        <w:t>供应商</w:t>
      </w:r>
      <w:r>
        <w:rPr>
          <w:rFonts w:hint="eastAsia" w:ascii="宋体" w:hAnsi="宋体"/>
          <w:color w:val="auto"/>
          <w:szCs w:val="21"/>
          <w:highlight w:val="none"/>
        </w:rPr>
        <w:t>提交的澄清文件和最后报价文件，由</w:t>
      </w:r>
      <w:r>
        <w:rPr>
          <w:rFonts w:hint="eastAsia" w:cs="宋体"/>
          <w:color w:val="auto"/>
          <w:szCs w:val="21"/>
          <w:highlight w:val="none"/>
        </w:rPr>
        <w:t>供应商</w:t>
      </w:r>
      <w:r>
        <w:rPr>
          <w:rFonts w:hint="eastAsia" w:ascii="宋体" w:hAnsi="宋体"/>
          <w:color w:val="auto"/>
          <w:szCs w:val="21"/>
          <w:highlight w:val="none"/>
        </w:rPr>
        <w:t>法人代表或其授权代表签字或加盖公章后生效。供应商为自然人的，应当由本人签字并附身份证明。</w:t>
      </w:r>
      <w:r>
        <w:rPr>
          <w:rFonts w:hint="eastAsia" w:cs="宋体"/>
          <w:color w:val="auto"/>
          <w:szCs w:val="21"/>
          <w:highlight w:val="none"/>
        </w:rPr>
        <w:t>供应商</w:t>
      </w:r>
      <w:r>
        <w:rPr>
          <w:rFonts w:hint="eastAsia" w:ascii="宋体" w:hAnsi="宋体"/>
          <w:color w:val="auto"/>
          <w:szCs w:val="21"/>
          <w:highlight w:val="none"/>
        </w:rPr>
        <w:t>应受其约束。</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经磋商确定最终采购需求和提交最后报价的供应商后，由磋商小组采用综合评分法对提交最后报价的供应商的响应文件和最后报价进行综合评分。</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0" w:name="_Toc475104504"/>
      <w:bookmarkStart w:id="211" w:name="_Toc363737711"/>
      <w:bookmarkStart w:id="212" w:name="_Toc351716666"/>
      <w:r>
        <w:rPr>
          <w:rFonts w:hint="eastAsia" w:ascii="宋体" w:hAnsi="宋体"/>
          <w:b/>
          <w:bCs/>
          <w:color w:val="auto"/>
          <w:sz w:val="24"/>
          <w:highlight w:val="none"/>
        </w:rPr>
        <w:t>评定成交的评审方法和标准</w:t>
      </w:r>
      <w:bookmarkEnd w:id="210"/>
      <w:bookmarkEnd w:id="211"/>
      <w:bookmarkEnd w:id="212"/>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竞争性磋商</w:t>
      </w:r>
      <w:r>
        <w:rPr>
          <w:rFonts w:hint="eastAsia"/>
          <w:color w:val="auto"/>
          <w:highlight w:val="none"/>
        </w:rPr>
        <w:t>报告应当由磋商小组全体人员签字认可。磋商小组成员对</w:t>
      </w:r>
      <w:r>
        <w:rPr>
          <w:rFonts w:hint="eastAsia" w:ascii="宋体" w:hAnsi="宋体"/>
          <w:color w:val="auto"/>
          <w:szCs w:val="21"/>
          <w:highlight w:val="none"/>
        </w:rPr>
        <w:t>竞争性磋商</w:t>
      </w:r>
      <w:r>
        <w:rPr>
          <w:rFonts w:hint="eastAsia"/>
          <w:color w:val="auto"/>
          <w:highlight w:val="none"/>
        </w:rPr>
        <w:t>报告有异议的，磋商小组按照少数服从多数的原则推荐成交候选人，采购程序继续进行。对竞争性磋商报告有异议的磋商小组成员，应当在报告上签署不同意见并说明理由，由磋商小组书面记录相关情况。磋商小组成员拒绝在报告上签字又不书面说明其不同意见和理由的，视为同意</w:t>
      </w:r>
      <w:r>
        <w:rPr>
          <w:rFonts w:hint="eastAsia" w:ascii="宋体" w:hAnsi="宋体"/>
          <w:color w:val="auto"/>
          <w:szCs w:val="21"/>
          <w:highlight w:val="none"/>
        </w:rPr>
        <w:t>竞争性磋商</w:t>
      </w:r>
      <w:r>
        <w:rPr>
          <w:rFonts w:hint="eastAsia"/>
          <w:color w:val="auto"/>
          <w:highlight w:val="none"/>
        </w:rPr>
        <w:t>报告。</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综合评分=技术得分+商务得分+价格得分。</w:t>
      </w:r>
    </w:p>
    <w:p>
      <w:pPr>
        <w:numPr>
          <w:ilvl w:val="1"/>
          <w:numId w:val="5"/>
        </w:numPr>
        <w:autoSpaceDE w:val="0"/>
        <w:autoSpaceDN w:val="0"/>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采用综合评分法的，按评审后评审得分由高到低顺序排列。综合评分相同的，按照最后报价由低到高的顺序推荐。综合得分且最后报价相同的，按照价格由低到高的顺序推荐。评审得分相同，且评标价和技术评分均相同的，名次由磋商小组会投票决定。磋商小组会按上述排列向采购人推荐综合总得分第一名为第一成交候选人，第二名为第二成交候选人，第三名为第三成交候选人，以此类推。第一成交候选人不得随意放弃成交资格。</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小型和微型企业产品价格扣除</w:t>
      </w:r>
      <w:bookmarkEnd w:id="208"/>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27.1根据财政部、工业和信息化部印发的《政府采购促进中小企业发展暂行办法》（财库[2011]181号）和《广州市人民政府办公厅关于印发应对疫情影响进一步支持中小微企业健康发展若干措施的通知》（穗府办规〔2020〕9号）的规定，对小型和微型企业产品的价格给予</w:t>
      </w:r>
      <w:r>
        <w:rPr>
          <w:rFonts w:hint="eastAsia" w:ascii="宋体" w:hAnsi="宋体"/>
          <w:bCs/>
          <w:color w:val="auto"/>
          <w:szCs w:val="21"/>
          <w:highlight w:val="none"/>
          <w:lang w:val="en-US" w:eastAsia="zh-CN"/>
        </w:rPr>
        <w:t>8</w:t>
      </w:r>
      <w:r>
        <w:rPr>
          <w:rFonts w:hint="eastAsia" w:ascii="宋体" w:hAnsi="宋体"/>
          <w:bCs/>
          <w:color w:val="auto"/>
          <w:szCs w:val="21"/>
          <w:highlight w:val="none"/>
        </w:rPr>
        <w:t>%的扣除，用扣除后的价格参与评审；提供产品中仅有部分小型和微型企业产品的，则按所投小型和微型企业产品的价格予以扣除。</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27.2《政府采购促进中小企业发展暂行办法》所称中小企业（含中型、小型、微型企业，下同）应当同时符合以下条件：</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27.3符合中小企业划分标准，并以</w:t>
      </w:r>
      <w:r>
        <w:rPr>
          <w:rFonts w:hint="eastAsia" w:ascii="宋体" w:hAnsi="宋体"/>
          <w:bCs/>
          <w:color w:val="auto"/>
          <w:szCs w:val="21"/>
          <w:highlight w:val="none"/>
          <w:u w:val="single"/>
        </w:rPr>
        <w:t>提供中小企业管理部门出具的证明为准</w:t>
      </w:r>
      <w:r>
        <w:rPr>
          <w:rFonts w:hint="eastAsia" w:ascii="宋体" w:hAnsi="宋体"/>
          <w:bCs/>
          <w:color w:val="auto"/>
          <w:szCs w:val="21"/>
          <w:highlight w:val="none"/>
        </w:rPr>
        <w:t>；</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szCs w:val="21"/>
          <w:highlight w:val="none"/>
        </w:rPr>
        <w:t>27.6小型、微型企业提供中型企业制造的货物的，视同为中型企业。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szCs w:val="21"/>
          <w:highlight w:val="none"/>
        </w:rPr>
        <w:t>27.7</w:t>
      </w:r>
      <w:r>
        <w:rPr>
          <w:rFonts w:hint="eastAsia" w:ascii="宋体" w:hAnsi="宋体"/>
          <w:bCs/>
          <w:color w:val="auto"/>
          <w:highlight w:val="none"/>
        </w:rPr>
        <w:t>参加政府采购活动的中小企业应当提供《中小企业声明函》（格式见报价文件格式）。</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27.8监狱企业视同小型、微型企业，享受评审中价格扣除：</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27.8.1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hanging="525" w:hangingChars="250"/>
        <w:jc w:val="left"/>
        <w:rPr>
          <w:rFonts w:ascii="宋体" w:hAnsi="宋体"/>
          <w:bCs/>
          <w:color w:val="auto"/>
          <w:highlight w:val="none"/>
        </w:rPr>
      </w:pPr>
      <w:r>
        <w:rPr>
          <w:rFonts w:hint="eastAsia" w:ascii="宋体" w:hAnsi="宋体"/>
          <w:bCs/>
          <w:color w:val="auto"/>
          <w:highlight w:val="none"/>
        </w:rPr>
        <w:t>27.8.2监狱企业参加政府采购活动时，应当提供由省级以上监狱管理局、戒毒管理局（含新疆生产建设兵团）出具的属于监狱企业的证明文件，否则不予认可。</w:t>
      </w:r>
    </w:p>
    <w:p>
      <w:pPr>
        <w:autoSpaceDE w:val="0"/>
        <w:autoSpaceDN w:val="0"/>
        <w:adjustRightInd w:val="0"/>
        <w:snapToGrid w:val="0"/>
        <w:spacing w:line="360" w:lineRule="auto"/>
        <w:ind w:left="525" w:hanging="525" w:hangingChars="250"/>
        <w:jc w:val="left"/>
        <w:rPr>
          <w:rFonts w:ascii="宋体" w:hAnsi="宋体"/>
          <w:bCs/>
          <w:color w:val="auto"/>
          <w:szCs w:val="21"/>
          <w:highlight w:val="none"/>
        </w:rPr>
      </w:pPr>
      <w:r>
        <w:rPr>
          <w:rFonts w:hint="eastAsia" w:ascii="宋体" w:hAnsi="宋体"/>
          <w:bCs/>
          <w:color w:val="auto"/>
          <w:highlight w:val="none"/>
        </w:rPr>
        <w:t>27.9供应商同时为小型、微型企业和监狱企业的，评审中只享受一次价格扣除。不重复进行价格扣除。</w:t>
      </w:r>
    </w:p>
    <w:p>
      <w:pPr>
        <w:autoSpaceDE w:val="0"/>
        <w:autoSpaceDN w:val="0"/>
        <w:adjustRightInd w:val="0"/>
        <w:snapToGrid w:val="0"/>
        <w:spacing w:line="360" w:lineRule="auto"/>
        <w:ind w:left="525" w:hanging="525" w:hangingChars="250"/>
        <w:jc w:val="left"/>
        <w:rPr>
          <w:rFonts w:ascii="宋体" w:hAnsi="宋体"/>
          <w:color w:val="auto"/>
          <w:szCs w:val="21"/>
          <w:highlight w:val="none"/>
        </w:rPr>
      </w:pPr>
      <w:r>
        <w:rPr>
          <w:rFonts w:hint="eastAsia" w:ascii="宋体" w:hAnsi="宋体"/>
          <w:bCs/>
          <w:color w:val="auto"/>
          <w:szCs w:val="21"/>
          <w:highlight w:val="none"/>
        </w:rPr>
        <w:t>27.10</w:t>
      </w:r>
      <w:r>
        <w:rPr>
          <w:rFonts w:hint="eastAsia" w:ascii="宋体" w:hAnsi="宋体"/>
          <w:color w:val="auto"/>
          <w:szCs w:val="21"/>
          <w:highlight w:val="none"/>
        </w:rPr>
        <w:t>提供产品中含节能产品时，在评分标准中应给予总分3%*B的加分；含环境标志产品时，在评分标准中应给予总分3%*C的加分（其中B为节能产品报价占总报价比重，C为环境标志产品占总报价比重）。</w:t>
      </w:r>
    </w:p>
    <w:p>
      <w:pPr>
        <w:autoSpaceDE w:val="0"/>
        <w:autoSpaceDN w:val="0"/>
        <w:adjustRightInd w:val="0"/>
        <w:snapToGrid w:val="0"/>
        <w:spacing w:line="360" w:lineRule="auto"/>
        <w:outlineLvl w:val="0"/>
        <w:rPr>
          <w:rFonts w:ascii="宋体" w:hAnsi="宋体"/>
          <w:b/>
          <w:bCs/>
          <w:color w:val="auto"/>
          <w:sz w:val="24"/>
          <w:highlight w:val="none"/>
        </w:rPr>
      </w:pPr>
      <w:bookmarkStart w:id="213" w:name="_Toc475104506"/>
      <w:r>
        <w:rPr>
          <w:rFonts w:hint="eastAsia" w:ascii="宋体" w:hAnsi="宋体"/>
          <w:color w:val="auto"/>
          <w:szCs w:val="21"/>
          <w:highlight w:val="none"/>
        </w:rPr>
        <w:t>27.11</w:t>
      </w:r>
      <w:r>
        <w:rPr>
          <w:rFonts w:hint="eastAsia" w:ascii="宋体" w:hAnsi="宋体"/>
          <w:bCs/>
          <w:color w:val="auto"/>
          <w:highlight w:val="none"/>
        </w:rPr>
        <w:t>供应商</w:t>
      </w:r>
      <w:r>
        <w:rPr>
          <w:rFonts w:hint="eastAsia" w:ascii="宋体" w:hAnsi="宋体"/>
          <w:bCs/>
          <w:color w:val="auto"/>
          <w:szCs w:val="21"/>
          <w:highlight w:val="none"/>
        </w:rPr>
        <w:t>应当提供《</w:t>
      </w:r>
      <w:r>
        <w:rPr>
          <w:rFonts w:hint="eastAsia" w:ascii="宋体" w:hAnsi="宋体"/>
          <w:color w:val="auto"/>
          <w:szCs w:val="21"/>
          <w:highlight w:val="none"/>
          <w:lang w:val="en-GB"/>
        </w:rPr>
        <w:t>产品适用政府采购政策情况表</w:t>
      </w:r>
      <w:r>
        <w:rPr>
          <w:rFonts w:hint="eastAsia" w:ascii="宋体" w:hAnsi="宋体"/>
          <w:bCs/>
          <w:color w:val="auto"/>
          <w:szCs w:val="21"/>
          <w:highlight w:val="none"/>
        </w:rPr>
        <w:t>》（格式见报价文件格式）。</w:t>
      </w:r>
      <w:bookmarkEnd w:id="213"/>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14" w:name="_Toc475104507"/>
      <w:r>
        <w:rPr>
          <w:rFonts w:hint="eastAsia" w:ascii="宋体" w:hAnsi="宋体"/>
          <w:b/>
          <w:bCs/>
          <w:color w:val="auto"/>
          <w:sz w:val="24"/>
          <w:highlight w:val="none"/>
        </w:rPr>
        <w:t>定标原则与授标</w:t>
      </w:r>
      <w:bookmarkEnd w:id="203"/>
      <w:bookmarkEnd w:id="204"/>
      <w:bookmarkEnd w:id="205"/>
      <w:bookmarkEnd w:id="206"/>
      <w:bookmarkEnd w:id="207"/>
      <w:bookmarkEnd w:id="209"/>
      <w:bookmarkEnd w:id="214"/>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15" w:name="_Toc475104508"/>
      <w:bookmarkStart w:id="216" w:name="_Toc315793484"/>
      <w:bookmarkStart w:id="217" w:name="_Toc363737713"/>
      <w:bookmarkStart w:id="218" w:name="_Toc320515097"/>
      <w:bookmarkStart w:id="219" w:name="_Toc320515048"/>
      <w:bookmarkStart w:id="220" w:name="_Toc323111007"/>
      <w:bookmarkStart w:id="221" w:name="_Toc322680374"/>
      <w:r>
        <w:rPr>
          <w:rFonts w:hint="eastAsia" w:ascii="宋体" w:hAnsi="宋体"/>
          <w:color w:val="auto"/>
          <w:szCs w:val="21"/>
          <w:highlight w:val="none"/>
        </w:rPr>
        <w:t>磋商小组按照竞争性磋商文件确定的、方法、步骤、标准，对磋商响应文件进行评审，提出书面竞争性磋商报告。</w:t>
      </w:r>
    </w:p>
    <w:p>
      <w:pPr>
        <w:numPr>
          <w:ilvl w:val="1"/>
          <w:numId w:val="5"/>
        </w:numPr>
        <w:autoSpaceDE w:val="0"/>
        <w:autoSpaceDN w:val="0"/>
        <w:adjustRightInd w:val="0"/>
        <w:snapToGrid w:val="0"/>
        <w:spacing w:line="360" w:lineRule="auto"/>
        <w:jc w:val="left"/>
        <w:rPr>
          <w:rFonts w:ascii="宋体" w:hAnsi="宋体" w:cs="黑体"/>
          <w:color w:val="auto"/>
          <w:szCs w:val="21"/>
          <w:highlight w:val="none"/>
        </w:rPr>
      </w:pPr>
      <w:r>
        <w:rPr>
          <w:rFonts w:hint="eastAsia" w:ascii="宋体" w:hAnsi="宋体" w:cs="黑体"/>
          <w:color w:val="auto"/>
          <w:szCs w:val="21"/>
          <w:highlight w:val="none"/>
        </w:rPr>
        <w:t>磋商报告应当由磋商小组全体人员签字认可。磋商小组成员对磋商报告有异议的，磋商小组按照少数服从多数的原则推荐成交候选人，采购程序继续进行。对磋商报告有异议的磋商小组成员，应当在报告上签署不同意见并说明理由，由磋商小组书面记录相关情况。磋商小组成员拒绝在报告上签字又不书面说明其不同意见和理由的，视为同意磋商报告。</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w:t>
      </w:r>
      <w:r>
        <w:rPr>
          <w:rFonts w:ascii="宋体" w:hAnsi="宋体"/>
          <w:color w:val="auto"/>
          <w:szCs w:val="21"/>
          <w:highlight w:val="none"/>
        </w:rPr>
        <w:t>小组提</w:t>
      </w:r>
      <w:r>
        <w:rPr>
          <w:rFonts w:hint="eastAsia" w:ascii="宋体" w:hAnsi="宋体"/>
          <w:color w:val="auto"/>
          <w:szCs w:val="21"/>
          <w:highlight w:val="none"/>
        </w:rPr>
        <w:t>交竞争性磋商</w:t>
      </w:r>
      <w:r>
        <w:rPr>
          <w:rFonts w:ascii="宋体" w:hAnsi="宋体"/>
          <w:color w:val="auto"/>
          <w:szCs w:val="21"/>
          <w:highlight w:val="none"/>
        </w:rPr>
        <w:t>报告和推荐</w:t>
      </w:r>
      <w:r>
        <w:rPr>
          <w:rFonts w:hint="eastAsia" w:ascii="宋体" w:hAnsi="宋体"/>
          <w:color w:val="auto"/>
          <w:szCs w:val="21"/>
          <w:highlight w:val="none"/>
        </w:rPr>
        <w:t>成交</w:t>
      </w:r>
      <w:r>
        <w:rPr>
          <w:rFonts w:ascii="宋体" w:hAnsi="宋体"/>
          <w:color w:val="auto"/>
          <w:szCs w:val="21"/>
          <w:highlight w:val="none"/>
        </w:rPr>
        <w:t>意见报</w:t>
      </w:r>
      <w:r>
        <w:rPr>
          <w:rFonts w:hint="eastAsia" w:ascii="宋体" w:hAnsi="宋体"/>
          <w:color w:val="auto"/>
          <w:szCs w:val="21"/>
          <w:highlight w:val="none"/>
        </w:rPr>
        <w:t>采购人确认，采购人在收到竞争性磋商报告后的法定时间内，按照竞争性磋商报告中推荐的成交候选人顺序确定成交供应商，也可以事先授权磋商小组直接确定成交供应商。确认后政府采购代理机构将在政府采购指定媒体上</w:t>
      </w:r>
      <w:r>
        <w:rPr>
          <w:rFonts w:ascii="宋体" w:hAnsi="宋体"/>
          <w:color w:val="auto"/>
          <w:szCs w:val="21"/>
          <w:highlight w:val="none"/>
        </w:rPr>
        <w:t>发</w:t>
      </w:r>
      <w:r>
        <w:rPr>
          <w:rFonts w:hint="eastAsia" w:ascii="宋体" w:hAnsi="宋体"/>
          <w:color w:val="auto"/>
          <w:szCs w:val="21"/>
          <w:highlight w:val="none"/>
        </w:rPr>
        <w:t>布成交公告。不在成交名单之列者即为未成交供应商，政府采购代理机构不再以其他方式另行通知。</w:t>
      </w:r>
    </w:p>
    <w:p>
      <w:pPr>
        <w:numPr>
          <w:ilvl w:val="1"/>
          <w:numId w:val="5"/>
        </w:numPr>
        <w:shd w:val="clear" w:color="auto" w:fill="FFFFFF"/>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highlight w:val="none"/>
        </w:rPr>
        <w:t>政府购买服务项目（含政府和社会资本合作项目），在采购过程中符合要求的</w:t>
      </w:r>
      <w:r>
        <w:rPr>
          <w:rFonts w:hint="eastAsia" w:ascii="宋体" w:hAnsi="宋体"/>
          <w:bCs/>
          <w:color w:val="auto"/>
          <w:highlight w:val="none"/>
        </w:rPr>
        <w:t>供应商</w:t>
      </w:r>
      <w:r>
        <w:rPr>
          <w:rFonts w:hint="eastAsia" w:ascii="宋体" w:hAnsi="宋体"/>
          <w:color w:val="auto"/>
          <w:highlight w:val="none"/>
        </w:rPr>
        <w:t>（社会资本）只有2家的，竞争性磋商采购活动可以继续进行。</w:t>
      </w:r>
    </w:p>
    <w:p>
      <w:pPr>
        <w:autoSpaceDE w:val="0"/>
        <w:autoSpaceDN w:val="0"/>
        <w:adjustRightInd w:val="0"/>
        <w:snapToGrid w:val="0"/>
        <w:spacing w:line="360" w:lineRule="auto"/>
        <w:ind w:left="420" w:hanging="420" w:hangingChars="200"/>
        <w:jc w:val="left"/>
        <w:outlineLvl w:val="0"/>
        <w:rPr>
          <w:rFonts w:ascii="宋体" w:hAnsi="宋体"/>
          <w:color w:val="auto"/>
          <w:highlight w:val="none"/>
        </w:rPr>
      </w:pPr>
      <w:r>
        <w:rPr>
          <w:rFonts w:hint="eastAsia" w:ascii="宋体" w:hAnsi="宋体"/>
          <w:color w:val="auto"/>
          <w:szCs w:val="21"/>
          <w:highlight w:val="none"/>
        </w:rPr>
        <w:t>27.5.</w:t>
      </w:r>
      <w:r>
        <w:rPr>
          <w:rFonts w:hint="eastAsia" w:ascii="宋体" w:hAnsi="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质疑与回复</w:t>
      </w:r>
      <w:bookmarkEnd w:id="215"/>
      <w:bookmarkEnd w:id="216"/>
      <w:bookmarkEnd w:id="217"/>
      <w:bookmarkEnd w:id="218"/>
      <w:bookmarkEnd w:id="219"/>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质疑书应当包括下列主要内容：</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供应商的姓名或者名称、地址、邮编、联系人及联系电话；</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质疑项目的名称、编号；</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具体、明确的质疑事项和与质疑事项相关的请求；</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事实依据；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必要的法律依据；</w:t>
      </w:r>
    </w:p>
    <w:p>
      <w:pPr>
        <w:numPr>
          <w:ilvl w:val="2"/>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提出质疑的日期。</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质疑书应当署名。供应商为自然人的，应当由本人签字；供应商为法人或者其他组织的，应当由法定代表人、主要负责人，或者其授权代表签字或者盖章，并加盖公章。</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认为竞争性磋商文件的内容损害其权益的，应当以书面形式（加盖</w:t>
      </w:r>
      <w:r>
        <w:rPr>
          <w:rFonts w:hint="eastAsia" w:ascii="宋体" w:hAnsi="宋体"/>
          <w:bCs/>
          <w:color w:val="auto"/>
          <w:highlight w:val="none"/>
        </w:rPr>
        <w:t>供应商</w:t>
      </w:r>
      <w:r>
        <w:rPr>
          <w:rFonts w:hint="eastAsia" w:ascii="宋体" w:hAnsi="宋体"/>
          <w:color w:val="auto"/>
          <w:szCs w:val="21"/>
          <w:highlight w:val="none"/>
        </w:rPr>
        <w:t>公章）在竞争性磋商文件公示期间或者自期满之日起7个工作日内向政府采购代理机构提交质疑书，逾期质疑无效。</w:t>
      </w:r>
      <w:r>
        <w:rPr>
          <w:rFonts w:hint="eastAsia" w:ascii="宋体" w:hAnsi="宋体"/>
          <w:bCs/>
          <w:color w:val="auto"/>
          <w:highlight w:val="none"/>
        </w:rPr>
        <w:t>供应商</w:t>
      </w:r>
      <w:r>
        <w:rPr>
          <w:rFonts w:hint="eastAsia" w:ascii="宋体" w:hAnsi="宋体"/>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s="黑体"/>
          <w:bCs/>
          <w:color w:val="auto"/>
          <w:szCs w:val="21"/>
          <w:highlight w:val="none"/>
        </w:rPr>
      </w:pPr>
      <w:r>
        <w:rPr>
          <w:rFonts w:hint="eastAsia" w:ascii="宋体" w:hAnsi="宋体"/>
          <w:bCs/>
          <w:color w:val="auto"/>
          <w:highlight w:val="none"/>
        </w:rPr>
        <w:t>供应商</w:t>
      </w:r>
      <w:r>
        <w:rPr>
          <w:rFonts w:hint="eastAsia" w:ascii="宋体" w:hAnsi="宋体" w:cs="黑体"/>
          <w:bCs/>
          <w:color w:val="auto"/>
          <w:szCs w:val="21"/>
          <w:highlight w:val="none"/>
        </w:rPr>
        <w:t>认为采购过程和</w:t>
      </w:r>
      <w:r>
        <w:rPr>
          <w:rFonts w:hint="eastAsia" w:ascii="宋体" w:hAnsi="宋体"/>
          <w:color w:val="auto"/>
          <w:szCs w:val="21"/>
          <w:highlight w:val="none"/>
        </w:rPr>
        <w:t>成交</w:t>
      </w:r>
      <w:r>
        <w:rPr>
          <w:rFonts w:hint="eastAsia" w:ascii="宋体" w:hAnsi="宋体" w:cs="黑体"/>
          <w:bCs/>
          <w:color w:val="auto"/>
          <w:szCs w:val="21"/>
          <w:highlight w:val="none"/>
        </w:rPr>
        <w:t>结果使自己的权益受到损害的，应当以书面形式（加盖</w:t>
      </w:r>
      <w:r>
        <w:rPr>
          <w:rFonts w:hint="eastAsia" w:ascii="宋体" w:hAnsi="宋体"/>
          <w:bCs/>
          <w:color w:val="auto"/>
          <w:highlight w:val="none"/>
        </w:rPr>
        <w:t>供应商</w:t>
      </w:r>
      <w:r>
        <w:rPr>
          <w:rFonts w:hint="eastAsia" w:ascii="宋体" w:hAnsi="宋体" w:cs="黑体"/>
          <w:bCs/>
          <w:color w:val="auto"/>
          <w:szCs w:val="21"/>
          <w:highlight w:val="none"/>
        </w:rPr>
        <w:t>公章）在知道或者应知其权益受到损害之日起7个工作日内向政府采购代理机构提交质疑书，逾期质疑无效。</w:t>
      </w:r>
      <w:r>
        <w:rPr>
          <w:rFonts w:hint="eastAsia" w:ascii="宋体" w:hAnsi="宋体"/>
          <w:bCs/>
          <w:color w:val="auto"/>
          <w:highlight w:val="none"/>
        </w:rPr>
        <w:t>供应商</w:t>
      </w:r>
      <w:r>
        <w:rPr>
          <w:rFonts w:hint="eastAsia" w:ascii="宋体" w:hAnsi="宋体" w:cs="黑体"/>
          <w:bCs/>
          <w:color w:val="auto"/>
          <w:szCs w:val="21"/>
          <w:highlight w:val="none"/>
        </w:rPr>
        <w:t>以电话、传真或电邮形式提交的质疑属于无效质疑。</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质疑内容不得含有虚假、恶意成分。依据谁主张谁举证的原则，质疑者提供的质疑书应当包括下列主要内容：具体的质疑事项、事实依据及相关确凿的证明材料和注明事实的确切来源、</w:t>
      </w:r>
      <w:r>
        <w:rPr>
          <w:rFonts w:hint="eastAsia" w:ascii="宋体" w:hAnsi="宋体"/>
          <w:bCs/>
          <w:color w:val="auto"/>
          <w:highlight w:val="none"/>
        </w:rPr>
        <w:t>供应商</w:t>
      </w:r>
      <w:r>
        <w:rPr>
          <w:rFonts w:hint="eastAsia" w:ascii="宋体" w:hAnsi="宋体"/>
          <w:color w:val="auto"/>
          <w:szCs w:val="21"/>
          <w:highlight w:val="none"/>
        </w:rPr>
        <w:t>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政府采购代理机构在收到</w:t>
      </w:r>
      <w:r>
        <w:rPr>
          <w:rFonts w:hint="eastAsia" w:ascii="宋体" w:hAnsi="宋体"/>
          <w:bCs/>
          <w:color w:val="auto"/>
          <w:highlight w:val="none"/>
        </w:rPr>
        <w:t>供应商</w:t>
      </w:r>
      <w:r>
        <w:rPr>
          <w:rFonts w:hint="eastAsia" w:ascii="宋体" w:hAnsi="宋体"/>
          <w:color w:val="auto"/>
          <w:szCs w:val="21"/>
          <w:highlight w:val="none"/>
        </w:rPr>
        <w:t>的有效书面质疑后七个工作日内作出答复，但答复的内容不涉及商业秘密，质疑</w:t>
      </w:r>
      <w:r>
        <w:rPr>
          <w:rFonts w:hint="eastAsia" w:ascii="宋体" w:hAnsi="宋体"/>
          <w:bCs/>
          <w:color w:val="auto"/>
          <w:highlight w:val="none"/>
        </w:rPr>
        <w:t>供应商</w:t>
      </w:r>
      <w:r>
        <w:rPr>
          <w:rFonts w:hint="eastAsia" w:ascii="宋体" w:hAnsi="宋体"/>
          <w:color w:val="auto"/>
          <w:szCs w:val="21"/>
          <w:highlight w:val="none"/>
        </w:rPr>
        <w:t>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质疑</w:t>
      </w:r>
      <w:r>
        <w:rPr>
          <w:rFonts w:hint="eastAsia" w:ascii="宋体" w:hAnsi="宋体"/>
          <w:bCs/>
          <w:color w:val="auto"/>
          <w:highlight w:val="none"/>
        </w:rPr>
        <w:t>供应商</w:t>
      </w:r>
      <w:r>
        <w:rPr>
          <w:rFonts w:hint="eastAsia" w:ascii="宋体" w:hAnsi="宋体"/>
          <w:color w:val="auto"/>
          <w:szCs w:val="21"/>
          <w:highlight w:val="none"/>
        </w:rPr>
        <w:t>需要修改、补充质疑函的，应当在质疑有效期内提交修改或补充材料。质疑函收到日期以提交修改或补充的质疑函之日计算。</w:t>
      </w:r>
    </w:p>
    <w:bookmarkEnd w:id="220"/>
    <w:bookmarkEnd w:id="221"/>
    <w:p>
      <w:pPr>
        <w:numPr>
          <w:ilvl w:val="0"/>
          <w:numId w:val="5"/>
        </w:numPr>
        <w:autoSpaceDE w:val="0"/>
        <w:autoSpaceDN w:val="0"/>
        <w:adjustRightInd w:val="0"/>
        <w:snapToGrid w:val="0"/>
        <w:spacing w:line="360" w:lineRule="auto"/>
        <w:outlineLvl w:val="0"/>
        <w:rPr>
          <w:rFonts w:hint="eastAsia" w:ascii="宋体" w:hAnsi="宋体"/>
          <w:b/>
          <w:bCs/>
          <w:color w:val="auto"/>
          <w:sz w:val="24"/>
          <w:highlight w:val="none"/>
        </w:rPr>
      </w:pPr>
      <w:bookmarkStart w:id="222" w:name="_Toc475104509"/>
      <w:bookmarkStart w:id="223" w:name="_Toc363737714"/>
      <w:r>
        <w:rPr>
          <w:rFonts w:hint="eastAsia" w:ascii="宋体" w:hAnsi="宋体" w:eastAsia="宋体" w:cs="宋体"/>
          <w:b/>
          <w:bCs/>
          <w:color w:val="auto"/>
          <w:sz w:val="24"/>
          <w:highlight w:val="none"/>
          <w:lang w:eastAsia="zh-CN"/>
        </w:rPr>
        <w:t>供应商</w:t>
      </w:r>
      <w:r>
        <w:rPr>
          <w:rFonts w:hint="eastAsia" w:ascii="宋体" w:hAnsi="宋体" w:eastAsia="宋体" w:cs="宋体"/>
          <w:b/>
          <w:bCs/>
          <w:color w:val="auto"/>
          <w:sz w:val="24"/>
          <w:highlight w:val="none"/>
        </w:rPr>
        <w:t>询问的途径、接收质疑函的方式</w:t>
      </w:r>
      <w:r>
        <w:rPr>
          <w:rFonts w:hint="eastAsia" w:ascii="宋体" w:hAnsi="宋体"/>
          <w:b/>
          <w:bCs/>
          <w:color w:val="auto"/>
          <w:sz w:val="24"/>
          <w:highlight w:val="none"/>
        </w:rPr>
        <w:t>：</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质疑接收机构名称：</w:t>
      </w:r>
      <w:r>
        <w:rPr>
          <w:rFonts w:hint="eastAsia" w:ascii="宋体" w:hAnsi="宋体" w:eastAsia="宋体" w:cs="宋体"/>
          <w:color w:val="auto"/>
          <w:szCs w:val="21"/>
          <w:highlight w:val="none"/>
          <w:lang w:eastAsia="zh-CN"/>
        </w:rPr>
        <w:t>广州市信怡招标代理有限公司</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质疑接收机构地址：</w:t>
      </w:r>
      <w:r>
        <w:rPr>
          <w:rFonts w:hint="eastAsia" w:ascii="宋体" w:hAnsi="宋体" w:eastAsia="宋体" w:cs="宋体"/>
          <w:color w:val="auto"/>
          <w:szCs w:val="21"/>
          <w:highlight w:val="none"/>
          <w:lang w:eastAsia="zh-CN"/>
        </w:rPr>
        <w:t>广州市海珠区红卫新村西路29号UP智谷D栋503房</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lang w:eastAsia="zh-CN"/>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质疑接收部门联系人：</w:t>
      </w:r>
      <w:r>
        <w:rPr>
          <w:rFonts w:hint="eastAsia" w:ascii="宋体" w:hAnsi="宋体" w:eastAsia="宋体" w:cs="宋体"/>
          <w:color w:val="auto"/>
          <w:szCs w:val="21"/>
          <w:highlight w:val="none"/>
          <w:lang w:eastAsia="zh-CN"/>
        </w:rPr>
        <w:t>胡先生</w:t>
      </w:r>
    </w:p>
    <w:p>
      <w:pPr>
        <w:numPr>
          <w:ilvl w:val="1"/>
          <w:numId w:val="5"/>
        </w:numPr>
        <w:autoSpaceDE w:val="0"/>
        <w:autoSpaceDN w:val="0"/>
        <w:adjustRightInd w:val="0"/>
        <w:snapToGrid w:val="0"/>
        <w:spacing w:line="360" w:lineRule="auto"/>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询问</w:t>
      </w:r>
      <w:r>
        <w:rPr>
          <w:rFonts w:hint="eastAsia" w:ascii="宋体" w:hAnsi="宋体" w:eastAsia="宋体" w:cs="宋体"/>
          <w:color w:val="auto"/>
          <w:szCs w:val="21"/>
          <w:highlight w:val="none"/>
          <w:lang w:eastAsia="zh-CN"/>
        </w:rPr>
        <w:t>和</w:t>
      </w:r>
      <w:r>
        <w:rPr>
          <w:rFonts w:hint="eastAsia" w:ascii="宋体" w:hAnsi="宋体" w:eastAsia="宋体" w:cs="宋体"/>
          <w:color w:val="auto"/>
          <w:szCs w:val="21"/>
          <w:highlight w:val="none"/>
        </w:rPr>
        <w:t>质疑接收机构电话：020-</w:t>
      </w:r>
      <w:r>
        <w:rPr>
          <w:rFonts w:hint="eastAsia" w:ascii="宋体" w:hAnsi="宋体" w:eastAsia="宋体" w:cs="宋体"/>
          <w:color w:val="auto"/>
          <w:szCs w:val="21"/>
          <w:highlight w:val="none"/>
          <w:lang w:val="en-US" w:eastAsia="zh-CN"/>
        </w:rPr>
        <w:t>89001296</w:t>
      </w:r>
      <w:r>
        <w:rPr>
          <w:rFonts w:hint="eastAsia" w:ascii="宋体" w:hAnsi="宋体" w:eastAsia="宋体" w:cs="宋体"/>
          <w:color w:val="auto"/>
          <w:szCs w:val="21"/>
          <w:highlight w:val="none"/>
        </w:rPr>
        <w:t>（工作/接收时间：</w:t>
      </w:r>
      <w:r>
        <w:rPr>
          <w:rFonts w:hint="eastAsia" w:ascii="宋体" w:hAnsi="宋体" w:eastAsia="宋体" w:cs="宋体"/>
          <w:color w:val="auto"/>
          <w:szCs w:val="21"/>
          <w:highlight w:val="none"/>
          <w:lang w:val="en-US" w:eastAsia="zh-CN"/>
        </w:rPr>
        <w:t>9</w:t>
      </w:r>
      <w:r>
        <w:rPr>
          <w:rFonts w:hint="eastAsia" w:ascii="宋体" w:hAnsi="宋体" w:eastAsia="宋体" w:cs="宋体"/>
          <w:color w:val="auto"/>
          <w:szCs w:val="21"/>
          <w:highlight w:val="none"/>
        </w:rPr>
        <w:t>：</w:t>
      </w:r>
      <w:r>
        <w:rPr>
          <w:rFonts w:hint="eastAsia" w:ascii="宋体" w:hAnsi="宋体" w:eastAsia="宋体" w:cs="宋体"/>
          <w:color w:val="auto"/>
          <w:szCs w:val="21"/>
          <w:highlight w:val="none"/>
          <w:lang w:val="en-US" w:eastAsia="zh-CN"/>
        </w:rPr>
        <w:t>0</w:t>
      </w:r>
      <w:r>
        <w:rPr>
          <w:rFonts w:hint="eastAsia" w:ascii="宋体" w:hAnsi="宋体" w:eastAsia="宋体" w:cs="宋体"/>
          <w:color w:val="auto"/>
          <w:szCs w:val="21"/>
          <w:highlight w:val="none"/>
        </w:rPr>
        <w:t>0-17：00）</w:t>
      </w:r>
    </w:p>
    <w:p>
      <w:pPr>
        <w:numPr>
          <w:ilvl w:val="1"/>
          <w:numId w:val="5"/>
        </w:numPr>
        <w:autoSpaceDE w:val="0"/>
        <w:autoSpaceDN w:val="0"/>
        <w:adjustRightInd w:val="0"/>
        <w:snapToGrid w:val="0"/>
        <w:spacing w:line="360" w:lineRule="auto"/>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rPr>
        <w:t>质疑接收机构传真：020-</w:t>
      </w:r>
      <w:r>
        <w:rPr>
          <w:rFonts w:hint="eastAsia" w:ascii="宋体" w:hAnsi="宋体" w:eastAsia="宋体" w:cs="宋体"/>
          <w:color w:val="auto"/>
          <w:szCs w:val="21"/>
          <w:highlight w:val="none"/>
          <w:lang w:val="en-US" w:eastAsia="zh-CN"/>
        </w:rPr>
        <w:t>89001292</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成交通知书</w:t>
      </w:r>
      <w:bookmarkEnd w:id="222"/>
      <w:bookmarkEnd w:id="223"/>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成交供应商确定后</w:t>
      </w:r>
      <w:r>
        <w:rPr>
          <w:rFonts w:hint="eastAsia" w:ascii="宋体" w:hAnsi="宋体" w:cs="宋体"/>
          <w:color w:val="auto"/>
          <w:szCs w:val="21"/>
          <w:highlight w:val="none"/>
        </w:rPr>
        <w:t>，</w:t>
      </w:r>
      <w:r>
        <w:rPr>
          <w:rFonts w:hint="eastAsia" w:ascii="宋体" w:hAnsi="宋体" w:cs="宋体"/>
          <w:color w:val="auto"/>
          <w:szCs w:val="21"/>
          <w:highlight w:val="none"/>
          <w:lang w:eastAsia="zh-TW"/>
        </w:rPr>
        <w:t>政府采购代理机构将在政府采购监督管理部门</w:t>
      </w:r>
      <w:r>
        <w:rPr>
          <w:rFonts w:hint="eastAsia" w:ascii="宋体" w:hAnsi="宋体" w:cs="宋体"/>
          <w:color w:val="auto"/>
          <w:szCs w:val="21"/>
          <w:highlight w:val="none"/>
        </w:rPr>
        <w:t>法定</w:t>
      </w:r>
      <w:r>
        <w:rPr>
          <w:rFonts w:hint="eastAsia" w:ascii="宋体" w:hAnsi="宋体" w:cs="宋体"/>
          <w:color w:val="auto"/>
          <w:szCs w:val="21"/>
          <w:highlight w:val="none"/>
          <w:lang w:eastAsia="zh-TW"/>
        </w:rPr>
        <w:t>的媒体上发布</w:t>
      </w:r>
      <w:r>
        <w:rPr>
          <w:rFonts w:hint="eastAsia" w:ascii="宋体" w:hAnsi="宋体"/>
          <w:color w:val="auto"/>
          <w:szCs w:val="21"/>
          <w:highlight w:val="none"/>
        </w:rPr>
        <w:t>成交</w:t>
      </w:r>
      <w:r>
        <w:rPr>
          <w:rFonts w:hint="eastAsia" w:ascii="宋体" w:hAnsi="宋体" w:cs="宋体"/>
          <w:color w:val="auto"/>
          <w:szCs w:val="21"/>
          <w:highlight w:val="none"/>
        </w:rPr>
        <w:t>结果公告</w:t>
      </w:r>
      <w:r>
        <w:rPr>
          <w:rFonts w:hint="eastAsia" w:ascii="宋体" w:hAnsi="宋体" w:cs="宋体"/>
          <w:color w:val="auto"/>
          <w:szCs w:val="21"/>
          <w:highlight w:val="none"/>
          <w:lang w:eastAsia="zh-TW"/>
        </w:rPr>
        <w:t>，并向成交供应商发出《成交通知书》</w:t>
      </w:r>
      <w:r>
        <w:rPr>
          <w:rFonts w:hint="eastAsia" w:ascii="宋体" w:hAnsi="宋体" w:cs="宋体"/>
          <w:color w:val="auto"/>
          <w:szCs w:val="21"/>
          <w:highlight w:val="none"/>
        </w:rPr>
        <w:t>，</w:t>
      </w:r>
      <w:r>
        <w:rPr>
          <w:rFonts w:hint="eastAsia" w:ascii="宋体" w:hAnsi="宋体" w:cs="宋体"/>
          <w:color w:val="auto"/>
          <w:szCs w:val="21"/>
          <w:highlight w:val="none"/>
          <w:lang w:eastAsia="zh-TW"/>
        </w:rPr>
        <w:t>《成交通知书》对成交供应商和采购人具有同等法律效力。</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olor w:val="auto"/>
          <w:szCs w:val="21"/>
          <w:highlight w:val="none"/>
        </w:rPr>
        <w:t>《成交通知书》将作为授予合同资格的合法依据，是合同的一个组成部分。</w:t>
      </w:r>
    </w:p>
    <w:p>
      <w:pPr>
        <w:numPr>
          <w:ilvl w:val="0"/>
          <w:numId w:val="4"/>
        </w:numPr>
        <w:autoSpaceDE w:val="0"/>
        <w:autoSpaceDN w:val="0"/>
        <w:adjustRightInd w:val="0"/>
        <w:snapToGrid w:val="0"/>
        <w:spacing w:beforeLines="100" w:afterLines="100" w:line="360" w:lineRule="auto"/>
        <w:ind w:left="601" w:hanging="601"/>
        <w:jc w:val="center"/>
        <w:outlineLvl w:val="0"/>
        <w:rPr>
          <w:rFonts w:ascii="宋体" w:hAnsi="宋体"/>
          <w:b/>
          <w:color w:val="auto"/>
          <w:sz w:val="28"/>
          <w:szCs w:val="28"/>
          <w:highlight w:val="none"/>
          <w:lang w:eastAsia="zh-TW"/>
        </w:rPr>
      </w:pPr>
      <w:bookmarkStart w:id="224" w:name="_Toc363737715"/>
      <w:bookmarkStart w:id="225" w:name="_Toc320515099"/>
      <w:bookmarkStart w:id="226" w:name="_Toc475104510"/>
      <w:bookmarkStart w:id="227" w:name="_Toc315793486"/>
      <w:bookmarkStart w:id="228" w:name="_Toc320515050"/>
      <w:bookmarkStart w:id="229" w:name="_Toc28489462"/>
      <w:bookmarkStart w:id="230" w:name="_Toc14450813"/>
      <w:r>
        <w:rPr>
          <w:rFonts w:hint="eastAsia" w:ascii="宋体" w:hAnsi="宋体"/>
          <w:b/>
          <w:color w:val="auto"/>
          <w:sz w:val="28"/>
          <w:szCs w:val="28"/>
          <w:highlight w:val="none"/>
          <w:lang w:eastAsia="zh-TW"/>
        </w:rPr>
        <w:t>授予合同</w:t>
      </w:r>
      <w:bookmarkEnd w:id="224"/>
      <w:bookmarkEnd w:id="225"/>
      <w:bookmarkEnd w:id="226"/>
      <w:bookmarkEnd w:id="227"/>
      <w:bookmarkEnd w:id="228"/>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bookmarkStart w:id="231" w:name="_Toc320515100"/>
      <w:bookmarkStart w:id="232" w:name="_Toc320515051"/>
      <w:bookmarkStart w:id="233" w:name="_Toc363737716"/>
      <w:bookmarkStart w:id="234" w:name="_Toc475104511"/>
      <w:bookmarkStart w:id="235" w:name="_Toc315793487"/>
      <w:r>
        <w:rPr>
          <w:rFonts w:hint="eastAsia" w:ascii="宋体" w:hAnsi="宋体"/>
          <w:b/>
          <w:bCs/>
          <w:color w:val="auto"/>
          <w:sz w:val="24"/>
          <w:highlight w:val="none"/>
        </w:rPr>
        <w:t>合同的订立</w:t>
      </w:r>
      <w:bookmarkEnd w:id="231"/>
      <w:bookmarkEnd w:id="232"/>
      <w:bookmarkEnd w:id="233"/>
      <w:bookmarkEnd w:id="234"/>
      <w:bookmarkEnd w:id="235"/>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bookmarkStart w:id="236" w:name="_Toc315793488"/>
      <w:bookmarkStart w:id="237" w:name="_Toc320515101"/>
      <w:bookmarkStart w:id="238" w:name="_Toc475104512"/>
      <w:bookmarkStart w:id="239" w:name="_Toc363737717"/>
      <w:bookmarkStart w:id="240" w:name="_Toc320515052"/>
      <w:r>
        <w:rPr>
          <w:rFonts w:hint="eastAsia" w:ascii="宋体" w:hAnsi="宋体" w:cs="宋体"/>
          <w:color w:val="auto"/>
          <w:szCs w:val="21"/>
          <w:highlight w:val="none"/>
          <w:lang w:eastAsia="zh-TW"/>
        </w:rPr>
        <w:t>采购人或者</w:t>
      </w:r>
      <w:r>
        <w:rPr>
          <w:rFonts w:hint="eastAsia" w:ascii="宋体" w:hAnsi="宋体" w:cs="宋体"/>
          <w:color w:val="auto"/>
          <w:szCs w:val="21"/>
          <w:highlight w:val="none"/>
        </w:rPr>
        <w:t>政府</w:t>
      </w:r>
      <w:r>
        <w:rPr>
          <w:rFonts w:hint="eastAsia" w:ascii="宋体" w:hAnsi="宋体" w:cs="宋体"/>
          <w:color w:val="auto"/>
          <w:szCs w:val="21"/>
          <w:highlight w:val="none"/>
          <w:lang w:eastAsia="zh-TW"/>
        </w:rPr>
        <w:t>采购代理机构应当自成交通知书发出之日起三十日内，按照竞争性磋商文件和成交供应商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响应文件的约定，与成交供应商签订书面合同。所签订的合同不得对竞争性磋商文件和成交供应商</w:t>
      </w:r>
      <w:r>
        <w:rPr>
          <w:rFonts w:hint="eastAsia" w:ascii="宋体" w:hAnsi="宋体"/>
          <w:color w:val="auto"/>
          <w:szCs w:val="21"/>
          <w:highlight w:val="none"/>
        </w:rPr>
        <w:t>磋商</w:t>
      </w:r>
      <w:r>
        <w:rPr>
          <w:rFonts w:hint="eastAsia" w:ascii="宋体" w:hAnsi="宋体" w:cs="宋体"/>
          <w:color w:val="auto"/>
          <w:szCs w:val="21"/>
          <w:highlight w:val="none"/>
          <w:lang w:eastAsia="zh-TW"/>
        </w:rPr>
        <w:t>响应文件作实质性修改</w:t>
      </w:r>
      <w:r>
        <w:rPr>
          <w:rFonts w:hint="eastAsia" w:ascii="宋体" w:hAnsi="宋体" w:cs="宋体"/>
          <w:color w:val="auto"/>
          <w:szCs w:val="21"/>
          <w:highlight w:val="none"/>
        </w:rPr>
        <w:t>。</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 xml:space="preserve">招标采购单位不得向成交供应商提出任何不合理的要求，作为签订合同的条件，不得与成交供应商私下订立背离合同实质性内容的协议。 </w:t>
      </w:r>
    </w:p>
    <w:p>
      <w:pPr>
        <w:numPr>
          <w:ilvl w:val="1"/>
          <w:numId w:val="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lang w:eastAsia="zh-TW"/>
        </w:rPr>
        <w:t>签订政府采购合同后</w:t>
      </w:r>
      <w:r>
        <w:rPr>
          <w:rFonts w:hint="eastAsia" w:ascii="宋体" w:hAnsi="宋体" w:cs="宋体"/>
          <w:color w:val="auto"/>
          <w:szCs w:val="21"/>
          <w:highlight w:val="none"/>
        </w:rPr>
        <w:t>七</w:t>
      </w:r>
      <w:r>
        <w:rPr>
          <w:rFonts w:hint="eastAsia" w:ascii="宋体" w:hAnsi="宋体" w:cs="宋体"/>
          <w:color w:val="auto"/>
          <w:szCs w:val="21"/>
          <w:highlight w:val="none"/>
          <w:lang w:eastAsia="zh-TW"/>
        </w:rPr>
        <w:t>个工作日内，采购人应将政府采购合同副本报同级政府采购监督管理部门备案。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合同的履行</w:t>
      </w:r>
      <w:bookmarkEnd w:id="236"/>
      <w:bookmarkEnd w:id="237"/>
      <w:bookmarkEnd w:id="238"/>
      <w:bookmarkEnd w:id="239"/>
      <w:bookmarkEnd w:id="240"/>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备案；因特殊情况需要中止或终止合同的，采购人应将中止或终止合同的理由以及相应措施，以书面形式报政府采购监督管理</w:t>
      </w:r>
      <w:r>
        <w:rPr>
          <w:rFonts w:hint="eastAsia" w:ascii="宋体" w:hAnsi="宋体" w:cs="宋体"/>
          <w:color w:val="auto"/>
          <w:szCs w:val="21"/>
          <w:highlight w:val="none"/>
        </w:rPr>
        <w:t>部门</w:t>
      </w:r>
      <w:r>
        <w:rPr>
          <w:rFonts w:hint="eastAsia" w:ascii="宋体" w:hAnsi="宋体" w:cs="宋体"/>
          <w:color w:val="auto"/>
          <w:szCs w:val="21"/>
          <w:highlight w:val="none"/>
          <w:lang w:eastAsia="zh-TW"/>
        </w:rPr>
        <w:t>备案。</w:t>
      </w:r>
    </w:p>
    <w:p>
      <w:pPr>
        <w:numPr>
          <w:ilvl w:val="1"/>
          <w:numId w:val="5"/>
        </w:numPr>
        <w:autoSpaceDE w:val="0"/>
        <w:autoSpaceDN w:val="0"/>
        <w:adjustRightInd w:val="0"/>
        <w:snapToGrid w:val="0"/>
        <w:spacing w:line="360" w:lineRule="auto"/>
        <w:jc w:val="left"/>
        <w:rPr>
          <w:rFonts w:ascii="宋体" w:hAnsi="宋体" w:cs="黑体"/>
          <w:b/>
          <w:bCs/>
          <w:color w:val="auto"/>
          <w:szCs w:val="21"/>
          <w:highlight w:val="none"/>
        </w:rPr>
      </w:pPr>
      <w:r>
        <w:rPr>
          <w:rFonts w:hint="eastAsia" w:ascii="宋体" w:hAnsi="宋体" w:cs="宋体"/>
          <w:color w:val="auto"/>
          <w:szCs w:val="21"/>
          <w:highlight w:val="none"/>
          <w:lang w:eastAsia="zh-TW"/>
        </w:rPr>
        <w:t>政府采购合同履行中，采购人需追加与合同标的相同的货物、工程或者服务的，在不改变合同其他条款的前提下，可以与</w:t>
      </w:r>
      <w:r>
        <w:rPr>
          <w:rFonts w:hint="eastAsia" w:ascii="宋体" w:hAnsi="宋体" w:cs="宋体"/>
          <w:color w:val="auto"/>
          <w:szCs w:val="21"/>
          <w:highlight w:val="none"/>
        </w:rPr>
        <w:t>成交</w:t>
      </w:r>
      <w:r>
        <w:rPr>
          <w:rFonts w:hint="eastAsia" w:ascii="宋体" w:hAnsi="宋体" w:cs="宋体"/>
          <w:color w:val="auto"/>
          <w:szCs w:val="21"/>
          <w:highlight w:val="none"/>
          <w:lang w:eastAsia="zh-TW"/>
        </w:rPr>
        <w:t>供应商签订补充合同，但所补充合同的采购金额不得超过原</w:t>
      </w:r>
      <w:r>
        <w:rPr>
          <w:rFonts w:hint="eastAsia" w:ascii="宋体" w:hAnsi="宋体" w:cs="宋体"/>
          <w:color w:val="auto"/>
          <w:szCs w:val="21"/>
          <w:highlight w:val="none"/>
        </w:rPr>
        <w:t>合同</w:t>
      </w:r>
      <w:r>
        <w:rPr>
          <w:rFonts w:hint="eastAsia" w:ascii="宋体" w:hAnsi="宋体" w:cs="宋体"/>
          <w:color w:val="auto"/>
          <w:szCs w:val="21"/>
          <w:highlight w:val="none"/>
          <w:lang w:eastAsia="zh-TW"/>
        </w:rPr>
        <w:t>采购金额的百分之十。签订补充合同的必须按规定备案。</w:t>
      </w:r>
    </w:p>
    <w:p>
      <w:pPr>
        <w:numPr>
          <w:ilvl w:val="0"/>
          <w:numId w:val="5"/>
        </w:numPr>
        <w:autoSpaceDE w:val="0"/>
        <w:autoSpaceDN w:val="0"/>
        <w:adjustRightInd w:val="0"/>
        <w:snapToGrid w:val="0"/>
        <w:spacing w:line="360" w:lineRule="auto"/>
        <w:outlineLvl w:val="0"/>
        <w:rPr>
          <w:rFonts w:ascii="宋体" w:hAnsi="宋体"/>
          <w:b/>
          <w:bCs/>
          <w:color w:val="auto"/>
          <w:sz w:val="24"/>
          <w:highlight w:val="none"/>
        </w:rPr>
      </w:pPr>
      <w:r>
        <w:rPr>
          <w:rFonts w:hint="eastAsia" w:ascii="宋体" w:hAnsi="宋体"/>
          <w:b/>
          <w:bCs/>
          <w:color w:val="auto"/>
          <w:sz w:val="24"/>
          <w:highlight w:val="none"/>
        </w:rPr>
        <w:t>采购代理服务费</w:t>
      </w:r>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1" w:name="_Toc475104515"/>
      <w:bookmarkStart w:id="242" w:name="_Toc363737720"/>
      <w:r>
        <w:rPr>
          <w:rFonts w:hint="eastAsia" w:ascii="宋体" w:hAnsi="宋体" w:cs="宋体"/>
          <w:color w:val="auto"/>
          <w:szCs w:val="21"/>
          <w:highlight w:val="none"/>
        </w:rPr>
        <w:t>成交服务费按</w:t>
      </w:r>
      <w:r>
        <w:rPr>
          <w:rFonts w:hint="eastAsia" w:ascii="宋体" w:hAnsi="宋体"/>
          <w:color w:val="auto"/>
          <w:szCs w:val="21"/>
          <w:highlight w:val="none"/>
        </w:rPr>
        <w:t>采购代</w:t>
      </w:r>
      <w:r>
        <w:rPr>
          <w:rFonts w:hint="eastAsia" w:ascii="宋体" w:hAnsi="宋体" w:cs="宋体"/>
          <w:color w:val="auto"/>
          <w:szCs w:val="21"/>
          <w:highlight w:val="none"/>
        </w:rPr>
        <w:t>理服务费收费依据及方法按《竞争性</w:t>
      </w:r>
      <w:r>
        <w:rPr>
          <w:rFonts w:hint="eastAsia" w:ascii="宋体" w:hAnsi="宋体"/>
          <w:color w:val="auto"/>
          <w:szCs w:val="21"/>
          <w:highlight w:val="none"/>
        </w:rPr>
        <w:t>磋商</w:t>
      </w:r>
      <w:r>
        <w:rPr>
          <w:rFonts w:hint="eastAsia" w:ascii="宋体" w:hAnsi="宋体" w:cs="宋体"/>
          <w:color w:val="auto"/>
          <w:szCs w:val="21"/>
          <w:highlight w:val="none"/>
        </w:rPr>
        <w:t>须知一览表》中规定执行。</w:t>
      </w:r>
      <w:bookmarkEnd w:id="241"/>
      <w:bookmarkEnd w:id="242"/>
    </w:p>
    <w:p>
      <w:pPr>
        <w:numPr>
          <w:ilvl w:val="0"/>
          <w:numId w:val="5"/>
        </w:numPr>
        <w:autoSpaceDE w:val="0"/>
        <w:autoSpaceDN w:val="0"/>
        <w:adjustRightInd w:val="0"/>
        <w:snapToGrid w:val="0"/>
        <w:spacing w:line="360" w:lineRule="auto"/>
        <w:outlineLvl w:val="0"/>
        <w:rPr>
          <w:rFonts w:ascii="宋体" w:hAnsi="宋体" w:cs="宋体"/>
          <w:b/>
          <w:color w:val="auto"/>
          <w:sz w:val="24"/>
          <w:highlight w:val="none"/>
        </w:rPr>
      </w:pPr>
      <w:bookmarkStart w:id="243" w:name="_Toc363737723"/>
      <w:bookmarkStart w:id="244" w:name="_Toc475104518"/>
      <w:r>
        <w:rPr>
          <w:rFonts w:hint="eastAsia" w:ascii="宋体" w:hAnsi="宋体" w:cs="宋体"/>
          <w:b/>
          <w:color w:val="auto"/>
          <w:sz w:val="24"/>
          <w:highlight w:val="none"/>
        </w:rPr>
        <w:t>其他</w:t>
      </w:r>
      <w:bookmarkEnd w:id="243"/>
      <w:bookmarkEnd w:id="244"/>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5" w:name="_Toc475104519"/>
      <w:bookmarkStart w:id="246" w:name="_Toc363737724"/>
      <w:r>
        <w:rPr>
          <w:rFonts w:hint="eastAsia" w:ascii="宋体" w:hAnsi="宋体" w:cs="宋体"/>
          <w:color w:val="auto"/>
          <w:szCs w:val="21"/>
          <w:highlight w:val="none"/>
        </w:rPr>
        <w:t>本项目相关公告在以下媒体发布：中国采购与招标网（网址：</w:t>
      </w:r>
      <w:r>
        <w:rPr>
          <w:rFonts w:hint="eastAsia" w:ascii="宋体" w:hAnsi="宋体" w:cs="宋体"/>
          <w:color w:val="auto"/>
          <w:szCs w:val="21"/>
          <w:highlight w:val="none"/>
        </w:rPr>
        <w:fldChar w:fldCharType="begin"/>
      </w:r>
      <w:r>
        <w:rPr>
          <w:rFonts w:hint="eastAsia" w:ascii="宋体" w:hAnsi="宋体" w:cs="宋体"/>
          <w:color w:val="auto"/>
          <w:szCs w:val="21"/>
          <w:highlight w:val="none"/>
        </w:rPr>
        <w:instrText xml:space="preserve"> HYPERLINK "http://www.chinabidding.com.cn）、广州市信怡招标代理有限公司网站（www.gzxyzb.com）和广东省前沿动物保健有限公司网站（" </w:instrText>
      </w:r>
      <w:r>
        <w:rPr>
          <w:rFonts w:hint="eastAsia" w:ascii="宋体" w:hAnsi="宋体" w:cs="宋体"/>
          <w:color w:val="auto"/>
          <w:szCs w:val="21"/>
          <w:highlight w:val="none"/>
        </w:rPr>
        <w:fldChar w:fldCharType="separate"/>
      </w:r>
      <w:r>
        <w:rPr>
          <w:rFonts w:hint="eastAsia" w:ascii="宋体" w:hAnsi="宋体" w:cs="宋体"/>
          <w:color w:val="auto"/>
          <w:szCs w:val="21"/>
          <w:highlight w:val="none"/>
        </w:rPr>
        <w:t>www.chinabidding.com.cn）</w:t>
      </w:r>
      <w:r>
        <w:rPr>
          <w:rFonts w:hint="eastAsia" w:ascii="宋体" w:hAnsi="宋体" w:cs="宋体"/>
          <w:color w:val="auto"/>
          <w:szCs w:val="21"/>
          <w:highlight w:val="none"/>
          <w:lang w:eastAsia="zh-CN"/>
        </w:rPr>
        <w:t>和</w:t>
      </w:r>
      <w:r>
        <w:rPr>
          <w:rFonts w:hint="eastAsia" w:ascii="宋体" w:hAnsi="宋体" w:cs="宋体"/>
          <w:color w:val="auto"/>
          <w:szCs w:val="21"/>
          <w:highlight w:val="none"/>
        </w:rPr>
        <w:t>广州市信怡招标代理有限公司网站（www.gzxyzb.com）</w:t>
      </w:r>
      <w:r>
        <w:rPr>
          <w:rFonts w:hint="eastAsia" w:ascii="宋体" w:hAnsi="宋体" w:cs="宋体"/>
          <w:color w:val="auto"/>
          <w:szCs w:val="21"/>
          <w:highlight w:val="none"/>
        </w:rPr>
        <w:fldChar w:fldCharType="end"/>
      </w:r>
      <w:r>
        <w:rPr>
          <w:rFonts w:hint="eastAsia" w:ascii="宋体" w:hAnsi="宋体" w:cs="宋体"/>
          <w:color w:val="auto"/>
          <w:szCs w:val="21"/>
          <w:highlight w:val="none"/>
        </w:rPr>
        <w:t>。相关公告在法定媒体上公布之日即视为有效送达，不再另行通知。</w:t>
      </w:r>
      <w:bookmarkEnd w:id="245"/>
      <w:bookmarkEnd w:id="246"/>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bookmarkStart w:id="247" w:name="_Toc363737725"/>
      <w:bookmarkStart w:id="248" w:name="_Toc475104520"/>
      <w:r>
        <w:rPr>
          <w:rFonts w:hint="eastAsia" w:ascii="宋体" w:hAnsi="宋体" w:cs="宋体"/>
          <w:color w:val="auto"/>
          <w:szCs w:val="21"/>
          <w:highlight w:val="none"/>
        </w:rPr>
        <w:t>其他未尽事宜，依照《中华人民共和国政府采购法》和省市相关法律、法规执行。</w:t>
      </w:r>
      <w:bookmarkEnd w:id="247"/>
      <w:bookmarkEnd w:id="248"/>
    </w:p>
    <w:p>
      <w:pPr>
        <w:numPr>
          <w:ilvl w:val="1"/>
          <w:numId w:val="5"/>
        </w:numPr>
        <w:autoSpaceDE w:val="0"/>
        <w:autoSpaceDN w:val="0"/>
        <w:adjustRightInd w:val="0"/>
        <w:snapToGrid w:val="0"/>
        <w:spacing w:line="360" w:lineRule="auto"/>
        <w:outlineLvl w:val="0"/>
        <w:rPr>
          <w:rFonts w:ascii="宋体" w:hAnsi="宋体" w:cs="宋体"/>
          <w:color w:val="auto"/>
          <w:szCs w:val="21"/>
          <w:highlight w:val="none"/>
        </w:rPr>
      </w:pPr>
      <w:r>
        <w:rPr>
          <w:rFonts w:hint="eastAsia" w:ascii="宋体" w:hAnsi="宋体" w:cs="宋体"/>
          <w:color w:val="auto"/>
          <w:szCs w:val="21"/>
          <w:highlight w:val="none"/>
        </w:rPr>
        <w:t>询问函、质疑函格式</w:t>
      </w:r>
    </w:p>
    <w:p>
      <w:pPr>
        <w:snapToGrid w:val="0"/>
        <w:spacing w:line="360" w:lineRule="auto"/>
        <w:ind w:firstLine="424" w:firstLineChars="201"/>
        <w:rPr>
          <w:rFonts w:ascii="宋体"/>
          <w:b/>
          <w:color w:val="auto"/>
          <w:szCs w:val="21"/>
          <w:highlight w:val="none"/>
        </w:rPr>
      </w:pPr>
      <w:r>
        <w:rPr>
          <w:rFonts w:hint="eastAsia" w:ascii="宋体" w:hAnsi="宋体"/>
          <w:b/>
          <w:color w:val="auto"/>
          <w:szCs w:val="21"/>
          <w:highlight w:val="none"/>
        </w:rPr>
        <w:t>说明：本部分格式为投标人提交询问函、质疑函时使用，不属于响应文件格式的组成部分。</w:t>
      </w:r>
    </w:p>
    <w:p>
      <w:pPr>
        <w:jc w:val="center"/>
        <w:rPr>
          <w:rFonts w:ascii="宋体" w:hAnsi="宋体"/>
          <w:b/>
          <w:bCs/>
          <w:color w:val="auto"/>
          <w:sz w:val="28"/>
          <w:szCs w:val="28"/>
          <w:highlight w:val="none"/>
        </w:rPr>
      </w:pPr>
    </w:p>
    <w:p>
      <w:pPr>
        <w:jc w:val="center"/>
        <w:rPr>
          <w:rFonts w:ascii="宋体"/>
          <w:b/>
          <w:bCs/>
          <w:color w:val="auto"/>
          <w:sz w:val="28"/>
          <w:szCs w:val="28"/>
          <w:highlight w:val="none"/>
        </w:rPr>
      </w:pPr>
      <w:r>
        <w:rPr>
          <w:rFonts w:hint="eastAsia" w:ascii="宋体" w:hAnsi="宋体"/>
          <w:b/>
          <w:bCs/>
          <w:color w:val="auto"/>
          <w:sz w:val="28"/>
          <w:szCs w:val="28"/>
          <w:highlight w:val="none"/>
        </w:rPr>
        <w:t>询</w:t>
      </w:r>
      <w:r>
        <w:rPr>
          <w:rFonts w:ascii="宋体" w:hAnsi="宋体"/>
          <w:b/>
          <w:bCs/>
          <w:color w:val="auto"/>
          <w:sz w:val="28"/>
          <w:szCs w:val="28"/>
          <w:highlight w:val="none"/>
        </w:rPr>
        <w:t xml:space="preserve">  </w:t>
      </w:r>
      <w:r>
        <w:rPr>
          <w:rFonts w:hint="eastAsia" w:ascii="宋体" w:hAnsi="宋体"/>
          <w:b/>
          <w:bCs/>
          <w:color w:val="auto"/>
          <w:sz w:val="28"/>
          <w:szCs w:val="28"/>
          <w:highlight w:val="none"/>
        </w:rPr>
        <w:t>问</w:t>
      </w:r>
      <w:r>
        <w:rPr>
          <w:rFonts w:ascii="宋体" w:hAnsi="宋体"/>
          <w:b/>
          <w:bCs/>
          <w:color w:val="auto"/>
          <w:sz w:val="28"/>
          <w:szCs w:val="28"/>
          <w:highlight w:val="none"/>
        </w:rPr>
        <w:t xml:space="preserve">  </w:t>
      </w:r>
      <w:r>
        <w:rPr>
          <w:rFonts w:hint="eastAsia" w:ascii="宋体" w:hAnsi="宋体"/>
          <w:b/>
          <w:bCs/>
          <w:color w:val="auto"/>
          <w:sz w:val="28"/>
          <w:szCs w:val="28"/>
          <w:highlight w:val="none"/>
        </w:rPr>
        <w:t>函</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我单位已报名并准备参与</w:t>
      </w:r>
      <w:r>
        <w:rPr>
          <w:rFonts w:hint="eastAsia" w:ascii="宋体" w:hAnsi="宋体"/>
          <w:color w:val="auto"/>
          <w:szCs w:val="21"/>
          <w:highlight w:val="none"/>
          <w:u w:val="single"/>
        </w:rPr>
        <w:t>（项目名称）</w:t>
      </w:r>
      <w:r>
        <w:rPr>
          <w:rFonts w:hint="eastAsia" w:ascii="宋体" w:hAnsi="宋体"/>
          <w:color w:val="auto"/>
          <w:szCs w:val="21"/>
          <w:highlight w:val="none"/>
        </w:rPr>
        <w:t>项目（项目采购编号：</w:t>
      </w:r>
      <w:r>
        <w:rPr>
          <w:rFonts w:hint="eastAsia" w:ascii="宋体" w:hAnsi="宋体"/>
          <w:color w:val="auto"/>
          <w:szCs w:val="21"/>
          <w:highlight w:val="none"/>
          <w:u w:val="single"/>
        </w:rPr>
        <w:t xml:space="preserve">    </w:t>
      </w:r>
      <w:r>
        <w:rPr>
          <w:rFonts w:hint="eastAsia" w:ascii="宋体" w:hAnsi="宋体"/>
          <w:color w:val="auto"/>
          <w:szCs w:val="21"/>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w:t>
      </w:r>
      <w:r>
        <w:rPr>
          <w:rFonts w:ascii="宋体" w:hAnsi="宋体"/>
          <w:color w:val="auto"/>
          <w:szCs w:val="21"/>
          <w:highlight w:val="none"/>
        </w:rPr>
        <w:t>_____________________</w:t>
      </w:r>
      <w:r>
        <w:rPr>
          <w:rFonts w:hint="eastAsia" w:ascii="宋体" w:hAnsi="宋体"/>
          <w:color w:val="auto"/>
          <w:szCs w:val="21"/>
          <w:highlight w:val="none"/>
        </w:rPr>
        <w:t>（事项一）</w:t>
      </w:r>
      <w:r>
        <w:rPr>
          <w:rFonts w:ascii="宋体"/>
          <w:color w:val="auto"/>
          <w:szCs w:val="21"/>
          <w:highlight w:val="none"/>
        </w:rPr>
        <w:tab/>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1</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（问题或条款内容）</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2</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（说明疑问或无法理解原因）</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r>
        <w:rPr>
          <w:rFonts w:ascii="宋体" w:hAnsi="宋体"/>
          <w:color w:val="auto"/>
          <w:szCs w:val="21"/>
          <w:highlight w:val="none"/>
        </w:rPr>
        <w:t>3</w:t>
      </w:r>
      <w:r>
        <w:rPr>
          <w:rFonts w:hint="eastAsia" w:ascii="宋体" w:hAnsi="宋体"/>
          <w:color w:val="auto"/>
          <w:szCs w:val="21"/>
          <w:highlight w:val="none"/>
        </w:rPr>
        <w:t>）</w:t>
      </w:r>
      <w:r>
        <w:rPr>
          <w:rFonts w:ascii="宋体" w:hAnsi="宋体"/>
          <w:color w:val="auto"/>
          <w:szCs w:val="21"/>
          <w:highlight w:val="none"/>
        </w:rPr>
        <w:t>____________________</w:t>
      </w:r>
      <w:r>
        <w:rPr>
          <w:rFonts w:hint="eastAsia" w:ascii="宋体" w:hAnsi="宋体"/>
          <w:color w:val="auto"/>
          <w:szCs w:val="21"/>
          <w:highlight w:val="none"/>
        </w:rPr>
        <w:t>（建议）</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w:t>
      </w:r>
      <w:r>
        <w:rPr>
          <w:rFonts w:ascii="宋体" w:hAnsi="宋体"/>
          <w:color w:val="auto"/>
          <w:szCs w:val="21"/>
          <w:highlight w:val="none"/>
        </w:rPr>
        <w:t>_____________________</w:t>
      </w:r>
      <w:r>
        <w:rPr>
          <w:rFonts w:hint="eastAsia" w:ascii="宋体" w:hAnsi="宋体"/>
          <w:color w:val="auto"/>
          <w:szCs w:val="21"/>
          <w:highlight w:val="none"/>
        </w:rPr>
        <w:t>（事项二）</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w:t>
      </w:r>
    </w:p>
    <w:p>
      <w:pPr>
        <w:widowControl/>
        <w:tabs>
          <w:tab w:val="left" w:pos="6300"/>
        </w:tabs>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随附相关证明材料如下：（目录）。</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询问人全称（加盖公章）: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法定代表或其授权代表(签字或签章)：</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地址/邮编：</w:t>
      </w:r>
    </w:p>
    <w:p>
      <w:pPr>
        <w:widowControl/>
        <w:tabs>
          <w:tab w:val="left" w:pos="6300"/>
        </w:tabs>
        <w:snapToGrid w:val="0"/>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电话/传真：</w:t>
      </w:r>
    </w:p>
    <w:p>
      <w:pPr>
        <w:widowControl/>
        <w:tabs>
          <w:tab w:val="left" w:pos="6300"/>
        </w:tabs>
        <w:snapToGrid w:val="0"/>
        <w:spacing w:line="360" w:lineRule="auto"/>
        <w:ind w:firstLine="420" w:firstLineChars="200"/>
        <w:rPr>
          <w:rFonts w:ascii="宋体" w:hAnsi="宋体" w:cs="宋体"/>
          <w:bCs/>
          <w:color w:val="auto"/>
          <w:szCs w:val="21"/>
          <w:highlight w:val="none"/>
        </w:rPr>
      </w:pPr>
      <w:r>
        <w:rPr>
          <w:rFonts w:hint="eastAsia" w:ascii="宋体" w:hAnsi="宋体"/>
          <w:color w:val="auto"/>
          <w:szCs w:val="21"/>
          <w:highlight w:val="none"/>
        </w:rPr>
        <w:t xml:space="preserve">日    期：     年   月  </w:t>
      </w:r>
      <w:r>
        <w:rPr>
          <w:rFonts w:hint="eastAsia" w:ascii="宋体" w:hAnsi="宋体" w:cs="宋体"/>
          <w:bCs/>
          <w:color w:val="auto"/>
          <w:szCs w:val="21"/>
          <w:highlight w:val="none"/>
        </w:rPr>
        <w:t xml:space="preserve"> 日</w:t>
      </w:r>
    </w:p>
    <w:p>
      <w:pPr>
        <w:snapToGrid w:val="0"/>
        <w:spacing w:line="360" w:lineRule="auto"/>
        <w:ind w:firstLine="422" w:firstLineChars="201"/>
        <w:rPr>
          <w:rFonts w:ascii="宋体"/>
          <w:color w:val="auto"/>
          <w:szCs w:val="21"/>
          <w:highlight w:val="none"/>
        </w:rPr>
      </w:pPr>
    </w:p>
    <w:p>
      <w:pPr>
        <w:pStyle w:val="2"/>
        <w:rPr>
          <w:color w:val="auto"/>
          <w:highlight w:val="none"/>
        </w:rPr>
      </w:pPr>
    </w:p>
    <w:p>
      <w:pPr>
        <w:spacing w:line="440" w:lineRule="exact"/>
        <w:jc w:val="center"/>
        <w:rPr>
          <w:rFonts w:ascii="宋体"/>
          <w:b/>
          <w:bCs/>
          <w:color w:val="auto"/>
          <w:sz w:val="28"/>
          <w:szCs w:val="28"/>
          <w:highlight w:val="none"/>
        </w:rPr>
      </w:pPr>
      <w:r>
        <w:rPr>
          <w:rFonts w:hint="eastAsia" w:ascii="宋体" w:hAnsi="宋体"/>
          <w:b/>
          <w:bCs/>
          <w:color w:val="auto"/>
          <w:sz w:val="28"/>
          <w:szCs w:val="28"/>
          <w:highlight w:val="none"/>
        </w:rPr>
        <w:t>质  疑  函</w:t>
      </w:r>
    </w:p>
    <w:p>
      <w:pPr>
        <w:widowControl/>
        <w:spacing w:line="360" w:lineRule="auto"/>
        <w:jc w:val="center"/>
        <w:rPr>
          <w:rFonts w:ascii="宋体" w:cs="Tahoma"/>
          <w:b/>
          <w:bCs/>
          <w:color w:val="auto"/>
          <w:spacing w:val="10"/>
          <w:szCs w:val="21"/>
          <w:highlight w:val="none"/>
        </w:rPr>
      </w:pPr>
      <w:r>
        <w:rPr>
          <w:rFonts w:ascii="宋体" w:hAnsi="宋体" w:cs="Tahoma"/>
          <w:color w:val="auto"/>
          <w:spacing w:val="10"/>
          <w:szCs w:val="21"/>
          <w:highlight w:val="none"/>
        </w:rPr>
        <w:t xml:space="preserve"> (</w:t>
      </w:r>
      <w:r>
        <w:rPr>
          <w:rFonts w:hint="eastAsia" w:ascii="宋体" w:hAnsi="宋体" w:cs="Tahoma"/>
          <w:color w:val="auto"/>
          <w:spacing w:val="10"/>
          <w:szCs w:val="21"/>
          <w:highlight w:val="none"/>
        </w:rPr>
        <w:t>可根据质疑内容增加或删减</w:t>
      </w:r>
      <w:r>
        <w:rPr>
          <w:rFonts w:ascii="宋体" w:hAnsi="宋体" w:cs="Tahoma"/>
          <w:color w:val="auto"/>
          <w:spacing w:val="10"/>
          <w:szCs w:val="21"/>
          <w:highlight w:val="none"/>
        </w:rPr>
        <w:t>)</w:t>
      </w:r>
    </w:p>
    <w:p>
      <w:pPr>
        <w:widowControl/>
        <w:snapToGrid w:val="0"/>
        <w:spacing w:line="360" w:lineRule="auto"/>
        <w:rPr>
          <w:rFonts w:ascii="宋体"/>
          <w:b/>
          <w:color w:val="auto"/>
          <w:szCs w:val="21"/>
          <w:highlight w:val="none"/>
        </w:rPr>
      </w:pPr>
      <w:r>
        <w:rPr>
          <w:rFonts w:hint="eastAsia" w:ascii="宋体" w:hAnsi="宋体"/>
          <w:b/>
          <w:color w:val="auto"/>
          <w:szCs w:val="21"/>
          <w:highlight w:val="none"/>
        </w:rPr>
        <w:t>广州市信怡招标代理有限公司：</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我公司依法参与了</w:t>
      </w:r>
      <w:r>
        <w:rPr>
          <w:rFonts w:hint="eastAsia" w:ascii="宋体" w:hAnsi="宋体"/>
          <w:color w:val="auto"/>
          <w:szCs w:val="21"/>
          <w:highlight w:val="none"/>
          <w:u w:val="single"/>
        </w:rPr>
        <w:t>（采购代理机构或采购人）</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日组织的政府采购活动。根据《政府采购法》和《政府采购供应商投诉处理办法》等规定，我公司认为</w:t>
      </w:r>
      <w:r>
        <w:rPr>
          <w:rFonts w:ascii="宋体" w:hAnsi="宋体"/>
          <w:color w:val="auto"/>
          <w:szCs w:val="21"/>
          <w:highlight w:val="none"/>
          <w:u w:val="single"/>
        </w:rPr>
        <w:t xml:space="preserve"> </w:t>
      </w:r>
      <w:r>
        <w:rPr>
          <w:rFonts w:hint="eastAsia" w:ascii="宋体" w:hAnsi="宋体"/>
          <w:color w:val="auto"/>
          <w:szCs w:val="21"/>
          <w:highlight w:val="none"/>
          <w:u w:val="single"/>
        </w:rPr>
        <w:t>（采购项目名称）（采购项目编号：</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项目的采购活动中，</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ascii="宋体" w:hAnsi="宋体"/>
          <w:color w:val="auto"/>
          <w:szCs w:val="21"/>
          <w:highlight w:val="none"/>
          <w:u w:val="single"/>
        </w:rPr>
        <w:t xml:space="preserve"> </w:t>
      </w:r>
      <w:r>
        <w:rPr>
          <w:rFonts w:hint="eastAsia" w:ascii="宋体" w:hAnsi="宋体"/>
          <w:color w:val="auto"/>
          <w:szCs w:val="21"/>
          <w:highlight w:val="none"/>
        </w:rPr>
        <w:t>损害了我公司权益，特提出质疑。</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一、我公司认为项目的</w:t>
      </w:r>
      <w:r>
        <w:rPr>
          <w:rFonts w:hint="eastAsia" w:ascii="宋体" w:hAnsi="宋体"/>
          <w:color w:val="auto"/>
          <w:szCs w:val="21"/>
          <w:highlight w:val="none"/>
          <w:u w:val="single"/>
        </w:rPr>
        <w:t>（采购文件、采购过程、中标</w:t>
      </w:r>
      <w:r>
        <w:rPr>
          <w:rFonts w:ascii="宋体" w:hAnsi="宋体"/>
          <w:color w:val="auto"/>
          <w:szCs w:val="21"/>
          <w:highlight w:val="none"/>
          <w:u w:val="single"/>
        </w:rPr>
        <w:t>/</w:t>
      </w:r>
      <w:r>
        <w:rPr>
          <w:rFonts w:hint="eastAsia" w:ascii="宋体" w:hAnsi="宋体"/>
          <w:color w:val="auto"/>
          <w:szCs w:val="21"/>
          <w:highlight w:val="none"/>
          <w:u w:val="single"/>
        </w:rPr>
        <w:t>成交结果）</w:t>
      </w:r>
      <w:r>
        <w:rPr>
          <w:rFonts w:hint="eastAsia" w:ascii="宋体" w:hAnsi="宋体"/>
          <w:color w:val="auto"/>
          <w:szCs w:val="21"/>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质疑采购文件</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．质疑内容采购文件页，内容“</w:t>
      </w:r>
      <w:r>
        <w:rPr>
          <w:rFonts w:ascii="宋体" w:hAnsi="宋体"/>
          <w:color w:val="auto"/>
          <w:szCs w:val="21"/>
          <w:highlight w:val="none"/>
        </w:rPr>
        <w:t xml:space="preserve">  </w:t>
      </w:r>
      <w:r>
        <w:rPr>
          <w:rFonts w:hint="eastAsia" w:ascii="宋体" w:hAnsi="宋体"/>
          <w:color w:val="auto"/>
          <w:szCs w:val="21"/>
          <w:highlight w:val="none"/>
        </w:rPr>
        <w:t>”</w:t>
      </w:r>
      <w:r>
        <w:rPr>
          <w:rFonts w:ascii="宋体" w:hAnsi="宋体"/>
          <w:color w:val="auto"/>
          <w:szCs w:val="21"/>
          <w:highlight w:val="none"/>
        </w:rPr>
        <w:t xml:space="preserve"> </w:t>
      </w:r>
      <w:r>
        <w:rPr>
          <w:rFonts w:hint="eastAsia" w:ascii="宋体" w:hAnsi="宋体"/>
          <w:color w:val="auto"/>
          <w:szCs w:val="21"/>
          <w:highlight w:val="none"/>
        </w:rPr>
        <w:t>损害了我公司权益，</w:t>
      </w:r>
    </w:p>
    <w:p>
      <w:pPr>
        <w:widowControl/>
        <w:snapToGrid w:val="0"/>
        <w:spacing w:line="360" w:lineRule="auto"/>
        <w:ind w:firstLine="735" w:firstLineChars="350"/>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我方请求采购文件做如下修改：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我方对采购文件其他内容无质疑。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质疑采购过程</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日，在进行的（收取采购文件（样品）、开标、谈判）过程，发生损害了我公司权益的事项，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我方对其他采购过程无质疑。</w:t>
      </w:r>
    </w:p>
    <w:p>
      <w:pPr>
        <w:widowControl/>
        <w:snapToGrid w:val="0"/>
        <w:spacing w:line="360" w:lineRule="auto"/>
        <w:ind w:firstLine="422" w:firstLineChars="200"/>
        <w:rPr>
          <w:rFonts w:ascii="宋体"/>
          <w:b/>
          <w:color w:val="auto"/>
          <w:szCs w:val="21"/>
          <w:highlight w:val="none"/>
        </w:rPr>
      </w:pPr>
      <w:r>
        <w:rPr>
          <w:rFonts w:hint="eastAsia" w:ascii="宋体" w:hAnsi="宋体"/>
          <w:b/>
          <w:color w:val="auto"/>
          <w:szCs w:val="21"/>
          <w:highlight w:val="none"/>
        </w:rPr>
        <w:t>质疑采购结果</w:t>
      </w:r>
    </w:p>
    <w:p>
      <w:pPr>
        <w:widowControl/>
        <w:snapToGrid w:val="0"/>
        <w:spacing w:line="360" w:lineRule="auto"/>
        <w:ind w:firstLine="420" w:firstLineChars="200"/>
        <w:rPr>
          <w:rFonts w:ascii="宋体"/>
          <w:color w:val="auto"/>
          <w:szCs w:val="21"/>
          <w:highlight w:val="none"/>
        </w:rPr>
      </w:pPr>
      <w:r>
        <w:rPr>
          <w:rFonts w:ascii="宋体" w:hAnsi="宋体"/>
          <w:color w:val="auto"/>
          <w:szCs w:val="21"/>
          <w:highlight w:val="none"/>
        </w:rPr>
        <w:t>1</w:t>
      </w:r>
      <w:r>
        <w:rPr>
          <w:rFonts w:hint="eastAsia" w:ascii="宋体" w:hAnsi="宋体"/>
          <w:color w:val="auto"/>
          <w:szCs w:val="21"/>
          <w:highlight w:val="none"/>
        </w:rPr>
        <w:t>．于</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日公布的中标（成交）结果，发生损害了我公司权益的事项，</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事实依据：</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color w:val="auto"/>
          <w:szCs w:val="21"/>
          <w:highlight w:val="none"/>
        </w:rPr>
        <w:t>证据见附件第页）</w:t>
      </w:r>
    </w:p>
    <w:p>
      <w:pPr>
        <w:widowControl/>
        <w:spacing w:line="360" w:lineRule="auto"/>
        <w:ind w:firstLine="743" w:firstLineChars="354"/>
        <w:rPr>
          <w:rFonts w:ascii="宋体" w:cs="Arial"/>
          <w:color w:val="auto"/>
          <w:szCs w:val="21"/>
          <w:highlight w:val="none"/>
        </w:rPr>
      </w:pPr>
      <w:r>
        <w:rPr>
          <w:rFonts w:hint="eastAsia" w:ascii="宋体" w:hAnsi="宋体"/>
          <w:color w:val="auto"/>
          <w:szCs w:val="21"/>
          <w:highlight w:val="none"/>
        </w:rPr>
        <w:t>法律依据</w:t>
      </w:r>
      <w:r>
        <w:rPr>
          <w:rFonts w:hint="eastAsia" w:ascii="宋体" w:hAnsi="宋体" w:cs="Arial"/>
          <w:color w:val="auto"/>
          <w:szCs w:val="21"/>
          <w:highlight w:val="none"/>
        </w:rPr>
        <w:t>：</w:t>
      </w:r>
    </w:p>
    <w:p>
      <w:pPr>
        <w:widowControl/>
        <w:spacing w:line="360" w:lineRule="auto"/>
        <w:ind w:firstLine="743" w:firstLineChars="354"/>
        <w:rPr>
          <w:rFonts w:ascii="宋体"/>
          <w:color w:val="auto"/>
          <w:szCs w:val="21"/>
          <w:highlight w:val="none"/>
          <w:u w:val="single"/>
        </w:rPr>
      </w:pPr>
      <w:r>
        <w:rPr>
          <w:rFonts w:hint="eastAsia" w:ascii="宋体" w:hAnsi="宋体"/>
          <w:color w:val="auto"/>
          <w:szCs w:val="21"/>
          <w:highlight w:val="none"/>
        </w:rPr>
        <w:t>我方请求：</w:t>
      </w:r>
    </w:p>
    <w:p>
      <w:pPr>
        <w:widowControl/>
        <w:spacing w:line="360" w:lineRule="auto"/>
        <w:ind w:firstLine="743" w:firstLineChars="354"/>
        <w:rPr>
          <w:rFonts w:ascii="宋体"/>
          <w:color w:val="auto"/>
          <w:szCs w:val="21"/>
          <w:highlight w:val="none"/>
        </w:rPr>
      </w:pPr>
      <w:r>
        <w:rPr>
          <w:rFonts w:hint="eastAsia" w:ascii="宋体" w:hAnsi="宋体"/>
          <w:color w:val="auto"/>
          <w:szCs w:val="21"/>
          <w:highlight w:val="none"/>
        </w:rPr>
        <w:t>我方对中标（成交）结果公告其他内容无质疑。</w:t>
      </w:r>
    </w:p>
    <w:p>
      <w:pPr>
        <w:widowControl/>
        <w:snapToGrid w:val="0"/>
        <w:spacing w:line="360" w:lineRule="auto"/>
        <w:ind w:firstLine="420" w:firstLineChars="200"/>
        <w:rPr>
          <w:rFonts w:ascii="宋体"/>
          <w:color w:val="auto"/>
          <w:szCs w:val="21"/>
          <w:highlight w:val="none"/>
        </w:rPr>
      </w:pP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质疑供应商</w:t>
      </w:r>
      <w:r>
        <w:rPr>
          <w:rFonts w:hint="eastAsia" w:ascii="宋体" w:hAnsi="宋体"/>
          <w:color w:val="auto"/>
          <w:szCs w:val="21"/>
          <w:highlight w:val="none"/>
          <w:u w:val="single"/>
        </w:rPr>
        <w:t>：</w:t>
      </w:r>
      <w:r>
        <w:rPr>
          <w:rFonts w:ascii="宋体" w:hAnsi="宋体"/>
          <w:color w:val="auto"/>
          <w:szCs w:val="21"/>
          <w:highlight w:val="none"/>
          <w:u w:val="single"/>
        </w:rPr>
        <w:t xml:space="preserve"> </w:t>
      </w:r>
      <w:r>
        <w:rPr>
          <w:rFonts w:hint="eastAsia" w:ascii="宋体" w:hAnsi="宋体"/>
          <w:color w:val="auto"/>
          <w:szCs w:val="21"/>
          <w:highlight w:val="none"/>
          <w:u w:val="single"/>
        </w:rPr>
        <w:t>（签章）</w:t>
      </w:r>
      <w:r>
        <w:rPr>
          <w:rFonts w:ascii="宋体" w:hAnsi="宋体"/>
          <w:color w:val="auto"/>
          <w:szCs w:val="21"/>
          <w:highlight w:val="none"/>
          <w:u w:val="single"/>
        </w:rPr>
        <w:t xml:space="preserve">  </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主要负责人</w:t>
      </w:r>
      <w:r>
        <w:rPr>
          <w:rFonts w:ascii="宋体" w:hAnsi="宋体"/>
          <w:color w:val="auto"/>
          <w:szCs w:val="21"/>
          <w:highlight w:val="none"/>
        </w:rPr>
        <w:t xml:space="preserve"> </w:t>
      </w:r>
      <w:r>
        <w:rPr>
          <w:rFonts w:hint="eastAsia" w:ascii="宋体" w:hAnsi="宋体"/>
          <w:color w:val="auto"/>
          <w:szCs w:val="21"/>
          <w:highlight w:val="none"/>
        </w:rPr>
        <w:t>：（签署本人姓名或印盖本人姓名章）</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项目联系人：</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地址：</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法定代表人：（签署本人姓名或印盖本人姓名章）</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职位：</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电话（手机</w:t>
      </w:r>
      <w:r>
        <w:rPr>
          <w:rFonts w:ascii="宋体" w:hAnsi="宋体"/>
          <w:color w:val="auto"/>
          <w:szCs w:val="21"/>
          <w:highlight w:val="none"/>
        </w:rPr>
        <w:t>/</w:t>
      </w:r>
      <w:r>
        <w:rPr>
          <w:rFonts w:hint="eastAsia" w:ascii="宋体" w:hAnsi="宋体"/>
          <w:color w:val="auto"/>
          <w:szCs w:val="21"/>
          <w:highlight w:val="none"/>
        </w:rPr>
        <w:t>座机）：</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邮编：</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电子邮箱：</w:t>
      </w:r>
    </w:p>
    <w:p>
      <w:pPr>
        <w:widowControl/>
        <w:snapToGrid w:val="0"/>
        <w:spacing w:line="360" w:lineRule="auto"/>
        <w:ind w:firstLine="420" w:firstLineChars="200"/>
        <w:rPr>
          <w:rFonts w:ascii="宋体"/>
          <w:color w:val="auto"/>
          <w:szCs w:val="21"/>
          <w:highlight w:val="none"/>
          <w:u w:val="single"/>
        </w:rPr>
      </w:pPr>
      <w:r>
        <w:rPr>
          <w:rFonts w:hint="eastAsia" w:ascii="宋体" w:hAnsi="宋体"/>
          <w:color w:val="auto"/>
          <w:szCs w:val="21"/>
          <w:highlight w:val="none"/>
        </w:rPr>
        <w:t>传真：</w:t>
      </w:r>
    </w:p>
    <w:p>
      <w:pPr>
        <w:widowControl/>
        <w:snapToGrid w:val="0"/>
        <w:spacing w:line="360" w:lineRule="auto"/>
        <w:ind w:firstLine="420" w:firstLineChars="200"/>
        <w:jc w:val="left"/>
        <w:rPr>
          <w:rFonts w:ascii="宋体"/>
          <w:color w:val="auto"/>
          <w:szCs w:val="21"/>
          <w:highlight w:val="none"/>
        </w:rPr>
      </w:pPr>
      <w:r>
        <w:rPr>
          <w:rFonts w:hint="eastAsia" w:ascii="宋体" w:hAnsi="宋体"/>
          <w:color w:val="auto"/>
          <w:szCs w:val="21"/>
          <w:highlight w:val="none"/>
        </w:rPr>
        <w:t xml:space="preserve">日期：     年   月  </w:t>
      </w:r>
      <w:r>
        <w:rPr>
          <w:rFonts w:hint="eastAsia" w:ascii="宋体" w:hAnsi="宋体" w:cs="宋体"/>
          <w:bCs/>
          <w:color w:val="auto"/>
          <w:szCs w:val="21"/>
          <w:highlight w:val="none"/>
        </w:rPr>
        <w:t xml:space="preserve"> 日</w:t>
      </w:r>
    </w:p>
    <w:p>
      <w:pPr>
        <w:widowControl/>
        <w:snapToGrid w:val="0"/>
        <w:spacing w:line="360" w:lineRule="auto"/>
        <w:ind w:firstLine="420" w:firstLineChars="200"/>
        <w:rPr>
          <w:rFonts w:ascii="宋体"/>
          <w:color w:val="auto"/>
          <w:szCs w:val="21"/>
          <w:highlight w:val="none"/>
        </w:rPr>
      </w:pPr>
      <w:r>
        <w:rPr>
          <w:rFonts w:hint="eastAsia" w:ascii="宋体" w:hAnsi="宋体"/>
          <w:color w:val="auto"/>
          <w:szCs w:val="21"/>
          <w:highlight w:val="none"/>
        </w:rPr>
        <w:t>备注：</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每个质疑事项应有与之相对应的证据予以支持。质疑事项属于涉密的，应提供信息来源或有效证据。</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供应商质疑、投诉应当有明确的请求和必要的证明材料</w:t>
      </w:r>
      <w:r>
        <w:rPr>
          <w:rFonts w:ascii="宋体" w:hAnsi="宋体"/>
          <w:color w:val="auto"/>
          <w:szCs w:val="21"/>
          <w:highlight w:val="none"/>
        </w:rPr>
        <w:t>(</w:t>
      </w:r>
      <w:r>
        <w:rPr>
          <w:rFonts w:hint="eastAsia" w:ascii="宋体" w:hAnsi="宋体"/>
          <w:color w:val="auto"/>
          <w:szCs w:val="21"/>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color w:val="auto"/>
          <w:szCs w:val="21"/>
          <w:highlight w:val="none"/>
        </w:rPr>
        <w:t>1</w:t>
      </w:r>
      <w:r>
        <w:rPr>
          <w:rFonts w:hint="eastAsia" w:ascii="宋体" w:hAnsi="宋体"/>
          <w:color w:val="auto"/>
          <w:szCs w:val="21"/>
          <w:highlight w:val="none"/>
        </w:rPr>
        <w:t>至</w:t>
      </w:r>
      <w:r>
        <w:rPr>
          <w:rFonts w:ascii="宋体" w:hAnsi="宋体"/>
          <w:color w:val="auto"/>
          <w:szCs w:val="21"/>
          <w:highlight w:val="none"/>
        </w:rPr>
        <w:t>3</w:t>
      </w:r>
      <w:r>
        <w:rPr>
          <w:rFonts w:hint="eastAsia" w:ascii="宋体" w:hAnsi="宋体"/>
          <w:color w:val="auto"/>
          <w:szCs w:val="21"/>
          <w:highlight w:val="none"/>
        </w:rPr>
        <w:t>年内参加政府采购活动</w:t>
      </w:r>
      <w:r>
        <w:rPr>
          <w:rFonts w:ascii="宋体" w:hAnsi="宋体"/>
          <w:color w:val="auto"/>
          <w:szCs w:val="21"/>
          <w:highlight w:val="none"/>
        </w:rPr>
        <w:t>)</w:t>
      </w:r>
      <w:r>
        <w:rPr>
          <w:rFonts w:hint="eastAsia" w:ascii="宋体" w:hAnsi="宋体"/>
          <w:color w:val="auto"/>
          <w:szCs w:val="21"/>
          <w:highlight w:val="none"/>
        </w:rPr>
        <w:t>。</w:t>
      </w:r>
    </w:p>
    <w:p>
      <w:pPr>
        <w:widowControl/>
        <w:numPr>
          <w:ilvl w:val="0"/>
          <w:numId w:val="6"/>
        </w:numPr>
        <w:snapToGrid w:val="0"/>
        <w:spacing w:line="360" w:lineRule="auto"/>
        <w:rPr>
          <w:rFonts w:ascii="宋体"/>
          <w:color w:val="auto"/>
          <w:szCs w:val="21"/>
          <w:highlight w:val="none"/>
        </w:rPr>
      </w:pPr>
      <w:r>
        <w:rPr>
          <w:rFonts w:hint="eastAsia" w:ascii="宋体" w:hAnsi="宋体"/>
          <w:color w:val="auto"/>
          <w:szCs w:val="21"/>
          <w:highlight w:val="none"/>
        </w:rPr>
        <w:t>质疑函应当署名。质疑人为自然人的，应当有本人签名；质疑人为法人或者其他组织的，应当由法定代表人或者主要负责人</w:t>
      </w:r>
      <w:r>
        <w:rPr>
          <w:rFonts w:hint="eastAsia" w:ascii="宋体" w:hAnsi="宋体" w:cs="宋体"/>
          <w:color w:val="auto"/>
          <w:szCs w:val="21"/>
          <w:highlight w:val="none"/>
          <w:lang w:eastAsia="zh-TW"/>
        </w:rPr>
        <w:t>签署本人姓名（或印盖本人姓名章）</w:t>
      </w:r>
      <w:r>
        <w:rPr>
          <w:rFonts w:hint="eastAsia" w:ascii="宋体" w:hAnsi="宋体"/>
          <w:color w:val="auto"/>
          <w:szCs w:val="21"/>
          <w:highlight w:val="none"/>
        </w:rPr>
        <w:t>并加盖公章。</w:t>
      </w:r>
    </w:p>
    <w:p>
      <w:pPr>
        <w:autoSpaceDE w:val="0"/>
        <w:autoSpaceDN w:val="0"/>
        <w:adjustRightInd w:val="0"/>
        <w:snapToGrid w:val="0"/>
        <w:spacing w:line="360" w:lineRule="auto"/>
        <w:outlineLvl w:val="0"/>
        <w:rPr>
          <w:rFonts w:ascii="宋体" w:hAnsi="宋体" w:cs="宋体"/>
          <w:color w:val="auto"/>
          <w:szCs w:val="21"/>
          <w:highlight w:val="none"/>
        </w:rPr>
      </w:pPr>
      <w:r>
        <w:rPr>
          <w:rFonts w:ascii="宋体" w:hAnsi="宋体" w:cs="宋体"/>
          <w:color w:val="auto"/>
          <w:szCs w:val="21"/>
          <w:highlight w:val="none"/>
        </w:rPr>
        <w:br w:type="page"/>
      </w:r>
    </w:p>
    <w:p>
      <w:pPr>
        <w:spacing w:line="360" w:lineRule="auto"/>
        <w:rPr>
          <w:rFonts w:ascii="宋体" w:hAnsi="宋体"/>
          <w:color w:val="auto"/>
          <w:sz w:val="44"/>
          <w:highlight w:val="none"/>
        </w:rPr>
      </w:pPr>
      <w:bookmarkStart w:id="249" w:name="_Toc320515055"/>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spacing w:line="360" w:lineRule="auto"/>
        <w:rPr>
          <w:rFonts w:ascii="宋体" w:hAnsi="宋体"/>
          <w:color w:val="auto"/>
          <w:sz w:val="44"/>
          <w:highlight w:val="none"/>
        </w:rPr>
      </w:pPr>
    </w:p>
    <w:p>
      <w:pPr>
        <w:pStyle w:val="4"/>
        <w:autoSpaceDE w:val="0"/>
        <w:rPr>
          <w:color w:val="auto"/>
          <w:sz w:val="44"/>
          <w:highlight w:val="none"/>
        </w:rPr>
      </w:pPr>
      <w:bookmarkStart w:id="250" w:name="_Toc475104521"/>
      <w:r>
        <w:rPr>
          <w:rFonts w:cs="ZWAdobeF"/>
          <w:b w:val="0"/>
          <w:color w:val="auto"/>
          <w:sz w:val="2"/>
          <w:szCs w:val="2"/>
          <w:highlight w:val="none"/>
        </w:rPr>
        <w:t>2B2B</w:t>
      </w:r>
      <w:r>
        <w:rPr>
          <w:rFonts w:hint="eastAsia"/>
          <w:color w:val="auto"/>
          <w:sz w:val="44"/>
          <w:highlight w:val="none"/>
        </w:rPr>
        <w:t>第三章</w:t>
      </w:r>
      <w:bookmarkStart w:id="251" w:name="_Toc10525517"/>
      <w:r>
        <w:rPr>
          <w:rFonts w:hint="eastAsia"/>
          <w:color w:val="auto"/>
          <w:sz w:val="44"/>
          <w:highlight w:val="none"/>
        </w:rPr>
        <w:t xml:space="preserve"> 采购人需求书</w:t>
      </w:r>
      <w:bookmarkEnd w:id="229"/>
      <w:bookmarkEnd w:id="230"/>
      <w:bookmarkEnd w:id="249"/>
      <w:bookmarkEnd w:id="250"/>
      <w:bookmarkEnd w:id="251"/>
    </w:p>
    <w:p>
      <w:pPr>
        <w:spacing w:line="360" w:lineRule="auto"/>
        <w:rPr>
          <w:rFonts w:ascii="宋体" w:hAnsi="宋体"/>
          <w:color w:val="auto"/>
          <w:highlight w:val="none"/>
        </w:rPr>
      </w:pPr>
      <w:bookmarkStart w:id="252" w:name="_Toc28489480"/>
      <w:bookmarkStart w:id="253" w:name="_Toc14450822"/>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adjustRightInd w:val="0"/>
        <w:snapToGrid w:val="0"/>
        <w:spacing w:line="360" w:lineRule="auto"/>
        <w:rPr>
          <w:rFonts w:ascii="宋体" w:hAnsi="宋体"/>
          <w:b/>
          <w:color w:val="auto"/>
          <w:sz w:val="24"/>
          <w:highlight w:val="none"/>
        </w:rPr>
      </w:pPr>
      <w:bookmarkStart w:id="254" w:name="_Toc321815804"/>
      <w:bookmarkEnd w:id="254"/>
      <w:bookmarkStart w:id="255" w:name="_Toc321815823"/>
      <w:bookmarkEnd w:id="255"/>
      <w:bookmarkStart w:id="256" w:name="_Toc321815811"/>
      <w:bookmarkEnd w:id="256"/>
      <w:bookmarkStart w:id="257" w:name="_Toc321815824"/>
      <w:bookmarkEnd w:id="257"/>
      <w:bookmarkStart w:id="258" w:name="_Toc321815826"/>
      <w:bookmarkEnd w:id="258"/>
      <w:bookmarkStart w:id="259" w:name="_Toc321815802"/>
      <w:bookmarkEnd w:id="259"/>
      <w:bookmarkStart w:id="260" w:name="_Toc321815817"/>
      <w:bookmarkEnd w:id="260"/>
      <w:bookmarkStart w:id="261" w:name="_Toc321815812"/>
      <w:bookmarkEnd w:id="261"/>
      <w:bookmarkStart w:id="262" w:name="_Toc321815821"/>
      <w:bookmarkEnd w:id="262"/>
      <w:bookmarkStart w:id="263" w:name="_Toc321815814"/>
      <w:bookmarkEnd w:id="263"/>
      <w:bookmarkStart w:id="264" w:name="_Toc321815822"/>
      <w:bookmarkEnd w:id="264"/>
      <w:bookmarkStart w:id="265" w:name="_Toc321815816"/>
      <w:bookmarkEnd w:id="265"/>
      <w:bookmarkStart w:id="266" w:name="_Toc321815813"/>
      <w:bookmarkEnd w:id="266"/>
      <w:bookmarkStart w:id="267" w:name="_Toc321815806"/>
      <w:bookmarkEnd w:id="267"/>
      <w:bookmarkStart w:id="268" w:name="_Toc321815807"/>
      <w:bookmarkEnd w:id="268"/>
      <w:bookmarkStart w:id="269" w:name="_Toc321815801"/>
      <w:bookmarkEnd w:id="269"/>
      <w:bookmarkStart w:id="270" w:name="_Toc321815819"/>
      <w:bookmarkEnd w:id="270"/>
      <w:bookmarkStart w:id="271" w:name="_Toc321815805"/>
      <w:bookmarkEnd w:id="271"/>
      <w:bookmarkStart w:id="272" w:name="_Toc321815818"/>
      <w:bookmarkEnd w:id="272"/>
      <w:bookmarkStart w:id="273" w:name="_Toc321815808"/>
      <w:bookmarkEnd w:id="273"/>
      <w:bookmarkStart w:id="274" w:name="_Toc321815825"/>
      <w:bookmarkEnd w:id="274"/>
      <w:bookmarkStart w:id="275" w:name="_Toc321815820"/>
      <w:bookmarkEnd w:id="275"/>
      <w:bookmarkStart w:id="276" w:name="_Toc321815809"/>
      <w:bookmarkEnd w:id="276"/>
      <w:bookmarkStart w:id="277" w:name="_Toc321815810"/>
      <w:bookmarkEnd w:id="277"/>
      <w:bookmarkStart w:id="278" w:name="_Toc321815815"/>
      <w:bookmarkEnd w:id="278"/>
      <w:bookmarkStart w:id="279" w:name="_Toc320515056"/>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djustRightInd w:val="0"/>
        <w:snapToGrid w:val="0"/>
        <w:spacing w:line="360" w:lineRule="auto"/>
        <w:rPr>
          <w:rFonts w:ascii="宋体" w:hAnsi="宋体"/>
          <w:b/>
          <w:color w:val="auto"/>
          <w:sz w:val="24"/>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p>
    <w:p>
      <w:pPr>
        <w:autoSpaceDE w:val="0"/>
        <w:autoSpaceDN w:val="0"/>
        <w:adjustRightInd w:val="0"/>
        <w:snapToGrid w:val="0"/>
        <w:spacing w:line="360" w:lineRule="auto"/>
        <w:jc w:val="center"/>
        <w:outlineLvl w:val="0"/>
        <w:rPr>
          <w:rFonts w:ascii="宋体" w:hAnsi="宋体"/>
          <w:b/>
          <w:bCs/>
          <w:color w:val="auto"/>
          <w:sz w:val="28"/>
          <w:szCs w:val="28"/>
          <w:highlight w:val="none"/>
        </w:rPr>
      </w:pPr>
      <w:r>
        <w:rPr>
          <w:rFonts w:hint="eastAsia" w:ascii="宋体" w:hAnsi="宋体"/>
          <w:b/>
          <w:bCs/>
          <w:color w:val="auto"/>
          <w:sz w:val="28"/>
          <w:szCs w:val="28"/>
          <w:highlight w:val="none"/>
        </w:rPr>
        <w:t>采购人需求</w:t>
      </w:r>
    </w:p>
    <w:bookmarkEnd w:id="252"/>
    <w:bookmarkEnd w:id="253"/>
    <w:bookmarkEnd w:id="279"/>
    <w:p>
      <w:pPr>
        <w:pStyle w:val="46"/>
        <w:tabs>
          <w:tab w:val="left" w:pos="7740"/>
        </w:tabs>
        <w:adjustRightInd w:val="0"/>
        <w:snapToGrid w:val="0"/>
        <w:spacing w:beforeLines="50" w:line="360" w:lineRule="auto"/>
        <w:outlineLvl w:val="1"/>
        <w:rPr>
          <w:rFonts w:hAnsi="宋体"/>
          <w:b/>
          <w:color w:val="auto"/>
          <w:highlight w:val="none"/>
          <w:lang w:val="zh-CN"/>
        </w:rPr>
      </w:pPr>
      <w:bookmarkStart w:id="280" w:name="_Toc483158260"/>
      <w:r>
        <w:rPr>
          <w:rFonts w:hint="eastAsia" w:hAnsi="宋体"/>
          <w:b/>
          <w:color w:val="auto"/>
          <w:highlight w:val="none"/>
          <w:lang w:val="zh-CN"/>
        </w:rPr>
        <w:t>一、工程概况</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1、工程名称：广东省前沿动物保健有限公司车间仓库加固维修工程</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2、工程地点：广州市白云区钟落潭省农科院白云基地内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3、建设单位：广东省农科资产经营有限公司</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4、</w:t>
      </w:r>
      <w:r>
        <w:rPr>
          <w:rFonts w:hint="eastAsia" w:ascii="宋体" w:hAnsi="宋体" w:cs="宋体"/>
          <w:bCs/>
          <w:color w:val="auto"/>
          <w:szCs w:val="20"/>
          <w:highlight w:val="none"/>
          <w:lang w:eastAsia="zh-CN"/>
        </w:rPr>
        <w:t>合同履行期限：</w:t>
      </w:r>
      <w:r>
        <w:rPr>
          <w:rFonts w:hint="eastAsia" w:ascii="宋体" w:hAnsi="宋体" w:cs="宋体"/>
          <w:bCs/>
          <w:color w:val="auto"/>
          <w:szCs w:val="20"/>
          <w:highlight w:val="none"/>
          <w:lang w:val="en-US" w:eastAsia="zh-CN"/>
        </w:rPr>
        <w:t>45</w:t>
      </w:r>
      <w:r>
        <w:rPr>
          <w:rFonts w:hint="eastAsia" w:ascii="宋体" w:hAnsi="宋体" w:cs="宋体"/>
          <w:bCs/>
          <w:color w:val="auto"/>
          <w:szCs w:val="20"/>
          <w:highlight w:val="none"/>
          <w:lang w:eastAsia="zh-CN"/>
        </w:rPr>
        <w:t>日历天内</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5、采购范围：详见用户需求书及工程清单。</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highlight w:val="none"/>
          <w:lang w:val="zh-CN" w:eastAsia="zh-CN"/>
        </w:rPr>
      </w:pPr>
      <w:r>
        <w:rPr>
          <w:rFonts w:hint="eastAsia" w:asciiTheme="minorEastAsia" w:hAnsiTheme="minorEastAsia" w:eastAsiaTheme="minorEastAsia" w:cstheme="minorEastAsia"/>
          <w:color w:val="auto"/>
          <w:highlight w:val="none"/>
          <w:lang w:val="zh-CN" w:eastAsia="zh-CN"/>
        </w:rPr>
        <w:t>6、采购预算：人民币825，479.58元</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color w:val="auto"/>
          <w:highlight w:val="none"/>
          <w:lang w:val="zh-CN" w:eastAsia="zh-CN"/>
        </w:rPr>
      </w:pPr>
      <w:r>
        <w:rPr>
          <w:rFonts w:hint="eastAsia"/>
          <w:color w:val="auto"/>
          <w:highlight w:val="none"/>
          <w:lang w:val="zh-CN" w:eastAsia="zh-CN"/>
        </w:rPr>
        <w:t>7、承包方式：综合单价包干。报价人应按采购文件及施工规范等文件资料，结合现场实际情况进行响应，包工、包料、包质量、包工期、包安全文明施工、包调试、包验收。报价人报价是全部费用，包括分部分项工程费、措施项目费、其他项目费、规费、利润和税金、材料设备的市场涨价风险等。</w:t>
      </w:r>
    </w:p>
    <w:p>
      <w:pPr>
        <w:tabs>
          <w:tab w:val="left" w:pos="840"/>
        </w:tabs>
        <w:spacing w:line="440" w:lineRule="exact"/>
        <w:rPr>
          <w:rFonts w:hint="eastAsia" w:ascii="宋体" w:hAnsi="宋体" w:cs="Times New Roman"/>
          <w:b/>
          <w:color w:val="auto"/>
          <w:highlight w:val="none"/>
          <w:lang w:val="zh-CN" w:eastAsia="zh-CN"/>
        </w:rPr>
      </w:pPr>
      <w:r>
        <w:rPr>
          <w:rFonts w:hint="eastAsia" w:ascii="宋体" w:hAnsi="宋体" w:cs="Times New Roman"/>
          <w:b/>
          <w:color w:val="auto"/>
          <w:highlight w:val="none"/>
          <w:lang w:val="zh-CN" w:eastAsia="zh-CN"/>
        </w:rPr>
        <w:t>二、</w:t>
      </w:r>
      <w:r>
        <w:rPr>
          <w:rFonts w:hint="eastAsia" w:ascii="宋体" w:hAnsi="宋体"/>
          <w:b/>
          <w:color w:val="auto"/>
          <w:szCs w:val="21"/>
          <w:highlight w:val="none"/>
        </w:rPr>
        <w:t>项目概况</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车间仓库为2000年建成使用的混合结构，其中屋面为钢构，由于现使用中发现较多裂缝，局部可见不均匀沉降情况，经安全检测鉴定，存在使用的安全隐患。现由业主委托设计院设计出具了加固补强修复施工图，该加固工程主要对桩承台基础开挖、回填；新增桩承台基础、基础钢管桩加固、架构式扶壁柱加固、地基注浆加固处理、墙体裂缝修复、外墙防水处理、障碍处局部装饰面拆除及恢复及相关施工安全及文明措施等。</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lang w:eastAsia="zh-CN"/>
        </w:rPr>
        <w:t>三、</w:t>
      </w:r>
      <w:r>
        <w:rPr>
          <w:rFonts w:hint="eastAsia" w:ascii="宋体" w:hAnsi="宋体"/>
          <w:b/>
          <w:color w:val="auto"/>
          <w:szCs w:val="21"/>
          <w:highlight w:val="none"/>
        </w:rPr>
        <w:t>采购项目技术要求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一</w:t>
      </w:r>
      <w:r>
        <w:rPr>
          <w:rFonts w:hint="eastAsia" w:ascii="宋体" w:hAnsi="宋体" w:cs="Times New Roman"/>
          <w:color w:val="auto"/>
          <w:highlight w:val="none"/>
          <w:lang w:val="zh-CN" w:eastAsia="zh-CN"/>
        </w:rPr>
        <w:t>）报价要求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报价为报价人在响应文件中提出的各项支付金额的总和。</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报价人的报价，应是完成本采购文件项目工程量清单及图纸所列全部内容，不得以任何理由予以重复，作为报价人计算单价或总价的依据。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除非采购人对采购文件予以修改，报价人应按采购人提供的项目清单中列出的工程项目和工程量填报单价和合价。每一项目只允许有一个报价。任何有选择的报价将不予接受。报价人未填单价或合价的工程项目，在实施后，用户将不予以支付，并视为该项费用已包括在其他有价款的单价或合价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除非合同中另有规定，报价人在报价中具有标价的工程量清单中所报的单价和合价，以及报价汇总表中的价格均包括完成该工程项目的成本、利润、税金、开办费、技术措施费、大型机械进出场费、风险费、政策性文件规定费用等所有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报价人按本采购文件充分了解工地位置、情况、道路、储存空间、装卸限制及任何其他足以影响承包价的情况，任何因忽视或误解工地情况而导致的索赔或工期延长申请将不被批准。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报价人应根据采购人提供的项目清单等资料，按照项目清单详细列出报价表。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报价人除按有关规定报价外，主要材料设备应选用采购人所提供的主要材料设备参考表中的品牌或同等或优于档次的其它品牌。报价书中应注明报价人所选用的材料设备的产地、生产厂家、品牌、规格、型号、等级、单价等。如非采购人原因确需更换，由采购人确定，且价格不予调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9.</w:t>
      </w:r>
      <w:r>
        <w:rPr>
          <w:rFonts w:hint="eastAsia" w:ascii="宋体" w:hAnsi="宋体" w:cs="Times New Roman"/>
          <w:color w:val="auto"/>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p>
      <w:pPr>
        <w:spacing w:line="440" w:lineRule="exact"/>
        <w:ind w:firstLine="420" w:firstLineChars="200"/>
        <w:rPr>
          <w:rFonts w:hint="eastAsia" w:ascii="宋体" w:hAnsi="宋体" w:cs="Times New Roman"/>
          <w:color w:val="auto"/>
          <w:highlight w:val="none"/>
          <w:lang w:val="zh-CN" w:eastAsia="zh-CN"/>
        </w:rPr>
      </w:pPr>
      <w:bookmarkStart w:id="281" w:name="_Toc329467383"/>
      <w:r>
        <w:rPr>
          <w:rFonts w:hint="eastAsia" w:ascii="宋体" w:hAnsi="宋体" w:cs="Times New Roman"/>
          <w:color w:val="auto"/>
          <w:highlight w:val="none"/>
          <w:lang w:val="zh-CN" w:eastAsia="zh-CN"/>
        </w:rPr>
        <w:t>（二）项目质量控制标准和使用材料的要求</w:t>
      </w:r>
      <w:bookmarkEnd w:id="281"/>
      <w:bookmarkStart w:id="282" w:name="_Toc329467384"/>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工程技术要求：按工程量清单、设计图纸及国家和省市现行有关规范及行业标准。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工程质量要求：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）确保达到合格工程，成交人在施工中如果工程质量不符合国家有关规范、磋商文件和响应文件的有关规定，采购人要求停工和返工时，成交人无条件应立即执行，并承担由此产生的各种费用，工期不予顺延。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计划生育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工程使用材料及设备要求：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）本工程所承包范围内所需的材料、成品、未成品、设备的采购、运输、保管、质量等责任均由成交人承担。采购人不提供材料。</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）采购供应的材料、设备、其名称、品种、型号、规格、质量等，均应符合国家、地方及行业有关规范及要求。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）报价人在报价时须提供主要材料的品牌厂家（填写《主要材料品牌厂家明细表》）。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）采购人保留对本工程使用之主要材料品质确认审查的权利及保留另行委托专业单位对本工程进行独立检测的权利。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）采购范围之内工程所用之设备，由成交人提供。</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本工程措施项目报价人可自行添加，结算不调整。</w:t>
      </w:r>
    </w:p>
    <w:p>
      <w:pPr>
        <w:spacing w:line="440" w:lineRule="exact"/>
        <w:ind w:firstLine="420" w:firstLineChars="200"/>
        <w:rPr>
          <w:rFonts w:hint="eastAsia" w:ascii="宋体" w:hAnsi="宋体" w:cs="Times New Roman"/>
          <w:color w:val="auto"/>
          <w:highlight w:val="none"/>
          <w:lang w:val="zh-CN" w:eastAsia="zh-CN"/>
        </w:rPr>
      </w:pPr>
      <w:bookmarkStart w:id="283" w:name="_Toc329467389"/>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为施工总承包单位，包工包料，不允许转包，不允许违法分包。如确需分包应与采购人协商并得到采购人同意，否则，采购人有权单方面终止合同和按成交价的5%向成交人收取违约金，并令其立即退场，由此而造成的经济损失由成交人负责赔偿。</w:t>
      </w:r>
    </w:p>
    <w:bookmarkEnd w:id="282"/>
    <w:bookmarkEnd w:id="283"/>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除上述要求外，报价人还需根据以下资料完成本项目所有工作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（1）工程量清单（另附）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（2）图纸（另附）</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四、采购合同要求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（一）项目变更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对采购人根据工程需要确需进行设计变更的项目，成交人无条件服从，并按实际完成工程量及如下计价方式结算：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凡清单内已有的计价项目，且工程量偏差未超出15%时，其综合单价不予调整，超出15%时，则超过15%部分的综合单价按照下列规定调整结算分部分项工程费：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①当Q1﹥1.15Q0时，S=1.15Q0×P0+（Q1-1.15Q0）×P1,其中P1=0.9 P0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②当Q1﹤0.85Q0时，S=Q1×P0= Q1×P1, 其中P0=P1</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式中   S——调整后的某一分部分项工程费结算价；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Q1——最终完成的工程量；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Q0——工程量清单中开列的工程量；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P1——按照最终完成工程量重新调整后的综合单价；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P0——承包人在工程量清单中填报的综合单价。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中标的投标文件工程量清单中已有类似项目的综合单价，则按类似项目的综合单价对相应子目、消耗量、单价等进行调整换算，原管理费、利润水平不变。如中标的投标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成交人提交的有效发票经采购人按市场价原则审核后确认的材料单价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2018，安装工程部分按《广东省安装、市政、园林绿化工程工程量清单计价指引》和《广东省安装工程综合定额2018，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按当季度广州市工程造价管理部门发布的造价文件的规定执行（如文件中规定有上下限的，则按其平均值计算），措施项目费不另计算。新增项目（含变更部分）下浮率按投标下浮率（投标下浮率=（招标最高控制价-中标价）÷招标最高控制价×100%）作总价下浮计算，当下浮率不足8%时，下浮率按8%计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当变更工程累计造价超过投标总价10%时，双方须按上述计价原则签订补充合同，作为进度款支付及结算的依据。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（二）付款方式</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（1）</w:t>
      </w:r>
      <w:r>
        <w:rPr>
          <w:rFonts w:hint="eastAsia" w:ascii="宋体" w:hAnsi="宋体"/>
          <w:color w:val="auto"/>
          <w:szCs w:val="21"/>
          <w:highlight w:val="none"/>
        </w:rPr>
        <w:t>合同签订生效后，</w:t>
      </w:r>
      <w:r>
        <w:rPr>
          <w:rFonts w:hint="eastAsia" w:ascii="宋体" w:hAnsi="宋体"/>
          <w:color w:val="auto"/>
          <w:szCs w:val="21"/>
          <w:highlight w:val="none"/>
          <w:lang w:eastAsia="zh-CN"/>
        </w:rPr>
        <w:t>采购人</w:t>
      </w:r>
      <w:r>
        <w:rPr>
          <w:rFonts w:hint="eastAsia" w:ascii="宋体" w:hAnsi="宋体"/>
          <w:color w:val="auto"/>
          <w:szCs w:val="21"/>
          <w:highlight w:val="none"/>
        </w:rPr>
        <w:t>支付</w:t>
      </w:r>
      <w:r>
        <w:rPr>
          <w:rFonts w:hint="eastAsia" w:ascii="宋体" w:hAnsi="宋体"/>
          <w:color w:val="auto"/>
          <w:szCs w:val="21"/>
          <w:highlight w:val="none"/>
          <w:lang w:eastAsia="zh-CN"/>
        </w:rPr>
        <w:t>成交人</w:t>
      </w:r>
      <w:r>
        <w:rPr>
          <w:rFonts w:hint="eastAsia" w:ascii="宋体" w:hAnsi="宋体"/>
          <w:color w:val="auto"/>
          <w:szCs w:val="21"/>
          <w:highlight w:val="none"/>
        </w:rPr>
        <w:t>合同金额30%预付款</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（2）项目</w:t>
      </w:r>
      <w:r>
        <w:rPr>
          <w:rFonts w:hint="eastAsia" w:ascii="宋体" w:hAnsi="宋体"/>
          <w:color w:val="auto"/>
          <w:szCs w:val="21"/>
          <w:highlight w:val="none"/>
        </w:rPr>
        <w:t>完成合同金额60%的工作量并经</w:t>
      </w:r>
      <w:r>
        <w:rPr>
          <w:rFonts w:hint="eastAsia" w:ascii="宋体" w:hAnsi="宋体"/>
          <w:color w:val="auto"/>
          <w:szCs w:val="21"/>
          <w:highlight w:val="none"/>
          <w:lang w:eastAsia="zh-CN"/>
        </w:rPr>
        <w:t>采购人</w:t>
      </w:r>
      <w:r>
        <w:rPr>
          <w:rFonts w:hint="eastAsia" w:ascii="宋体" w:hAnsi="宋体"/>
          <w:color w:val="auto"/>
          <w:szCs w:val="21"/>
          <w:highlight w:val="none"/>
        </w:rPr>
        <w:t>确认，</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支付至50%的款项；</w:t>
      </w:r>
    </w:p>
    <w:p>
      <w:pPr>
        <w:spacing w:line="440" w:lineRule="exact"/>
        <w:ind w:firstLine="420" w:firstLineChars="200"/>
        <w:rPr>
          <w:rFonts w:ascii="宋体" w:hAnsi="宋体"/>
          <w:color w:val="auto"/>
          <w:szCs w:val="21"/>
          <w:highlight w:val="none"/>
        </w:rPr>
      </w:pPr>
      <w:r>
        <w:rPr>
          <w:rFonts w:hint="eastAsia" w:cs="Calibri"/>
          <w:color w:val="auto"/>
          <w:szCs w:val="21"/>
          <w:highlight w:val="none"/>
        </w:rPr>
        <w:t>（3）</w:t>
      </w:r>
      <w:r>
        <w:rPr>
          <w:rFonts w:hint="eastAsia" w:ascii="宋体" w:hAnsi="宋体"/>
          <w:color w:val="auto"/>
          <w:szCs w:val="21"/>
          <w:highlight w:val="none"/>
        </w:rPr>
        <w:t>项目完工并经</w:t>
      </w:r>
      <w:r>
        <w:rPr>
          <w:rFonts w:hint="eastAsia" w:ascii="宋体" w:hAnsi="宋体"/>
          <w:color w:val="auto"/>
          <w:szCs w:val="21"/>
          <w:highlight w:val="none"/>
          <w:lang w:eastAsia="zh-CN"/>
        </w:rPr>
        <w:t>采购人</w:t>
      </w:r>
      <w:r>
        <w:rPr>
          <w:rFonts w:hint="eastAsia" w:ascii="宋体" w:hAnsi="宋体"/>
          <w:color w:val="auto"/>
          <w:szCs w:val="21"/>
          <w:highlight w:val="none"/>
        </w:rPr>
        <w:t>及上级主管部门验收合格，</w:t>
      </w:r>
      <w:r>
        <w:rPr>
          <w:rFonts w:hint="eastAsia" w:ascii="宋体" w:hAnsi="宋体"/>
          <w:color w:val="auto"/>
          <w:szCs w:val="21"/>
          <w:highlight w:val="none"/>
          <w:lang w:eastAsia="zh-CN"/>
        </w:rPr>
        <w:t>采购人</w:t>
      </w:r>
      <w:r>
        <w:rPr>
          <w:rFonts w:hint="eastAsia" w:ascii="宋体" w:hAnsi="宋体"/>
          <w:color w:val="auto"/>
          <w:szCs w:val="21"/>
          <w:highlight w:val="none"/>
        </w:rPr>
        <w:t>按合同金额向</w:t>
      </w:r>
      <w:r>
        <w:rPr>
          <w:rFonts w:hint="eastAsia" w:ascii="宋体" w:hAnsi="宋体"/>
          <w:color w:val="auto"/>
          <w:szCs w:val="21"/>
          <w:highlight w:val="none"/>
          <w:lang w:eastAsia="zh-CN"/>
        </w:rPr>
        <w:t>成交人</w:t>
      </w:r>
      <w:r>
        <w:rPr>
          <w:rFonts w:hint="eastAsia" w:ascii="宋体" w:hAnsi="宋体"/>
          <w:color w:val="auto"/>
          <w:szCs w:val="21"/>
          <w:highlight w:val="none"/>
        </w:rPr>
        <w:t>支付至85%的款项；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宋体"/>
          <w:color w:val="auto"/>
          <w:szCs w:val="21"/>
          <w:highlight w:val="none"/>
        </w:rPr>
        <w:t>（4）项目完成结算确认手续后10个工作日内，支付至结算金额</w:t>
      </w:r>
      <w:r>
        <w:rPr>
          <w:rFonts w:hint="eastAsia" w:ascii="宋体" w:hAnsi="宋体"/>
          <w:color w:val="auto"/>
          <w:szCs w:val="21"/>
          <w:highlight w:val="none"/>
        </w:rPr>
        <w:t>的95%，余下5%作为本项目质保金，质保期到期后无责免息支付给</w:t>
      </w:r>
      <w:r>
        <w:rPr>
          <w:rFonts w:hint="eastAsia" w:ascii="宋体" w:hAnsi="宋体"/>
          <w:color w:val="auto"/>
          <w:szCs w:val="21"/>
          <w:highlight w:val="none"/>
          <w:lang w:eastAsia="zh-CN"/>
        </w:rPr>
        <w:t>成交人</w:t>
      </w:r>
      <w:r>
        <w:rPr>
          <w:rFonts w:hint="eastAsia" w:ascii="宋体" w:hAnsi="宋体"/>
          <w:color w:val="auto"/>
          <w:szCs w:val="21"/>
          <w:highlight w:val="none"/>
        </w:rPr>
        <w:t>。</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水、电费扣除：要求成交人安装独立施工用水、电计量表。并按实际用量及采购人出租用水用电价格向采购人缴纳水电费。施工场地内水电管线由成交人根据施工需要自行解决,如供电满足不了施工在满负荷时所需电量，则由成交人根据施工工期要求自行自费解决。</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）安全生产文明施工措施费的支付方式：按广州市穗建筑（2006）199号文执行。每次付款时，在采购人收到成交人支付工程款项申请表和合法工程发票（金额为采购人审定确认的金额），审核批准后14天内支付。</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工程结算款：</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（1）在完成竣工结算审核，且成交人按时完成资料整理并完整移交工程竣工档案并提供支付申请后，采购人在15个工作日内支付至结算造价的9</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%；留下结算造价的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%作为工程质量保金。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（2）成交人报送的结算金额必须真实准确，若成交人报送的结算总金额或结算单项金额超过最终审定金额的8％，则采购人可按照超过部分金额的10％在结算款中扣罚。</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3）成交人投标时所报任何分部分项工程量清单项目的综合单价高于套用建设主管部门规定的相关专业定额价格的30%以上时，采购人有权认为此报价为恶意高价，在工程结算时，该项目的综合单价将按建设主管部门规定的相关专业定额价格进行结算。</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工程质量保修期及保证金：</w:t>
      </w:r>
    </w:p>
    <w:p>
      <w:pPr>
        <w:spacing w:line="440" w:lineRule="exact"/>
        <w:ind w:firstLine="420" w:firstLineChars="200"/>
        <w:rPr>
          <w:rFonts w:hint="eastAsia" w:ascii="宋体" w:hAnsi="宋体"/>
          <w:color w:val="auto"/>
          <w:highlight w:val="none"/>
          <w:lang w:val="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w:t>
      </w:r>
      <w:r>
        <w:rPr>
          <w:rFonts w:hint="eastAsia" w:ascii="宋体" w:hAnsi="宋体"/>
          <w:color w:val="auto"/>
          <w:highlight w:val="none"/>
          <w:lang w:val="zh-CN"/>
        </w:rPr>
        <w:t>质量要求：按国家相关规范规程一次性验收达到合格标准。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）质量保修期从合同工程实际竣工验收合格之日算起。</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）合同工程质量保修期，约定如下：</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基础设施工程、房屋建筑的地基基础工程和主体结构工程，为设计文件规定的该工程的合理使用年限；</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屋面防水工程、有防水要求的卫生间、房间和外墙面的防渗漏，为</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年；</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③</w:t>
      </w:r>
      <w:r>
        <w:rPr>
          <w:rFonts w:hint="eastAsia" w:ascii="宋体" w:hAnsi="宋体" w:cs="Times New Roman"/>
          <w:color w:val="auto"/>
          <w:highlight w:val="none"/>
          <w:lang w:val="zh-CN" w:eastAsia="zh-CN"/>
        </w:rPr>
        <w:t>供热与供冷系统，为</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个采暖期、供冷期；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fldChar w:fldCharType="begin"/>
      </w:r>
      <w:r>
        <w:rPr>
          <w:rFonts w:hint="eastAsia" w:ascii="宋体" w:hAnsi="宋体" w:cs="Times New Roman"/>
          <w:color w:val="auto"/>
          <w:highlight w:val="none"/>
          <w:lang w:val="zh-CN" w:eastAsia="zh-CN"/>
        </w:rPr>
        <w:instrText xml:space="preserve"> = 4 \* GB3 \* MERGEFORMAT </w:instrText>
      </w:r>
      <w:r>
        <w:rPr>
          <w:rFonts w:hint="eastAsia" w:ascii="宋体" w:hAnsi="宋体" w:cs="Times New Roman"/>
          <w:color w:val="auto"/>
          <w:highlight w:val="none"/>
          <w:lang w:val="zh-CN" w:eastAsia="zh-CN"/>
        </w:rPr>
        <w:fldChar w:fldCharType="separate"/>
      </w:r>
      <w:r>
        <w:rPr>
          <w:rFonts w:hint="eastAsia" w:ascii="宋体" w:hAnsi="宋体" w:cs="Times New Roman"/>
          <w:color w:val="auto"/>
          <w:highlight w:val="none"/>
          <w:lang w:val="zh-CN" w:eastAsia="zh-CN"/>
        </w:rPr>
        <w:t>④</w:t>
      </w:r>
      <w:r>
        <w:rPr>
          <w:rFonts w:hint="eastAsia" w:ascii="宋体" w:hAnsi="宋体" w:cs="Times New Roman"/>
          <w:color w:val="auto"/>
          <w:highlight w:val="none"/>
          <w:lang w:val="zh-CN" w:eastAsia="zh-CN"/>
        </w:rPr>
        <w:fldChar w:fldCharType="end"/>
      </w:r>
      <w:r>
        <w:rPr>
          <w:rFonts w:hint="eastAsia" w:ascii="宋体" w:hAnsi="宋体" w:cs="Times New Roman"/>
          <w:color w:val="auto"/>
          <w:highlight w:val="none"/>
          <w:lang w:val="zh-CN" w:eastAsia="zh-CN"/>
        </w:rPr>
        <w:t>电气管线、给排水管道、设备安装和装修工程，为</w:t>
      </w: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年。</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）质量保修责任</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①</w:t>
      </w:r>
      <w:r>
        <w:rPr>
          <w:rFonts w:hint="eastAsia" w:ascii="宋体" w:hAnsi="宋体" w:cs="Times New Roman"/>
          <w:color w:val="auto"/>
          <w:highlight w:val="none"/>
          <w:lang w:val="zh-CN" w:eastAsia="zh-CN"/>
        </w:rPr>
        <w:t>属于保修范围的项目，成交人应在接到采购人通知后的3天内派人保修。成交人未能在规定时间内派人保修的，采购人可自行或委托第三方维修，所需费用在质保金中扣除或由成交人偿还采购人已支付的维修费。</w:t>
      </w:r>
    </w:p>
    <w:p>
      <w:pPr>
        <w:spacing w:line="440" w:lineRule="exact"/>
        <w:ind w:firstLine="420" w:firstLineChars="200"/>
        <w:rPr>
          <w:rFonts w:hint="eastAsia" w:ascii="宋体" w:hAnsi="宋体" w:cs="Times New Roman"/>
          <w:color w:val="auto"/>
          <w:highlight w:val="none"/>
          <w:lang w:val="zh-CN" w:eastAsia="zh-CN"/>
        </w:rPr>
      </w:pPr>
      <w:r>
        <w:rPr>
          <w:rFonts w:hint="default" w:ascii="宋体" w:hAnsi="宋体" w:cs="Times New Roman"/>
          <w:color w:val="auto"/>
          <w:highlight w:val="none"/>
          <w:lang w:val="zh-CN" w:eastAsia="zh-CN"/>
        </w:rPr>
        <w:t>②</w:t>
      </w:r>
      <w:r>
        <w:rPr>
          <w:rFonts w:hint="eastAsia" w:ascii="宋体" w:hAnsi="宋体" w:cs="Times New Roman"/>
          <w:color w:val="auto"/>
          <w:highlight w:val="none"/>
          <w:lang w:val="zh-CN" w:eastAsia="zh-CN"/>
        </w:rPr>
        <w:t>发生紧急抢修事故的，成交人在接到通知后，应立即赶赴现场进行抢修。</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w:t>
      </w: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）质量保证金</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留结算款的</w:t>
      </w: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作为质量保证金。质保期满后，采购人收到成交人的支付工程款项申请，经审核后10个工作日内无息支付。在保修期内因施工质量而造成返修，其费用由成交人负责，若成交人在质量保证期内未完全履行缺陷保修义务的，采购人有权扣除质量保证金，并保留进一步索赔的权利。</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付款方式：采用银行转账、银行汇付（含电汇）等形式。</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每期支付合同款项时，成交人需提前 5天向采购人提供与当期支付款项金额等值的中国大陆地区合法有效发票。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（三）施工工期及要求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施工工期：</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整个工程应于</w:t>
      </w:r>
      <w:r>
        <w:rPr>
          <w:rFonts w:hint="eastAsia" w:ascii="宋体" w:hAnsi="宋体" w:cs="Times New Roman"/>
          <w:color w:val="auto"/>
          <w:highlight w:val="none"/>
          <w:lang w:val="en-US" w:eastAsia="zh-CN"/>
        </w:rPr>
        <w:t>45</w:t>
      </w:r>
      <w:r>
        <w:rPr>
          <w:rFonts w:hint="eastAsia" w:ascii="宋体" w:hAnsi="宋体" w:cs="Times New Roman"/>
          <w:color w:val="auto"/>
          <w:highlight w:val="none"/>
          <w:lang w:val="zh-CN" w:eastAsia="zh-CN"/>
        </w:rPr>
        <w:t>天内完成，开工日期以采购人发出的开工令为准。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上述的施工总工期，如因成交人的原因导致工程不能按时完成，从延期的第2天起，每天罚款合同总价的千分之三。工期为硬性工期（雨天及可能出现的局部设计变更等均已包括在内），成交人应采取一切措施保证，不允许延误。工程实施过程中，出现下列情形，经采购人确认，工期予以顺延：</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（a）不可抗力因素。</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（b）由于设计变更，致使工程量重大增加者（超过总量的10%）。</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采购人欢迎各竞投人报价可根据各自企业实际情况，提出缩短施工周期的标书。竞投人因赶工而需要所增加的费用应列于项目总报价之中。</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（四）施工条件及安全文明施工管理要求</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1.</w:t>
      </w:r>
      <w:r>
        <w:rPr>
          <w:rFonts w:hint="eastAsia" w:ascii="宋体" w:hAnsi="宋体" w:cs="Times New Roman"/>
          <w:color w:val="auto"/>
          <w:highlight w:val="none"/>
          <w:lang w:val="zh-CN" w:eastAsia="zh-CN"/>
        </w:rPr>
        <w:t>成交人在施工期间应严格遵守《中华人民共和国安全生产法》（国家主席70号令）、《建设工程安全生产管理条例》（中华人民共和国国务院令第393号）以及文明施工、深夜施工、环卫和城管等规定，建立规章制度和防护措施。若违反以上规定，由此造成的经济和法律责任，均由成交人负责。</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2.</w:t>
      </w:r>
      <w:r>
        <w:rPr>
          <w:rFonts w:hint="eastAsia" w:ascii="宋体" w:hAnsi="宋体" w:cs="Times New Roman"/>
          <w:color w:val="auto"/>
          <w:highlight w:val="none"/>
          <w:lang w:val="zh-CN" w:eastAsia="zh-CN"/>
        </w:rPr>
        <w:t>采购人不提供施工所需的食宿、办公，均由成交人场外自行解决，其费用成交人自理。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3.</w:t>
      </w:r>
      <w:r>
        <w:rPr>
          <w:rFonts w:hint="eastAsia" w:ascii="宋体" w:hAnsi="宋体" w:cs="Times New Roman"/>
          <w:color w:val="auto"/>
          <w:highlight w:val="none"/>
          <w:lang w:val="zh-CN" w:eastAsia="zh-CN"/>
        </w:rPr>
        <w:t>采购人不提供临时材料加工场，临时设施及材料加工由成交人在施工现场以外解决，其费用由成交人自理。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4.</w:t>
      </w:r>
      <w:r>
        <w:rPr>
          <w:rFonts w:hint="eastAsia" w:ascii="宋体" w:hAnsi="宋体" w:cs="Times New Roman"/>
          <w:color w:val="auto"/>
          <w:highlight w:val="none"/>
          <w:lang w:val="zh-CN" w:eastAsia="zh-CN"/>
        </w:rPr>
        <w:t>施工时间安排：</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一般按照日常施工计划，全面推进；如遇到特殊情况需暂停工配合的，以采购人书面或口头通知为准。</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5.</w:t>
      </w:r>
      <w:r>
        <w:rPr>
          <w:rFonts w:hint="eastAsia" w:ascii="宋体" w:hAnsi="宋体" w:cs="Times New Roman"/>
          <w:color w:val="auto"/>
          <w:highlight w:val="none"/>
          <w:lang w:val="zh-CN" w:eastAsia="zh-CN"/>
        </w:rPr>
        <w:t>成交人的生产用水、电按照采购人指定地点，由成交人装表驳接，并按有关规定向相关配合单位缴纳实耗水电费。</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6.</w:t>
      </w:r>
      <w:r>
        <w:rPr>
          <w:rFonts w:hint="eastAsia" w:ascii="宋体" w:hAnsi="宋体" w:cs="Times New Roman"/>
          <w:color w:val="auto"/>
          <w:highlight w:val="none"/>
          <w:lang w:val="zh-CN" w:eastAsia="zh-CN"/>
        </w:rPr>
        <w:t>成交人应确保施工现场的清洁卫生，建筑垃圾应当日清理干净，不得留在现场过夜。</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7.</w:t>
      </w:r>
      <w:r>
        <w:rPr>
          <w:rFonts w:hint="eastAsia" w:ascii="宋体" w:hAnsi="宋体" w:cs="Times New Roman"/>
          <w:color w:val="auto"/>
          <w:highlight w:val="none"/>
          <w:lang w:val="zh-CN" w:eastAsia="zh-CN"/>
        </w:rPr>
        <w:t>由于施工地点位于采购人生活区，成交人一旦进场施工，应严格遵守采购人及其委托的物业管理公司的各项规章制度。</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en-US" w:eastAsia="zh-CN"/>
        </w:rPr>
        <w:t>8.</w:t>
      </w:r>
      <w:r>
        <w:rPr>
          <w:rFonts w:hint="eastAsia" w:ascii="宋体" w:hAnsi="宋体" w:cs="Times New Roman"/>
          <w:color w:val="auto"/>
          <w:highlight w:val="none"/>
          <w:lang w:val="zh-CN" w:eastAsia="zh-CN"/>
        </w:rPr>
        <w:t>应指定和落实安全生产及文明施工措施，施工期间应严格管理施工人员，保护好已完工工程产品，发生一切安全事故均由成交人自行负责。严格加强管理，按规定缴纳治安保证金，如发生盗窃，斗殴等现象，根据情节轻重，除追究当事人责任外，还要求在所缴纳的保证金中给予处罚。</w:t>
      </w:r>
    </w:p>
    <w:p>
      <w:pPr>
        <w:tabs>
          <w:tab w:val="left" w:pos="840"/>
        </w:tabs>
        <w:spacing w:line="440" w:lineRule="exact"/>
        <w:rPr>
          <w:rFonts w:hint="eastAsia" w:ascii="宋体" w:hAnsi="宋体"/>
          <w:b/>
          <w:color w:val="auto"/>
          <w:szCs w:val="21"/>
          <w:highlight w:val="none"/>
        </w:rPr>
      </w:pPr>
      <w:r>
        <w:rPr>
          <w:rFonts w:hint="eastAsia" w:ascii="宋体" w:hAnsi="宋体"/>
          <w:b/>
          <w:color w:val="auto"/>
          <w:szCs w:val="21"/>
          <w:highlight w:val="none"/>
        </w:rPr>
        <w:t>五、其他说明</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一）成交人须按《广东省建设领域工人工资支付分账管理暂行办法》(粤人社规〔2015〕3号)、《关于印发广州市建设领域工人工资支付分账管理实施细则的通知》（穗建规字〔2017〕10号）有关规定在商业银行设立建设领域工人工资支付专用账户，用于支付工人工资。</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（二）合同约定的工程项目，成交人不得转包。否则，采购人有权单方面终止合同，并责令其立即退场，由此造成的经济损失由成交人负责赔偿。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三）不许随意更换报价文件中所报的项目负责人，如确须更换，则事前须征得采购人同意，如有违反，一经发现取消成交资格，并赔偿由此造成的一切损失(包含质量安全事故、拖延工期、增加投资等损失)。在施工过程中，项目负责人如不到位，则在工程款中扣除2%作为处罚，造成损失的，按实际发生额赔偿。</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（四）在工程进行中，成交人要注意保护场内的各种管线和设施。若有任何损坏，须立即通知有关部门和采购人，并由损坏单位承担损失和修复费用。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（五）竞投人应承担所有与编写和提交报价文件有关的费用，不论报价的结果如何，采购代理机构、采购人在任何情况下均无义务和责任承担这些费用。</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（六）报价人（成交人）一旦签订了施工合同后，由于采购人原因停止建设的，报价人（成交人）应无条件服从，不得以任何理由向采购人提出任何形式索赔。</w:t>
      </w:r>
    </w:p>
    <w:p>
      <w:pPr>
        <w:spacing w:line="440" w:lineRule="exact"/>
        <w:ind w:firstLine="420" w:firstLineChars="200"/>
        <w:rPr>
          <w:rFonts w:hint="eastAsia" w:ascii="宋体" w:hAnsi="宋体" w:cs="Times New Roman"/>
          <w:color w:val="auto"/>
          <w:highlight w:val="none"/>
          <w:lang w:val="zh-CN" w:eastAsia="zh-CN"/>
        </w:rPr>
      </w:pPr>
      <w:r>
        <w:rPr>
          <w:rFonts w:hint="eastAsia" w:ascii="宋体" w:hAnsi="宋体" w:cs="Times New Roman"/>
          <w:color w:val="auto"/>
          <w:highlight w:val="none"/>
          <w:lang w:val="zh-CN" w:eastAsia="zh-CN"/>
        </w:rPr>
        <w:t>（七）成交人一旦进场施工，应认真做好施工组织计划，按合同约定的总工期和阶段性工期完成施工。因成交人原因造成总工期逾期的，逾期一天，成交人向采购人按工程合同总价千分之三支付违约金，逾期超过30天的采购人有权终止合同，并保留有追究成交人违约责任的权利。</w:t>
      </w:r>
    </w:p>
    <w:p>
      <w:pPr>
        <w:tabs>
          <w:tab w:val="left" w:pos="840"/>
        </w:tabs>
        <w:spacing w:line="440" w:lineRule="exact"/>
        <w:rPr>
          <w:rFonts w:hint="eastAsia" w:ascii="宋体" w:hAnsi="宋体" w:cs="Times New Roman"/>
          <w:b/>
          <w:color w:val="auto"/>
          <w:highlight w:val="none"/>
          <w:lang w:val="zh-CN"/>
        </w:rPr>
      </w:pPr>
      <w:r>
        <w:rPr>
          <w:rFonts w:hint="eastAsia" w:ascii="宋体" w:hAnsi="宋体" w:cs="Times New Roman"/>
          <w:b/>
          <w:color w:val="auto"/>
          <w:highlight w:val="none"/>
          <w:lang w:val="zh-CN"/>
        </w:rPr>
        <w:t>六、现场踏勘</w:t>
      </w:r>
    </w:p>
    <w:p>
      <w:pPr>
        <w:spacing w:line="440" w:lineRule="exact"/>
        <w:ind w:firstLine="420" w:firstLineChars="200"/>
        <w:rPr>
          <w:rFonts w:hint="eastAsia" w:ascii="宋体" w:hAnsi="宋体" w:cs="宋体"/>
          <w:color w:val="auto"/>
          <w:szCs w:val="21"/>
          <w:highlight w:val="none"/>
          <w:lang w:eastAsia="zh-CN"/>
        </w:rPr>
      </w:pPr>
      <w:r>
        <w:rPr>
          <w:rFonts w:hint="eastAsia" w:ascii="宋体" w:hAnsi="宋体" w:cs="宋体"/>
          <w:color w:val="auto"/>
          <w:szCs w:val="21"/>
          <w:highlight w:val="none"/>
          <w:lang w:val="zh-CN" w:eastAsia="zh-CN"/>
        </w:rPr>
        <w:t>本项目不集中组织</w:t>
      </w:r>
      <w:r>
        <w:rPr>
          <w:rFonts w:hint="eastAsia" w:ascii="宋体" w:hAnsi="宋体" w:cs="宋体"/>
          <w:color w:val="auto"/>
          <w:szCs w:val="21"/>
          <w:highlight w:val="none"/>
          <w:lang w:eastAsia="zh-CN"/>
        </w:rPr>
        <w:t>现场踏勘</w:t>
      </w:r>
      <w:r>
        <w:rPr>
          <w:rFonts w:hint="eastAsia" w:ascii="宋体" w:hAnsi="宋体" w:cs="宋体"/>
          <w:color w:val="auto"/>
          <w:szCs w:val="21"/>
          <w:highlight w:val="none"/>
          <w:lang w:val="zh-CN" w:eastAsia="zh-CN"/>
        </w:rPr>
        <w:t>，由供应商自行踏勘；供应商应充分重视和仔细地进行这种考察，以便供应商获取那些须供应商自己负责的有关编制响应文件和签署合同所涉及现场所有的资料，供应商不进行踏勘的，视为已熟知现场条件，自行承担相关风险。一旦中标，这种考察即被认为其结果已在中标文件中得到充分反映。考察现场的费用由供应商自己承担。</w:t>
      </w:r>
    </w:p>
    <w:bookmarkEnd w:id="280"/>
    <w:p>
      <w:pPr>
        <w:tabs>
          <w:tab w:val="left" w:pos="840"/>
        </w:tabs>
        <w:spacing w:line="440" w:lineRule="exact"/>
        <w:rPr>
          <w:rFonts w:ascii="宋体" w:hAnsi="宋体"/>
          <w:b/>
          <w:color w:val="auto"/>
          <w:highlight w:val="none"/>
          <w:lang w:val="zh-CN"/>
        </w:rPr>
      </w:pPr>
      <w:bookmarkStart w:id="284" w:name="_Toc317609046"/>
      <w:r>
        <w:rPr>
          <w:rFonts w:hint="eastAsia" w:ascii="宋体" w:hAnsi="宋体"/>
          <w:b/>
          <w:color w:val="auto"/>
          <w:highlight w:val="none"/>
          <w:lang w:eastAsia="zh-CN"/>
        </w:rPr>
        <w:t>七</w:t>
      </w:r>
      <w:r>
        <w:rPr>
          <w:rFonts w:hint="eastAsia" w:ascii="宋体" w:hAnsi="宋体"/>
          <w:b/>
          <w:color w:val="auto"/>
          <w:highlight w:val="none"/>
        </w:rPr>
        <w:t>、相关图纸</w:t>
      </w:r>
      <w:r>
        <w:rPr>
          <w:rFonts w:hint="eastAsia" w:ascii="宋体" w:hAnsi="宋体"/>
          <w:b/>
          <w:color w:val="auto"/>
          <w:highlight w:val="none"/>
          <w:lang w:val="zh-CN"/>
        </w:rPr>
        <w:t>（另册）和清单报价表（另册）</w:t>
      </w:r>
    </w:p>
    <w:bookmarkEnd w:id="284"/>
    <w:p>
      <w:p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★1）</w:t>
      </w:r>
      <w:r>
        <w:rPr>
          <w:rFonts w:hint="eastAsia" w:ascii="宋体" w:hAnsi="宋体" w:cs="宋体"/>
          <w:color w:val="auto"/>
          <w:szCs w:val="21"/>
          <w:highlight w:val="none"/>
        </w:rPr>
        <w:t>清单报价表</w:t>
      </w:r>
      <w:r>
        <w:rPr>
          <w:rFonts w:hint="eastAsia" w:ascii="宋体" w:hAnsi="宋体"/>
          <w:color w:val="auto"/>
          <w:highlight w:val="none"/>
          <w:lang w:val="zh-CN"/>
        </w:rPr>
        <w:t>（含封面）正本采用采购人提供的原件手工填写的。投标人不得修改《</w:t>
      </w:r>
      <w:r>
        <w:rPr>
          <w:rFonts w:hint="eastAsia" w:ascii="宋体" w:hAnsi="宋体" w:cs="宋体"/>
          <w:color w:val="auto"/>
          <w:szCs w:val="21"/>
          <w:highlight w:val="none"/>
        </w:rPr>
        <w:t>清单报价表</w:t>
      </w:r>
      <w:r>
        <w:rPr>
          <w:rFonts w:hint="eastAsia" w:ascii="宋体" w:hAnsi="宋体"/>
          <w:color w:val="auto"/>
          <w:highlight w:val="none"/>
          <w:lang w:val="zh-CN"/>
        </w:rPr>
        <w:t>》中项目内容及工程数量；</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s="宋体"/>
          <w:color w:val="auto"/>
          <w:szCs w:val="21"/>
          <w:highlight w:val="none"/>
        </w:rPr>
        <w:t>清单报价表</w:t>
      </w:r>
      <w:r>
        <w:rPr>
          <w:rFonts w:hint="eastAsia" w:ascii="宋体" w:hAnsi="宋体"/>
          <w:color w:val="auto"/>
          <w:highlight w:val="none"/>
          <w:lang w:val="zh-CN"/>
        </w:rPr>
        <w:t>（含封面）需提交一正二副，正本需在封面、骑缝及逐页加盖公章确认，若有修改的地方应在相应的地方加盖公章，副本可以采用正本复印并在封面及骑缝加盖公章确认；</w:t>
      </w:r>
    </w:p>
    <w:p>
      <w:pPr>
        <w:numPr>
          <w:ilvl w:val="0"/>
          <w:numId w:val="7"/>
        </w:numPr>
        <w:spacing w:line="440" w:lineRule="exact"/>
        <w:ind w:firstLine="420" w:firstLineChars="200"/>
        <w:rPr>
          <w:rFonts w:ascii="宋体" w:hAnsi="宋体"/>
          <w:color w:val="auto"/>
          <w:highlight w:val="none"/>
          <w:lang w:val="zh-CN"/>
        </w:rPr>
      </w:pPr>
      <w:r>
        <w:rPr>
          <w:rFonts w:hint="eastAsia" w:ascii="宋体" w:hAnsi="宋体"/>
          <w:color w:val="auto"/>
          <w:highlight w:val="none"/>
          <w:lang w:val="zh-CN"/>
        </w:rPr>
        <w:t>相关图纸（另册）；</w:t>
      </w:r>
    </w:p>
    <w:p>
      <w:pPr>
        <w:numPr>
          <w:ilvl w:val="0"/>
          <w:numId w:val="7"/>
        </w:numPr>
        <w:spacing w:line="440" w:lineRule="exact"/>
        <w:ind w:firstLine="420" w:firstLineChars="200"/>
        <w:rPr>
          <w:rFonts w:ascii="宋体" w:hAnsi="宋体"/>
          <w:color w:val="auto"/>
          <w:szCs w:val="21"/>
          <w:highlight w:val="none"/>
        </w:rPr>
      </w:pPr>
      <w:r>
        <w:rPr>
          <w:rFonts w:hint="eastAsia" w:ascii="宋体" w:hAnsi="宋体"/>
          <w:color w:val="auto"/>
          <w:highlight w:val="none"/>
          <w:lang w:val="zh-CN"/>
        </w:rPr>
        <w:t>具体工程范围和内容以图纸和清单为准,如两者有差异,以清单为准。</w:t>
      </w:r>
    </w:p>
    <w:p>
      <w:pPr>
        <w:pStyle w:val="4"/>
        <w:autoSpaceDE w:val="0"/>
        <w:rPr>
          <w:color w:val="auto"/>
          <w:sz w:val="44"/>
          <w:highlight w:val="none"/>
        </w:rPr>
      </w:pPr>
      <w:r>
        <w:rPr>
          <w:color w:val="auto"/>
          <w:sz w:val="44"/>
          <w:highlight w:val="none"/>
        </w:rPr>
        <w:br w:type="page"/>
      </w: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第四章</w:t>
      </w:r>
      <w:r>
        <w:rPr>
          <w:color w:val="auto"/>
          <w:sz w:val="44"/>
          <w:highlight w:val="none"/>
        </w:rPr>
        <w:tab/>
      </w:r>
      <w:r>
        <w:rPr>
          <w:rFonts w:hint="eastAsia"/>
          <w:color w:val="auto"/>
          <w:sz w:val="44"/>
          <w:highlight w:val="none"/>
        </w:rPr>
        <w:t>政府采购合同（样本）</w:t>
      </w:r>
    </w:p>
    <w:p>
      <w:pPr>
        <w:spacing w:line="360" w:lineRule="auto"/>
        <w:jc w:val="center"/>
        <w:rPr>
          <w:rFonts w:hAnsi="宋体"/>
          <w:color w:val="auto"/>
          <w:highlight w:val="none"/>
        </w:rPr>
      </w:pPr>
      <w:r>
        <w:rPr>
          <w:rFonts w:hint="eastAsia" w:hAnsi="宋体"/>
          <w:bCs/>
          <w:color w:val="auto"/>
          <w:kern w:val="44"/>
          <w:highlight w:val="none"/>
          <w:lang w:val="zh-CN"/>
        </w:rPr>
        <w:t>（仅供参考，最终以甲、乙双方签订的合同为准）</w:t>
      </w:r>
    </w:p>
    <w:p>
      <w:pPr>
        <w:tabs>
          <w:tab w:val="center" w:pos="4252"/>
          <w:tab w:val="left" w:pos="5517"/>
        </w:tabs>
        <w:spacing w:line="360" w:lineRule="auto"/>
        <w:rPr>
          <w:rFonts w:ascii="宋体" w:hAnsi="宋体"/>
          <w:b/>
          <w:color w:val="auto"/>
          <w:sz w:val="28"/>
          <w:szCs w:val="28"/>
          <w:highlight w:val="none"/>
        </w:rPr>
      </w:pPr>
    </w:p>
    <w:p>
      <w:pPr>
        <w:spacing w:line="360" w:lineRule="auto"/>
        <w:rPr>
          <w:rFonts w:ascii="宋体" w:hAnsi="宋体"/>
          <w:b/>
          <w:color w:val="auto"/>
          <w:sz w:val="24"/>
          <w:highlight w:val="none"/>
        </w:rPr>
      </w:pPr>
    </w:p>
    <w:p>
      <w:pPr>
        <w:tabs>
          <w:tab w:val="center" w:pos="4252"/>
          <w:tab w:val="left" w:pos="5517"/>
        </w:tabs>
        <w:spacing w:line="360" w:lineRule="auto"/>
        <w:rPr>
          <w:rFonts w:ascii="宋体" w:hAnsi="宋体"/>
          <w:color w:val="auto"/>
          <w:highlight w:val="none"/>
        </w:rPr>
      </w:pPr>
      <w:r>
        <w:rPr>
          <w:rFonts w:hint="eastAsia" w:ascii="宋体" w:hAnsi="宋体"/>
          <w:color w:val="auto"/>
          <w:highlight w:val="none"/>
        </w:rPr>
        <w:t xml:space="preserve"> </w:t>
      </w:r>
    </w:p>
    <w:p>
      <w:pPr>
        <w:tabs>
          <w:tab w:val="center" w:pos="4252"/>
          <w:tab w:val="left" w:pos="5517"/>
        </w:tabs>
        <w:spacing w:line="360" w:lineRule="auto"/>
        <w:rPr>
          <w:rFonts w:ascii="宋体" w:hAnsi="宋体"/>
          <w:b/>
          <w:color w:val="auto"/>
          <w:sz w:val="28"/>
          <w:szCs w:val="28"/>
          <w:highlight w:val="none"/>
        </w:rPr>
      </w:pPr>
      <w:r>
        <w:rPr>
          <w:rFonts w:hint="eastAsia" w:ascii="宋体" w:hAnsi="宋体"/>
          <w:color w:val="auto"/>
          <w:highlight w:val="none"/>
        </w:rPr>
        <w:br w:type="page"/>
      </w:r>
      <w:bookmarkStart w:id="285" w:name="_Toc303110406"/>
      <w:bookmarkStart w:id="286" w:name="_Toc293341641"/>
      <w:r>
        <w:rPr>
          <w:rFonts w:hint="eastAsia" w:ascii="宋体" w:hAnsi="宋体"/>
          <w:color w:val="auto"/>
          <w:szCs w:val="21"/>
          <w:highlight w:val="none"/>
        </w:rPr>
        <w:t>注：本合同条款仅供参考，甲乙双方可根据实际情况进行补充，但不得对采购文件作实质性修改。</w:t>
      </w:r>
    </w:p>
    <w:p>
      <w:pPr>
        <w:spacing w:line="360" w:lineRule="auto"/>
        <w:rPr>
          <w:rFonts w:ascii="宋体" w:hAnsi="宋体"/>
          <w:b/>
          <w:color w:val="auto"/>
          <w:sz w:val="24"/>
          <w:highlight w:val="none"/>
        </w:rPr>
      </w:pPr>
    </w:p>
    <w:p>
      <w:pPr>
        <w:tabs>
          <w:tab w:val="left" w:pos="3900"/>
          <w:tab w:val="right" w:pos="10245"/>
        </w:tabs>
        <w:wordWrap w:val="0"/>
        <w:spacing w:line="360" w:lineRule="auto"/>
        <w:jc w:val="left"/>
        <w:rPr>
          <w:rFonts w:ascii="宋体" w:hAnsi="宋体" w:cs="宋体"/>
          <w:color w:val="auto"/>
          <w:sz w:val="30"/>
          <w:szCs w:val="30"/>
          <w:highlight w:val="none"/>
          <w:u w:val="single"/>
        </w:rPr>
      </w:pPr>
      <w:r>
        <w:rPr>
          <w:rFonts w:hint="eastAsia" w:ascii="宋体" w:hAnsi="宋体" w:cs="宋体"/>
          <w:color w:val="auto"/>
          <w:sz w:val="30"/>
          <w:szCs w:val="30"/>
          <w:highlight w:val="none"/>
        </w:rPr>
        <w:tab/>
      </w:r>
      <w:r>
        <w:rPr>
          <w:rFonts w:hint="eastAsia" w:ascii="宋体" w:hAnsi="宋体" w:cs="宋体"/>
          <w:color w:val="auto"/>
          <w:sz w:val="30"/>
          <w:szCs w:val="30"/>
          <w:highlight w:val="none"/>
        </w:rPr>
        <w:tab/>
      </w:r>
      <w:r>
        <w:rPr>
          <w:rFonts w:hint="eastAsia" w:ascii="宋体" w:hAnsi="宋体" w:cs="宋体"/>
          <w:color w:val="auto"/>
          <w:sz w:val="30"/>
          <w:szCs w:val="30"/>
          <w:highlight w:val="none"/>
        </w:rPr>
        <w:t>合同编号：</w:t>
      </w:r>
      <w:r>
        <w:rPr>
          <w:rFonts w:hint="eastAsia" w:ascii="宋体" w:hAnsi="宋体" w:cs="宋体"/>
          <w:color w:val="auto"/>
          <w:sz w:val="30"/>
          <w:szCs w:val="30"/>
          <w:highlight w:val="none"/>
          <w:u w:val="single"/>
        </w:rPr>
        <w:t xml:space="preserve">                 </w:t>
      </w: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right"/>
        <w:rPr>
          <w:rFonts w:ascii="宋体" w:hAnsi="宋体" w:cs="宋体"/>
          <w:color w:val="auto"/>
          <w:sz w:val="32"/>
          <w:szCs w:val="32"/>
          <w:highlight w:val="none"/>
          <w:u w:val="single"/>
        </w:rPr>
      </w:pPr>
    </w:p>
    <w:p>
      <w:pPr>
        <w:spacing w:line="360" w:lineRule="auto"/>
        <w:jc w:val="center"/>
        <w:rPr>
          <w:rFonts w:ascii="宋体" w:hAnsi="宋体" w:cs="宋体"/>
          <w:b/>
          <w:bCs/>
          <w:color w:val="auto"/>
          <w:spacing w:val="-40"/>
          <w:kern w:val="0"/>
          <w:sz w:val="52"/>
          <w:szCs w:val="52"/>
          <w:highlight w:val="none"/>
        </w:rPr>
      </w:pPr>
      <w:r>
        <w:rPr>
          <w:rFonts w:hint="eastAsia" w:ascii="宋体" w:hAnsi="宋体" w:cs="宋体"/>
          <w:b/>
          <w:bCs/>
          <w:color w:val="auto"/>
          <w:spacing w:val="-40"/>
          <w:kern w:val="0"/>
          <w:sz w:val="52"/>
          <w:szCs w:val="52"/>
          <w:highlight w:val="none"/>
        </w:rPr>
        <w:t>广  州  市  建  设  工  程  施  工  合  同</w:t>
      </w:r>
    </w:p>
    <w:p>
      <w:pPr>
        <w:spacing w:line="360" w:lineRule="auto"/>
        <w:jc w:val="center"/>
        <w:rPr>
          <w:rFonts w:ascii="宋体" w:hAnsi="宋体" w:cs="宋体"/>
          <w:color w:val="auto"/>
          <w:sz w:val="32"/>
          <w:szCs w:val="32"/>
          <w:highlight w:val="none"/>
        </w:rPr>
      </w:pPr>
    </w:p>
    <w:p>
      <w:pPr>
        <w:spacing w:line="360" w:lineRule="auto"/>
        <w:jc w:val="center"/>
        <w:rPr>
          <w:rFonts w:ascii="宋体" w:hAnsi="宋体" w:cs="宋体"/>
          <w:color w:val="auto"/>
          <w:sz w:val="32"/>
          <w:szCs w:val="32"/>
          <w:highlight w:val="none"/>
        </w:rPr>
      </w:pPr>
    </w:p>
    <w:p>
      <w:pPr>
        <w:spacing w:line="360" w:lineRule="auto"/>
        <w:rPr>
          <w:rFonts w:ascii="宋体" w:hAnsi="宋体" w:cs="宋体"/>
          <w:color w:val="auto"/>
          <w:sz w:val="32"/>
          <w:szCs w:val="32"/>
          <w:highlight w:val="none"/>
        </w:rPr>
      </w:pPr>
    </w:p>
    <w:p>
      <w:pPr>
        <w:spacing w:beforeLines="100" w:afterLines="50" w:line="360" w:lineRule="auto"/>
        <w:ind w:firstLine="360" w:firstLineChars="100"/>
        <w:rPr>
          <w:rFonts w:hint="eastAsia" w:ascii="宋体" w:hAnsi="宋体" w:eastAsia="宋体" w:cs="宋体"/>
          <w:color w:val="auto"/>
          <w:sz w:val="36"/>
          <w:szCs w:val="36"/>
          <w:highlight w:val="none"/>
          <w:u w:val="single"/>
          <w:lang w:eastAsia="zh-CN"/>
        </w:rPr>
      </w:pPr>
      <w:r>
        <w:rPr>
          <w:rFonts w:hint="eastAsia" w:ascii="宋体" w:hAnsi="宋体" w:cs="宋体"/>
          <w:color w:val="auto"/>
          <w:sz w:val="36"/>
          <w:szCs w:val="36"/>
          <w:highlight w:val="none"/>
        </w:rPr>
        <w:t>工程名称：</w:t>
      </w:r>
      <w:r>
        <w:rPr>
          <w:rFonts w:hint="eastAsia" w:ascii="宋体" w:hAnsi="宋体" w:cs="宋体"/>
          <w:color w:val="auto"/>
          <w:sz w:val="36"/>
          <w:szCs w:val="36"/>
          <w:highlight w:val="none"/>
          <w:u w:val="single"/>
          <w:lang w:eastAsia="zh-CN"/>
        </w:rPr>
        <w:t>广东省前沿动物保健有限公司车间仓库加固维修工程</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工程编号：</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工程地点：</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rPr>
        <w:t xml:space="preserve"> </w:t>
      </w:r>
    </w:p>
    <w:p>
      <w:pPr>
        <w:spacing w:beforeLines="100" w:afterLines="50" w:line="360" w:lineRule="auto"/>
        <w:ind w:firstLine="360" w:firstLineChars="100"/>
        <w:rPr>
          <w:rFonts w:ascii="宋体" w:hAnsi="宋体" w:cs="宋体"/>
          <w:color w:val="auto"/>
          <w:sz w:val="36"/>
          <w:szCs w:val="36"/>
          <w:highlight w:val="none"/>
        </w:rPr>
      </w:pPr>
      <w:r>
        <w:rPr>
          <w:rFonts w:hint="eastAsia" w:ascii="宋体" w:hAnsi="宋体" w:cs="宋体"/>
          <w:color w:val="auto"/>
          <w:sz w:val="36"/>
          <w:szCs w:val="36"/>
          <w:highlight w:val="none"/>
        </w:rPr>
        <w:t>发 包 人：</w:t>
      </w:r>
      <w:r>
        <w:rPr>
          <w:rFonts w:hint="eastAsia" w:ascii="宋体" w:hAnsi="宋体" w:cs="宋体"/>
          <w:color w:val="auto"/>
          <w:sz w:val="36"/>
          <w:szCs w:val="36"/>
          <w:highlight w:val="none"/>
          <w:u w:val="single"/>
        </w:rPr>
        <w:t xml:space="preserve">  </w:t>
      </w:r>
      <w:r>
        <w:rPr>
          <w:rFonts w:hint="eastAsia" w:ascii="宋体" w:hAnsi="宋体" w:cs="宋体"/>
          <w:color w:val="auto"/>
          <w:sz w:val="36"/>
          <w:szCs w:val="36"/>
          <w:highlight w:val="none"/>
          <w:u w:val="single"/>
          <w:lang w:eastAsia="zh-CN"/>
        </w:rPr>
        <w:t>广东省农科资产经营有限公司</w:t>
      </w:r>
      <w:r>
        <w:rPr>
          <w:rFonts w:hint="eastAsia" w:ascii="宋体" w:hAnsi="宋体" w:cs="宋体"/>
          <w:color w:val="auto"/>
          <w:sz w:val="36"/>
          <w:szCs w:val="36"/>
          <w:highlight w:val="none"/>
          <w:u w:val="single"/>
        </w:rPr>
        <w:t xml:space="preserve"> </w:t>
      </w:r>
    </w:p>
    <w:p>
      <w:pPr>
        <w:spacing w:beforeLines="100" w:afterLines="50" w:line="360" w:lineRule="auto"/>
        <w:ind w:firstLine="360" w:firstLineChars="100"/>
        <w:rPr>
          <w:rFonts w:ascii="宋体" w:hAnsi="宋体" w:cs="宋体"/>
          <w:color w:val="auto"/>
          <w:sz w:val="36"/>
          <w:szCs w:val="36"/>
          <w:highlight w:val="none"/>
          <w:u w:val="single"/>
        </w:rPr>
      </w:pPr>
      <w:r>
        <w:rPr>
          <w:rFonts w:hint="eastAsia" w:ascii="宋体" w:hAnsi="宋体" w:cs="宋体"/>
          <w:color w:val="auto"/>
          <w:sz w:val="36"/>
          <w:szCs w:val="36"/>
          <w:highlight w:val="none"/>
        </w:rPr>
        <w:t>承 包 人：</w:t>
      </w:r>
      <w:r>
        <w:rPr>
          <w:rFonts w:hint="eastAsia" w:ascii="宋体" w:hAnsi="宋体" w:cs="宋体"/>
          <w:color w:val="auto"/>
          <w:sz w:val="36"/>
          <w:szCs w:val="36"/>
          <w:highlight w:val="none"/>
          <w:u w:val="single"/>
        </w:rPr>
        <w:t xml:space="preserve">                                 </w:t>
      </w:r>
    </w:p>
    <w:p>
      <w:pPr>
        <w:spacing w:line="360" w:lineRule="auto"/>
        <w:rPr>
          <w:rFonts w:ascii="宋体" w:hAnsi="宋体" w:cs="宋体"/>
          <w:color w:val="auto"/>
          <w:sz w:val="32"/>
          <w:szCs w:val="32"/>
          <w:highlight w:val="none"/>
          <w:u w:val="single"/>
        </w:rPr>
      </w:pP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广州市城乡建设委员会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 xml:space="preserve">                        制定</w:t>
      </w:r>
    </w:p>
    <w:p>
      <w:pPr>
        <w:spacing w:line="0" w:lineRule="atLeast"/>
        <w:jc w:val="center"/>
        <w:rPr>
          <w:rFonts w:ascii="宋体" w:hAnsi="宋体" w:cs="宋体"/>
          <w:b/>
          <w:color w:val="auto"/>
          <w:spacing w:val="20"/>
          <w:sz w:val="32"/>
          <w:szCs w:val="32"/>
          <w:highlight w:val="none"/>
        </w:rPr>
      </w:pPr>
      <w:r>
        <w:rPr>
          <w:rFonts w:hint="eastAsia" w:ascii="宋体" w:hAnsi="宋体" w:cs="宋体"/>
          <w:b/>
          <w:color w:val="auto"/>
          <w:spacing w:val="20"/>
          <w:sz w:val="32"/>
          <w:szCs w:val="32"/>
          <w:highlight w:val="none"/>
        </w:rPr>
        <w:t>广州市工商行政管理局</w:t>
      </w:r>
    </w:p>
    <w:p>
      <w:pPr>
        <w:spacing w:line="0" w:lineRule="atLeast"/>
        <w:jc w:val="center"/>
        <w:rPr>
          <w:rFonts w:ascii="宋体" w:hAnsi="宋体" w:cs="宋体"/>
          <w:b/>
          <w:color w:val="auto"/>
          <w:spacing w:val="20"/>
          <w:sz w:val="32"/>
          <w:szCs w:val="32"/>
          <w:highlight w:val="none"/>
        </w:rPr>
      </w:pPr>
    </w:p>
    <w:p>
      <w:pPr>
        <w:spacing w:line="0" w:lineRule="atLeast"/>
        <w:jc w:val="center"/>
        <w:rPr>
          <w:rFonts w:ascii="宋体" w:hAnsi="宋体" w:cs="宋体"/>
          <w:color w:val="auto"/>
          <w:sz w:val="32"/>
          <w:szCs w:val="32"/>
          <w:highlight w:val="none"/>
          <w:u w:val="single"/>
        </w:rPr>
        <w:sectPr>
          <w:headerReference r:id="rId14" w:type="first"/>
          <w:footerReference r:id="rId17" w:type="first"/>
          <w:headerReference r:id="rId12" w:type="default"/>
          <w:footerReference r:id="rId15" w:type="default"/>
          <w:headerReference r:id="rId13" w:type="even"/>
          <w:footerReference r:id="rId16" w:type="even"/>
          <w:endnotePr>
            <w:numFmt w:val="decimal"/>
          </w:endnotePr>
          <w:pgSz w:w="11906" w:h="16838"/>
          <w:pgMar w:top="851" w:right="924" w:bottom="851" w:left="737" w:header="0" w:footer="0" w:gutter="0"/>
          <w:cols w:space="720" w:num="1"/>
          <w:titlePg/>
          <w:docGrid w:linePitch="312" w:charSpace="0"/>
        </w:sectPr>
      </w:pPr>
      <w:r>
        <w:rPr>
          <w:rFonts w:hint="eastAsia" w:ascii="宋体" w:hAnsi="宋体" w:cs="宋体"/>
          <w:b/>
          <w:color w:val="auto"/>
          <w:spacing w:val="20"/>
          <w:sz w:val="32"/>
          <w:szCs w:val="32"/>
          <w:highlight w:val="none"/>
        </w:rPr>
        <w:t>二〇二〇年</w:t>
      </w:r>
      <w:bookmarkStart w:id="287" w:name="_Toc18984943"/>
      <w:bookmarkStart w:id="288" w:name="_Toc18985581"/>
      <w:bookmarkStart w:id="289" w:name="_Toc18985701"/>
      <w:bookmarkStart w:id="290" w:name="_Toc18985535"/>
      <w:r>
        <w:rPr>
          <w:rFonts w:hint="eastAsia" w:ascii="宋体" w:hAnsi="宋体" w:cs="宋体"/>
          <w:b/>
          <w:color w:val="auto"/>
          <w:spacing w:val="20"/>
          <w:sz w:val="32"/>
          <w:szCs w:val="32"/>
          <w:highlight w:val="none"/>
        </w:rPr>
        <w:t xml:space="preserve">  月</w:t>
      </w:r>
    </w:p>
    <w:p>
      <w:pPr>
        <w:spacing w:line="360" w:lineRule="auto"/>
        <w:rPr>
          <w:rFonts w:ascii="宋体" w:hAnsi="宋体" w:cs="宋体"/>
          <w:b/>
          <w:color w:val="auto"/>
          <w:spacing w:val="80"/>
          <w:sz w:val="36"/>
          <w:szCs w:val="36"/>
          <w:highlight w:val="none"/>
        </w:rPr>
      </w:pPr>
    </w:p>
    <w:p>
      <w:pPr>
        <w:spacing w:line="360" w:lineRule="auto"/>
        <w:jc w:val="center"/>
        <w:outlineLvl w:val="0"/>
        <w:rPr>
          <w:rFonts w:ascii="宋体" w:hAnsi="宋体" w:cs="宋体"/>
          <w:b/>
          <w:color w:val="auto"/>
          <w:sz w:val="36"/>
          <w:highlight w:val="none"/>
        </w:rPr>
      </w:pPr>
      <w:bookmarkStart w:id="291" w:name="_Toc266892751"/>
      <w:r>
        <w:rPr>
          <w:rFonts w:hint="eastAsia" w:ascii="宋体" w:hAnsi="宋体" w:cs="宋体"/>
          <w:b/>
          <w:color w:val="auto"/>
          <w:sz w:val="36"/>
          <w:highlight w:val="none"/>
        </w:rPr>
        <w:t>第一部分  协  议  书</w:t>
      </w:r>
      <w:bookmarkEnd w:id="291"/>
    </w:p>
    <w:p>
      <w:pPr>
        <w:spacing w:line="360" w:lineRule="auto"/>
        <w:rPr>
          <w:rFonts w:ascii="宋体" w:hAnsi="宋体" w:cs="宋体"/>
          <w:color w:val="auto"/>
          <w:sz w:val="36"/>
          <w:highlight w:val="none"/>
        </w:rPr>
      </w:pPr>
    </w:p>
    <w:p>
      <w:pPr>
        <w:spacing w:line="360" w:lineRule="auto"/>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eastAsia="zh-CN"/>
        </w:rPr>
        <w:t>广东省农科资产经营有限公司</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依照《中华人民共和国合同法》、《中华人民共和国建筑法》及其他有关法律法规，遵循平等、自愿、公平和诚实信用的原则，双方就合同工程施工有关事项达成一致意见，订立本合同。</w:t>
      </w:r>
    </w:p>
    <w:p>
      <w:pPr>
        <w:spacing w:line="360" w:lineRule="auto"/>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2" w:name="_Toc266892752"/>
      <w:r>
        <w:rPr>
          <w:rFonts w:hint="eastAsia" w:ascii="宋体" w:hAnsi="宋体" w:cs="宋体"/>
          <w:b/>
          <w:bCs/>
          <w:color w:val="auto"/>
          <w:szCs w:val="21"/>
          <w:highlight w:val="none"/>
        </w:rPr>
        <w:t>一、工程概况</w:t>
      </w:r>
      <w:bookmarkEnd w:id="292"/>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rPr>
          <w:rFonts w:hint="eastAsia" w:ascii="宋体" w:hAnsi="宋体" w:eastAsia="宋体" w:cs="宋体"/>
          <w:color w:val="auto"/>
          <w:szCs w:val="21"/>
          <w:highlight w:val="none"/>
          <w:u w:val="single"/>
          <w:lang w:eastAsia="zh-CN"/>
        </w:rPr>
      </w:pPr>
      <w:r>
        <w:rPr>
          <w:rFonts w:hint="eastAsia" w:ascii="宋体" w:hAnsi="宋体" w:cs="宋体"/>
          <w:color w:val="auto"/>
          <w:szCs w:val="21"/>
          <w:highlight w:val="none"/>
        </w:rPr>
        <w:t xml:space="preserve">    工程名称：</w:t>
      </w:r>
      <w:r>
        <w:rPr>
          <w:rFonts w:hint="eastAsia" w:ascii="宋体" w:hAnsi="宋体" w:cs="宋体"/>
          <w:color w:val="auto"/>
          <w:szCs w:val="21"/>
          <w:highlight w:val="none"/>
          <w:u w:val="single"/>
          <w:lang w:eastAsia="zh-CN"/>
        </w:rPr>
        <w:t>广东省前沿动物保健有限公司车间仓库加固维修工程</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工程地点：</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工程内容：</w:t>
      </w:r>
      <w:r>
        <w:rPr>
          <w:rFonts w:hint="eastAsia" w:ascii="宋体" w:hAnsi="宋体" w:cs="宋体"/>
          <w:color w:val="auto"/>
          <w:szCs w:val="21"/>
          <w:highlight w:val="none"/>
          <w:u w:val="single"/>
        </w:rPr>
        <w:t>本项目为</w:t>
      </w:r>
      <w:r>
        <w:rPr>
          <w:rFonts w:hint="eastAsia" w:ascii="宋体" w:hAnsi="宋体" w:cs="宋体"/>
          <w:color w:val="auto"/>
          <w:szCs w:val="21"/>
          <w:highlight w:val="none"/>
          <w:u w:val="single"/>
          <w:lang w:eastAsia="zh-CN"/>
        </w:rPr>
        <w:t>广东省前沿动物保健有限公司车间仓库加固维修工程</w:t>
      </w:r>
      <w:r>
        <w:rPr>
          <w:rFonts w:hint="eastAsia" w:ascii="宋体" w:hAnsi="宋体" w:cs="宋体"/>
          <w:color w:val="auto"/>
          <w:szCs w:val="21"/>
          <w:highlight w:val="none"/>
          <w:u w:val="single"/>
        </w:rPr>
        <w:t>。（具体内容以招标图纸、工程量清单为准）。</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工程规模：</w:t>
      </w:r>
      <w:r>
        <w:rPr>
          <w:rFonts w:hint="eastAsia" w:ascii="宋体" w:hAnsi="宋体" w:cs="宋体"/>
          <w:color w:val="auto"/>
          <w:szCs w:val="21"/>
          <w:highlight w:val="none"/>
          <w:u w:val="single"/>
        </w:rPr>
        <w:t xml:space="preserve">          </w:t>
      </w:r>
    </w:p>
    <w:p>
      <w:pPr>
        <w:spacing w:line="360" w:lineRule="auto"/>
        <w:ind w:firstLine="420" w:firstLineChars="200"/>
        <w:rPr>
          <w:rFonts w:ascii="宋体" w:hAnsi="宋体" w:cs="宋体"/>
          <w:color w:val="auto"/>
          <w:szCs w:val="21"/>
          <w:highlight w:val="none"/>
          <w:u w:val="single"/>
        </w:rPr>
      </w:pPr>
      <w:r>
        <w:rPr>
          <w:rFonts w:hint="eastAsia" w:ascii="宋体" w:hAnsi="宋体" w:cs="宋体"/>
          <w:color w:val="auto"/>
          <w:szCs w:val="21"/>
          <w:highlight w:val="none"/>
        </w:rPr>
        <w:t>结构形式：</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r>
        <w:rPr>
          <w:rFonts w:hint="eastAsia" w:ascii="宋体" w:hAnsi="宋体" w:cs="宋体"/>
          <w:color w:val="auto"/>
          <w:szCs w:val="21"/>
          <w:highlight w:val="none"/>
        </w:rPr>
        <w:t xml:space="preserve">    工程立项、规划批准文件号：</w:t>
      </w:r>
      <w:r>
        <w:rPr>
          <w:rFonts w:hint="eastAsia" w:ascii="宋体" w:hAnsi="宋体" w:cs="宋体"/>
          <w:color w:val="auto"/>
          <w:szCs w:val="21"/>
          <w:highlight w:val="none"/>
          <w:u w:val="single"/>
        </w:rPr>
        <w:t xml:space="preserve">                                             </w:t>
      </w:r>
    </w:p>
    <w:p>
      <w:pPr>
        <w:spacing w:line="360" w:lineRule="auto"/>
        <w:ind w:firstLine="480"/>
        <w:rPr>
          <w:rFonts w:ascii="宋体" w:hAnsi="宋体" w:cs="宋体"/>
          <w:color w:val="auto"/>
          <w:szCs w:val="21"/>
          <w:highlight w:val="none"/>
          <w:u w:val="single"/>
        </w:rPr>
      </w:pPr>
      <w:r>
        <w:rPr>
          <w:rFonts w:hint="eastAsia" w:ascii="宋体" w:hAnsi="宋体" w:cs="宋体"/>
          <w:color w:val="auto"/>
          <w:szCs w:val="21"/>
          <w:highlight w:val="none"/>
        </w:rPr>
        <w:t>资金来源：</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 xml:space="preserve">     </w:t>
      </w:r>
      <w:r>
        <w:rPr>
          <w:rFonts w:hint="eastAsia" w:ascii="宋体" w:hAnsi="宋体" w:cs="宋体"/>
          <w:color w:val="auto"/>
          <w:szCs w:val="21"/>
          <w:highlight w:val="none"/>
          <w:u w:val="single"/>
        </w:rPr>
        <w:t xml:space="preserve">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3" w:name="_Toc266892753"/>
      <w:r>
        <w:rPr>
          <w:rFonts w:hint="eastAsia" w:ascii="宋体" w:hAnsi="宋体" w:cs="宋体"/>
          <w:b/>
          <w:bCs/>
          <w:color w:val="auto"/>
          <w:szCs w:val="21"/>
          <w:highlight w:val="none"/>
        </w:rPr>
        <w:t>二、工程承包范围</w:t>
      </w:r>
      <w:bookmarkEnd w:id="293"/>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u w:val="single"/>
        </w:rPr>
      </w:pPr>
      <w:r>
        <w:rPr>
          <w:rFonts w:hint="eastAsia" w:ascii="宋体" w:hAnsi="宋体" w:cs="宋体"/>
          <w:color w:val="auto"/>
          <w:szCs w:val="21"/>
          <w:highlight w:val="none"/>
        </w:rPr>
        <w:t>承包范围:</w:t>
      </w:r>
      <w:r>
        <w:rPr>
          <w:rFonts w:hint="eastAsia" w:ascii="宋体" w:hAnsi="宋体" w:cs="宋体"/>
          <w:color w:val="auto"/>
          <w:szCs w:val="21"/>
          <w:highlight w:val="none"/>
          <w:u w:val="single"/>
        </w:rPr>
        <w:t xml:space="preserve">  包工、包料、包工期、包质量、包安全、包文明施工、包验收。综合单价包干、项目措施费包干。 </w:t>
      </w:r>
    </w:p>
    <w:p>
      <w:pPr>
        <w:spacing w:line="360" w:lineRule="auto"/>
        <w:ind w:firstLine="457" w:firstLineChars="218"/>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4" w:name="_Toc266892754"/>
      <w:r>
        <w:rPr>
          <w:rFonts w:hint="eastAsia" w:ascii="宋体" w:hAnsi="宋体" w:cs="宋体"/>
          <w:b/>
          <w:bCs/>
          <w:color w:val="auto"/>
          <w:szCs w:val="21"/>
          <w:highlight w:val="none"/>
        </w:rPr>
        <w:t>三、合同工期</w:t>
      </w:r>
      <w:bookmarkEnd w:id="294"/>
    </w:p>
    <w:p>
      <w:pPr>
        <w:spacing w:line="360" w:lineRule="auto"/>
        <w:ind w:left="1115" w:leftChars="250" w:hanging="590" w:hangingChars="281"/>
        <w:rPr>
          <w:rFonts w:ascii="宋体" w:hAnsi="宋体" w:cs="宋体"/>
          <w:color w:val="auto"/>
          <w:szCs w:val="21"/>
          <w:highlight w:val="none"/>
        </w:rPr>
      </w:pPr>
      <w:r>
        <w:rPr>
          <w:rFonts w:hint="eastAsia" w:ascii="宋体" w:hAnsi="宋体" w:cs="宋体"/>
          <w:color w:val="auto"/>
          <w:szCs w:val="21"/>
          <w:highlight w:val="none"/>
        </w:rPr>
        <w:t>工程合同工期总日历天数：</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日历天。</w:t>
      </w:r>
    </w:p>
    <w:p>
      <w:pPr>
        <w:spacing w:line="360" w:lineRule="auto"/>
        <w:ind w:left="229" w:leftChars="109" w:firstLine="315" w:firstLineChars="150"/>
        <w:rPr>
          <w:rFonts w:ascii="宋体" w:hAnsi="宋体" w:cs="宋体"/>
          <w:color w:val="auto"/>
          <w:szCs w:val="21"/>
          <w:highlight w:val="none"/>
        </w:rPr>
      </w:pPr>
      <w:r>
        <w:rPr>
          <w:rFonts w:hint="eastAsia" w:ascii="宋体" w:hAnsi="宋体" w:cs="宋体"/>
          <w:color w:val="auto"/>
          <w:szCs w:val="21"/>
          <w:highlight w:val="none"/>
        </w:rPr>
        <w:t xml:space="preserve">从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 </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日开始施工，至</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 xml:space="preserve"> 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日竣工完成。</w:t>
      </w:r>
    </w:p>
    <w:p>
      <w:pPr>
        <w:spacing w:line="360" w:lineRule="auto"/>
        <w:rPr>
          <w:rFonts w:ascii="宋体" w:hAnsi="宋体" w:cs="宋体"/>
          <w:bCs/>
          <w:color w:val="auto"/>
          <w:szCs w:val="21"/>
          <w:highlight w:val="none"/>
        </w:rPr>
      </w:pPr>
    </w:p>
    <w:p>
      <w:pPr>
        <w:spacing w:line="360" w:lineRule="auto"/>
        <w:rPr>
          <w:rFonts w:ascii="宋体" w:hAnsi="宋体" w:cs="宋体"/>
          <w:bCs/>
          <w:color w:val="auto"/>
          <w:szCs w:val="21"/>
          <w:highlight w:val="none"/>
        </w:rPr>
      </w:pPr>
    </w:p>
    <w:p>
      <w:pPr>
        <w:spacing w:line="360" w:lineRule="auto"/>
        <w:outlineLvl w:val="1"/>
        <w:rPr>
          <w:rFonts w:ascii="宋体" w:hAnsi="宋体" w:cs="宋体"/>
          <w:b/>
          <w:bCs/>
          <w:color w:val="auto"/>
          <w:szCs w:val="21"/>
          <w:highlight w:val="none"/>
        </w:rPr>
      </w:pPr>
      <w:bookmarkStart w:id="295" w:name="_Toc266892755"/>
      <w:r>
        <w:rPr>
          <w:rFonts w:hint="eastAsia" w:ascii="宋体" w:hAnsi="宋体" w:cs="宋体"/>
          <w:b/>
          <w:bCs/>
          <w:color w:val="auto"/>
          <w:szCs w:val="21"/>
          <w:highlight w:val="none"/>
        </w:rPr>
        <w:t>四、质量标准</w:t>
      </w:r>
      <w:bookmarkEnd w:id="295"/>
    </w:p>
    <w:p>
      <w:pPr>
        <w:spacing w:line="360" w:lineRule="auto"/>
        <w:ind w:left="420" w:hanging="420" w:hangingChars="200"/>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left="479" w:leftChars="228" w:firstLine="37" w:firstLineChars="18"/>
        <w:rPr>
          <w:rFonts w:ascii="宋体" w:hAnsi="宋体" w:cs="宋体"/>
          <w:color w:val="auto"/>
          <w:szCs w:val="21"/>
          <w:highlight w:val="none"/>
          <w:u w:val="single"/>
        </w:rPr>
      </w:pPr>
      <w:r>
        <w:rPr>
          <w:rFonts w:hint="eastAsia" w:ascii="宋体" w:hAnsi="宋体" w:cs="宋体"/>
          <w:color w:val="auto"/>
          <w:szCs w:val="21"/>
          <w:highlight w:val="none"/>
        </w:rPr>
        <w:t>工程质量标准：</w:t>
      </w:r>
      <w:r>
        <w:rPr>
          <w:rFonts w:hint="eastAsia" w:ascii="宋体" w:hAnsi="宋体" w:cs="宋体"/>
          <w:color w:val="auto"/>
          <w:szCs w:val="21"/>
          <w:highlight w:val="none"/>
          <w:u w:val="single"/>
        </w:rPr>
        <w:t xml:space="preserve">按照国家或行业现行有关工程质量验收标准执行，且验收达到合格等级。 </w:t>
      </w:r>
    </w:p>
    <w:p>
      <w:pPr>
        <w:spacing w:line="360" w:lineRule="auto"/>
        <w:rPr>
          <w:rFonts w:ascii="宋体" w:hAnsi="宋体" w:cs="宋体"/>
          <w:color w:val="auto"/>
          <w:szCs w:val="21"/>
          <w:highlight w:val="none"/>
          <w:u w:val="single"/>
        </w:rPr>
      </w:pPr>
    </w:p>
    <w:p>
      <w:pPr>
        <w:spacing w:line="360" w:lineRule="auto"/>
        <w:outlineLvl w:val="1"/>
        <w:rPr>
          <w:rFonts w:ascii="宋体" w:hAnsi="宋体" w:cs="宋体"/>
          <w:b/>
          <w:bCs/>
          <w:color w:val="auto"/>
          <w:szCs w:val="21"/>
          <w:highlight w:val="none"/>
        </w:rPr>
      </w:pPr>
      <w:bookmarkStart w:id="296" w:name="_Toc266892756"/>
      <w:r>
        <w:rPr>
          <w:rFonts w:hint="eastAsia" w:ascii="宋体" w:hAnsi="宋体" w:cs="宋体"/>
          <w:b/>
          <w:bCs/>
          <w:color w:val="auto"/>
          <w:szCs w:val="21"/>
          <w:highlight w:val="none"/>
        </w:rPr>
        <w:t>五、合同价款</w:t>
      </w:r>
      <w:bookmarkEnd w:id="296"/>
    </w:p>
    <w:p>
      <w:pPr>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合同总价（大写）：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w:t>
      </w:r>
    </w:p>
    <w:p>
      <w:pPr>
        <w:spacing w:line="360" w:lineRule="auto"/>
        <w:ind w:firstLine="1295" w:firstLineChars="617"/>
        <w:rPr>
          <w:rFonts w:ascii="宋体" w:hAnsi="宋体" w:cs="宋体"/>
          <w:color w:val="auto"/>
          <w:szCs w:val="21"/>
          <w:highlight w:val="none"/>
        </w:rPr>
      </w:pPr>
      <w:r>
        <w:rPr>
          <w:rFonts w:hint="eastAsia" w:ascii="宋体" w:hAnsi="宋体" w:cs="宋体"/>
          <w:color w:val="auto"/>
          <w:szCs w:val="21"/>
          <w:highlight w:val="none"/>
        </w:rPr>
        <w:t>（小写）：</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元。</w:t>
      </w:r>
    </w:p>
    <w:p>
      <w:pPr>
        <w:spacing w:line="360" w:lineRule="auto"/>
        <w:ind w:firstLine="457" w:firstLineChars="218"/>
        <w:rPr>
          <w:rFonts w:ascii="宋体" w:hAnsi="宋体" w:cs="宋体"/>
          <w:color w:val="auto"/>
          <w:szCs w:val="21"/>
          <w:highlight w:val="none"/>
        </w:rPr>
      </w:pPr>
      <w:r>
        <w:rPr>
          <w:rFonts w:hint="eastAsia" w:ascii="宋体" w:hAnsi="宋体" w:cs="宋体"/>
          <w:color w:val="auto"/>
          <w:szCs w:val="21"/>
          <w:highlight w:val="none"/>
        </w:rPr>
        <w:t>项目单价：■详见承包人的投标报价书（招标工程）；</w:t>
      </w:r>
    </w:p>
    <w:p>
      <w:pPr>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□详见经确认的工程量清单报价单或施工图预算书（非招标工程）。</w:t>
      </w:r>
    </w:p>
    <w:p>
      <w:pPr>
        <w:spacing w:line="360" w:lineRule="auto"/>
        <w:ind w:firstLine="1470" w:firstLineChars="7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297" w:name="_Toc266892757"/>
      <w:r>
        <w:rPr>
          <w:rFonts w:hint="eastAsia" w:ascii="宋体" w:hAnsi="宋体" w:cs="宋体"/>
          <w:b/>
          <w:bCs/>
          <w:color w:val="auto"/>
          <w:szCs w:val="21"/>
          <w:highlight w:val="none"/>
        </w:rPr>
        <w:t>六、组成合同的文件</w:t>
      </w:r>
      <w:bookmarkEnd w:id="297"/>
    </w:p>
    <w:p>
      <w:pPr>
        <w:tabs>
          <w:tab w:val="left" w:pos="1260"/>
        </w:tabs>
        <w:spacing w:line="360" w:lineRule="auto"/>
        <w:ind w:left="420" w:leftChars="-100"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 xml:space="preserve">         </w:t>
      </w:r>
    </w:p>
    <w:p>
      <w:pPr>
        <w:tabs>
          <w:tab w:val="left" w:pos="1260"/>
        </w:tabs>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组成本合同的文件及其优先解释顺序与本合同第三部分《通用条款》第2.2款赋予的规定一致。</w:t>
      </w:r>
    </w:p>
    <w:p>
      <w:pPr>
        <w:tabs>
          <w:tab w:val="left" w:pos="1260"/>
        </w:tabs>
        <w:spacing w:line="360" w:lineRule="auto"/>
        <w:ind w:firstLine="455" w:firstLineChars="217"/>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8" w:name="_Toc266892758"/>
      <w:r>
        <w:rPr>
          <w:rFonts w:hint="eastAsia" w:ascii="宋体" w:hAnsi="宋体" w:cs="宋体"/>
          <w:b/>
          <w:bCs/>
          <w:color w:val="auto"/>
          <w:szCs w:val="21"/>
          <w:highlight w:val="none"/>
        </w:rPr>
        <w:t>七、词语含义</w:t>
      </w:r>
      <w:bookmarkEnd w:id="298"/>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kern w:val="0"/>
          <w:szCs w:val="21"/>
          <w:highlight w:val="none"/>
        </w:rPr>
      </w:pPr>
      <w:r>
        <w:rPr>
          <w:rFonts w:hint="eastAsia" w:ascii="宋体" w:hAnsi="宋体" w:cs="宋体"/>
          <w:color w:val="auto"/>
          <w:kern w:val="0"/>
          <w:szCs w:val="21"/>
          <w:highlight w:val="none"/>
        </w:rPr>
        <w:t>本协议书中有关词语含义与本合同第二部分《通用条款》第1条赋予它们的定义相同。</w:t>
      </w:r>
    </w:p>
    <w:p>
      <w:pPr>
        <w:spacing w:line="360" w:lineRule="auto"/>
        <w:ind w:firstLine="420" w:firstLineChars="200"/>
        <w:rPr>
          <w:rFonts w:ascii="宋体" w:hAnsi="宋体" w:cs="宋体"/>
          <w:color w:val="auto"/>
          <w:kern w:val="0"/>
          <w:szCs w:val="21"/>
          <w:highlight w:val="none"/>
        </w:rPr>
      </w:pPr>
    </w:p>
    <w:p>
      <w:pPr>
        <w:spacing w:line="360" w:lineRule="auto"/>
        <w:outlineLvl w:val="1"/>
        <w:rPr>
          <w:rFonts w:ascii="宋体" w:hAnsi="宋体" w:cs="宋体"/>
          <w:b/>
          <w:bCs/>
          <w:color w:val="auto"/>
          <w:szCs w:val="21"/>
          <w:highlight w:val="none"/>
        </w:rPr>
      </w:pPr>
      <w:bookmarkStart w:id="299" w:name="_Toc266892759"/>
      <w:r>
        <w:rPr>
          <w:rFonts w:hint="eastAsia" w:ascii="宋体" w:hAnsi="宋体" w:cs="宋体"/>
          <w:b/>
          <w:bCs/>
          <w:color w:val="auto"/>
          <w:szCs w:val="21"/>
          <w:highlight w:val="none"/>
        </w:rPr>
        <w:t>八、承包人承诺</w:t>
      </w:r>
      <w:bookmarkEnd w:id="299"/>
    </w:p>
    <w:p>
      <w:pPr>
        <w:spacing w:line="360" w:lineRule="auto"/>
        <w:ind w:firstLine="420" w:firstLineChars="200"/>
        <w:rPr>
          <w:rFonts w:ascii="宋体" w:hAnsi="宋体" w:cs="宋体"/>
          <w:color w:val="auto"/>
          <w:kern w:val="0"/>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承包人向发包人承诺已阅读、理解并接受本合同所有条款，按照本合同约定实施、完成并保修合同工程，履行本合同所约定的全部义务。</w:t>
      </w:r>
    </w:p>
    <w:p>
      <w:pPr>
        <w:spacing w:line="360" w:lineRule="auto"/>
        <w:ind w:firstLine="420" w:firstLineChars="200"/>
        <w:rPr>
          <w:rFonts w:ascii="宋体" w:hAnsi="宋体" w:cs="宋体"/>
          <w:color w:val="auto"/>
          <w:szCs w:val="21"/>
          <w:highlight w:val="none"/>
        </w:rPr>
      </w:pPr>
    </w:p>
    <w:p>
      <w:pPr>
        <w:spacing w:line="360" w:lineRule="auto"/>
        <w:outlineLvl w:val="1"/>
        <w:rPr>
          <w:rFonts w:ascii="宋体" w:hAnsi="宋体" w:cs="宋体"/>
          <w:b/>
          <w:bCs/>
          <w:color w:val="auto"/>
          <w:szCs w:val="21"/>
          <w:highlight w:val="none"/>
        </w:rPr>
      </w:pPr>
      <w:bookmarkStart w:id="300" w:name="_Toc266892760"/>
      <w:r>
        <w:rPr>
          <w:rFonts w:hint="eastAsia" w:ascii="宋体" w:hAnsi="宋体" w:cs="宋体"/>
          <w:b/>
          <w:bCs/>
          <w:color w:val="auto"/>
          <w:szCs w:val="21"/>
          <w:highlight w:val="none"/>
        </w:rPr>
        <w:t>九、发包人承诺</w:t>
      </w:r>
      <w:bookmarkEnd w:id="300"/>
    </w:p>
    <w:p>
      <w:pPr>
        <w:spacing w:line="360" w:lineRule="auto"/>
        <w:ind w:firstLine="420" w:firstLineChars="200"/>
        <w:rPr>
          <w:rFonts w:ascii="宋体" w:hAnsi="宋体" w:cs="宋体"/>
          <w:color w:val="auto"/>
          <w:szCs w:val="21"/>
          <w:highlight w:val="none"/>
        </w:rPr>
      </w:pPr>
    </w:p>
    <w:p>
      <w:pPr>
        <w:spacing w:line="360" w:lineRule="auto"/>
        <w:ind w:firstLine="420" w:firstLineChars="200"/>
        <w:rPr>
          <w:rFonts w:ascii="宋体" w:hAnsi="宋体" w:cs="宋体"/>
          <w:color w:val="auto"/>
          <w:szCs w:val="21"/>
          <w:highlight w:val="none"/>
        </w:rPr>
      </w:pPr>
      <w:r>
        <w:rPr>
          <w:rFonts w:hint="eastAsia" w:ascii="宋体" w:hAnsi="宋体" w:cs="宋体"/>
          <w:color w:val="auto"/>
          <w:szCs w:val="21"/>
          <w:highlight w:val="none"/>
        </w:rPr>
        <w:t>发包人向承包人承诺已阅读、理解并接受本合同所有条款，按照本合同约定的时限和方法支付工程款及其他应当支付的款项，履行本合同所约定的全部义务。</w:t>
      </w:r>
    </w:p>
    <w:p>
      <w:pPr>
        <w:spacing w:line="360" w:lineRule="auto"/>
        <w:ind w:firstLine="420" w:firstLineChars="200"/>
        <w:rPr>
          <w:rFonts w:ascii="宋体" w:hAnsi="宋体" w:cs="宋体"/>
          <w:color w:val="auto"/>
          <w:szCs w:val="21"/>
          <w:highlight w:val="none"/>
        </w:rPr>
      </w:pPr>
    </w:p>
    <w:p>
      <w:pPr>
        <w:spacing w:beforeLines="150" w:afterLines="200" w:line="360" w:lineRule="auto"/>
        <w:outlineLvl w:val="1"/>
        <w:rPr>
          <w:rFonts w:ascii="宋体" w:hAnsi="宋体" w:cs="宋体"/>
          <w:color w:val="auto"/>
          <w:szCs w:val="21"/>
          <w:highlight w:val="none"/>
        </w:rPr>
      </w:pPr>
      <w:bookmarkStart w:id="301" w:name="_Toc266892761"/>
      <w:r>
        <w:rPr>
          <w:rFonts w:hint="eastAsia" w:ascii="宋体" w:hAnsi="宋体" w:cs="宋体"/>
          <w:b/>
          <w:bCs/>
          <w:color w:val="auto"/>
          <w:szCs w:val="21"/>
          <w:highlight w:val="none"/>
        </w:rPr>
        <w:t>十、合同生效</w:t>
      </w:r>
      <w:bookmarkEnd w:id="301"/>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本合同订立时间：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年</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月</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日</w:t>
      </w:r>
    </w:p>
    <w:p>
      <w:pPr>
        <w:spacing w:line="360" w:lineRule="auto"/>
        <w:ind w:left="525"/>
        <w:rPr>
          <w:rFonts w:ascii="宋体" w:hAnsi="宋体" w:cs="宋体"/>
          <w:color w:val="auto"/>
          <w:szCs w:val="21"/>
          <w:highlight w:val="none"/>
        </w:rPr>
      </w:pPr>
      <w:r>
        <w:rPr>
          <w:rFonts w:hint="eastAsia" w:ascii="宋体" w:hAnsi="宋体" w:cs="宋体"/>
          <w:color w:val="auto"/>
          <w:szCs w:val="21"/>
          <w:highlight w:val="none"/>
        </w:rPr>
        <w:t>本合同订立地点：</w:t>
      </w:r>
      <w:r>
        <w:rPr>
          <w:rFonts w:hint="eastAsia" w:ascii="宋体" w:hAnsi="宋体" w:cs="宋体"/>
          <w:color w:val="auto"/>
          <w:szCs w:val="21"/>
          <w:highlight w:val="none"/>
          <w:u w:val="single"/>
        </w:rPr>
        <w:t xml:space="preserve">                                                       </w:t>
      </w:r>
    </w:p>
    <w:p>
      <w:pPr>
        <w:spacing w:line="360" w:lineRule="auto"/>
        <w:ind w:firstLine="457" w:firstLineChars="218"/>
        <w:jc w:val="left"/>
        <w:rPr>
          <w:rFonts w:ascii="宋体" w:hAnsi="宋体" w:cs="宋体"/>
          <w:color w:val="auto"/>
          <w:szCs w:val="21"/>
          <w:highlight w:val="none"/>
        </w:rPr>
      </w:pPr>
      <w:r>
        <w:rPr>
          <w:rFonts w:hint="eastAsia" w:ascii="宋体" w:hAnsi="宋体" w:cs="宋体"/>
          <w:color w:val="auto"/>
          <w:szCs w:val="21"/>
          <w:highlight w:val="none"/>
        </w:rPr>
        <w:t>合同双方当事人约定本合同自双方签字、盖章后生效。</w:t>
      </w:r>
    </w:p>
    <w:p>
      <w:pPr>
        <w:spacing w:line="360" w:lineRule="auto"/>
        <w:rPr>
          <w:rFonts w:ascii="宋体" w:hAnsi="宋体" w:cs="宋体"/>
          <w:color w:val="auto"/>
          <w:szCs w:val="21"/>
          <w:highlight w:val="none"/>
        </w:rPr>
      </w:pPr>
    </w:p>
    <w:p>
      <w:pPr>
        <w:spacing w:line="360" w:lineRule="auto"/>
        <w:jc w:val="center"/>
        <w:rPr>
          <w:rFonts w:ascii="宋体" w:hAnsi="宋体" w:cs="宋体"/>
          <w:color w:val="auto"/>
          <w:szCs w:val="21"/>
          <w:highlight w:val="none"/>
        </w:rPr>
      </w:pPr>
    </w:p>
    <w:p>
      <w:pPr>
        <w:spacing w:line="360" w:lineRule="auto"/>
        <w:ind w:firstLine="945" w:firstLineChars="450"/>
        <w:rPr>
          <w:rFonts w:ascii="宋体" w:hAnsi="宋体" w:cs="宋体"/>
          <w:color w:val="auto"/>
          <w:szCs w:val="21"/>
          <w:highlight w:val="none"/>
        </w:rPr>
      </w:pPr>
      <w:r>
        <w:rPr>
          <w:rFonts w:hint="eastAsia" w:ascii="宋体" w:hAnsi="宋体" w:cs="宋体"/>
          <w:color w:val="auto"/>
          <w:szCs w:val="21"/>
          <w:highlight w:val="none"/>
        </w:rPr>
        <w:t>发包人：（盖章）                        承包人：（盖章）</w:t>
      </w:r>
    </w:p>
    <w:p>
      <w:pPr>
        <w:spacing w:line="360" w:lineRule="auto"/>
        <w:ind w:left="4830" w:hanging="4830" w:hangingChars="2300"/>
        <w:rPr>
          <w:rFonts w:ascii="宋体" w:hAnsi="宋体" w:cs="宋体"/>
          <w:color w:val="auto"/>
          <w:szCs w:val="21"/>
          <w:highlight w:val="none"/>
        </w:rPr>
      </w:pPr>
      <w:r>
        <w:rPr>
          <w:rFonts w:hint="eastAsia" w:ascii="宋体" w:hAnsi="宋体" w:cs="宋体"/>
          <w:color w:val="auto"/>
          <w:szCs w:val="21"/>
          <w:highlight w:val="none"/>
        </w:rPr>
        <w:t xml:space="preserve">         地      址：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地      址：  </w:t>
      </w:r>
    </w:p>
    <w:p>
      <w:pPr>
        <w:spacing w:line="360" w:lineRule="auto"/>
        <w:rPr>
          <w:rFonts w:ascii="宋体" w:hAnsi="宋体" w:cs="宋体"/>
          <w:color w:val="auto"/>
          <w:szCs w:val="21"/>
          <w:highlight w:val="none"/>
        </w:rPr>
      </w:pPr>
    </w:p>
    <w:p>
      <w:pPr>
        <w:tabs>
          <w:tab w:val="left" w:pos="525"/>
          <w:tab w:val="left" w:pos="1155"/>
        </w:tabs>
        <w:spacing w:line="360" w:lineRule="auto"/>
        <w:rPr>
          <w:rFonts w:ascii="宋体" w:hAnsi="宋体" w:cs="宋体"/>
          <w:color w:val="auto"/>
          <w:szCs w:val="21"/>
          <w:highlight w:val="none"/>
        </w:rPr>
      </w:pPr>
      <w:r>
        <w:rPr>
          <w:rFonts w:hint="eastAsia" w:ascii="宋体" w:hAnsi="宋体" w:cs="宋体"/>
          <w:color w:val="auto"/>
          <w:szCs w:val="21"/>
          <w:highlight w:val="none"/>
        </w:rPr>
        <w:t xml:space="preserve">         法定代表人：                            法定代表人：</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委托代理人：                            委托代理人：</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电    话：                              电    话：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传    真：                              传    真：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开户银行：                              开户银行： </w:t>
      </w:r>
    </w:p>
    <w:p>
      <w:pPr>
        <w:tabs>
          <w:tab w:val="left" w:pos="525"/>
          <w:tab w:val="left" w:pos="1155"/>
          <w:tab w:val="left" w:pos="6090"/>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帐    号：                              帐    号： </w:t>
      </w:r>
    </w:p>
    <w:p>
      <w:pPr>
        <w:tabs>
          <w:tab w:val="left" w:pos="525"/>
          <w:tab w:val="left" w:pos="1155"/>
        </w:tabs>
        <w:spacing w:line="360" w:lineRule="auto"/>
        <w:ind w:left="525" w:leftChars="250" w:firstLine="420" w:firstLineChars="200"/>
        <w:rPr>
          <w:rFonts w:ascii="宋体" w:hAnsi="宋体" w:cs="宋体"/>
          <w:color w:val="auto"/>
          <w:szCs w:val="21"/>
          <w:highlight w:val="none"/>
        </w:rPr>
      </w:pPr>
      <w:r>
        <w:rPr>
          <w:rFonts w:hint="eastAsia" w:ascii="宋体" w:hAnsi="宋体" w:cs="宋体"/>
          <w:color w:val="auto"/>
          <w:szCs w:val="21"/>
          <w:highlight w:val="none"/>
        </w:rPr>
        <w:t xml:space="preserve"> 邮政编码：</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 xml:space="preserve"> 邮政编码： </w:t>
      </w:r>
    </w:p>
    <w:p>
      <w:pPr>
        <w:tabs>
          <w:tab w:val="left" w:pos="525"/>
          <w:tab w:val="left" w:pos="1155"/>
        </w:tabs>
        <w:spacing w:line="360" w:lineRule="auto"/>
        <w:ind w:left="525" w:leftChars="250"/>
        <w:rPr>
          <w:rFonts w:ascii="宋体" w:hAnsi="宋体" w:cs="宋体"/>
          <w:color w:val="auto"/>
          <w:szCs w:val="21"/>
          <w:highlight w:val="none"/>
        </w:rPr>
      </w:pPr>
      <w:r>
        <w:rPr>
          <w:rFonts w:hint="eastAsia" w:ascii="宋体" w:hAnsi="宋体" w:cs="宋体"/>
          <w:color w:val="auto"/>
          <w:szCs w:val="21"/>
          <w:highlight w:val="none"/>
        </w:rPr>
        <w:t xml:space="preserve">     电子邮箱:                               电子邮箱:</w:t>
      </w:r>
      <w:bookmarkEnd w:id="287"/>
      <w:bookmarkEnd w:id="288"/>
      <w:bookmarkEnd w:id="289"/>
      <w:bookmarkEnd w:id="290"/>
      <w:r>
        <w:rPr>
          <w:rFonts w:hint="eastAsia" w:ascii="宋体" w:hAnsi="宋体" w:cs="宋体"/>
          <w:color w:val="auto"/>
          <w:szCs w:val="21"/>
          <w:highlight w:val="none"/>
        </w:rPr>
        <w:t xml:space="preserve">  </w:t>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br w:type="page"/>
      </w:r>
    </w:p>
    <w:p>
      <w:pPr>
        <w:tabs>
          <w:tab w:val="left" w:pos="720"/>
          <w:tab w:val="left" w:pos="7560"/>
        </w:tabs>
        <w:adjustRightInd w:val="0"/>
        <w:snapToGrid w:val="0"/>
        <w:jc w:val="center"/>
        <w:outlineLvl w:val="0"/>
        <w:rPr>
          <w:rFonts w:ascii="宋体" w:hAnsi="宋体" w:cs="宋体"/>
          <w:b/>
          <w:color w:val="auto"/>
          <w:kern w:val="0"/>
          <w:sz w:val="36"/>
          <w:szCs w:val="32"/>
          <w:highlight w:val="none"/>
        </w:rPr>
      </w:pPr>
      <w:r>
        <w:rPr>
          <w:rFonts w:hint="eastAsia" w:ascii="宋体" w:hAnsi="宋体" w:cs="宋体"/>
          <w:b/>
          <w:color w:val="auto"/>
          <w:kern w:val="0"/>
          <w:sz w:val="36"/>
          <w:szCs w:val="32"/>
          <w:highlight w:val="none"/>
        </w:rPr>
        <w:t>第二部分  通用条款</w:t>
      </w:r>
    </w:p>
    <w:p>
      <w:pPr>
        <w:adjustRightInd w:val="0"/>
        <w:snapToGrid w:val="0"/>
        <w:jc w:val="center"/>
        <w:rPr>
          <w:rFonts w:ascii="宋体" w:hAnsi="宋体" w:cs="宋体"/>
          <w:color w:val="auto"/>
          <w:kern w:val="0"/>
          <w:sz w:val="32"/>
          <w:highlight w:val="none"/>
        </w:rPr>
      </w:pPr>
    </w:p>
    <w:p>
      <w:pPr>
        <w:adjustRightInd w:val="0"/>
        <w:snapToGrid w:val="0"/>
        <w:jc w:val="center"/>
        <w:rPr>
          <w:rFonts w:ascii="宋体" w:hAnsi="宋体" w:cs="宋体"/>
          <w:color w:val="auto"/>
          <w:kern w:val="0"/>
          <w:sz w:val="32"/>
          <w:highlight w:val="none"/>
        </w:rPr>
      </w:pPr>
    </w:p>
    <w:p>
      <w:pPr>
        <w:adjustRightInd w:val="0"/>
        <w:snapToGrid w:val="0"/>
        <w:jc w:val="center"/>
        <w:outlineLvl w:val="1"/>
        <w:rPr>
          <w:rFonts w:ascii="宋体" w:hAnsi="宋体" w:cs="宋体"/>
          <w:b/>
          <w:color w:val="auto"/>
          <w:kern w:val="0"/>
          <w:sz w:val="32"/>
          <w:highlight w:val="none"/>
        </w:rPr>
      </w:pPr>
      <w:r>
        <w:rPr>
          <w:rFonts w:hint="eastAsia" w:ascii="宋体" w:hAnsi="宋体" w:cs="宋体"/>
          <w:b/>
          <w:color w:val="auto"/>
          <w:kern w:val="0"/>
          <w:sz w:val="32"/>
          <w:szCs w:val="28"/>
          <w:highlight w:val="none"/>
        </w:rPr>
        <w:t>一、总  则</w:t>
      </w:r>
    </w:p>
    <w:p>
      <w:pPr>
        <w:tabs>
          <w:tab w:val="left" w:pos="900"/>
          <w:tab w:val="left" w:pos="1080"/>
        </w:tabs>
        <w:spacing w:beforeLines="50" w:afterLines="5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  定义</w:t>
      </w:r>
    </w:p>
    <w:p>
      <w:pPr>
        <w:tabs>
          <w:tab w:val="left" w:pos="900"/>
          <w:tab w:val="left" w:pos="1980"/>
        </w:tabs>
        <w:adjustRightIn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下列词语或措辞，除非特别说明，在本合同中均具有以下赋予的含义：</w:t>
      </w:r>
    </w:p>
    <w:p>
      <w:pPr>
        <w:tabs>
          <w:tab w:val="left" w:pos="1260"/>
          <w:tab w:val="left" w:pos="2160"/>
        </w:tabs>
        <w:adjustRightInd w:val="0"/>
        <w:spacing w:beforeLines="50" w:line="360" w:lineRule="auto"/>
        <w:ind w:left="1466" w:leftChars="686" w:hanging="25" w:hangingChars="12"/>
        <w:rPr>
          <w:rFonts w:ascii="宋体" w:hAnsi="宋体" w:cs="宋体"/>
          <w:color w:val="auto"/>
          <w:kern w:val="0"/>
          <w:szCs w:val="21"/>
          <w:highlight w:val="none"/>
          <w:u w:val="dotted"/>
        </w:rPr>
      </w:pPr>
      <w:r>
        <w:rPr>
          <w:rFonts w:hint="eastAsia" w:ascii="宋体" w:hAnsi="宋体" w:cs="宋体"/>
          <w:b/>
          <w:color w:val="auto"/>
          <w:kern w:val="0"/>
          <w:szCs w:val="21"/>
          <w:highlight w:val="none"/>
        </w:rPr>
        <w:t>1.1  合同：</w:t>
      </w:r>
      <w:r>
        <w:rPr>
          <w:rFonts w:hint="eastAsia" w:ascii="宋体" w:hAnsi="宋体" w:cs="宋体"/>
          <w:color w:val="auto"/>
          <w:kern w:val="0"/>
          <w:szCs w:val="21"/>
          <w:highlight w:val="none"/>
        </w:rPr>
        <w:t>指合同双方当事人为实施、完成并保修合同工程所订立的合同文件。合同文件由第2.2款所列的文件组成。</w:t>
      </w:r>
    </w:p>
    <w:p>
      <w:pPr>
        <w:tabs>
          <w:tab w:val="left" w:pos="2160"/>
          <w:tab w:val="left" w:pos="2520"/>
        </w:tabs>
        <w:adjustRightInd w:val="0"/>
        <w:spacing w:beforeLines="80" w:line="360" w:lineRule="auto"/>
        <w:ind w:left="1465" w:leftChars="685" w:hanging="27" w:hangingChars="13"/>
        <w:rPr>
          <w:rFonts w:ascii="宋体" w:hAnsi="宋体" w:cs="宋体"/>
          <w:color w:val="auto"/>
          <w:kern w:val="0"/>
          <w:szCs w:val="21"/>
          <w:highlight w:val="none"/>
          <w:u w:val="dotted"/>
        </w:rPr>
      </w:pPr>
      <w:r>
        <w:rPr>
          <w:rFonts w:hint="eastAsia" w:ascii="宋体" w:hAnsi="宋体" w:cs="宋体"/>
          <w:b/>
          <w:color w:val="auto"/>
          <w:kern w:val="0"/>
          <w:szCs w:val="21"/>
          <w:highlight w:val="none"/>
        </w:rPr>
        <w:t>1.2  协议书</w:t>
      </w:r>
      <w:r>
        <w:rPr>
          <w:rFonts w:hint="eastAsia" w:ascii="宋体" w:hAnsi="宋体" w:cs="宋体"/>
          <w:b/>
          <w:bCs/>
          <w:color w:val="auto"/>
          <w:kern w:val="0"/>
          <w:szCs w:val="21"/>
          <w:highlight w:val="none"/>
        </w:rPr>
        <w:t>：</w:t>
      </w:r>
      <w:r>
        <w:rPr>
          <w:rFonts w:hint="eastAsia" w:ascii="宋体" w:hAnsi="宋体" w:cs="宋体"/>
          <w:color w:val="auto"/>
          <w:kern w:val="0"/>
          <w:szCs w:val="21"/>
          <w:highlight w:val="none"/>
        </w:rPr>
        <w:t>指合同双方当事人为合同工程所签订的协议书。除法律另有规定或合同另有约定外，合同双方当事人的法定代表人或其委托代理人在协议书签字、盖单位公章后，合同即告生效。招标工程应当自中标通知书发出之日起30天内签订。</w:t>
      </w:r>
    </w:p>
    <w:p>
      <w:pPr>
        <w:tabs>
          <w:tab w:val="left" w:pos="2160"/>
        </w:tabs>
        <w:adjustRightInd w:val="0"/>
        <w:spacing w:beforeLines="80" w:line="360" w:lineRule="auto"/>
        <w:ind w:left="1468" w:leftChars="699"/>
        <w:rPr>
          <w:rFonts w:ascii="宋体" w:hAnsi="宋体" w:cs="宋体"/>
          <w:color w:val="auto"/>
          <w:kern w:val="0"/>
          <w:szCs w:val="21"/>
          <w:highlight w:val="none"/>
        </w:rPr>
      </w:pPr>
      <w:r>
        <w:rPr>
          <w:rFonts w:hint="eastAsia" w:ascii="宋体" w:hAnsi="宋体" w:cs="宋体"/>
          <w:b/>
          <w:bCs/>
          <w:color w:val="auto"/>
          <w:kern w:val="0"/>
          <w:szCs w:val="21"/>
          <w:highlight w:val="none"/>
        </w:rPr>
        <w:t>1.3  通用条款：</w:t>
      </w:r>
      <w:r>
        <w:rPr>
          <w:rFonts w:hint="eastAsia" w:ascii="宋体" w:hAnsi="宋体" w:cs="宋体"/>
          <w:color w:val="auto"/>
          <w:kern w:val="0"/>
          <w:szCs w:val="21"/>
          <w:highlight w:val="none"/>
        </w:rPr>
        <w:t>指根据法律、法规和规章的规定以及建设工程施工的需要所订立的，通用于建设工程施工的条款。</w:t>
      </w:r>
    </w:p>
    <w:p>
      <w:pPr>
        <w:tabs>
          <w:tab w:val="left" w:pos="2160"/>
          <w:tab w:val="left" w:pos="2520"/>
        </w:tabs>
        <w:adjustRightInd w:val="0"/>
        <w:spacing w:beforeLines="80" w:line="360" w:lineRule="auto"/>
        <w:ind w:left="1573" w:leftChars="743" w:hanging="13" w:hangingChars="6"/>
        <w:jc w:val="left"/>
        <w:rPr>
          <w:rFonts w:ascii="宋体" w:hAnsi="宋体" w:cs="宋体"/>
          <w:color w:val="auto"/>
          <w:kern w:val="0"/>
          <w:szCs w:val="21"/>
          <w:highlight w:val="none"/>
          <w:u w:val="dotted"/>
        </w:rPr>
      </w:pPr>
      <w:r>
        <w:rPr>
          <w:rFonts w:hint="eastAsia" w:ascii="宋体" w:hAnsi="宋体" w:cs="宋体"/>
          <w:b/>
          <w:bCs/>
          <w:color w:val="auto"/>
          <w:kern w:val="0"/>
          <w:szCs w:val="21"/>
          <w:highlight w:val="none"/>
        </w:rPr>
        <w:t>1.4  专用条款：</w:t>
      </w:r>
      <w:r>
        <w:rPr>
          <w:rFonts w:hint="eastAsia" w:ascii="宋体" w:hAnsi="宋体" w:cs="宋体"/>
          <w:color w:val="auto"/>
          <w:kern w:val="0"/>
          <w:szCs w:val="21"/>
          <w:highlight w:val="none"/>
        </w:rPr>
        <w:t>指合同双方当事人根据法律、法规和规章的规定，结合本合同工程实际，经协商达成一致意见的，专用于本合同工程施工的条款。它是对通用条款的具体化，也是对通用条款的补充和完善。招标工程的专用条款，应当符合招标文件的实质性要求。</w:t>
      </w:r>
    </w:p>
    <w:p>
      <w:pPr>
        <w:tabs>
          <w:tab w:val="left" w:pos="2160"/>
        </w:tabs>
        <w:adjustRightInd w:val="0"/>
        <w:spacing w:beforeLines="80" w:line="360" w:lineRule="auto"/>
        <w:ind w:firstLine="1383" w:firstLineChars="656"/>
        <w:rPr>
          <w:rFonts w:ascii="宋体" w:hAnsi="宋体" w:cs="宋体"/>
          <w:color w:val="auto"/>
          <w:kern w:val="0"/>
          <w:szCs w:val="21"/>
          <w:highlight w:val="none"/>
          <w:u w:val="dotted"/>
        </w:rPr>
      </w:pPr>
      <w:r>
        <w:rPr>
          <w:rFonts w:hint="eastAsia" w:ascii="宋体" w:hAnsi="宋体" w:cs="宋体"/>
          <w:b/>
          <w:color w:val="auto"/>
          <w:kern w:val="0"/>
          <w:szCs w:val="21"/>
          <w:highlight w:val="none"/>
        </w:rPr>
        <w:t>1.5  中标通知书：</w:t>
      </w:r>
      <w:r>
        <w:rPr>
          <w:rFonts w:hint="eastAsia" w:ascii="宋体" w:hAnsi="宋体" w:cs="宋体"/>
          <w:color w:val="auto"/>
          <w:kern w:val="0"/>
          <w:szCs w:val="21"/>
          <w:highlight w:val="none"/>
        </w:rPr>
        <w:t>指发包人正式接受中标人响应文件的函件。</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1.6  承包人响应文件：</w:t>
      </w:r>
      <w:r>
        <w:rPr>
          <w:rFonts w:hint="eastAsia" w:ascii="宋体" w:hAnsi="宋体" w:cs="宋体"/>
          <w:color w:val="auto"/>
          <w:kern w:val="0"/>
          <w:szCs w:val="21"/>
          <w:highlight w:val="none"/>
        </w:rPr>
        <w:t>指构成合同文件组成部分的，由承包人根据招标文件编制完成、签字并被中标通知书所接受的，承包人为实施、完成并保修合同工程向发包人提交的技术、经济文件。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1.7  标准、规范及有关技术文件：</w:t>
      </w:r>
      <w:r>
        <w:rPr>
          <w:rFonts w:hint="eastAsia" w:ascii="宋体" w:hAnsi="宋体" w:cs="宋体"/>
          <w:color w:val="auto"/>
          <w:kern w:val="0"/>
          <w:szCs w:val="21"/>
          <w:highlight w:val="none"/>
        </w:rPr>
        <w:t>指构成合同文件组成部分的，本合同所指明的和合同工程依法应适用的标准与规范，以及监理工程师、造价工程师对有关技术方面问题做出的补充、修改和批准文件。</w:t>
      </w:r>
    </w:p>
    <w:p>
      <w:pPr>
        <w:tabs>
          <w:tab w:val="left" w:pos="2160"/>
          <w:tab w:val="left" w:pos="252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1.8  施工设计图纸：</w:t>
      </w:r>
      <w:r>
        <w:rPr>
          <w:rFonts w:hint="eastAsia" w:ascii="宋体" w:hAnsi="宋体" w:cs="宋体"/>
          <w:color w:val="auto"/>
          <w:kern w:val="0"/>
          <w:szCs w:val="21"/>
          <w:highlight w:val="none"/>
        </w:rPr>
        <w:t>指构成合同文件组成部分的，按规定审批的由发包人提供或经发包人批准由承包人提供，满足承包人施工需要的所有施工图纸（包括任何补充和修改的施工图纸、配套说明和有关资料）。</w:t>
      </w:r>
    </w:p>
    <w:p>
      <w:pPr>
        <w:tabs>
          <w:tab w:val="left" w:pos="2160"/>
        </w:tabs>
        <w:adjustRightInd w:val="0"/>
        <w:spacing w:beforeLines="80" w:line="360" w:lineRule="auto"/>
        <w:ind w:left="1575" w:leftChars="750"/>
        <w:jc w:val="left"/>
        <w:rPr>
          <w:rFonts w:ascii="宋体" w:hAnsi="宋体" w:cs="宋体"/>
          <w:color w:val="auto"/>
          <w:kern w:val="0"/>
          <w:szCs w:val="21"/>
          <w:highlight w:val="none"/>
        </w:rPr>
      </w:pPr>
      <w:r>
        <w:rPr>
          <w:rFonts w:hint="eastAsia" w:ascii="宋体" w:hAnsi="宋体" w:cs="宋体"/>
          <w:b/>
          <w:color w:val="auto"/>
          <w:kern w:val="0"/>
          <w:szCs w:val="21"/>
          <w:highlight w:val="none"/>
        </w:rPr>
        <w:t>1.9  工程量清单：</w:t>
      </w:r>
      <w:r>
        <w:rPr>
          <w:rFonts w:hint="eastAsia" w:ascii="宋体" w:hAnsi="宋体" w:cs="宋体"/>
          <w:color w:val="auto"/>
          <w:kern w:val="0"/>
          <w:szCs w:val="21"/>
          <w:highlight w:val="none"/>
        </w:rPr>
        <w:t>指构成合同文件组成部分的,由发包人在招标文件中提供的,合同工程分部分项工程项目、措施项目、其他项目、规费项目和税金项目的名称和相应数量等的明细清单。</w:t>
      </w:r>
    </w:p>
    <w:p>
      <w:pPr>
        <w:tabs>
          <w:tab w:val="left" w:pos="2160"/>
        </w:tabs>
        <w:adjustRightInd w:val="0"/>
        <w:spacing w:beforeLines="80" w:line="360" w:lineRule="auto"/>
        <w:ind w:left="1618" w:leftChars="77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1.10  发包人：</w:t>
      </w:r>
      <w:r>
        <w:rPr>
          <w:rFonts w:hint="eastAsia" w:ascii="宋体" w:hAnsi="宋体" w:cs="宋体"/>
          <w:color w:val="auto"/>
          <w:kern w:val="0"/>
          <w:szCs w:val="21"/>
          <w:highlight w:val="none"/>
        </w:rPr>
        <w:t>指在协议书中约定，具有工程发包主体资格和支付工程款能力的当事人，以及取得该当事人资格的合法继承人。</w:t>
      </w:r>
    </w:p>
    <w:p>
      <w:pPr>
        <w:tabs>
          <w:tab w:val="left" w:pos="1980"/>
        </w:tabs>
        <w:adjustRightInd w:val="0"/>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1.11  承包人：</w:t>
      </w:r>
      <w:r>
        <w:rPr>
          <w:rFonts w:hint="eastAsia" w:ascii="宋体" w:hAnsi="宋体" w:cs="宋体"/>
          <w:color w:val="auto"/>
          <w:kern w:val="0"/>
          <w:szCs w:val="21"/>
          <w:highlight w:val="none"/>
        </w:rPr>
        <w:t>指在协议书中约定，被发包人接受且具有工程施工承包主体资格的当事人，以及取得该当事人资格的合法继承人。</w:t>
      </w:r>
    </w:p>
    <w:p>
      <w:pPr>
        <w:tabs>
          <w:tab w:val="left" w:pos="1980"/>
        </w:tabs>
        <w:spacing w:beforeLines="80" w:line="360" w:lineRule="auto"/>
        <w:ind w:left="1575" w:leftChars="750"/>
        <w:rPr>
          <w:rFonts w:ascii="宋体" w:hAnsi="宋体" w:cs="宋体"/>
          <w:color w:val="auto"/>
          <w:kern w:val="0"/>
          <w:szCs w:val="21"/>
          <w:highlight w:val="none"/>
        </w:rPr>
      </w:pPr>
      <w:r>
        <w:rPr>
          <w:rFonts w:hint="eastAsia" w:ascii="宋体" w:hAnsi="宋体" w:cs="宋体"/>
          <w:b/>
          <w:color w:val="auto"/>
          <w:kern w:val="0"/>
          <w:szCs w:val="21"/>
          <w:highlight w:val="none"/>
        </w:rPr>
        <w:t>1.12  分包人：</w:t>
      </w:r>
      <w:r>
        <w:rPr>
          <w:rFonts w:hint="eastAsia" w:ascii="宋体" w:hAnsi="宋体" w:cs="宋体"/>
          <w:color w:val="auto"/>
          <w:kern w:val="0"/>
          <w:szCs w:val="21"/>
          <w:highlight w:val="none"/>
        </w:rPr>
        <w:t>指被发包人接受且具有相应资格，并与承包人签订了分包合同，分包合同工程某一部分的当事人，以及取得该当事人资格的合法继承人。</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1.13  第三方：</w:t>
      </w:r>
      <w:r>
        <w:rPr>
          <w:rFonts w:hint="eastAsia" w:ascii="宋体" w:hAnsi="宋体" w:cs="宋体"/>
          <w:color w:val="auto"/>
          <w:kern w:val="0"/>
          <w:szCs w:val="21"/>
          <w:highlight w:val="none"/>
        </w:rPr>
        <w:t>除合同双方当事人(含双方雇员及代表其工作的人员)以外的任何他人或组织。</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1.14  设计人：</w:t>
      </w:r>
      <w:r>
        <w:rPr>
          <w:rFonts w:hint="eastAsia" w:ascii="宋体" w:hAnsi="宋体" w:cs="宋体"/>
          <w:color w:val="auto"/>
          <w:kern w:val="0"/>
          <w:szCs w:val="21"/>
          <w:highlight w:val="none"/>
        </w:rPr>
        <w:t>指受发包人委托的，负责合同工程的工程设计专业技术且具有相应工程设计资质的当事人，以及取得该当事人资格的合法继承人。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1.15  监理人：</w:t>
      </w:r>
      <w:r>
        <w:rPr>
          <w:rFonts w:hint="eastAsia" w:ascii="宋体" w:hAnsi="宋体" w:cs="宋体"/>
          <w:color w:val="auto"/>
          <w:kern w:val="0"/>
          <w:szCs w:val="21"/>
          <w:highlight w:val="none"/>
        </w:rPr>
        <w:t>指受发包人委托的，负责合同工程的工程监理专业技术且具有相应工程监理资质的当事人，以及取得该当事人资格的合法继承人。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1.16  工程造价咨询人：</w:t>
      </w:r>
      <w:r>
        <w:rPr>
          <w:rFonts w:hint="eastAsia" w:ascii="宋体" w:hAnsi="宋体" w:cs="宋体"/>
          <w:color w:val="auto"/>
          <w:kern w:val="0"/>
          <w:szCs w:val="21"/>
          <w:highlight w:val="none"/>
        </w:rPr>
        <w:t>指受发包人委托的，负责合同工程的工程造价专业技术且具有相应工程造价咨询资质的当事人，以及取得该当事人资格的合法继承人。</w:t>
      </w:r>
    </w:p>
    <w:p>
      <w:pPr>
        <w:tabs>
          <w:tab w:val="left" w:pos="1980"/>
          <w:tab w:val="left" w:pos="2160"/>
          <w:tab w:val="left" w:pos="252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1.17  工程造价管理机构：</w:t>
      </w:r>
      <w:r>
        <w:rPr>
          <w:rFonts w:hint="eastAsia" w:ascii="宋体" w:hAnsi="宋体" w:cs="宋体"/>
          <w:color w:val="auto"/>
          <w:kern w:val="0"/>
          <w:szCs w:val="21"/>
          <w:highlight w:val="none"/>
        </w:rPr>
        <w:t>指国务院有关部门、县级以上人民政府建设行政主管部门或受其委托的工程造价管理机构。</w:t>
      </w:r>
    </w:p>
    <w:p>
      <w:pPr>
        <w:tabs>
          <w:tab w:val="left" w:pos="1980"/>
          <w:tab w:val="left" w:pos="2160"/>
          <w:tab w:val="left" w:pos="252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1.18  发包人代表：</w:t>
      </w:r>
      <w:r>
        <w:rPr>
          <w:rFonts w:hint="eastAsia" w:ascii="宋体" w:hAnsi="宋体" w:cs="宋体"/>
          <w:color w:val="auto"/>
          <w:kern w:val="0"/>
          <w:szCs w:val="21"/>
          <w:highlight w:val="none"/>
        </w:rPr>
        <w:t>指发包人指定的，履行本合同的全权代表。发包人代表由发包人依据第22.1款规定任命并书面通知承包人。</w:t>
      </w:r>
    </w:p>
    <w:p>
      <w:pPr>
        <w:tabs>
          <w:tab w:val="left" w:pos="1260"/>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1.19  监理工程师：</w:t>
      </w:r>
      <w:r>
        <w:rPr>
          <w:rFonts w:hint="eastAsia" w:ascii="宋体" w:hAnsi="宋体" w:cs="宋体"/>
          <w:color w:val="auto"/>
          <w:kern w:val="0"/>
          <w:szCs w:val="21"/>
          <w:highlight w:val="none"/>
        </w:rPr>
        <w:t>指监理人委派常驻施工现场负责合同工程的工程监理专业技术的专业人员。监理工程师由监理人提名，经发包人依据第23.1款规定任命并书面通知承包人。</w:t>
      </w:r>
    </w:p>
    <w:p>
      <w:pPr>
        <w:tabs>
          <w:tab w:val="left" w:pos="1980"/>
          <w:tab w:val="left" w:pos="2160"/>
        </w:tabs>
        <w:spacing w:beforeLines="80" w:line="360" w:lineRule="auto"/>
        <w:ind w:left="1618" w:leftChars="770" w:hanging="1"/>
        <w:rPr>
          <w:rFonts w:ascii="宋体" w:hAnsi="宋体" w:cs="宋体"/>
          <w:color w:val="auto"/>
          <w:kern w:val="0"/>
          <w:szCs w:val="21"/>
          <w:highlight w:val="none"/>
        </w:rPr>
      </w:pPr>
      <w:r>
        <w:rPr>
          <w:rFonts w:hint="eastAsia" w:ascii="宋体" w:hAnsi="宋体" w:cs="宋体"/>
          <w:b/>
          <w:color w:val="auto"/>
          <w:kern w:val="0"/>
          <w:szCs w:val="21"/>
          <w:highlight w:val="none"/>
        </w:rPr>
        <w:t>1.20  造价工程师：</w:t>
      </w:r>
      <w:r>
        <w:rPr>
          <w:rFonts w:hint="eastAsia" w:ascii="宋体" w:hAnsi="宋体" w:cs="宋体"/>
          <w:color w:val="auto"/>
          <w:kern w:val="0"/>
          <w:szCs w:val="21"/>
          <w:highlight w:val="none"/>
        </w:rPr>
        <w:t>指工程造价咨询人委派常驻施工现场负责合同工程的工程造价专业技术的专业人员。造价工程师由工程造价咨询人提名，经发包人依据第24.1款规定任命并书面通知承包人。</w:t>
      </w:r>
    </w:p>
    <w:p>
      <w:pPr>
        <w:tabs>
          <w:tab w:val="left" w:pos="1620"/>
          <w:tab w:val="left" w:pos="198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1.21  承包人代表：</w:t>
      </w:r>
      <w:r>
        <w:rPr>
          <w:rFonts w:hint="eastAsia" w:ascii="宋体" w:hAnsi="宋体" w:cs="宋体"/>
          <w:color w:val="auto"/>
          <w:kern w:val="0"/>
          <w:szCs w:val="21"/>
          <w:highlight w:val="none"/>
        </w:rPr>
        <w:t>指承包人指定的，履行本合同和负责合同工程施工现场管理的全权代表。承包人代表由承包人依据第25.1款规定任命并书面通知发包人。</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1.22  合同工期：</w:t>
      </w:r>
      <w:r>
        <w:rPr>
          <w:rFonts w:hint="eastAsia" w:ascii="宋体" w:hAnsi="宋体" w:cs="宋体"/>
          <w:color w:val="auto"/>
          <w:kern w:val="0"/>
          <w:szCs w:val="21"/>
          <w:highlight w:val="none"/>
        </w:rPr>
        <w:t>指合同双方当事人在协议书中约定，按照总日历天数（包括法定节假日）计算的从开始实施到完成合同工程的天数。</w:t>
      </w:r>
    </w:p>
    <w:p>
      <w:pPr>
        <w:tabs>
          <w:tab w:val="left" w:pos="2160"/>
        </w:tabs>
        <w:spacing w:beforeLines="80" w:line="360" w:lineRule="auto"/>
        <w:ind w:left="1620" w:leftChars="771"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1.23  开工日期：</w:t>
      </w:r>
      <w:r>
        <w:rPr>
          <w:rFonts w:hint="eastAsia" w:ascii="宋体" w:hAnsi="宋体" w:cs="宋体"/>
          <w:color w:val="auto"/>
          <w:kern w:val="0"/>
          <w:szCs w:val="21"/>
          <w:highlight w:val="none"/>
        </w:rPr>
        <w:t>指根据第34条规定，监理工程师在开工令中写明的、承包人按照合同约定最迟在该日期开工的日期。</w:t>
      </w:r>
    </w:p>
    <w:p>
      <w:pPr>
        <w:tabs>
          <w:tab w:val="left" w:pos="198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1.24  计划竣工日期：</w:t>
      </w:r>
      <w:r>
        <w:rPr>
          <w:rFonts w:hint="eastAsia" w:ascii="宋体" w:hAnsi="宋体" w:cs="宋体"/>
          <w:color w:val="auto"/>
          <w:kern w:val="0"/>
          <w:szCs w:val="21"/>
          <w:highlight w:val="none"/>
        </w:rPr>
        <w:t>指自开工日期起根据合同约定要求承包人完成合同工程并竣工的全部时间（包括根据第36条和第37.2款规定所做的调整）。</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1.25  实际竣工日期：</w:t>
      </w:r>
      <w:r>
        <w:rPr>
          <w:rFonts w:hint="eastAsia" w:ascii="宋体" w:hAnsi="宋体" w:cs="宋体"/>
          <w:color w:val="auto"/>
          <w:kern w:val="0"/>
          <w:szCs w:val="21"/>
          <w:highlight w:val="none"/>
        </w:rPr>
        <w:t>指承包人实际完成合同工程或某单位工程后，由发包人按照第58条规定组织竣工验收、接收工程并颁发工程接收证书的日期。实际竣工日期，按照第38.2款规定确定。</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1.26  缺陷责任期：</w:t>
      </w:r>
      <w:r>
        <w:rPr>
          <w:rFonts w:hint="eastAsia" w:ascii="宋体" w:hAnsi="宋体" w:cs="宋体"/>
          <w:color w:val="auto"/>
          <w:kern w:val="0"/>
          <w:szCs w:val="21"/>
          <w:highlight w:val="none"/>
        </w:rPr>
        <w:t>指履行第59.3款规定的缺陷责任的期限。具体期限在专用条款中约定，包括第59.2款规定的延长期限。</w:t>
      </w:r>
    </w:p>
    <w:p>
      <w:pPr>
        <w:tabs>
          <w:tab w:val="left" w:pos="1980"/>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1.27  基准日期：</w:t>
      </w:r>
      <w:r>
        <w:rPr>
          <w:rFonts w:hint="eastAsia" w:ascii="宋体" w:hAnsi="宋体" w:cs="宋体"/>
          <w:color w:val="auto"/>
          <w:kern w:val="0"/>
          <w:szCs w:val="21"/>
          <w:highlight w:val="none"/>
        </w:rPr>
        <w:t>指招标工程递交响应文件截止日期前28天的日期；非招标工程订立合同前28天的日期。</w:t>
      </w:r>
    </w:p>
    <w:p>
      <w:pPr>
        <w:tabs>
          <w:tab w:val="left" w:pos="2160"/>
        </w:tabs>
        <w:spacing w:beforeLines="80" w:line="360" w:lineRule="auto"/>
        <w:ind w:left="1573" w:leftChars="749"/>
        <w:rPr>
          <w:rFonts w:ascii="宋体" w:hAnsi="宋体" w:cs="宋体"/>
          <w:color w:val="auto"/>
          <w:kern w:val="0"/>
          <w:szCs w:val="21"/>
          <w:highlight w:val="none"/>
        </w:rPr>
      </w:pPr>
      <w:r>
        <w:rPr>
          <w:rFonts w:hint="eastAsia" w:ascii="宋体" w:hAnsi="宋体" w:cs="宋体"/>
          <w:b/>
          <w:color w:val="auto"/>
          <w:kern w:val="0"/>
          <w:szCs w:val="21"/>
          <w:highlight w:val="none"/>
        </w:rPr>
        <w:t>1.28  小时或天：</w:t>
      </w:r>
      <w:r>
        <w:rPr>
          <w:rFonts w:hint="eastAsia" w:ascii="宋体" w:hAnsi="宋体" w:cs="宋体"/>
          <w:color w:val="auto"/>
          <w:kern w:val="0"/>
          <w:szCs w:val="21"/>
          <w:highlight w:val="none"/>
        </w:rPr>
        <w:t>除特别指明外，指时钟小时或日历天。合同中约定按照小时计算时间的，从发生事件有效时开始计算，不扣除休息时间；约定按照天计算时间的，开始当天不计入，从次日开始计算。时限的最后一天是休息日或其他法定节假日的，以节假日次日为时限，但竣工日期除外。时限最后一天的截止时间为当天24:00（即次日零点）。</w:t>
      </w:r>
    </w:p>
    <w:p>
      <w:pPr>
        <w:tabs>
          <w:tab w:val="left" w:pos="900"/>
          <w:tab w:val="left" w:pos="2160"/>
        </w:tabs>
        <w:spacing w:beforeLines="80" w:line="360" w:lineRule="auto"/>
        <w:ind w:left="1576" w:leftChars="750" w:hanging="1"/>
        <w:rPr>
          <w:rFonts w:ascii="宋体" w:hAnsi="宋体" w:cs="宋体"/>
          <w:color w:val="auto"/>
          <w:kern w:val="0"/>
          <w:szCs w:val="21"/>
          <w:highlight w:val="none"/>
        </w:rPr>
      </w:pPr>
      <w:r>
        <w:rPr>
          <w:rFonts w:hint="eastAsia" w:ascii="宋体" w:hAnsi="宋体" w:cs="宋体"/>
          <w:b/>
          <w:color w:val="auto"/>
          <w:kern w:val="0"/>
          <w:szCs w:val="21"/>
          <w:highlight w:val="none"/>
        </w:rPr>
        <w:t>1.29  中标价格：</w:t>
      </w:r>
      <w:r>
        <w:rPr>
          <w:rFonts w:hint="eastAsia" w:ascii="宋体" w:hAnsi="宋体" w:cs="宋体"/>
          <w:color w:val="auto"/>
          <w:kern w:val="0"/>
          <w:szCs w:val="21"/>
          <w:highlight w:val="none"/>
        </w:rPr>
        <w:t>指中标通知书中列明的，发包人接受中标人（承包人）实施、完成并保修合同工程的价格。</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1.30  合同价款：</w:t>
      </w:r>
      <w:r>
        <w:rPr>
          <w:rFonts w:hint="eastAsia" w:ascii="宋体" w:hAnsi="宋体" w:cs="宋体"/>
          <w:color w:val="auto"/>
          <w:kern w:val="0"/>
          <w:szCs w:val="21"/>
          <w:highlight w:val="none"/>
        </w:rPr>
        <w:t>指承包人按照合同约定完成了包括缺陷责任期内的全部承包工作后，发包人按照合同约定及时足额（包括调整的合同价款）支付给承包人的全部金额。其具体款项依据协议书中标明的包括暂列金额、暂估价在内的金额和第68.2款规定合同价款调整事件确定。</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1.31  费用：</w:t>
      </w:r>
      <w:r>
        <w:rPr>
          <w:rFonts w:hint="eastAsia" w:ascii="宋体" w:hAnsi="宋体" w:cs="宋体"/>
          <w:color w:val="auto"/>
          <w:kern w:val="0"/>
          <w:szCs w:val="21"/>
          <w:highlight w:val="none"/>
        </w:rPr>
        <w:t>指为履行合同所发生或将发生的所有合理开支，包括管理费和其他合理分摊的开支，但不包括利润。</w:t>
      </w:r>
    </w:p>
    <w:p>
      <w:pPr>
        <w:tabs>
          <w:tab w:val="left" w:pos="1980"/>
          <w:tab w:val="left" w:pos="2160"/>
        </w:tabs>
        <w:spacing w:beforeLines="100" w:line="360" w:lineRule="auto"/>
        <w:ind w:left="1620" w:leftChars="771"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1.32  分部分项工程费：</w:t>
      </w:r>
      <w:r>
        <w:rPr>
          <w:rFonts w:hint="eastAsia" w:ascii="宋体" w:hAnsi="宋体" w:cs="宋体"/>
          <w:color w:val="auto"/>
          <w:kern w:val="0"/>
          <w:szCs w:val="21"/>
          <w:highlight w:val="none"/>
        </w:rPr>
        <w:t>指为实施、完成并保修永久工程，发生于工程实体项目所需的人工费、材料费、机械使用费、管理费、利润和风险费用。</w:t>
      </w:r>
    </w:p>
    <w:p>
      <w:pPr>
        <w:tabs>
          <w:tab w:val="left" w:pos="2160"/>
        </w:tabs>
        <w:spacing w:beforeLines="100" w:line="360" w:lineRule="auto"/>
        <w:ind w:left="1618" w:leftChars="770" w:hanging="1"/>
        <w:jc w:val="left"/>
        <w:rPr>
          <w:rFonts w:ascii="宋体" w:hAnsi="宋体" w:cs="宋体"/>
          <w:bCs/>
          <w:color w:val="auto"/>
          <w:kern w:val="0"/>
          <w:szCs w:val="21"/>
          <w:highlight w:val="none"/>
        </w:rPr>
      </w:pPr>
      <w:r>
        <w:rPr>
          <w:rFonts w:hint="eastAsia" w:ascii="宋体" w:hAnsi="宋体" w:cs="宋体"/>
          <w:b/>
          <w:bCs/>
          <w:color w:val="auto"/>
          <w:kern w:val="0"/>
          <w:szCs w:val="21"/>
          <w:highlight w:val="none"/>
        </w:rPr>
        <w:t>1.33  措施项目费：</w:t>
      </w:r>
      <w:r>
        <w:rPr>
          <w:rFonts w:hint="eastAsia" w:ascii="宋体" w:hAnsi="宋体" w:cs="宋体"/>
          <w:color w:val="auto"/>
          <w:kern w:val="0"/>
          <w:szCs w:val="21"/>
          <w:highlight w:val="none"/>
        </w:rPr>
        <w:t>指为实施、完成并保修合同工程，发生于合同工程施工准备和施工过程中的技术、生活、安全、环境保护等方面的非工程实体项目费用。</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1.34  工程款：</w:t>
      </w:r>
      <w:r>
        <w:rPr>
          <w:rFonts w:hint="eastAsia" w:ascii="宋体" w:hAnsi="宋体" w:cs="宋体"/>
          <w:color w:val="auto"/>
          <w:kern w:val="0"/>
          <w:szCs w:val="21"/>
          <w:highlight w:val="none"/>
        </w:rPr>
        <w:t>指为实施、完成并保修合同工程，发包人支付或应当支付给承包人的各种价款，包括进度款、结算款等。</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1.35  暂列金额：</w:t>
      </w:r>
      <w:r>
        <w:rPr>
          <w:rFonts w:hint="eastAsia" w:ascii="宋体" w:hAnsi="宋体" w:cs="宋体"/>
          <w:color w:val="auto"/>
          <w:kern w:val="0"/>
          <w:szCs w:val="21"/>
          <w:highlight w:val="none"/>
        </w:rPr>
        <w:t>指发包人在工程量清单中暂定并包括在合同价款中的一笔款项。用于在签订协议书时尚未确定或者不可预见的所需材料、设备、服务等的采购，施工过程中可能发生的工程变更、合同约定的工程款调整以及经确认的索赔、现场签证等的金额（包括以计日工方式支付的金额）。</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1.36  暂估价：</w:t>
      </w:r>
      <w:r>
        <w:rPr>
          <w:rFonts w:hint="eastAsia" w:ascii="宋体" w:hAnsi="宋体" w:cs="宋体"/>
          <w:color w:val="auto"/>
          <w:kern w:val="0"/>
          <w:szCs w:val="21"/>
          <w:highlight w:val="none"/>
        </w:rPr>
        <w:t>指发包人在工程量清单中提供的用于支付必然发生但暂时不能确定价格的材料、工程设备以及专业工程的金额。</w:t>
      </w:r>
    </w:p>
    <w:p>
      <w:pPr>
        <w:tabs>
          <w:tab w:val="left" w:pos="2160"/>
        </w:tabs>
        <w:spacing w:beforeLines="100" w:line="360" w:lineRule="auto"/>
        <w:ind w:left="1620" w:leftChars="771"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1.37  计日工：</w:t>
      </w:r>
      <w:r>
        <w:rPr>
          <w:rFonts w:hint="eastAsia" w:ascii="宋体" w:hAnsi="宋体" w:cs="宋体"/>
          <w:color w:val="auto"/>
          <w:kern w:val="0"/>
          <w:szCs w:val="21"/>
          <w:highlight w:val="none"/>
        </w:rPr>
        <w:t>指在施工过程中，承包人完成发包人提出的施工设计图纸以外的零星项目或工作，按照合同中约定计价付款的一种计价方式。</w:t>
      </w:r>
    </w:p>
    <w:p>
      <w:pPr>
        <w:tabs>
          <w:tab w:val="left" w:pos="2160"/>
        </w:tabs>
        <w:spacing w:beforeLines="100" w:line="360" w:lineRule="auto"/>
        <w:ind w:left="1576" w:leftChars="750" w:hanging="1"/>
        <w:jc w:val="left"/>
        <w:rPr>
          <w:rFonts w:ascii="宋体" w:hAnsi="宋体" w:cs="宋体"/>
          <w:color w:val="auto"/>
          <w:kern w:val="0"/>
          <w:szCs w:val="21"/>
          <w:highlight w:val="none"/>
        </w:rPr>
      </w:pPr>
      <w:r>
        <w:rPr>
          <w:rFonts w:hint="eastAsia" w:ascii="宋体" w:hAnsi="宋体" w:cs="宋体"/>
          <w:b/>
          <w:bCs/>
          <w:color w:val="auto"/>
          <w:kern w:val="0"/>
          <w:szCs w:val="21"/>
          <w:highlight w:val="none"/>
        </w:rPr>
        <w:t>1.38  质量保证金：</w:t>
      </w:r>
      <w:r>
        <w:rPr>
          <w:rFonts w:hint="eastAsia" w:ascii="宋体" w:hAnsi="宋体" w:cs="宋体"/>
          <w:color w:val="auto"/>
          <w:kern w:val="0"/>
          <w:szCs w:val="21"/>
          <w:highlight w:val="none"/>
        </w:rPr>
        <w:t>指按照第84条约定用于保证在缺陷责任期内履行缺陷修复义务的金额。</w:t>
      </w:r>
    </w:p>
    <w:p>
      <w:pPr>
        <w:tabs>
          <w:tab w:val="left" w:pos="2160"/>
        </w:tabs>
        <w:spacing w:beforeLines="10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1.39  合同工程：</w:t>
      </w:r>
      <w:r>
        <w:rPr>
          <w:rFonts w:hint="eastAsia" w:ascii="宋体" w:hAnsi="宋体" w:cs="宋体"/>
          <w:color w:val="auto"/>
          <w:kern w:val="0"/>
          <w:szCs w:val="21"/>
          <w:highlight w:val="none"/>
        </w:rPr>
        <w:t>指合同双方当事人在协议书中约定的承包范围内的工程，包括永久工程和（或）临时工程。</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1.40  永久工程：</w:t>
      </w:r>
      <w:r>
        <w:rPr>
          <w:rFonts w:hint="eastAsia" w:ascii="宋体" w:hAnsi="宋体" w:cs="宋体"/>
          <w:color w:val="auto"/>
          <w:kern w:val="0"/>
          <w:szCs w:val="21"/>
          <w:highlight w:val="none"/>
        </w:rPr>
        <w:t>指按照合同约定承包人应当实施、完成并移交给发包人的永久性工程，包括工程设备。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1.41  临时工程：</w:t>
      </w:r>
      <w:r>
        <w:rPr>
          <w:rFonts w:hint="eastAsia" w:ascii="宋体" w:hAnsi="宋体" w:cs="宋体"/>
          <w:color w:val="auto"/>
          <w:kern w:val="0"/>
          <w:szCs w:val="21"/>
          <w:highlight w:val="none"/>
        </w:rPr>
        <w:t>指实施、完成并保修永久工程过程中所需要的各类临时性工程，不包括施工设备。</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1.42  分包工程：</w:t>
      </w:r>
      <w:r>
        <w:rPr>
          <w:rFonts w:hint="eastAsia" w:ascii="宋体" w:hAnsi="宋体" w:cs="宋体"/>
          <w:color w:val="auto"/>
          <w:kern w:val="0"/>
          <w:szCs w:val="21"/>
          <w:highlight w:val="none"/>
        </w:rPr>
        <w:t>指合同工程中，由具有相应分包资质的分包人实施、完成的非主体结构（除钢结构外）的专业性工程。</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1.43  单位工程：</w:t>
      </w:r>
      <w:r>
        <w:rPr>
          <w:rFonts w:hint="eastAsia" w:ascii="宋体" w:hAnsi="宋体" w:cs="宋体"/>
          <w:color w:val="auto"/>
          <w:kern w:val="0"/>
          <w:szCs w:val="21"/>
          <w:highlight w:val="none"/>
        </w:rPr>
        <w:t>指具有独立的设计文件，竣工后可以独立发挥生产能力和效益的永久工程。组成合同工程的单位工程名称、内容和范围等应在专用条款中明确。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1.44  施工场地（或工地 、现场）：</w:t>
      </w:r>
      <w:r>
        <w:rPr>
          <w:rFonts w:hint="eastAsia" w:ascii="宋体" w:hAnsi="宋体" w:cs="宋体"/>
          <w:color w:val="auto"/>
          <w:kern w:val="0"/>
          <w:szCs w:val="21"/>
          <w:highlight w:val="none"/>
        </w:rPr>
        <w:t>指由发包人提供的用于合同工程施工的场所，以及发包人在合同中具体指定的供施工使用的其他任何场所。</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1.45  工程设备：</w:t>
      </w:r>
      <w:r>
        <w:rPr>
          <w:rFonts w:hint="eastAsia" w:ascii="宋体" w:hAnsi="宋体" w:cs="宋体"/>
          <w:color w:val="auto"/>
          <w:kern w:val="0"/>
          <w:szCs w:val="21"/>
          <w:highlight w:val="none"/>
        </w:rPr>
        <w:t>指构成或计划构成永久工程一部分的机电设备、金属结构设备、仪器装置及其他类似的设备和装置。</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1.46  施工设备：</w:t>
      </w:r>
      <w:r>
        <w:rPr>
          <w:rFonts w:hint="eastAsia" w:ascii="宋体" w:hAnsi="宋体" w:cs="宋体"/>
          <w:color w:val="auto"/>
          <w:kern w:val="0"/>
          <w:szCs w:val="21"/>
          <w:highlight w:val="none"/>
        </w:rPr>
        <w:t>指承包人临时带入现场用于合同工程施工的仪器、机械、运输工具或其他物品，但不包括用于或安装在合同工程中的工程设备。</w:t>
      </w:r>
    </w:p>
    <w:p>
      <w:pPr>
        <w:tabs>
          <w:tab w:val="left" w:pos="2160"/>
        </w:tabs>
        <w:spacing w:beforeLines="80" w:line="360" w:lineRule="auto"/>
        <w:ind w:left="1576" w:leftChars="750" w:hanging="1"/>
        <w:jc w:val="left"/>
        <w:rPr>
          <w:rFonts w:ascii="宋体" w:hAnsi="宋体" w:cs="宋体"/>
          <w:color w:val="auto"/>
          <w:kern w:val="0"/>
          <w:szCs w:val="21"/>
          <w:highlight w:val="none"/>
        </w:rPr>
      </w:pPr>
      <w:r>
        <w:rPr>
          <w:rFonts w:hint="eastAsia" w:ascii="宋体" w:hAnsi="宋体" w:cs="宋体"/>
          <w:b/>
          <w:color w:val="auto"/>
          <w:kern w:val="0"/>
          <w:szCs w:val="21"/>
          <w:highlight w:val="none"/>
        </w:rPr>
        <w:t>1.47  工程变更：</w:t>
      </w:r>
      <w:r>
        <w:rPr>
          <w:rFonts w:hint="eastAsia" w:ascii="宋体" w:hAnsi="宋体" w:cs="宋体"/>
          <w:color w:val="auto"/>
          <w:kern w:val="0"/>
          <w:szCs w:val="21"/>
          <w:highlight w:val="none"/>
        </w:rPr>
        <w:t>指经发包人批准的，由监理工程师根据第56条规定发出指令的工程任何变更。</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1.48  索赔：</w:t>
      </w:r>
      <w:r>
        <w:rPr>
          <w:rFonts w:hint="eastAsia" w:ascii="宋体" w:hAnsi="宋体" w:cs="宋体"/>
          <w:color w:val="auto"/>
          <w:kern w:val="0"/>
          <w:szCs w:val="21"/>
          <w:highlight w:val="none"/>
        </w:rPr>
        <w:t>指合同履行期间，对于非自己的过错而应由对方当事人承担责任的情况所造成的损失，并根据第36条和第74条规定向对方当事人提出费用补偿和（或）工期顺延的要求。</w:t>
      </w:r>
    </w:p>
    <w:p>
      <w:pPr>
        <w:tabs>
          <w:tab w:val="left" w:pos="2160"/>
        </w:tabs>
        <w:spacing w:beforeLines="80" w:line="360" w:lineRule="auto"/>
        <w:ind w:left="1575" w:leftChars="750" w:firstLine="91" w:firstLineChars="43"/>
        <w:rPr>
          <w:rFonts w:ascii="宋体" w:hAnsi="宋体" w:cs="宋体"/>
          <w:color w:val="auto"/>
          <w:kern w:val="0"/>
          <w:szCs w:val="21"/>
          <w:highlight w:val="none"/>
        </w:rPr>
      </w:pPr>
      <w:r>
        <w:rPr>
          <w:rFonts w:hint="eastAsia" w:ascii="宋体" w:hAnsi="宋体" w:cs="宋体"/>
          <w:b/>
          <w:color w:val="auto"/>
          <w:kern w:val="0"/>
          <w:szCs w:val="21"/>
          <w:highlight w:val="none"/>
        </w:rPr>
        <w:t>1.49  现场签证：</w:t>
      </w:r>
      <w:r>
        <w:rPr>
          <w:rFonts w:hint="eastAsia" w:ascii="宋体" w:hAnsi="宋体" w:cs="宋体"/>
          <w:color w:val="auto"/>
          <w:kern w:val="0"/>
          <w:szCs w:val="21"/>
          <w:highlight w:val="none"/>
        </w:rPr>
        <w:t>指合同双方当事人按照第14.2款约定的指定人选根据第75条规定就施工过程中涉及的责任事件所作的签认证明。</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1.50  不可抗力：</w:t>
      </w:r>
      <w:r>
        <w:rPr>
          <w:rFonts w:hint="eastAsia" w:ascii="宋体" w:hAnsi="宋体" w:cs="宋体"/>
          <w:color w:val="auto"/>
          <w:kern w:val="0"/>
          <w:szCs w:val="21"/>
          <w:highlight w:val="none"/>
        </w:rPr>
        <w:t>指不能预见、不能避免并不能克服的客观情况。</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1.51  竣工验收：</w:t>
      </w:r>
      <w:r>
        <w:rPr>
          <w:rFonts w:hint="eastAsia" w:ascii="宋体" w:hAnsi="宋体" w:cs="宋体"/>
          <w:color w:val="auto"/>
          <w:kern w:val="0"/>
          <w:szCs w:val="21"/>
          <w:highlight w:val="none"/>
        </w:rPr>
        <w:t>指承包人完成了全部合同工作后，发包人按照合同要求进行的验收。</w:t>
      </w:r>
    </w:p>
    <w:p>
      <w:pPr>
        <w:tabs>
          <w:tab w:val="left" w:pos="2160"/>
        </w:tabs>
        <w:spacing w:beforeLines="80" w:line="360" w:lineRule="auto"/>
        <w:ind w:left="1576" w:hanging="1"/>
        <w:rPr>
          <w:rFonts w:ascii="宋体" w:hAnsi="宋体" w:cs="宋体"/>
          <w:color w:val="auto"/>
          <w:kern w:val="0"/>
          <w:szCs w:val="21"/>
          <w:highlight w:val="none"/>
        </w:rPr>
      </w:pPr>
      <w:r>
        <w:rPr>
          <w:rFonts w:hint="eastAsia" w:ascii="宋体" w:hAnsi="宋体" w:cs="宋体"/>
          <w:b/>
          <w:color w:val="auto"/>
          <w:kern w:val="0"/>
          <w:szCs w:val="21"/>
          <w:highlight w:val="none"/>
        </w:rPr>
        <w:t>1.52  国家验收：</w:t>
      </w:r>
      <w:r>
        <w:rPr>
          <w:rFonts w:hint="eastAsia" w:ascii="宋体" w:hAnsi="宋体" w:cs="宋体"/>
          <w:color w:val="auto"/>
          <w:kern w:val="0"/>
          <w:szCs w:val="21"/>
          <w:highlight w:val="none"/>
        </w:rPr>
        <w:t>指政府部门根据法律和政策等有关规定，针对发包人全面组织实施的整个工程正式交付投运前的验收。</w:t>
      </w:r>
    </w:p>
    <w:p>
      <w:pPr>
        <w:tabs>
          <w:tab w:val="left" w:pos="2160"/>
        </w:tabs>
        <w:spacing w:beforeLines="80" w:line="360" w:lineRule="auto"/>
        <w:ind w:left="1620" w:leftChars="771" w:hanging="1"/>
        <w:rPr>
          <w:rFonts w:ascii="宋体" w:hAnsi="宋体" w:cs="宋体"/>
          <w:color w:val="auto"/>
          <w:kern w:val="0"/>
          <w:szCs w:val="21"/>
          <w:highlight w:val="none"/>
        </w:rPr>
      </w:pPr>
      <w:r>
        <w:rPr>
          <w:rFonts w:hint="eastAsia" w:ascii="宋体" w:hAnsi="宋体" w:cs="宋体"/>
          <w:b/>
          <w:color w:val="auto"/>
          <w:kern w:val="0"/>
          <w:szCs w:val="21"/>
          <w:highlight w:val="none"/>
        </w:rPr>
        <w:t>1.53  书面形式：</w:t>
      </w:r>
      <w:r>
        <w:rPr>
          <w:rFonts w:hint="eastAsia" w:ascii="宋体" w:hAnsi="宋体" w:cs="宋体"/>
          <w:color w:val="auto"/>
          <w:kern w:val="0"/>
          <w:szCs w:val="21"/>
          <w:highlight w:val="none"/>
        </w:rPr>
        <w:t>指合同文件、信函、电报、电传、传真、电子数据交换文件、电子邮件等可以有形地表现所载内容的形式。合同双方当事人可在专用条款中注明所采用的书面形式。</w:t>
      </w:r>
    </w:p>
    <w:p>
      <w:pPr>
        <w:tabs>
          <w:tab w:val="left" w:pos="2160"/>
        </w:tabs>
        <w:spacing w:beforeLines="80" w:line="360" w:lineRule="auto"/>
        <w:ind w:firstLine="1383" w:firstLineChars="656"/>
        <w:rPr>
          <w:rFonts w:ascii="宋体" w:hAnsi="宋体" w:cs="宋体"/>
          <w:color w:val="auto"/>
          <w:kern w:val="0"/>
          <w:szCs w:val="21"/>
          <w:highlight w:val="none"/>
        </w:rPr>
      </w:pPr>
      <w:r>
        <w:rPr>
          <w:rFonts w:hint="eastAsia" w:ascii="宋体" w:hAnsi="宋体" w:cs="宋体"/>
          <w:b/>
          <w:color w:val="auto"/>
          <w:kern w:val="0"/>
          <w:szCs w:val="21"/>
          <w:highlight w:val="none"/>
        </w:rPr>
        <w:t>1.54  国家：</w:t>
      </w:r>
      <w:r>
        <w:rPr>
          <w:rFonts w:hint="eastAsia" w:ascii="宋体" w:hAnsi="宋体" w:cs="宋体"/>
          <w:color w:val="auto"/>
          <w:kern w:val="0"/>
          <w:szCs w:val="21"/>
          <w:highlight w:val="none"/>
        </w:rPr>
        <w:t>指中华人民共和国。</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ind w:firstLine="590"/>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2  合同文件及解释</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                                                                                 </w:t>
      </w:r>
    </w:p>
    <w:p>
      <w:pPr>
        <w:tabs>
          <w:tab w:val="left" w:pos="1202"/>
          <w:tab w:val="left" w:pos="1620"/>
          <w:tab w:val="left" w:pos="1800"/>
          <w:tab w:val="left" w:pos="2160"/>
        </w:tabs>
        <w:spacing w:line="360" w:lineRule="auto"/>
        <w:ind w:firstLine="1459" w:firstLineChars="69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0688" behindDoc="0" locked="0" layoutInCell="1" allowOverlap="1">
                <wp:simplePos x="0" y="0"/>
                <wp:positionH relativeFrom="column">
                  <wp:posOffset>-114300</wp:posOffset>
                </wp:positionH>
                <wp:positionV relativeFrom="paragraph">
                  <wp:posOffset>20955</wp:posOffset>
                </wp:positionV>
                <wp:extent cx="800100" cy="297180"/>
                <wp:effectExtent l="0" t="0" r="0" b="7620"/>
                <wp:wrapNone/>
                <wp:docPr id="403" name="文本框 40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solidFill>
                          <a:srgbClr val="FFFFFF"/>
                        </a:solidFill>
                        <a:ln>
                          <a:noFill/>
                        </a:ln>
                        <a:effectLst/>
                      </wps:spPr>
                      <wps:txbx>
                        <w:txbxContent>
                          <w:p>
                            <w:pPr>
                              <w:rPr>
                                <w:rFonts w:ascii="楷体_GB2312" w:hAnsi="宋体"/>
                              </w:rPr>
                            </w:pPr>
                            <w:r>
                              <w:rPr>
                                <w:rFonts w:hint="eastAsia" w:ascii="楷体_GB2312" w:hAnsi="宋体"/>
                                <w:b/>
                                <w:color w:val="000000"/>
                                <w:sz w:val="18"/>
                                <w:szCs w:val="18"/>
                              </w:rPr>
                              <w:t>标题和旁注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5pt;height:23.4pt;width:63pt;z-index:251890688;mso-width-relative:page;mso-height-relative:page;" fillcolor="#FFFFFF" filled="t" stroked="f" coordsize="21600,21600" o:gfxdata="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mWItr1QAAAAgBAAAPAAAAAAAA&#10;AAEAIAAAACIAAABkcnMvZG93bnJldi54bWxQSwECFAAUAAAACACHTuJAOjSkOBUCAAABBAAADgAA&#10;AAAAAAABACAAAAAkAQAAZHJzL2Uyb0RvYy54bWxQSwUGAAAAAAYABgBZAQAAqwUAAAAA&#10;">
                <v:fill on="t" focussize="0,0"/>
                <v:stroke on="f"/>
                <v:imagedata o:title=""/>
                <o:lock v:ext="edit" aspectratio="f"/>
                <v:textbox>
                  <w:txbxContent>
                    <w:p>
                      <w:pPr>
                        <w:rPr>
                          <w:rFonts w:ascii="楷体_GB2312" w:hAnsi="宋体"/>
                        </w:rPr>
                      </w:pPr>
                      <w:r>
                        <w:rPr>
                          <w:rFonts w:hint="eastAsia" w:ascii="楷体_GB2312" w:hAnsi="宋体"/>
                          <w:b/>
                          <w:color w:val="000000"/>
                          <w:sz w:val="18"/>
                          <w:szCs w:val="18"/>
                        </w:rPr>
                        <w:t>标题和旁注</w:t>
                      </w:r>
                    </w:p>
                  </w:txbxContent>
                </v:textbox>
              </v:shape>
            </w:pict>
          </mc:Fallback>
        </mc:AlternateConten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本合同条款的标题和旁注不构成合同的组成部分。</w:t>
      </w:r>
    </w:p>
    <w:p>
      <w:pPr>
        <w:tabs>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2.2  </w:t>
      </w:r>
      <w:r>
        <w:rPr>
          <w:rFonts w:hint="eastAsia" w:ascii="宋体" w:hAnsi="宋体" w:cs="宋体"/>
          <w:b/>
          <w:color w:val="auto"/>
          <w:kern w:val="0"/>
          <w:szCs w:val="21"/>
          <w:highlight w:val="none"/>
          <w:u w:val="dotted"/>
        </w:rPr>
        <w:t xml:space="preserve">                                                                             </w:t>
      </w:r>
    </w:p>
    <w:p>
      <w:pPr>
        <w:tabs>
          <w:tab w:val="left" w:pos="13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2208" behindDoc="0" locked="0" layoutInCell="1" allowOverlap="1">
                <wp:simplePos x="0" y="0"/>
                <wp:positionH relativeFrom="column">
                  <wp:posOffset>-114300</wp:posOffset>
                </wp:positionH>
                <wp:positionV relativeFrom="paragraph">
                  <wp:posOffset>67310</wp:posOffset>
                </wp:positionV>
                <wp:extent cx="914400" cy="527050"/>
                <wp:effectExtent l="0" t="0" r="0" b="0"/>
                <wp:wrapNone/>
                <wp:docPr id="402" name="文本框 402"/>
                <wp:cNvGraphicFramePr/>
                <a:graphic xmlns:a="http://schemas.openxmlformats.org/drawingml/2006/main">
                  <a:graphicData uri="http://schemas.microsoft.com/office/word/2010/wordprocessingShape">
                    <wps:wsp>
                      <wps:cNvSpPr txBox="1">
                        <a:spLocks noChangeArrowheads="1"/>
                      </wps:cNvSpPr>
                      <wps:spPr bwMode="auto">
                        <a:xfrm>
                          <a:off x="0" y="0"/>
                          <a:ext cx="914400" cy="52705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3pt;height:41.5pt;width:72pt;z-index:251742208;mso-width-relative:page;mso-height-relative:page;" filled="f" stroked="f" coordsize="21600,21600" o:gfxdata="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hAVO9YAAAAJAQAADwAAAAAAAAABACAAAAAiAAAAZHJzL2Rvd25y&#10;ZXYueG1sUEsBAhQAFAAAAAgAh07iQH72GJU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合同文件组成及优先顺序</w:t>
                      </w:r>
                    </w:p>
                  </w:txbxContent>
                </v:textbox>
              </v:shape>
            </w:pict>
          </mc:Fallback>
        </mc:AlternateContent>
      </w:r>
      <w:r>
        <w:rPr>
          <w:rFonts w:hint="eastAsia" w:ascii="宋体" w:hAnsi="宋体" w:cs="宋体"/>
          <w:color w:val="auto"/>
          <w:kern w:val="0"/>
          <w:szCs w:val="21"/>
          <w:highlight w:val="none"/>
        </w:rPr>
        <w:t>下列组成本合同的文件是一个合同整体，彼此应当能相互解释，互为说明。当出现相互矛盾时，组成本合同文件的优先解释顺序如下：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协议书；</w:t>
      </w:r>
    </w:p>
    <w:p>
      <w:pPr>
        <w:numPr>
          <w:ilvl w:val="0"/>
          <w:numId w:val="8"/>
        </w:numPr>
        <w:tabs>
          <w:tab w:val="left" w:pos="1620"/>
        </w:tabs>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履行本合同的相关补充协议（含工程洽商记录、会议纪要、工程变更、现场签证、索赔和合同价款调整报告等修正文件）；</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中标通知书（适用于招标工程）；</w:t>
      </w:r>
    </w:p>
    <w:p>
      <w:pPr>
        <w:numPr>
          <w:ilvl w:val="0"/>
          <w:numId w:val="8"/>
        </w:numPr>
        <w:tabs>
          <w:tab w:val="left" w:pos="1620"/>
        </w:tabs>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承包人响应文件及其附件（含评标期间的澄清文件和补充资料）（适用于招标工程）；</w:t>
      </w:r>
    </w:p>
    <w:p>
      <w:pPr>
        <w:tabs>
          <w:tab w:val="left" w:pos="1620"/>
        </w:tabs>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确认的工程量清单报价单或施工图预算书（适用于非招标工程）；</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通用条款；</w:t>
      </w:r>
    </w:p>
    <w:p>
      <w:pPr>
        <w:numPr>
          <w:ilvl w:val="0"/>
          <w:numId w:val="8"/>
        </w:numPr>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标准、规范及有关技术文件；</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施工设计图纸；</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工程量清单；</w:t>
      </w:r>
    </w:p>
    <w:p>
      <w:pPr>
        <w:numPr>
          <w:ilvl w:val="0"/>
          <w:numId w:val="8"/>
        </w:numPr>
        <w:spacing w:line="360" w:lineRule="auto"/>
        <w:ind w:left="1077" w:firstLine="54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专用条款约定的其他文件。</w:t>
      </w:r>
    </w:p>
    <w:p>
      <w:pPr>
        <w:tabs>
          <w:tab w:val="left" w:pos="540"/>
          <w:tab w:val="left" w:pos="1202"/>
        </w:tabs>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2.3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3232"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1" name="文本框 40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743232;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wG2FgQ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监理或造价工程师作出解释</w:t>
                      </w:r>
                    </w:p>
                  </w:txbxContent>
                </v:textbox>
              </v:shape>
            </w:pict>
          </mc:Fallback>
        </mc:AlternateContent>
      </w:r>
      <w:r>
        <w:rPr>
          <w:rFonts w:hint="eastAsia" w:ascii="宋体" w:hAnsi="宋体" w:cs="宋体"/>
          <w:color w:val="auto"/>
          <w:kern w:val="0"/>
          <w:szCs w:val="21"/>
          <w:highlight w:val="none"/>
        </w:rPr>
        <w:t>当合同文件内容出现含糊不清或不一致时，由合同双方当事人在不影响合同工程正常实施的情况下协商解决。协商不成的，由监理工程师、造价工程师分别按照第23.2款、第24.2款规定职权作出解释。如合同任何一方当事人不同意监理工程师或造价工程师作出的解释，按照第86条规定处理。</w:t>
      </w:r>
    </w:p>
    <w:p>
      <w:pPr>
        <w:spacing w:line="360" w:lineRule="auto"/>
        <w:jc w:val="lef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firstLine="904"/>
        <w:jc w:val="left"/>
        <w:rPr>
          <w:rFonts w:ascii="宋体" w:hAnsi="宋体" w:cs="宋体"/>
          <w:b/>
          <w:color w:val="auto"/>
          <w:szCs w:val="21"/>
          <w:highlight w:val="none"/>
        </w:rPr>
      </w:pPr>
    </w:p>
    <w:p>
      <w:pPr>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3  阅读、理解与接受</w:t>
      </w: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 xml:space="preserve">3.1 </w:t>
      </w:r>
    </w:p>
    <w:p>
      <w:pPr>
        <w:tabs>
          <w:tab w:val="left" w:pos="540"/>
          <w:tab w:val="left" w:pos="1202"/>
        </w:tabs>
        <w:spacing w:line="360" w:lineRule="auto"/>
        <w:ind w:left="1440" w:leftChars="685"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424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400" name="文本框 40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1424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k2VHNUAAAAIAQAADwAAAAAAAAABACAAAAAiAAAAZHJzL2Rvd25yZXYu&#10;eG1sUEsBAhQAFAAAAAgAh07iQESyMoX+AQAA2AMAAA4AAAAAAAAAAQAgAAAAJA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阅读、理解与接受</w:t>
                      </w:r>
                    </w:p>
                  </w:txbxContent>
                </v:textbox>
              </v:shape>
            </w:pict>
          </mc:Fallback>
        </mc:AlternateContent>
      </w:r>
      <w:r>
        <w:rPr>
          <w:rFonts w:hint="eastAsia" w:ascii="宋体" w:hAnsi="宋体" w:cs="宋体"/>
          <w:color w:val="auto"/>
          <w:kern w:val="0"/>
          <w:szCs w:val="21"/>
          <w:highlight w:val="none"/>
        </w:rPr>
        <w:t>合同双方当事人应认真阅读和理解本合同的全部内容。除合同双方当事人同意修改外，本合同一旦订立，视为合同双方当事人已全面接受本合同的所有条款。</w:t>
      </w:r>
    </w:p>
    <w:p>
      <w:pPr>
        <w:tabs>
          <w:tab w:val="left" w:pos="2160"/>
        </w:tabs>
        <w:spacing w:beforeLines="80" w:line="360" w:lineRule="auto"/>
        <w:ind w:left="1418" w:hanging="1417" w:hangingChars="675"/>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915264" behindDoc="0" locked="0" layoutInCell="1" allowOverlap="1">
                <wp:simplePos x="0" y="0"/>
                <wp:positionH relativeFrom="column">
                  <wp:posOffset>-114300</wp:posOffset>
                </wp:positionH>
                <wp:positionV relativeFrom="paragraph">
                  <wp:posOffset>396240</wp:posOffset>
                </wp:positionV>
                <wp:extent cx="952500" cy="792480"/>
                <wp:effectExtent l="0" t="0" r="0" b="0"/>
                <wp:wrapNone/>
                <wp:docPr id="399" name="文本框 399"/>
                <wp:cNvGraphicFramePr/>
                <a:graphic xmlns:a="http://schemas.openxmlformats.org/drawingml/2006/main">
                  <a:graphicData uri="http://schemas.microsoft.com/office/word/2010/wordprocessingShape">
                    <wps:wsp>
                      <wps:cNvSpPr txBox="1">
                        <a:spLocks noChangeArrowheads="1"/>
                      </wps:cNvSpPr>
                      <wps:spPr bwMode="auto">
                        <a:xfrm>
                          <a:off x="0" y="0"/>
                          <a:ext cx="952500" cy="7924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2pt;height:62.4pt;width:75pt;z-index:251915264;mso-width-relative:page;mso-height-relative:page;" filled="f" stroked="f" coordsize="21600,21600" o:gfxdata="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PkXlQ7YAAAACgEAAA8AAAAAAAAAAQAgAAAAIgAAAGRycy9k&#10;b3ducmV2LnhtbFBLAQIUABQAAAAIAIdO4kCTJORHAgIAANg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修改合同条款的限制</w:t>
                      </w:r>
                    </w:p>
                  </w:txbxContent>
                </v:textbox>
              </v:shape>
            </w:pict>
          </mc:Fallback>
        </mc:AlternateContent>
      </w:r>
      <w:r>
        <w:rPr>
          <w:rFonts w:hint="eastAsia" w:ascii="宋体" w:hAnsi="宋体" w:cs="宋体"/>
          <w:b/>
          <w:color w:val="auto"/>
          <w:kern w:val="0"/>
          <w:szCs w:val="21"/>
          <w:highlight w:val="none"/>
        </w:rPr>
        <w:t xml:space="preserve">3.2  </w:t>
      </w:r>
      <w:r>
        <w:rPr>
          <w:rFonts w:hint="eastAsia" w:ascii="宋体" w:hAnsi="宋体" w:cs="宋体"/>
          <w:b/>
          <w:color w:val="auto"/>
          <w:kern w:val="0"/>
          <w:szCs w:val="21"/>
          <w:highlight w:val="none"/>
          <w:u w:val="dotted"/>
        </w:rPr>
        <w:t xml:space="preserve">                                                                               </w:t>
      </w:r>
    </w:p>
    <w:p>
      <w:pPr>
        <w:tabs>
          <w:tab w:val="left" w:pos="2160"/>
        </w:tabs>
        <w:spacing w:beforeLines="80" w:line="360" w:lineRule="auto"/>
        <w:ind w:left="1610" w:leftChars="741" w:hanging="54" w:hangingChars="26"/>
        <w:rPr>
          <w:rFonts w:ascii="宋体" w:hAnsi="宋体" w:cs="宋体"/>
          <w:color w:val="auto"/>
          <w:kern w:val="0"/>
          <w:szCs w:val="21"/>
          <w:highlight w:val="none"/>
        </w:rPr>
      </w:pPr>
      <w:r>
        <w:rPr>
          <w:rFonts w:hint="eastAsia" w:ascii="宋体" w:hAnsi="宋体" w:cs="宋体"/>
          <w:color w:val="auto"/>
          <w:kern w:val="0"/>
          <w:szCs w:val="21"/>
          <w:highlight w:val="none"/>
        </w:rPr>
        <w:t>合同一方当事人违背本合同的承诺，要求另一方当事人接受其对拟订立或正在履行的本合同条款修改后存在不公平的条款，另一方当事人不接受的，应及时提出修正意见。经再次催告修正无效的情况下，不利一方当事人有权拒绝订立或单方解除本合同；给对方当事人造成损失的，责任方应予赔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1260"/>
        </w:tabs>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tabs>
          <w:tab w:val="left" w:pos="1320"/>
        </w:tabs>
        <w:spacing w:line="360" w:lineRule="auto"/>
        <w:ind w:right="-15" w:rightChars="-7"/>
        <w:rPr>
          <w:rFonts w:ascii="宋体" w:hAnsi="宋体" w:cs="宋体"/>
          <w:b/>
          <w:color w:val="auto"/>
          <w:szCs w:val="21"/>
          <w:highlight w:val="none"/>
        </w:rPr>
      </w:pPr>
      <w:r>
        <w:rPr>
          <w:rFonts w:hint="eastAsia" w:ascii="宋体" w:hAnsi="宋体" w:cs="宋体"/>
          <w:b/>
          <w:color w:val="auto"/>
          <w:szCs w:val="21"/>
          <w:highlight w:val="none"/>
        </w:rPr>
        <w:t xml:space="preserve">4.1                         </w:t>
      </w:r>
    </w:p>
    <w:p>
      <w:pPr>
        <w:tabs>
          <w:tab w:val="left" w:pos="1620"/>
        </w:tabs>
        <w:spacing w:line="360" w:lineRule="auto"/>
        <w:ind w:left="1887" w:right="-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语言文字  </w:t>
      </w:r>
      <w:r>
        <w:rPr>
          <w:rFonts w:hint="eastAsia" w:ascii="宋体" w:hAnsi="宋体" w:cs="宋体"/>
          <w:color w:val="auto"/>
          <w:szCs w:val="21"/>
          <w:highlight w:val="none"/>
        </w:rPr>
        <w:t xml:space="preserve">      本合同所使用的语言文字为中文（汉语）。</w:t>
      </w:r>
    </w:p>
    <w:p>
      <w:pPr>
        <w:tabs>
          <w:tab w:val="left" w:pos="1620"/>
        </w:tabs>
        <w:spacing w:line="360" w:lineRule="auto"/>
        <w:ind w:left="1579" w:leftChars="752" w:right="-7" w:firstLine="102" w:firstLineChars="49"/>
        <w:rPr>
          <w:rFonts w:ascii="宋体" w:hAnsi="宋体" w:cs="宋体"/>
          <w:color w:val="auto"/>
          <w:szCs w:val="21"/>
          <w:highlight w:val="none"/>
        </w:rPr>
      </w:pPr>
      <w:r>
        <w:rPr>
          <w:rFonts w:hint="eastAsia" w:ascii="宋体" w:hAnsi="宋体" w:cs="宋体"/>
          <w:color w:val="auto"/>
          <w:szCs w:val="21"/>
          <w:highlight w:val="none"/>
        </w:rPr>
        <w:t>对于必须使用外文表达的专用术语等，应附有中文注释。</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7" w:leftChars="770" w:right="-7"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4256" behindDoc="0" locked="0" layoutInCell="1" allowOverlap="1">
                <wp:simplePos x="0" y="0"/>
                <wp:positionH relativeFrom="column">
                  <wp:posOffset>-114300</wp:posOffset>
                </wp:positionH>
                <wp:positionV relativeFrom="paragraph">
                  <wp:posOffset>38100</wp:posOffset>
                </wp:positionV>
                <wp:extent cx="1028700" cy="457200"/>
                <wp:effectExtent l="0" t="0" r="0" b="0"/>
                <wp:wrapNone/>
                <wp:docPr id="398" name="文本框 398"/>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rPr>
                                <w:rFonts w:ascii="楷体_GB2312"/>
                                <w:sz w:val="18"/>
                                <w:szCs w:val="18"/>
                              </w:rPr>
                            </w:pPr>
                            <w:r>
                              <w:rPr>
                                <w:rFonts w:hint="eastAsia" w:ascii="楷体_GB2312" w:hAnsi="宋体"/>
                                <w:b/>
                                <w:color w:val="000000"/>
                                <w:sz w:val="18"/>
                                <w:szCs w:val="18"/>
                              </w:rPr>
                              <w:t>适用法律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6pt;width:81pt;z-index:251744256;mso-width-relative:page;mso-height-relative:page;" filled="f" stroked="f" coordsize="21600,21600" o:gfxdata="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kcJrPUAAAACAEAAA8AAAAAAAAAAQAgAAAAIgAAAGRycy9kb3ducmV2&#10;LnhtbFBLAQIUABQAAAAIAIdO4kDx56f1AAIAANkDAAAOAAAAAAAAAAEAIAAAACMBAABkcnMvZTJv&#10;RG9jLnhtbFBLBQYAAAAABgAGAFkBAACVBQAAAAA=&#10;">
                <v:fill on="f" focussize="0,0"/>
                <v:stroke on="f"/>
                <v:imagedata o:title=""/>
                <o:lock v:ext="edit" aspectratio="f"/>
                <v:textbox>
                  <w:txbxContent>
                    <w:p>
                      <w:pPr>
                        <w:rPr>
                          <w:rFonts w:ascii="楷体_GB2312"/>
                          <w:sz w:val="18"/>
                          <w:szCs w:val="18"/>
                        </w:rPr>
                      </w:pPr>
                      <w:r>
                        <w:rPr>
                          <w:rFonts w:hint="eastAsia" w:ascii="楷体_GB2312" w:hAnsi="宋体"/>
                          <w:b/>
                          <w:color w:val="000000"/>
                          <w:sz w:val="18"/>
                          <w:szCs w:val="18"/>
                        </w:rPr>
                        <w:t>适用法律</w:t>
                      </w:r>
                    </w:p>
                  </w:txbxContent>
                </v:textbox>
              </v:shape>
            </w:pict>
          </mc:Fallback>
        </mc:AlternateContent>
      </w:r>
      <w:r>
        <w:rPr>
          <w:rFonts w:hint="eastAsia" w:ascii="宋体" w:hAnsi="宋体" w:cs="宋体"/>
          <w:color w:val="auto"/>
          <w:kern w:val="0"/>
          <w:szCs w:val="21"/>
          <w:highlight w:val="none"/>
        </w:rPr>
        <w:t>本合同适用的法律为中华人民共和国的现行法律、行政法规、部门规章和合同工程所在地的地方性法规、地方政府规章。</w:t>
      </w:r>
    </w:p>
    <w:p>
      <w:pPr>
        <w:tabs>
          <w:tab w:val="left" w:pos="1320"/>
        </w:tabs>
        <w:spacing w:line="360" w:lineRule="auto"/>
        <w:ind w:right="-7"/>
        <w:rPr>
          <w:rFonts w:ascii="宋体" w:hAnsi="宋体" w:cs="宋体"/>
          <w:b/>
          <w:color w:val="auto"/>
          <w:szCs w:val="21"/>
          <w:highlight w:val="none"/>
        </w:rPr>
      </w:pPr>
      <w:r>
        <w:rPr>
          <w:rFonts w:hint="eastAsia" w:ascii="宋体" w:hAnsi="宋体" w:cs="宋体"/>
          <w:b/>
          <w:color w:val="auto"/>
          <w:szCs w:val="21"/>
          <w:highlight w:val="none"/>
        </w:rPr>
        <w:t xml:space="preserve">4.3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19" w:leftChars="771" w:right="-7"/>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5280" behindDoc="0" locked="0" layoutInCell="1" allowOverlap="1">
                <wp:simplePos x="0" y="0"/>
                <wp:positionH relativeFrom="column">
                  <wp:posOffset>-114300</wp:posOffset>
                </wp:positionH>
                <wp:positionV relativeFrom="paragraph">
                  <wp:posOffset>0</wp:posOffset>
                </wp:positionV>
                <wp:extent cx="1028700" cy="441960"/>
                <wp:effectExtent l="0" t="0" r="0" b="0"/>
                <wp:wrapNone/>
                <wp:docPr id="397" name="文本框 397"/>
                <wp:cNvGraphicFramePr/>
                <a:graphic xmlns:a="http://schemas.openxmlformats.org/drawingml/2006/main">
                  <a:graphicData uri="http://schemas.microsoft.com/office/word/2010/wordprocessingShape">
                    <wps:wsp>
                      <wps:cNvSpPr txBox="1">
                        <a:spLocks noChangeArrowheads="1"/>
                      </wps:cNvSpPr>
                      <wps:spPr bwMode="auto">
                        <a:xfrm>
                          <a:off x="0" y="0"/>
                          <a:ext cx="1028700" cy="4419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8pt;width:81pt;z-index:251745280;mso-width-relative:page;mso-height-relative:page;" filled="f" stroked="f" coordsize="21600,21600" o:gfxdata="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IuO71QAAAAcBAAAPAAAAAAAAAAEAIAAAACIAAABkcnMvZG93&#10;bnJldi54bWxQSwECFAAUAAAACACHTuJA7YiVdwMCAADZAwAADgAAAAAAAAABACAAAAAk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适用标准与规</w:t>
                      </w:r>
                    </w:p>
                    <w:p>
                      <w:pPr>
                        <w:rPr>
                          <w:rFonts w:ascii="楷体_GB2312" w:hAnsi="宋体"/>
                          <w:b/>
                          <w:color w:val="000000"/>
                          <w:sz w:val="18"/>
                          <w:szCs w:val="18"/>
                        </w:rPr>
                      </w:pPr>
                      <w:r>
                        <w:rPr>
                          <w:rFonts w:hint="eastAsia" w:ascii="楷体_GB2312" w:hAnsi="宋体"/>
                          <w:b/>
                          <w:color w:val="000000"/>
                          <w:sz w:val="18"/>
                          <w:szCs w:val="18"/>
                        </w:rPr>
                        <w:t>范</w:t>
                      </w:r>
                    </w:p>
                  </w:txbxContent>
                </v:textbox>
              </v:shape>
            </w:pict>
          </mc:Fallback>
        </mc:AlternateContent>
      </w:r>
      <w:r>
        <w:rPr>
          <w:rFonts w:hint="eastAsia" w:ascii="宋体" w:hAnsi="宋体" w:cs="宋体"/>
          <w:color w:val="auto"/>
          <w:szCs w:val="21"/>
          <w:highlight w:val="none"/>
        </w:rPr>
        <w:t>本合同适用的标准与规范为国家、行业和广东省的标准与规范或规程，以及发包人在合同中要求使用的标准与规范。</w:t>
      </w:r>
    </w:p>
    <w:p>
      <w:pPr>
        <w:spacing w:line="360" w:lineRule="auto"/>
        <w:ind w:left="1619" w:leftChars="771" w:right="-7"/>
        <w:rPr>
          <w:rFonts w:ascii="宋体" w:hAnsi="宋体" w:cs="宋体"/>
          <w:color w:val="auto"/>
          <w:szCs w:val="21"/>
          <w:highlight w:val="none"/>
        </w:rPr>
      </w:pPr>
      <w:r>
        <w:rPr>
          <w:rFonts w:hint="eastAsia" w:ascii="宋体" w:hAnsi="宋体" w:cs="宋体"/>
          <w:color w:val="auto"/>
          <w:szCs w:val="21"/>
          <w:highlight w:val="none"/>
        </w:rPr>
        <w:t xml:space="preserve">合同双方当事人在专用条款中约定适用的国家标准、规范名称；国家没有但行业有的，约定适用的行业标准、规范名称；国家和行业没有但广东省有的，约定适用的广东省地方标准、规范名称。   </w:t>
      </w:r>
    </w:p>
    <w:p>
      <w:pPr>
        <w:spacing w:line="360" w:lineRule="auto"/>
        <w:ind w:left="1619" w:leftChars="771" w:right="-7" w:firstLine="1"/>
        <w:rPr>
          <w:rFonts w:ascii="宋体" w:hAnsi="宋体" w:cs="宋体"/>
          <w:color w:val="auto"/>
          <w:szCs w:val="21"/>
          <w:highlight w:val="none"/>
        </w:rPr>
      </w:pPr>
      <w:r>
        <w:rPr>
          <w:rFonts w:hint="eastAsia" w:ascii="宋体" w:hAnsi="宋体" w:cs="宋体"/>
          <w:color w:val="auto"/>
          <w:szCs w:val="21"/>
          <w:highlight w:val="none"/>
        </w:rPr>
        <w:t>国内没有适用的标准、规范的，由发包人在招标文件中或在承包人投标报价前提出施工技术要求，承包人在自主报价时按照要求提出施工工艺，经发包人确认后执行。发包人要求使用国外标准、规范的，应负责提供中文译本；有异议时，以中文译本为准。</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ind w:right="-6" w:firstLine="420" w:firstLineChars="200"/>
        <w:rPr>
          <w:rFonts w:ascii="宋体" w:hAnsi="宋体" w:cs="宋体"/>
          <w:color w:val="auto"/>
          <w:szCs w:val="21"/>
          <w:highlight w:val="none"/>
          <w:u w:val="singl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5  施工设计图纸</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5312" behindDoc="0" locked="0" layoutInCell="1" allowOverlap="1">
                <wp:simplePos x="0" y="0"/>
                <wp:positionH relativeFrom="column">
                  <wp:posOffset>-114300</wp:posOffset>
                </wp:positionH>
                <wp:positionV relativeFrom="paragraph">
                  <wp:posOffset>20320</wp:posOffset>
                </wp:positionV>
                <wp:extent cx="800100" cy="911860"/>
                <wp:effectExtent l="0" t="0" r="0" b="0"/>
                <wp:wrapNone/>
                <wp:docPr id="396" name="文本框 396"/>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图纸的提供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71.8pt;width:63pt;z-index:252045312;mso-width-relative:page;mso-height-relative:page;" filled="f" stroked="f" coordsize="21600,21600" o:gfxdata="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4LsWbWAAAACQEAAA8AAAAAAAAAAQAgAAAAIgAAAGRycy9kb3du&#10;cmV2LnhtbFBLAQIUABQAAAAIAIdO4kChwo6G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图纸的提供</w:t>
                      </w:r>
                    </w:p>
                  </w:txbxContent>
                </v:textbox>
              </v:shape>
            </w:pict>
          </mc:Fallback>
        </mc:AlternateContent>
      </w:r>
      <w:r>
        <w:rPr>
          <w:rFonts w:hint="eastAsia" w:ascii="宋体" w:hAnsi="宋体" w:cs="宋体"/>
          <w:color w:val="auto"/>
          <w:szCs w:val="21"/>
          <w:highlight w:val="none"/>
        </w:rPr>
        <w:t xml:space="preserve">发包人应按照专用条款约定的时间和数量，向承包人提供经已审批的施工设计图纸及其技术资料。如承包人需要增加数量的，发包人可代为办理，发生的费用由承包人承担。如发包人未能按时提供施工设计图纸造成工期延误的，按第36.3款规定处理。 </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5.2  </w:t>
      </w:r>
      <w:r>
        <w:rPr>
          <w:rFonts w:hint="eastAsia" w:ascii="宋体" w:hAnsi="宋体" w:cs="宋体"/>
          <w:b/>
          <w:color w:val="auto"/>
          <w:kern w:val="0"/>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1216" behindDoc="0" locked="0" layoutInCell="1" allowOverlap="1">
                <wp:simplePos x="0" y="0"/>
                <wp:positionH relativeFrom="column">
                  <wp:posOffset>-114300</wp:posOffset>
                </wp:positionH>
                <wp:positionV relativeFrom="paragraph">
                  <wp:posOffset>0</wp:posOffset>
                </wp:positionV>
                <wp:extent cx="800100" cy="911860"/>
                <wp:effectExtent l="0" t="0" r="0" b="0"/>
                <wp:wrapNone/>
                <wp:docPr id="395" name="文本框 395"/>
                <wp:cNvGraphicFramePr/>
                <a:graphic xmlns:a="http://schemas.openxmlformats.org/drawingml/2006/main">
                  <a:graphicData uri="http://schemas.microsoft.com/office/word/2010/wordprocessingShape">
                    <wps:wsp>
                      <wps:cNvSpPr txBox="1">
                        <a:spLocks noChangeArrowheads="1"/>
                      </wps:cNvSpPr>
                      <wps:spPr bwMode="auto">
                        <a:xfrm>
                          <a:off x="0" y="0"/>
                          <a:ext cx="800100" cy="9118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1.8pt;width:63pt;z-index:252041216;mso-width-relative:page;mso-height-relative:page;" filled="f" stroked="f" coordsize="21600,21600" o:gfxdata="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K+3Y1AAAAAgBAAAPAAAAAAAAAAEAIAAAACIAAABkcnMvZG93bnJl&#10;di54bWxQSwECFAAUAAAACACHTuJALaJWiw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承包人提供配合施工的图纸</w:t>
                      </w:r>
                    </w:p>
                  </w:txbxContent>
                </v:textbox>
              </v:shape>
            </w:pict>
          </mc:Fallback>
        </mc:AlternateContent>
      </w:r>
      <w:r>
        <w:rPr>
          <w:rFonts w:hint="eastAsia" w:ascii="宋体" w:hAnsi="宋体" w:cs="宋体"/>
          <w:color w:val="auto"/>
          <w:kern w:val="0"/>
          <w:szCs w:val="21"/>
          <w:highlight w:val="none"/>
        </w:rPr>
        <w:t>如果合同约定由承包人负责提供大样图、加工图等配合施工设计图纸的，承包人应在其设计资质等级许可的范围内，按照监理工程师的工作指令完成有关施工设计图纸。承包人应按照专用条款约定的时间和数量向监理工程师提交此类施工设计图纸，监理工程师应在专用条款约定的时间内报发包人批准后予以答复。即使经监理工程师同意，承包人仍应对其施工设计图纸负责。</w:t>
      </w:r>
    </w:p>
    <w:p>
      <w:pPr>
        <w:tabs>
          <w:tab w:val="left" w:pos="4970"/>
        </w:tabs>
        <w:spacing w:line="360" w:lineRule="auto"/>
        <w:rPr>
          <w:rFonts w:ascii="宋体" w:hAnsi="宋体" w:cs="宋体"/>
          <w:b/>
          <w:color w:val="auto"/>
          <w:szCs w:val="21"/>
          <w:highlight w:val="none"/>
        </w:rPr>
      </w:pP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3264"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4" name="文本框 394"/>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图纸的修改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3264;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zMikSQ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J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MzIpEkBAgAA2AMAAA4AAAAAAAAAAQAgAAAAJAEAAGRycy9l&#10;Mm9Eb2MueG1sUEsFBgAAAAAGAAYAWQEAAJcFA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图纸的修改</w:t>
                      </w:r>
                    </w:p>
                  </w:txbxContent>
                </v:textbox>
              </v:shape>
            </w:pict>
          </mc:Fallback>
        </mc:AlternateContent>
      </w:r>
      <w:r>
        <w:rPr>
          <w:rFonts w:hint="eastAsia" w:ascii="宋体" w:hAnsi="宋体" w:cs="宋体"/>
          <w:color w:val="auto"/>
          <w:szCs w:val="21"/>
          <w:highlight w:val="none"/>
        </w:rPr>
        <w:t>施工设计图纸需要修改和补充的，监理工程师应及时书面报告发包人。发包人收到书面报告后应及时通知设计人予以修改，并在合同工程或其相应部位施工前按照专用条款约定的时间和数量提供给承包人。承包人应按照发包人新提供的经设计人修改后的施工设计图纸施工。</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4288"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3" name="文本框 393"/>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4288;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FDWo1Y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图纸错漏的改正</w:t>
                      </w:r>
                    </w:p>
                  </w:txbxContent>
                </v:textbox>
              </v:shape>
            </w:pict>
          </mc:Fallback>
        </mc:AlternateContent>
      </w:r>
      <w:r>
        <w:rPr>
          <w:rFonts w:hint="eastAsia" w:ascii="宋体" w:hAnsi="宋体" w:cs="宋体"/>
          <w:color w:val="auto"/>
          <w:szCs w:val="21"/>
          <w:highlight w:val="none"/>
        </w:rPr>
        <w:t>承包人发现发包人提供的施工设计图纸存在明显错漏或疏忽，应及时书面通知发包人和监理工程师。发包人收到书面通知后应及时予以答复，并通知设计人予以改正。因发包人未及时答复等原因造成承包人损失的，发包人应予赔偿。</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5.5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2240" behindDoc="0" locked="0" layoutInCell="1" allowOverlap="1">
                <wp:simplePos x="0" y="0"/>
                <wp:positionH relativeFrom="column">
                  <wp:posOffset>-114300</wp:posOffset>
                </wp:positionH>
                <wp:positionV relativeFrom="paragraph">
                  <wp:posOffset>0</wp:posOffset>
                </wp:positionV>
                <wp:extent cx="914400" cy="648970"/>
                <wp:effectExtent l="0" t="0" r="0" b="0"/>
                <wp:wrapNone/>
                <wp:docPr id="392" name="文本框 392"/>
                <wp:cNvGraphicFramePr/>
                <a:graphic xmlns:a="http://schemas.openxmlformats.org/drawingml/2006/main">
                  <a:graphicData uri="http://schemas.microsoft.com/office/word/2010/wordprocessingShape">
                    <wps:wsp>
                      <wps:cNvSpPr txBox="1">
                        <a:spLocks noChangeArrowheads="1"/>
                      </wps:cNvSpPr>
                      <wps:spPr bwMode="auto">
                        <a:xfrm>
                          <a:off x="0" y="0"/>
                          <a:ext cx="914400" cy="6489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1.1pt;width:72pt;z-index:252042240;mso-width-relative:page;mso-height-relative:page;" filled="f" stroked="f" coordsize="21600,21600" o:gfxdata="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spnAdUAAAAIAQAADwAAAAAAAAABACAAAAAiAAAAZHJzL2Rvd25y&#10;ZXYueG1sUEsBAhQAFAAAAAgAh07iQNQJFFI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图纸的使用与退还</w:t>
                      </w:r>
                    </w:p>
                  </w:txbxContent>
                </v:textbox>
              </v:shape>
            </w:pict>
          </mc:Fallback>
        </mc:AlternateContent>
      </w:r>
      <w:r>
        <w:rPr>
          <w:rFonts w:hint="eastAsia" w:ascii="宋体" w:hAnsi="宋体" w:cs="宋体"/>
          <w:color w:val="auto"/>
          <w:szCs w:val="21"/>
          <w:highlight w:val="none"/>
        </w:rPr>
        <w:t>施工期间，承包人和监理工程师均应在施工现场保留一套完整的包括第5.1款、第5.2款、第5.3款规定内容的施工设计图纸供实施合同工程过程需要时使用。本合同终止后，除承包人存档需要的施工设计图纸外，承包人应将全部施工设计图纸退还给发包人。</w:t>
      </w:r>
    </w:p>
    <w:p>
      <w:pPr>
        <w:tabs>
          <w:tab w:val="left" w:pos="1620"/>
        </w:tabs>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6  通讯联络</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   </w:t>
      </w:r>
    </w:p>
    <w:p>
      <w:pPr>
        <w:tabs>
          <w:tab w:val="left" w:pos="1620"/>
        </w:tabs>
        <w:spacing w:line="360" w:lineRule="auto"/>
        <w:ind w:left="1887" w:hanging="1887" w:hangingChars="895"/>
        <w:rPr>
          <w:rFonts w:ascii="宋体" w:hAnsi="宋体" w:cs="宋体"/>
          <w:color w:val="auto"/>
          <w:szCs w:val="21"/>
          <w:highlight w:val="none"/>
        </w:rPr>
      </w:pPr>
      <w:r>
        <w:rPr>
          <w:rFonts w:hint="eastAsia" w:ascii="宋体" w:hAnsi="宋体" w:cs="宋体"/>
          <w:b/>
          <w:color w:val="auto"/>
          <w:szCs w:val="21"/>
          <w:highlight w:val="none"/>
        </w:rPr>
        <w:t xml:space="preserve">通讯形式          </w:t>
      </w:r>
      <w:r>
        <w:rPr>
          <w:rFonts w:hint="eastAsia" w:ascii="宋体" w:hAnsi="宋体" w:cs="宋体"/>
          <w:color w:val="auto"/>
          <w:szCs w:val="21"/>
          <w:highlight w:val="none"/>
        </w:rPr>
        <w:t>本合同中无论何处涉及到各方之间的申请、批准、确认、同意、决定、核实、通知、任命、指令、要求、意见、证明、证件或表示同意、否定等的通讯（含派人面交、邮寄、电子传输等），均应采用书面形式，且只有在对方当事人收到后方能生效。</w:t>
      </w:r>
    </w:p>
    <w:p>
      <w:pPr>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  </w:t>
      </w:r>
      <w:r>
        <w:rPr>
          <w:rFonts w:hint="eastAsia" w:ascii="宋体" w:hAnsi="宋体" w:cs="宋体"/>
          <w:b/>
          <w:color w:val="auto"/>
          <w:kern w:val="0"/>
          <w:szCs w:val="21"/>
          <w:highlight w:val="none"/>
          <w:u w:val="dotted"/>
        </w:rPr>
        <w:t xml:space="preserve">                                                                              </w:t>
      </w:r>
    </w:p>
    <w:p>
      <w:pPr>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6304" behindDoc="0" locked="0" layoutInCell="1" allowOverlap="1">
                <wp:simplePos x="0" y="0"/>
                <wp:positionH relativeFrom="column">
                  <wp:posOffset>-114300</wp:posOffset>
                </wp:positionH>
                <wp:positionV relativeFrom="paragraph">
                  <wp:posOffset>0</wp:posOffset>
                </wp:positionV>
                <wp:extent cx="800100" cy="297180"/>
                <wp:effectExtent l="0" t="0" r="0" b="0"/>
                <wp:wrapNone/>
                <wp:docPr id="391" name="文本框 391"/>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发送通讯</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3.4pt;width:63pt;z-index:251746304;mso-width-relative:page;mso-height-relative:page;" filled="f" stroked="f" coordsize="21600,21600" o:gfxdata="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9Pr1AAAAAcBAAAPAAAAAAAAAAEAIAAAACIAAABkcnMvZG93bnJl&#10;di54bWxQSwECFAAUAAAACACHTuJArkIzygECAADY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发送通讯</w:t>
                      </w:r>
                    </w:p>
                  </w:txbxContent>
                </v:textbox>
              </v:shape>
            </w:pict>
          </mc:Fallback>
        </mc:AlternateContent>
      </w:r>
      <w:r>
        <w:rPr>
          <w:rFonts w:hint="eastAsia" w:ascii="宋体" w:hAnsi="宋体" w:cs="宋体"/>
          <w:color w:val="auto"/>
          <w:kern w:val="0"/>
          <w:szCs w:val="21"/>
          <w:highlight w:val="none"/>
        </w:rPr>
        <w:t>合同中无论何处涉及到各方之间的通讯都不应无理扣压或拖延。合同双方当事人</w:t>
      </w:r>
    </w:p>
    <w:p>
      <w:pPr>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应在专用条款中约定各方通讯地址和收件人，并按照约定期限内送达指定地点和接收人。</w:t>
      </w:r>
    </w:p>
    <w:p>
      <w:pPr>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收件人应在通讯回执上签署姓名和时间。一方当事人拒绝签收另一方当事人通讯，另一方当事人以特快专递、挂号信等专用条款约定的方式将通讯送至通讯地址的，视为送达。</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1260"/>
        </w:tabs>
        <w:adjustRightInd w:val="0"/>
        <w:snapToGrid w:val="0"/>
        <w:spacing w:beforeLines="90" w:line="360" w:lineRule="auto"/>
        <w:rPr>
          <w:rFonts w:ascii="宋体" w:hAnsi="宋体" w:cs="宋体"/>
          <w:b/>
          <w:color w:val="auto"/>
          <w:szCs w:val="21"/>
          <w:highlight w:val="none"/>
        </w:rPr>
      </w:pPr>
      <w:r>
        <w:rPr>
          <w:rFonts w:hint="eastAsia" w:ascii="宋体" w:hAnsi="宋体" w:cs="宋体"/>
          <w:b/>
          <w:bCs/>
          <w:color w:val="auto"/>
          <w:szCs w:val="21"/>
          <w:highlight w:val="none"/>
        </w:rPr>
        <w:t>7  工程</w:t>
      </w:r>
      <w:r>
        <w:rPr>
          <w:rFonts w:hint="eastAsia" w:ascii="宋体" w:hAnsi="宋体" w:cs="宋体"/>
          <w:b/>
          <w:color w:val="auto"/>
          <w:szCs w:val="21"/>
          <w:highlight w:val="none"/>
        </w:rPr>
        <w:t>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8576" behindDoc="0" locked="0" layoutInCell="1" allowOverlap="1">
                <wp:simplePos x="0" y="0"/>
                <wp:positionH relativeFrom="column">
                  <wp:posOffset>-114300</wp:posOffset>
                </wp:positionH>
                <wp:positionV relativeFrom="paragraph">
                  <wp:posOffset>212090</wp:posOffset>
                </wp:positionV>
                <wp:extent cx="1028700" cy="450215"/>
                <wp:effectExtent l="0" t="0" r="0" b="0"/>
                <wp:wrapNone/>
                <wp:docPr id="390" name="文本框 390"/>
                <wp:cNvGraphicFramePr/>
                <a:graphic xmlns:a="http://schemas.openxmlformats.org/drawingml/2006/main">
                  <a:graphicData uri="http://schemas.microsoft.com/office/word/2010/wordprocessingShape">
                    <wps:wsp>
                      <wps:cNvSpPr txBox="1">
                        <a:spLocks noChangeArrowheads="1"/>
                      </wps:cNvSpPr>
                      <wps:spPr bwMode="auto">
                        <a:xfrm>
                          <a:off x="0" y="0"/>
                          <a:ext cx="1028700" cy="45021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7pt;height:35.45pt;width:81pt;z-index:251928576;mso-width-relative:page;mso-height-relative:page;" filled="f" stroked="f" coordsize="21600,21600" o:gfxdata="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nQ7VdcAAAAKAQAADwAAAAAAAAABACAAAAAiAAAAZHJzL2Rv&#10;d25yZXYueG1sUEsBAhQAFAAAAAgAh07iQGhukyA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分包工程的要</w:t>
                      </w:r>
                    </w:p>
                    <w:p>
                      <w:pPr>
                        <w:rPr>
                          <w:rFonts w:ascii="楷体_GB2312" w:hAnsi="宋体"/>
                          <w:b/>
                          <w:color w:val="000000"/>
                          <w:sz w:val="18"/>
                          <w:szCs w:val="18"/>
                        </w:rPr>
                      </w:pPr>
                      <w:r>
                        <w:rPr>
                          <w:rFonts w:hint="eastAsia" w:ascii="楷体_GB2312" w:hAnsi="宋体"/>
                          <w:b/>
                          <w:color w:val="000000"/>
                          <w:sz w:val="18"/>
                          <w:szCs w:val="18"/>
                        </w:rPr>
                        <w:t>求</w:t>
                      </w:r>
                    </w:p>
                  </w:txbxContent>
                </v:textbox>
              </v:shape>
            </w:pict>
          </mc:Fallback>
        </mc:AlternateContent>
      </w:r>
      <w:r>
        <w:rPr>
          <w:rFonts w:hint="eastAsia" w:ascii="宋体" w:hAnsi="宋体" w:cs="宋体"/>
          <w:b/>
          <w:color w:val="auto"/>
          <w:kern w:val="0"/>
          <w:szCs w:val="21"/>
          <w:highlight w:val="none"/>
        </w:rPr>
        <w:t xml:space="preserve">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承包人应自己实施、完成合同工程的主体结构。承包人不得将其承包的全部工程或将其肢解后以分包的名义转包给第三方，也不得将合同工程主体结构、关键性工作分包给第三方。</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7328" behindDoc="0" locked="0" layoutInCell="1" allowOverlap="1">
                <wp:simplePos x="0" y="0"/>
                <wp:positionH relativeFrom="column">
                  <wp:posOffset>-114300</wp:posOffset>
                </wp:positionH>
                <wp:positionV relativeFrom="paragraph">
                  <wp:posOffset>121920</wp:posOffset>
                </wp:positionV>
                <wp:extent cx="1028700" cy="787400"/>
                <wp:effectExtent l="0" t="0" r="0" b="0"/>
                <wp:wrapNone/>
                <wp:docPr id="389" name="文本框 389"/>
                <wp:cNvGraphicFramePr/>
                <a:graphic xmlns:a="http://schemas.openxmlformats.org/drawingml/2006/main">
                  <a:graphicData uri="http://schemas.microsoft.com/office/word/2010/wordprocessingShape">
                    <wps:wsp>
                      <wps:cNvSpPr txBox="1">
                        <a:spLocks noChangeArrowheads="1"/>
                      </wps:cNvSpPr>
                      <wps:spPr bwMode="auto">
                        <a:xfrm>
                          <a:off x="0" y="0"/>
                          <a:ext cx="1028700" cy="787400"/>
                        </a:xfrm>
                        <a:prstGeom prst="rect">
                          <a:avLst/>
                        </a:prstGeom>
                        <a:noFill/>
                        <a:ln>
                          <a:noFill/>
                        </a:ln>
                        <a:effectLst/>
                      </wps:spPr>
                      <wps:txb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9.6pt;height:62pt;width:81pt;z-index:251747328;mso-width-relative:page;mso-height-relative:page;" filled="f" stroked="f" coordsize="21600,21600" o:gfxdata="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M4tS/XAAAACgEAAA8AAAAAAAAAAQAgAAAAIgAAAGRycy9kb3du&#10;cmV2LnhtbFBLAQIUABQAAAAIAIdO4kDYX5aLAAIAANk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p>
                    <w:p>
                      <w:pPr>
                        <w:rPr>
                          <w:rFonts w:ascii="楷体_GB2312" w:hAnsi="宋体"/>
                          <w:b/>
                          <w:color w:val="000000"/>
                          <w:sz w:val="18"/>
                          <w:szCs w:val="18"/>
                        </w:rPr>
                      </w:pPr>
                      <w:r>
                        <w:rPr>
                          <w:rFonts w:hint="eastAsia" w:ascii="楷体_GB2312" w:hAnsi="宋体"/>
                          <w:b/>
                          <w:color w:val="000000"/>
                          <w:sz w:val="18"/>
                          <w:szCs w:val="18"/>
                        </w:rPr>
                        <w:t>分包工程的批</w:t>
                      </w:r>
                    </w:p>
                    <w:p>
                      <w:pPr>
                        <w:rPr>
                          <w:rFonts w:ascii="楷体_GB2312" w:hAnsi="宋体"/>
                          <w:b/>
                          <w:color w:val="000000"/>
                          <w:sz w:val="18"/>
                          <w:szCs w:val="18"/>
                        </w:rPr>
                      </w:pPr>
                      <w:r>
                        <w:rPr>
                          <w:rFonts w:hint="eastAsia" w:ascii="楷体_GB2312" w:hAnsi="宋体"/>
                          <w:b/>
                          <w:color w:val="000000"/>
                          <w:sz w:val="18"/>
                          <w:szCs w:val="18"/>
                        </w:rPr>
                        <w:t>准</w:t>
                      </w:r>
                    </w:p>
                  </w:txbxContent>
                </v:textbox>
              </v:shape>
            </w:pict>
          </mc:Fallback>
        </mc:AlternateContent>
      </w:r>
      <w:r>
        <w:rPr>
          <w:rFonts w:hint="eastAsia" w:ascii="宋体" w:hAnsi="宋体" w:cs="宋体"/>
          <w:b/>
          <w:color w:val="auto"/>
          <w:kern w:val="0"/>
          <w:szCs w:val="21"/>
          <w:highlight w:val="none"/>
        </w:rPr>
        <w:t xml:space="preserve">7.2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承包人可依法将部分工程分包给具有相应分包资质的分包人，但未经发包人同意，承包人不得将工程的任何部分或任何工作分包给第三方。下列情况则属例外：</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施工劳务作业分包；</w:t>
      </w:r>
    </w:p>
    <w:p>
      <w:pPr>
        <w:numPr>
          <w:ilvl w:val="0"/>
          <w:numId w:val="9"/>
        </w:numPr>
        <w:adjustRightInd w:val="0"/>
        <w:snapToGrid w:val="0"/>
        <w:spacing w:line="360" w:lineRule="auto"/>
        <w:ind w:firstLine="540"/>
        <w:rPr>
          <w:rFonts w:ascii="宋体" w:hAnsi="宋体" w:cs="宋体"/>
          <w:color w:val="auto"/>
          <w:kern w:val="0"/>
          <w:szCs w:val="21"/>
          <w:highlight w:val="none"/>
        </w:rPr>
      </w:pPr>
      <w:r>
        <w:rPr>
          <w:rFonts w:hint="eastAsia" w:ascii="宋体" w:hAnsi="宋体" w:cs="宋体"/>
          <w:color w:val="auto"/>
          <w:kern w:val="0"/>
          <w:szCs w:val="21"/>
          <w:highlight w:val="none"/>
        </w:rPr>
        <w:t>按照合同约定的标准购买材料和工程设备；</w:t>
      </w:r>
    </w:p>
    <w:p>
      <w:pPr>
        <w:numPr>
          <w:ilvl w:val="0"/>
          <w:numId w:val="9"/>
        </w:numPr>
        <w:adjustRightInd w:val="0"/>
        <w:snapToGrid w:val="0"/>
        <w:spacing w:line="360" w:lineRule="auto"/>
        <w:ind w:left="1077" w:firstLine="539"/>
        <w:rPr>
          <w:rFonts w:ascii="宋体" w:hAnsi="宋体" w:cs="宋体"/>
          <w:color w:val="auto"/>
          <w:kern w:val="0"/>
          <w:szCs w:val="21"/>
          <w:highlight w:val="none"/>
        </w:rPr>
      </w:pPr>
      <w:r>
        <w:rPr>
          <w:rFonts w:hint="eastAsia" w:ascii="宋体" w:hAnsi="宋体" w:cs="宋体"/>
          <w:color w:val="auto"/>
          <w:kern w:val="0"/>
          <w:szCs w:val="21"/>
          <w:highlight w:val="none"/>
        </w:rPr>
        <w:t>合同中已指定的分包工程。</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8352" behindDoc="0" locked="0" layoutInCell="1" allowOverlap="1">
                <wp:simplePos x="0" y="0"/>
                <wp:positionH relativeFrom="column">
                  <wp:posOffset>-114300</wp:posOffset>
                </wp:positionH>
                <wp:positionV relativeFrom="paragraph">
                  <wp:posOffset>0</wp:posOffset>
                </wp:positionV>
                <wp:extent cx="1028700" cy="305435"/>
                <wp:effectExtent l="0" t="0" r="0" b="0"/>
                <wp:wrapNone/>
                <wp:docPr id="388" name="文本框 388"/>
                <wp:cNvGraphicFramePr/>
                <a:graphic xmlns:a="http://schemas.openxmlformats.org/drawingml/2006/main">
                  <a:graphicData uri="http://schemas.microsoft.com/office/word/2010/wordprocessingShape">
                    <wps:wsp>
                      <wps:cNvSpPr txBox="1">
                        <a:spLocks noChangeArrowheads="1"/>
                      </wps:cNvSpPr>
                      <wps:spPr bwMode="auto">
                        <a:xfrm>
                          <a:off x="0" y="0"/>
                          <a:ext cx="1028700" cy="3054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签订分包合同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4.05pt;width:81pt;z-index:251748352;mso-width-relative:page;mso-height-relative:page;" filled="f" stroked="f" coordsize="21600,21600" o:gfxdata="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Ik35w1AAAAAcBAAAPAAAAAAAAAAEAIAAAACIAAABkcnMvZG93bnJl&#10;di54bWxQSwECFAAUAAAACACHTuJAsFSaXAECAADZAwAADgAAAAAAAAABACAAAAAj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签订分包合同</w:t>
                      </w:r>
                    </w:p>
                  </w:txbxContent>
                </v:textbox>
              </v:shape>
            </w:pict>
          </mc:Fallback>
        </mc:AlternateContent>
      </w:r>
      <w:r>
        <w:rPr>
          <w:rFonts w:hint="eastAsia" w:ascii="宋体" w:hAnsi="宋体" w:cs="宋体"/>
          <w:color w:val="auto"/>
          <w:kern w:val="0"/>
          <w:szCs w:val="21"/>
          <w:highlight w:val="none"/>
        </w:rPr>
        <w:t>承包人分包工程的，应与分包人签订分包合同，并在分包合同签订后的7天内向发包人和监理工程师、造价工程师各提交一份分包合同。承包人有义务禁止分包人将分包工程再次分包。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8624" behindDoc="0" locked="0" layoutInCell="1" allowOverlap="1">
                <wp:simplePos x="0" y="0"/>
                <wp:positionH relativeFrom="column">
                  <wp:posOffset>-114300</wp:posOffset>
                </wp:positionH>
                <wp:positionV relativeFrom="paragraph">
                  <wp:posOffset>202565</wp:posOffset>
                </wp:positionV>
                <wp:extent cx="914400" cy="495300"/>
                <wp:effectExtent l="0" t="0" r="0" b="0"/>
                <wp:wrapNone/>
                <wp:docPr id="387" name="文本框 38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9pt;width:72pt;z-index:252058624;mso-width-relative:page;mso-height-relative:page;" filled="f" stroked="f" coordsize="21600,21600" o:gfxdata="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IBXI9cAAAAKAQAADwAAAAAAAAABACAAAAAiAAAAZHJzL2Rvd25y&#10;ZXYueG1sUEsBAhQAFAAAAAgAh07iQPhIar7/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分包工程款结算与支付</w:t>
                      </w:r>
                    </w:p>
                  </w:txbxContent>
                </v:textbox>
              </v:shape>
            </w:pict>
          </mc:Fallback>
        </mc:AlternateContent>
      </w:r>
      <w:r>
        <w:rPr>
          <w:rFonts w:hint="eastAsia" w:ascii="宋体" w:hAnsi="宋体" w:cs="宋体"/>
          <w:b/>
          <w:color w:val="auto"/>
          <w:kern w:val="0"/>
          <w:szCs w:val="21"/>
          <w:highlight w:val="none"/>
        </w:rPr>
        <w:t xml:space="preserve">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分包工程款由承包人与分包人结算。除合同另有约定或取得承包人的同意外，发包人应将分包工程款按专用条款约定的支付方式全部支付给承包人，禁止发包人直接向分包人支付任何工程款。</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如发包人有要求时，承包人应提供能证明自己已向分包人支付其分包工程款等证明资料。否则，发包人有权直接向分包人支付承包人应支付而未支付的分包工程款，并在承包人得到的工程款中扣除。</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49376" behindDoc="0" locked="0" layoutInCell="1" allowOverlap="1">
                <wp:simplePos x="0" y="0"/>
                <wp:positionH relativeFrom="column">
                  <wp:posOffset>-114300</wp:posOffset>
                </wp:positionH>
                <wp:positionV relativeFrom="paragraph">
                  <wp:posOffset>205105</wp:posOffset>
                </wp:positionV>
                <wp:extent cx="914400" cy="495300"/>
                <wp:effectExtent l="0" t="0" r="0" b="0"/>
                <wp:wrapNone/>
                <wp:docPr id="386" name="文本框 38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分包工程责任和义务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15pt;height:39pt;width:72pt;z-index:251749376;mso-width-relative:page;mso-height-relative:page;" filled="f" stroked="f" coordsize="21600,21600" o:gfxdata="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HD7ctcAAAAKAQAADwAAAAAAAAABACAAAAAiAAAAZHJzL2Rvd25y&#10;ZXYueG1sUEsBAhQAFAAAAAgAh07iQHyX3br/AQAA2AMAAA4AAAAAAAAAAQAgAAAAJgEAAGRycy9l&#10;Mm9Eb2MueG1sUEsFBgAAAAAGAAYAWQEAAJcFA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分包工程责任和义务</w:t>
                      </w:r>
                    </w:p>
                  </w:txbxContent>
                </v:textbox>
              </v:shape>
            </w:pict>
          </mc:Fallback>
        </mc:AlternateContent>
      </w:r>
      <w:r>
        <w:rPr>
          <w:rFonts w:hint="eastAsia" w:ascii="宋体" w:hAnsi="宋体" w:cs="宋体"/>
          <w:b/>
          <w:color w:val="auto"/>
          <w:kern w:val="0"/>
          <w:szCs w:val="21"/>
          <w:highlight w:val="none"/>
        </w:rPr>
        <w:t xml:space="preserve">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工程分包不能免除承包人应承担的任何责任和应履行的任何义务。承包人应在分包场地派驻相应管理人员保证本合同的履行。</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分包人应对分包工程负责。分包人的任何违约行为或疏忽导致工程损坏、损害或给发包人造成损失的，承包人应承担连带责任。</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0400" behindDoc="0" locked="0" layoutInCell="1" allowOverlap="1">
                <wp:simplePos x="0" y="0"/>
                <wp:positionH relativeFrom="column">
                  <wp:posOffset>-114300</wp:posOffset>
                </wp:positionH>
                <wp:positionV relativeFrom="paragraph">
                  <wp:posOffset>229235</wp:posOffset>
                </wp:positionV>
                <wp:extent cx="914400" cy="280035"/>
                <wp:effectExtent l="0" t="0" r="0" b="0"/>
                <wp:wrapNone/>
                <wp:docPr id="385" name="文本框 385"/>
                <wp:cNvGraphicFramePr/>
                <a:graphic xmlns:a="http://schemas.openxmlformats.org/drawingml/2006/main">
                  <a:graphicData uri="http://schemas.microsoft.com/office/word/2010/wordprocessingShape">
                    <wps:wsp>
                      <wps:cNvSpPr txBox="1">
                        <a:spLocks noChangeArrowheads="1"/>
                      </wps:cNvSpPr>
                      <wps:spPr bwMode="auto">
                        <a:xfrm>
                          <a:off x="0" y="0"/>
                          <a:ext cx="914400" cy="2800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分包合同终止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22.05pt;width:72pt;z-index:251750400;mso-width-relative:page;mso-height-relative:page;" filled="f" stroked="f" coordsize="21600,21600" o:gfxdata="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McytYAAAAJAQAADwAAAAAAAAABACAAAAAiAAAAZHJzL2Rvd25y&#10;ZXYueG1sUEsBAhQAFAAAAAgAh07iQPG4nO0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分包合同终止</w:t>
                      </w:r>
                    </w:p>
                  </w:txbxContent>
                </v:textbox>
              </v:shape>
            </w:pict>
          </mc:Fallback>
        </mc:AlternateContent>
      </w:r>
      <w:r>
        <w:rPr>
          <w:rFonts w:hint="eastAsia" w:ascii="宋体" w:hAnsi="宋体" w:cs="宋体"/>
          <w:b/>
          <w:color w:val="auto"/>
          <w:kern w:val="0"/>
          <w:szCs w:val="21"/>
          <w:highlight w:val="none"/>
        </w:rPr>
        <w:t xml:space="preserve">7.6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无论何种原因，当本合同终止时，分包人与承包人签订的分包合同也随即终止。承包人应在本合同终止前向分包人支付分包人应得所有款项。</w:t>
      </w:r>
    </w:p>
    <w:p>
      <w:pPr>
        <w:tabs>
          <w:tab w:val="left" w:pos="1260"/>
        </w:tabs>
        <w:adjustRightInd w:val="0"/>
        <w:snapToGrid w:val="0"/>
        <w:spacing w:beforeLines="50"/>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602"/>
        <w:rPr>
          <w:rFonts w:ascii="宋体" w:hAnsi="宋体" w:cs="宋体"/>
          <w:b/>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  现场查勘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1424" behindDoc="0" locked="0" layoutInCell="1" allowOverlap="1">
                <wp:simplePos x="0" y="0"/>
                <wp:positionH relativeFrom="column">
                  <wp:posOffset>-114300</wp:posOffset>
                </wp:positionH>
                <wp:positionV relativeFrom="paragraph">
                  <wp:posOffset>236855</wp:posOffset>
                </wp:positionV>
                <wp:extent cx="914400" cy="495300"/>
                <wp:effectExtent l="0" t="0" r="0" b="0"/>
                <wp:wrapNone/>
                <wp:docPr id="384" name="文本框 384"/>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9pt;width:72pt;z-index:251751424;mso-width-relative:page;mso-height-relative:page;" filled="f" stroked="f" coordsize="21600,21600" o:gfxdata="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agSY/YAAAACgEAAA8AAAAAAAAAAQAgAAAAIgAAAGRycy9kb3du&#10;cmV2LnhtbFBLAQIUABQAAAAIAIdO4kB0KLKz/wEAANgDAAAOAAAAAAAAAAEAIAAAACcBAABkcnMv&#10;ZTJvRG9jLnhtbFBLBQYAAAAABgAGAFkBAACYBQ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发包人提供资料的责任</w:t>
                      </w:r>
                    </w:p>
                  </w:txbxContent>
                </v:textbox>
              </v:shape>
            </w:pict>
          </mc:Fallback>
        </mc:AlternateContent>
      </w:r>
      <w:r>
        <w:rPr>
          <w:rFonts w:hint="eastAsia" w:ascii="宋体" w:hAnsi="宋体" w:cs="宋体"/>
          <w:b/>
          <w:color w:val="auto"/>
          <w:kern w:val="0"/>
          <w:szCs w:val="21"/>
          <w:highlight w:val="none"/>
        </w:rPr>
        <w:t xml:space="preserve">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第19.2款第（4）点规定向承包人提供有关资料。此资料作为招标文件的组成部分，与招标文件一并发布。发包人对其提供的上述资料的真实性、准确性和完整性负责。因发包人提供上述资料错误导致承包人发生损失的，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2448" behindDoc="0" locked="0" layoutInCell="1" allowOverlap="1">
                <wp:simplePos x="0" y="0"/>
                <wp:positionH relativeFrom="column">
                  <wp:posOffset>-114300</wp:posOffset>
                </wp:positionH>
                <wp:positionV relativeFrom="paragraph">
                  <wp:posOffset>0</wp:posOffset>
                </wp:positionV>
                <wp:extent cx="914400" cy="500380"/>
                <wp:effectExtent l="0" t="0" r="0" b="0"/>
                <wp:wrapNone/>
                <wp:docPr id="383" name="文本框 383"/>
                <wp:cNvGraphicFramePr/>
                <a:graphic xmlns:a="http://schemas.openxmlformats.org/drawingml/2006/main">
                  <a:graphicData uri="http://schemas.microsoft.com/office/word/2010/wordprocessingShape">
                    <wps:wsp>
                      <wps:cNvSpPr txBox="1">
                        <a:spLocks noChangeArrowheads="1"/>
                      </wps:cNvSpPr>
                      <wps:spPr bwMode="auto">
                        <a:xfrm>
                          <a:off x="0" y="0"/>
                          <a:ext cx="914400" cy="5003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承包人现场查勘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4pt;width:72pt;z-index:251752448;mso-width-relative:page;mso-height-relative:page;" filled="f" stroked="f" coordsize="21600,21600" o:gfxdata="UEsDBAoAAAAAAIdO4kAAAAAAAAAAAAAAAAAEAAAAZHJzL1BLAwQUAAAACACHTuJAFaYpR9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WmKUfUAAAABwEAAA8AAAAAAAAAAQAgAAAAIgAAAGRycy9kb3ducmV2&#10;LnhtbFBLAQIUABQAAAAIAIdO4kDKZ8s5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承包人现场查勘</w:t>
                      </w:r>
                    </w:p>
                  </w:txbxContent>
                </v:textbox>
              </v:shape>
            </w:pict>
          </mc:Fallback>
        </mc:AlternateContent>
      </w:r>
      <w:r>
        <w:rPr>
          <w:rFonts w:hint="eastAsia" w:ascii="宋体" w:hAnsi="宋体" w:cs="宋体"/>
          <w:color w:val="auto"/>
          <w:kern w:val="0"/>
          <w:szCs w:val="21"/>
          <w:highlight w:val="none"/>
        </w:rPr>
        <w:t>承包人应依据发包人按照第19.2款第（4）点规定提供的资料和自己对现场查勘来编制响应文件，并对发包人提供上述资料的理解、推断和应用负责。承包人的响应文件应被认为已经考虑了现场及其周围环境的影响，包括但不限于以下内容：</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现场地质情况及地形地貌特征；</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水文和气候条件；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为实施、完成并保修合同工程所需的临时工程和措施项目；</w:t>
      </w:r>
    </w:p>
    <w:p>
      <w:pPr>
        <w:numPr>
          <w:ilvl w:val="0"/>
          <w:numId w:val="10"/>
        </w:numPr>
        <w:tabs>
          <w:tab w:val="left" w:pos="1080"/>
          <w:tab w:val="left" w:pos="12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为实施、完成并保修合同工程所需的材料采购和加工、设备的采购，及所需的施工设备、周转性材料、人员和管理等；</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场地内外的交通情况及水、电、食宿供应条件；</w:t>
      </w:r>
    </w:p>
    <w:p>
      <w:pPr>
        <w:numPr>
          <w:ilvl w:val="0"/>
          <w:numId w:val="10"/>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可能对投标报价有影响或起作用的其他情况。</w:t>
      </w:r>
    </w:p>
    <w:p>
      <w:pPr>
        <w:adjustRightInd w:val="0"/>
        <w:snapToGrid w:val="0"/>
        <w:ind w:right="-238"/>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ind w:right="-238"/>
        <w:rPr>
          <w:rFonts w:ascii="宋体" w:hAnsi="宋体" w:cs="宋体"/>
          <w:b/>
          <w:color w:val="auto"/>
          <w:kern w:val="0"/>
          <w:szCs w:val="21"/>
          <w:highlight w:val="none"/>
        </w:rPr>
      </w:pPr>
      <w:r>
        <w:rPr>
          <w:rFonts w:hint="eastAsia" w:ascii="宋体" w:hAnsi="宋体" w:cs="宋体"/>
          <w:b/>
          <w:color w:val="auto"/>
          <w:kern w:val="0"/>
          <w:szCs w:val="21"/>
          <w:highlight w:val="none"/>
        </w:rPr>
        <w:t>9  招标错失的修正</w:t>
      </w:r>
    </w:p>
    <w:p>
      <w:pPr>
        <w:adjustRightInd w:val="0"/>
        <w:snapToGrid w:val="0"/>
        <w:spacing w:beforeLines="100"/>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6288" behindDoc="0" locked="0" layoutInCell="1" allowOverlap="1">
                <wp:simplePos x="0" y="0"/>
                <wp:positionH relativeFrom="column">
                  <wp:posOffset>-60960</wp:posOffset>
                </wp:positionH>
                <wp:positionV relativeFrom="paragraph">
                  <wp:posOffset>398145</wp:posOffset>
                </wp:positionV>
                <wp:extent cx="914400" cy="792480"/>
                <wp:effectExtent l="0" t="0" r="0" b="0"/>
                <wp:wrapNone/>
                <wp:docPr id="382" name="文本框 38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8pt;margin-top:31.35pt;height:62.4pt;width:72pt;z-index:251916288;mso-width-relative:page;mso-height-relative:page;" filled="f" stroked="f" coordsize="21600,21600" o:gfxdata="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XDqoDXAAAACQEAAA8AAAAAAAAAAQAgAAAAIgAAAGRycy9kb3du&#10;cmV2LnhtbFBLAQIUABQAAAAIAIdO4kAKdO2QAAIAANgDAAAOAAAAAAAAAAEAIAAAACYBAABkcnMv&#10;ZTJvRG9jLnhtbFBLBQYAAAAABgAGAFkBAACYBQ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合同条款及格式完备性和义务</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9.1  </w:t>
      </w:r>
    </w:p>
    <w:p>
      <w:pPr>
        <w:tabs>
          <w:tab w:val="left" w:pos="1980"/>
        </w:tabs>
        <w:spacing w:beforeLines="80" w:line="360" w:lineRule="auto"/>
        <w:ind w:left="1622"/>
        <w:rPr>
          <w:rFonts w:ascii="宋体" w:hAnsi="宋体" w:cs="宋体"/>
          <w:color w:val="auto"/>
          <w:kern w:val="0"/>
          <w:szCs w:val="21"/>
          <w:highlight w:val="none"/>
        </w:rPr>
      </w:pPr>
      <w:r>
        <w:rPr>
          <w:rFonts w:hint="eastAsia" w:ascii="宋体" w:hAnsi="宋体" w:cs="宋体"/>
          <w:color w:val="auto"/>
          <w:kern w:val="0"/>
          <w:szCs w:val="21"/>
          <w:highlight w:val="none"/>
        </w:rPr>
        <w:t>发包人招标文件中的合同条款及格式，应被认为是正确的和公平的，并已包括了发包人履行本合同的全部义务，包括但不限于以下内容：</w:t>
      </w:r>
    </w:p>
    <w:p>
      <w:pPr>
        <w:tabs>
          <w:tab w:val="left" w:pos="2160"/>
        </w:tabs>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（1）支付工程款及其他应付款项的义务；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（2）完成本合同第19.2款约定工作的义务；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（3）修正不正确合同条款及格式的义务；</w:t>
      </w:r>
    </w:p>
    <w:p>
      <w:pPr>
        <w:tabs>
          <w:tab w:val="left" w:pos="2160"/>
        </w:tabs>
        <w:spacing w:line="360" w:lineRule="auto"/>
        <w:ind w:left="-61" w:leftChars="-29"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（4）澄清并改正被认定有失公平的合同条款的义务；</w:t>
      </w:r>
    </w:p>
    <w:p>
      <w:pPr>
        <w:tabs>
          <w:tab w:val="left" w:pos="2160"/>
        </w:tabs>
        <w:spacing w:line="360" w:lineRule="auto"/>
        <w:ind w:left="-61" w:leftChars="-29" w:firstLine="1470" w:firstLineChars="700"/>
        <w:rPr>
          <w:rFonts w:ascii="宋体" w:hAnsi="宋体" w:cs="宋体"/>
          <w:b/>
          <w:color w:val="auto"/>
          <w:kern w:val="0"/>
          <w:szCs w:val="21"/>
          <w:highlight w:val="none"/>
        </w:rPr>
      </w:pPr>
      <w:r>
        <w:rPr>
          <w:rFonts w:hint="eastAsia" w:ascii="宋体" w:hAnsi="宋体" w:cs="宋体"/>
          <w:color w:val="auto"/>
          <w:kern w:val="0"/>
          <w:szCs w:val="21"/>
          <w:highlight w:val="none"/>
        </w:rPr>
        <w:t>（5）协助承包人实施、完成并保修合同工程的义务。</w:t>
      </w:r>
    </w:p>
    <w:p>
      <w:pPr>
        <w:tabs>
          <w:tab w:val="left" w:pos="2160"/>
        </w:tabs>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7312" behindDoc="0" locked="0" layoutInCell="1" allowOverlap="1">
                <wp:simplePos x="0" y="0"/>
                <wp:positionH relativeFrom="column">
                  <wp:posOffset>45085</wp:posOffset>
                </wp:positionH>
                <wp:positionV relativeFrom="paragraph">
                  <wp:posOffset>187325</wp:posOffset>
                </wp:positionV>
                <wp:extent cx="914400" cy="829310"/>
                <wp:effectExtent l="0" t="0" r="0" b="0"/>
                <wp:wrapNone/>
                <wp:docPr id="381" name="文本框 381"/>
                <wp:cNvGraphicFramePr/>
                <a:graphic xmlns:a="http://schemas.openxmlformats.org/drawingml/2006/main">
                  <a:graphicData uri="http://schemas.microsoft.com/office/word/2010/wordprocessingShape">
                    <wps:wsp>
                      <wps:cNvSpPr txBox="1">
                        <a:spLocks noChangeArrowheads="1"/>
                      </wps:cNvSpPr>
                      <wps:spPr bwMode="auto">
                        <a:xfrm>
                          <a:off x="0" y="0"/>
                          <a:ext cx="914400" cy="829310"/>
                        </a:xfrm>
                        <a:prstGeom prst="rect">
                          <a:avLst/>
                        </a:prstGeom>
                        <a:noFill/>
                        <a:ln>
                          <a:noFill/>
                        </a:ln>
                        <a:effectLst/>
                      </wps:spPr>
                      <wps:txb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5pt;margin-top:14.75pt;height:65.3pt;width:72pt;z-index:251917312;mso-width-relative:page;mso-height-relative:page;" filled="f" stroked="f" coordsize="21600,21600" o:gfxdata="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7jO2t1QAAAAgBAAAPAAAAAAAAAAEAIAAAACIAAABkcnMvZG93bnJl&#10;di54bWxQSwECFAAUAAAACACHTuJAsppLiwACAADYAwAADgAAAAAAAAABACAAAAAkAQAAZHJzL2Uy&#10;b0RvYy54bWxQSwUGAAAAAAYABgBZAQAAlgUAAAAA&#10;">
                <v:fill on="f" focussize="0,0"/>
                <v:stroke on="f"/>
                <v:imagedata o:title=""/>
                <o:lock v:ext="edit" aspectratio="f"/>
                <v:textbox>
                  <w:txbxContent>
                    <w:p>
                      <w:pPr>
                        <w:pStyle w:val="46"/>
                        <w:tabs>
                          <w:tab w:val="left" w:pos="2160"/>
                        </w:tabs>
                        <w:spacing w:beforeLines="80"/>
                        <w:rPr>
                          <w:rFonts w:ascii="楷体_GB2312" w:hAnsi="宋体"/>
                          <w:color w:val="FF00FF"/>
                          <w:sz w:val="24"/>
                          <w:szCs w:val="18"/>
                        </w:rPr>
                      </w:pPr>
                      <w:r>
                        <w:rPr>
                          <w:rFonts w:hint="eastAsia" w:ascii="楷体_GB2312" w:hAnsi="宋体"/>
                          <w:b/>
                          <w:color w:val="000000"/>
                          <w:sz w:val="18"/>
                          <w:szCs w:val="18"/>
                        </w:rPr>
                        <w:t>工程量清单准确性和修正</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9.2  </w:t>
      </w:r>
      <w:r>
        <w:rPr>
          <w:rFonts w:hint="eastAsia" w:ascii="宋体" w:hAnsi="宋体" w:cs="宋体"/>
          <w:b/>
          <w:color w:val="auto"/>
          <w:kern w:val="0"/>
          <w:szCs w:val="21"/>
          <w:highlight w:val="none"/>
          <w:u w:val="dotted"/>
        </w:rPr>
        <w:t xml:space="preserve">                                                                               </w:t>
      </w:r>
    </w:p>
    <w:p>
      <w:pPr>
        <w:tabs>
          <w:tab w:val="left" w:pos="2160"/>
        </w:tabs>
        <w:spacing w:line="360" w:lineRule="auto"/>
        <w:ind w:left="1791" w:leftChars="828" w:hanging="52" w:hangingChars="25"/>
        <w:rPr>
          <w:rFonts w:ascii="宋体" w:hAnsi="宋体" w:cs="宋体"/>
          <w:color w:val="auto"/>
          <w:kern w:val="0"/>
          <w:szCs w:val="21"/>
          <w:highlight w:val="none"/>
        </w:rPr>
      </w:pPr>
      <w:r>
        <w:rPr>
          <w:rFonts w:hint="eastAsia" w:ascii="宋体" w:hAnsi="宋体" w:cs="宋体"/>
          <w:color w:val="auto"/>
          <w:kern w:val="0"/>
          <w:szCs w:val="21"/>
          <w:highlight w:val="none"/>
        </w:rPr>
        <w:t>发包人招标文件提供的工程量清单及其招标控制价等资料，应被认为是准确的和完整的。当出现下列情形之一的，发包人应及时予以修正，并相应调整合同价款：</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（1）施工设计图纸发生变化的；</w:t>
      </w:r>
    </w:p>
    <w:p>
      <w:pPr>
        <w:tabs>
          <w:tab w:val="left" w:pos="2160"/>
        </w:tabs>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（2）出现第68.2款规定调整合同价款事件的；</w:t>
      </w:r>
    </w:p>
    <w:p>
      <w:pPr>
        <w:tabs>
          <w:tab w:val="left" w:pos="2160"/>
        </w:tabs>
        <w:spacing w:line="360" w:lineRule="auto"/>
        <w:ind w:firstLine="1575" w:firstLineChars="750"/>
        <w:rPr>
          <w:rFonts w:ascii="宋体" w:hAnsi="宋体" w:cs="宋体"/>
          <w:b/>
          <w:color w:val="auto"/>
          <w:kern w:val="0"/>
          <w:szCs w:val="21"/>
          <w:highlight w:val="none"/>
          <w:u w:val="single"/>
        </w:rPr>
      </w:pPr>
      <w:r>
        <w:rPr>
          <w:rFonts w:hint="eastAsia" w:ascii="宋体" w:hAnsi="宋体" w:cs="宋体"/>
          <w:color w:val="auto"/>
          <w:kern w:val="0"/>
          <w:szCs w:val="21"/>
          <w:highlight w:val="none"/>
        </w:rPr>
        <w:t>（3）未按照国家、省有关计价规定编制的其它情形。</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260"/>
        </w:tabs>
        <w:adjustRightInd w:val="0"/>
        <w:snapToGrid w:val="0"/>
        <w:spacing w:beforeLines="50"/>
        <w:ind w:right="-238" w:firstLine="480"/>
        <w:rPr>
          <w:rFonts w:ascii="宋体" w:hAnsi="宋体" w:cs="宋体"/>
          <w:color w:val="auto"/>
          <w:kern w:val="0"/>
          <w:szCs w:val="21"/>
          <w:highlight w:val="none"/>
        </w:rPr>
      </w:pPr>
    </w:p>
    <w:p>
      <w:pPr>
        <w:tabs>
          <w:tab w:val="left" w:pos="1260"/>
        </w:tabs>
        <w:adjustRightInd w:val="0"/>
        <w:snapToGrid w:val="0"/>
        <w:spacing w:beforeLines="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10  响应文件的完备性</w:t>
      </w:r>
    </w:p>
    <w:p>
      <w:pPr>
        <w:tabs>
          <w:tab w:val="left" w:pos="141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5024" behindDoc="0" locked="0" layoutInCell="1" allowOverlap="1">
                <wp:simplePos x="0" y="0"/>
                <wp:positionH relativeFrom="column">
                  <wp:posOffset>-114300</wp:posOffset>
                </wp:positionH>
                <wp:positionV relativeFrom="paragraph">
                  <wp:posOffset>92075</wp:posOffset>
                </wp:positionV>
                <wp:extent cx="914400" cy="812800"/>
                <wp:effectExtent l="0" t="0" r="0" b="0"/>
                <wp:wrapNone/>
                <wp:docPr id="380" name="文本框 380"/>
                <wp:cNvGraphicFramePr/>
                <a:graphic xmlns:a="http://schemas.openxmlformats.org/drawingml/2006/main">
                  <a:graphicData uri="http://schemas.microsoft.com/office/word/2010/wordprocessingShape">
                    <wps:wsp>
                      <wps:cNvSpPr txBox="1">
                        <a:spLocks noChangeArrowheads="1"/>
                      </wps:cNvSpPr>
                      <wps:spPr bwMode="auto">
                        <a:xfrm>
                          <a:off x="0" y="0"/>
                          <a:ext cx="914400" cy="812800"/>
                        </a:xfrm>
                        <a:prstGeom prst="rect">
                          <a:avLst/>
                        </a:prstGeom>
                        <a:noFill/>
                        <a:ln>
                          <a:noFill/>
                        </a:ln>
                        <a:effectLst/>
                      </wps:spPr>
                      <wps:txb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25pt;height:64pt;width:72pt;z-index:251905024;mso-width-relative:page;mso-height-relative:page;" filled="f" stroked="f" coordsize="21600,21600" o:gfxdata="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bjyhrWAAAACgEAAA8AAAAAAAAAAQAgAAAAIgAAAGRycy9kb3ducmV2&#10;LnhtbFBLAQIUABQAAAAIAIdO4kDSzjY4/gEAANgDAAAOAAAAAAAAAAEAIAAAACUBAABkcnMvZTJv&#10;RG9jLnhtbFBLBQYAAAAABgAGAFkBAACVBQAAAAA=&#10;">
                <v:fill on="f" focussize="0,0"/>
                <v:stroke on="f"/>
                <v:imagedata o:title=""/>
                <o:lock v:ext="edit" aspectratio="f"/>
                <v:textbox>
                  <w:txbxContent>
                    <w:p>
                      <w:pPr>
                        <w:pStyle w:val="46"/>
                        <w:tabs>
                          <w:tab w:val="left" w:pos="2160"/>
                        </w:tabs>
                        <w:spacing w:beforeLines="80"/>
                        <w:rPr>
                          <w:rFonts w:ascii="楷体_GB2312" w:hAnsi="宋体"/>
                          <w:b/>
                          <w:color w:val="000000"/>
                          <w:sz w:val="18"/>
                          <w:szCs w:val="18"/>
                        </w:rPr>
                      </w:pPr>
                      <w:r>
                        <w:rPr>
                          <w:rFonts w:hint="eastAsia" w:ascii="楷体_GB2312" w:hAnsi="宋体"/>
                          <w:b/>
                          <w:color w:val="000000"/>
                          <w:sz w:val="18"/>
                          <w:szCs w:val="18"/>
                        </w:rPr>
                        <w:t>响应文件完备性和义务</w:t>
                      </w:r>
                    </w:p>
                  </w:txbxContent>
                </v:textbox>
              </v:shape>
            </w:pict>
          </mc:Fallback>
        </mc:AlternateContent>
      </w:r>
      <w:r>
        <w:rPr>
          <w:rFonts w:hint="eastAsia" w:ascii="宋体" w:hAnsi="宋体" w:cs="宋体"/>
          <w:b/>
          <w:color w:val="auto"/>
          <w:kern w:val="0"/>
          <w:szCs w:val="21"/>
          <w:highlight w:val="none"/>
        </w:rPr>
        <w:t xml:space="preserve">10.1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承包人响应文件中的工程量清单所填单价和合价，应被认为是正确的和完备的，并已包括了承包人履行本合同的全部义务，包括但不限于以下内容：</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 xml:space="preserve">提供材料和工程设备、服务的义务及处理意外事件的义务； </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实施和完成合同工程的义务；</w:t>
      </w:r>
    </w:p>
    <w:p>
      <w:pPr>
        <w:numPr>
          <w:ilvl w:val="0"/>
          <w:numId w:val="11"/>
        </w:numPr>
        <w:adjustRightInd w:val="0"/>
        <w:snapToGrid w:val="0"/>
        <w:spacing w:line="360" w:lineRule="auto"/>
        <w:ind w:left="1620" w:right="-240"/>
        <w:rPr>
          <w:rFonts w:ascii="宋体" w:hAnsi="宋体" w:cs="宋体"/>
          <w:color w:val="auto"/>
          <w:kern w:val="0"/>
          <w:szCs w:val="21"/>
          <w:highlight w:val="none"/>
        </w:rPr>
      </w:pPr>
      <w:r>
        <w:rPr>
          <w:rFonts w:hint="eastAsia" w:ascii="宋体" w:hAnsi="宋体" w:cs="宋体"/>
          <w:color w:val="auto"/>
          <w:kern w:val="0"/>
          <w:szCs w:val="21"/>
          <w:highlight w:val="none"/>
        </w:rPr>
        <w:t>工程质量保修的一切义务。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6048"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9" name="文本框 379"/>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承包人报价的限制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06048;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naG0MA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承包人报价的限制</w:t>
                      </w:r>
                    </w:p>
                  </w:txbxContent>
                </v:textbox>
              </v:shape>
            </w:pict>
          </mc:Fallback>
        </mc:AlternateContent>
      </w:r>
      <w:r>
        <w:rPr>
          <w:rFonts w:hint="eastAsia" w:ascii="宋体" w:hAnsi="宋体" w:cs="宋体"/>
          <w:color w:val="auto"/>
          <w:kern w:val="0"/>
          <w:szCs w:val="21"/>
          <w:highlight w:val="none"/>
        </w:rPr>
        <w:t>承包人响应文件中的工程量清单中没有填入单价或合价的清单项目，应认为该项目价款已包含在工程量清单的其他项目的单价或合价中，发包人将不另行支付。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4896" behindDoc="0" locked="0" layoutInCell="1" allowOverlap="1">
                <wp:simplePos x="0" y="0"/>
                <wp:positionH relativeFrom="column">
                  <wp:posOffset>-114300</wp:posOffset>
                </wp:positionH>
                <wp:positionV relativeFrom="paragraph">
                  <wp:posOffset>8255</wp:posOffset>
                </wp:positionV>
                <wp:extent cx="914400" cy="455295"/>
                <wp:effectExtent l="0" t="0" r="0" b="0"/>
                <wp:wrapNone/>
                <wp:docPr id="378" name="文本框 378"/>
                <wp:cNvGraphicFramePr/>
                <a:graphic xmlns:a="http://schemas.openxmlformats.org/drawingml/2006/main">
                  <a:graphicData uri="http://schemas.microsoft.com/office/word/2010/wordprocessingShape">
                    <wps:wsp>
                      <wps:cNvSpPr txBox="1">
                        <a:spLocks noChangeArrowheads="1"/>
                      </wps:cNvSpPr>
                      <wps:spPr bwMode="auto">
                        <a:xfrm>
                          <a:off x="0" y="0"/>
                          <a:ext cx="914400" cy="4552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5.85pt;width:72pt;z-index:251984896;mso-width-relative:page;mso-height-relative:page;" filled="f" stroked="f" coordsize="21600,21600" o:gfxdata="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v4xD1QAAAAgBAAAPAAAAAAAAAAEAIAAAACIAAABkcnMvZG93bnJl&#10;di54bWxQSwECFAAUAAAACACHTuJAGX4DN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算术性错误的调整</w:t>
                      </w:r>
                    </w:p>
                  </w:txbxContent>
                </v:textbox>
              </v:shape>
            </w:pict>
          </mc:Fallback>
        </mc:AlternateContent>
      </w:r>
      <w:r>
        <w:rPr>
          <w:rFonts w:hint="eastAsia" w:ascii="宋体" w:hAnsi="宋体" w:cs="宋体"/>
          <w:color w:val="auto"/>
          <w:kern w:val="0"/>
          <w:szCs w:val="21"/>
          <w:highlight w:val="none"/>
        </w:rPr>
        <w:t>承包人响应文件中出现算术性错误，导致其实际总造价与报价总金额不一致时，合同双方当事人可按照国家、省有关规定予以修正，并相应调整合同价款。</w:t>
      </w:r>
    </w:p>
    <w:p>
      <w:pPr>
        <w:adjustRightInd w:val="0"/>
        <w:snapToGrid w:val="0"/>
        <w:ind w:left="1423" w:leftChars="1" w:hanging="1421" w:hangingChars="674"/>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11  文物和地下障碍物</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11.1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3472" behindDoc="0" locked="0" layoutInCell="1" allowOverlap="1">
                <wp:simplePos x="0" y="0"/>
                <wp:positionH relativeFrom="column">
                  <wp:posOffset>-114300</wp:posOffset>
                </wp:positionH>
                <wp:positionV relativeFrom="paragraph">
                  <wp:posOffset>-7620</wp:posOffset>
                </wp:positionV>
                <wp:extent cx="914400" cy="495300"/>
                <wp:effectExtent l="0" t="0" r="0" b="0"/>
                <wp:wrapNone/>
                <wp:docPr id="377" name="文本框 37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文物化石等物品保护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9pt;width:72pt;z-index:251753472;mso-width-relative:page;mso-height-relative:page;" filled="f" stroked="f" coordsize="21600,21600" o:gfxdata="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jYe621gAAAAkBAAAPAAAAAAAAAAEAIAAAACIAAABkcnMvZG93bnJl&#10;di54bWxQSwECFAAUAAAACACHTuJAvQ6HfP8BAADYAwAADgAAAAAAAAABACAAAAAl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文物化石等物品保护</w:t>
                      </w:r>
                    </w:p>
                  </w:txbxContent>
                </v:textbox>
              </v:shape>
            </w:pict>
          </mc:Fallback>
        </mc:AlternateContent>
      </w:r>
      <w:r>
        <w:rPr>
          <w:rFonts w:hint="eastAsia" w:ascii="宋体" w:hAnsi="宋体" w:cs="宋体"/>
          <w:color w:val="auto"/>
          <w:kern w:val="0"/>
          <w:szCs w:val="21"/>
          <w:highlight w:val="none"/>
        </w:rPr>
        <w:t>在施工现场发现的古墓、古建筑遗址等文物、古迹以及其他具有考古、地质研究等价值的遗迹、化石、钱币或物品，属于国家所有。一旦发现上述文物，承包人应立即保护好现场，防止任何人员移动或损坏上述文物，并于4小时内以书面形式通知监理工程师和发包人。监理工程师应在收到通知后立即指令承包人继续保护好现场，并在收到通知后24小时内报告当地文物管理部门，合同双方当事人应按照文物管理部门的要求采取妥善保护措施。发包人承担由此增加的费用和（或）工期延误，并向承包人支付合理利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如发现文物后隐瞒不报或报告不及时，导致上述文物丢失或遭受破坏的，由责任方赔偿损失，并承担相应的法律责任。</w:t>
      </w:r>
    </w:p>
    <w:p>
      <w:pPr>
        <w:adjustRightInd w:val="0"/>
        <w:snapToGrid w:val="0"/>
        <w:spacing w:line="360" w:lineRule="auto"/>
        <w:rPr>
          <w:rFonts w:ascii="宋体" w:hAnsi="宋体" w:cs="宋体"/>
          <w:b/>
          <w:color w:val="auto"/>
          <w:kern w:val="0"/>
          <w:szCs w:val="21"/>
          <w:highlight w:val="none"/>
        </w:rPr>
      </w:pP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4496" behindDoc="0" locked="0" layoutInCell="1" allowOverlap="1">
                <wp:simplePos x="0" y="0"/>
                <wp:positionH relativeFrom="column">
                  <wp:posOffset>-114300</wp:posOffset>
                </wp:positionH>
                <wp:positionV relativeFrom="paragraph">
                  <wp:posOffset>233045</wp:posOffset>
                </wp:positionV>
                <wp:extent cx="914400" cy="495300"/>
                <wp:effectExtent l="0" t="0" r="0" b="0"/>
                <wp:wrapNone/>
                <wp:docPr id="376" name="文本框 376"/>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地下障碍物处置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35pt;height:39pt;width:72pt;z-index:251754496;mso-width-relative:page;mso-height-relative:page;" filled="f" stroked="f" coordsize="21600,21600" o:gfxdata="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89neDYAAAACgEAAA8AAAAAAAAAAQAgAAAAIgAAAGRycy9kb3du&#10;cmV2LnhtbFBLAQIUABQAAAAIAIdO4kA50TB4/wEAANgDAAAOAAAAAAAAAAEAIAAAACcBAABkcnMv&#10;ZTJvRG9jLnhtbFBLBQYAAAAABgAGAFkBAACY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地下障碍物处置</w:t>
                      </w:r>
                    </w:p>
                  </w:txbxContent>
                </v:textbox>
              </v:shape>
            </w:pict>
          </mc:Fallback>
        </mc:AlternateContent>
      </w:r>
      <w:r>
        <w:rPr>
          <w:rFonts w:hint="eastAsia" w:ascii="宋体" w:hAnsi="宋体" w:cs="宋体"/>
          <w:b/>
          <w:color w:val="auto"/>
          <w:kern w:val="0"/>
          <w:szCs w:val="21"/>
          <w:highlight w:val="none"/>
        </w:rPr>
        <w:t xml:space="preserve">11.2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本合同已明确指出的地下障碍物，应视为承包人在投标报价时已预见其对施工的影响，并已在合同价款中考虑。</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未有明确指出的地下障碍物，在施工过程遇到时，承包人应于8小时内以书面形式通知监理工程师和发包人，并提出处置方案。监理工程师在收到处置方案后24小时内予以确认或提出修正方案，并发出施工指令。承包人应按照监理工程师指令进行施工。发包人应承担由此增加的费用和（或）延误的工期，并向承包人支付合理利润。</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adjustRightInd w:val="0"/>
        <w:snapToGrid w:val="0"/>
        <w:spacing w:beforeLines="100"/>
        <w:ind w:right="-238" w:firstLine="482"/>
        <w:rPr>
          <w:rFonts w:ascii="宋体" w:hAnsi="宋体" w:cs="宋体"/>
          <w:b/>
          <w:color w:val="auto"/>
          <w:kern w:val="0"/>
          <w:szCs w:val="21"/>
          <w:highlight w:val="none"/>
        </w:rPr>
      </w:pPr>
    </w:p>
    <w:p>
      <w:pPr>
        <w:tabs>
          <w:tab w:val="left" w:pos="162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12  事故处理</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5520"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5" name="文本框 375"/>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755520;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YjLaJA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发生事故的通</w:t>
                      </w:r>
                    </w:p>
                    <w:p>
                      <w:pPr>
                        <w:rPr>
                          <w:rFonts w:ascii="楷体_GB2312" w:hAnsi="宋体"/>
                          <w:b/>
                          <w:color w:val="000000"/>
                          <w:sz w:val="18"/>
                          <w:szCs w:val="18"/>
                        </w:rPr>
                      </w:pPr>
                      <w:r>
                        <w:rPr>
                          <w:rFonts w:hint="eastAsia" w:ascii="楷体_GB2312" w:hAnsi="宋体"/>
                          <w:b/>
                          <w:color w:val="000000"/>
                          <w:sz w:val="18"/>
                          <w:szCs w:val="18"/>
                        </w:rPr>
                        <w:t>知</w:t>
                      </w:r>
                    </w:p>
                    <w:p>
                      <w:pPr>
                        <w:rPr>
                          <w:color w:val="000000"/>
                          <w:sz w:val="18"/>
                          <w:szCs w:val="18"/>
                        </w:rPr>
                      </w:pPr>
                    </w:p>
                  </w:txbxContent>
                </v:textbox>
              </v:shape>
            </w:pict>
          </mc:Fallback>
        </mc:AlternateContent>
      </w:r>
      <w:r>
        <w:rPr>
          <w:rFonts w:hint="eastAsia" w:ascii="宋体" w:hAnsi="宋体" w:cs="宋体"/>
          <w:b/>
          <w:color w:val="auto"/>
          <w:kern w:val="0"/>
          <w:szCs w:val="21"/>
          <w:highlight w:val="none"/>
        </w:rPr>
        <w:t xml:space="preserve">12.1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合同履行期间，合同工程发生质量与安全事故，承包人立即通知监理工程师和发包人。</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7856"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4" name="文本框 37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897856;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ZyZZdYAAAAJAQAADwAAAAAAAAABACAAAAAiAAAAZHJzL2Rv&#10;d25yZXYueG1sUEsBAhQAFAAAAAgAh07iQFCTPEQDAgAA2QMAAA4AAAAAAAAAAQAgAAAAJQ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事故的处理</w:t>
                      </w:r>
                    </w:p>
                  </w:txbxContent>
                </v:textbox>
              </v:shape>
            </w:pict>
          </mc:Fallback>
        </mc:AlternateContent>
      </w:r>
      <w:r>
        <w:rPr>
          <w:rFonts w:hint="eastAsia" w:ascii="宋体" w:hAnsi="宋体" w:cs="宋体"/>
          <w:b/>
          <w:color w:val="auto"/>
          <w:kern w:val="0"/>
          <w:szCs w:val="21"/>
          <w:highlight w:val="none"/>
        </w:rPr>
        <w:t xml:space="preserve">12.2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接到事故通知后，合同双方当事人应立即组织人员和设备进行紧急抢救和抢修，减少人员伤亡和财产损失，防止事故扩大，并保护事故现场。需移动现场物品时，应做好标记和书面记录，妥善保护有关证据。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合同双方当事人应按照国家规定时限如实上报政府有关部门，配合政府有关部门的调查和处理，由此发生的费用和（或）延误的工期由事故责任方承担。</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8928"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3" name="文本框 373"/>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事故争议认定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2028928;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IUuav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事故争议认定</w:t>
                      </w:r>
                    </w:p>
                  </w:txbxContent>
                </v:textbox>
              </v:shape>
            </w:pict>
          </mc:Fallback>
        </mc:AlternateContent>
      </w:r>
      <w:r>
        <w:rPr>
          <w:rFonts w:hint="eastAsia" w:ascii="宋体" w:hAnsi="宋体" w:cs="宋体"/>
          <w:b/>
          <w:color w:val="auto"/>
          <w:kern w:val="0"/>
          <w:szCs w:val="21"/>
          <w:highlight w:val="none"/>
        </w:rPr>
        <w:t xml:space="preserve">12.3  </w:t>
      </w:r>
      <w:r>
        <w:rPr>
          <w:rFonts w:hint="eastAsia" w:ascii="宋体" w:hAnsi="宋体" w:cs="宋体"/>
          <w:b/>
          <w:color w:val="auto"/>
          <w:kern w:val="0"/>
          <w:szCs w:val="21"/>
          <w:highlight w:val="none"/>
          <w:u w:val="dotted"/>
        </w:rPr>
        <w:t xml:space="preserve">                                                                                                        </w:t>
      </w:r>
    </w:p>
    <w:p>
      <w:pPr>
        <w:tabs>
          <w:tab w:val="left" w:pos="162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合同双方当事人对事故责任有争议时，应按照政府有关部门的认定处理。</w:t>
      </w:r>
    </w:p>
    <w:p>
      <w:pPr>
        <w:adjustRightInd w:val="0"/>
        <w:snapToGrid w:val="0"/>
        <w:spacing w:line="48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r>
        <w:rPr>
          <w:rFonts w:hint="eastAsia" w:ascii="宋体" w:hAnsi="宋体" w:cs="宋体"/>
          <w:color w:val="auto"/>
          <w:kern w:val="0"/>
          <w:szCs w:val="21"/>
          <w:highlight w:val="none"/>
        </w:rPr>
        <w:t xml:space="preserve">                         </w:t>
      </w:r>
    </w:p>
    <w:p>
      <w:pPr>
        <w:tabs>
          <w:tab w:val="left" w:pos="1620"/>
        </w:tabs>
        <w:adjustRightInd w:val="0"/>
        <w:snapToGrid w:val="0"/>
        <w:spacing w:beforeLines="100" w:line="360" w:lineRule="auto"/>
        <w:ind w:right="-237" w:rightChars="-113"/>
        <w:rPr>
          <w:rFonts w:ascii="宋体" w:hAnsi="宋体" w:cs="宋体"/>
          <w:b/>
          <w:color w:val="auto"/>
          <w:kern w:val="0"/>
          <w:szCs w:val="21"/>
          <w:highlight w:val="none"/>
        </w:rPr>
      </w:pPr>
      <w:r>
        <w:rPr>
          <w:rFonts w:hint="eastAsia" w:ascii="宋体" w:hAnsi="宋体" w:cs="宋体"/>
          <w:b/>
          <w:color w:val="auto"/>
          <w:kern w:val="0"/>
          <w:szCs w:val="21"/>
          <w:highlight w:val="none"/>
        </w:rPr>
        <w:t>13  交通运输</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4176" behindDoc="0" locked="0" layoutInCell="1" allowOverlap="1">
                <wp:simplePos x="0" y="0"/>
                <wp:positionH relativeFrom="column">
                  <wp:posOffset>-114300</wp:posOffset>
                </wp:positionH>
                <wp:positionV relativeFrom="paragraph">
                  <wp:posOffset>229235</wp:posOffset>
                </wp:positionV>
                <wp:extent cx="1028700" cy="523875"/>
                <wp:effectExtent l="0" t="0" r="0" b="0"/>
                <wp:wrapNone/>
                <wp:docPr id="372" name="文本框 372"/>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05pt;height:41.25pt;width:81pt;z-index:251954176;mso-width-relative:page;mso-height-relative:page;" filled="f" stroked="f" coordsize="21600,21600" o:gfxdata="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UBsYf1gAAAAoBAAAPAAAAAAAAAAEAIAAAACIAAABkcnMvZG93&#10;bnJldi54bWxQSwECFAAUAAAACACHTuJAE+p83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道路通行权和</w:t>
                      </w:r>
                    </w:p>
                    <w:p>
                      <w:pPr>
                        <w:rPr>
                          <w:rFonts w:ascii="楷体_GB2312" w:hAnsi="宋体"/>
                          <w:b/>
                          <w:color w:val="000000"/>
                          <w:sz w:val="18"/>
                          <w:szCs w:val="18"/>
                        </w:rPr>
                      </w:pPr>
                      <w:r>
                        <w:rPr>
                          <w:rFonts w:hint="eastAsia" w:ascii="楷体_GB2312" w:hAnsi="宋体"/>
                          <w:b/>
                          <w:color w:val="000000"/>
                          <w:sz w:val="18"/>
                          <w:szCs w:val="18"/>
                        </w:rPr>
                        <w:t>场外设施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 xml:space="preserve">13.1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发包人应根据实施合同工程的需要，负责办理取得出入施工场地的专用和临时道路的通行权，以及取得为实施合同工程所需修建场外设施的权利，并承担有关费用。承包人应协助发包人办理上述手续。</w:t>
      </w:r>
    </w:p>
    <w:p>
      <w:pPr>
        <w:tabs>
          <w:tab w:val="left" w:pos="1202"/>
        </w:tabs>
        <w:adjustRightInd w:val="0"/>
        <w:snapToGrid w:val="0"/>
        <w:spacing w:line="360" w:lineRule="auto"/>
        <w:ind w:left="1417" w:leftChars="1" w:hanging="1415" w:hangingChars="674"/>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5072" behindDoc="0" locked="0" layoutInCell="1" allowOverlap="1">
                <wp:simplePos x="0" y="0"/>
                <wp:positionH relativeFrom="column">
                  <wp:posOffset>-114300</wp:posOffset>
                </wp:positionH>
                <wp:positionV relativeFrom="paragraph">
                  <wp:posOffset>333375</wp:posOffset>
                </wp:positionV>
                <wp:extent cx="1028700" cy="523875"/>
                <wp:effectExtent l="0" t="0" r="0" b="0"/>
                <wp:wrapNone/>
                <wp:docPr id="371" name="文本框 371"/>
                <wp:cNvGraphicFramePr/>
                <a:graphic xmlns:a="http://schemas.openxmlformats.org/drawingml/2006/main">
                  <a:graphicData uri="http://schemas.microsoft.com/office/word/2010/wordprocessingShape">
                    <wps:wsp>
                      <wps:cNvSpPr txBox="1">
                        <a:spLocks noChangeArrowheads="1"/>
                      </wps:cNvSpPr>
                      <wps:spPr bwMode="auto">
                        <a:xfrm>
                          <a:off x="0" y="0"/>
                          <a:ext cx="1028700" cy="523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6.25pt;height:41.25pt;width:81pt;z-index:252035072;mso-width-relative:page;mso-height-relative:page;" filled="f" stroked="f" coordsize="21600,21600" o:gfxdata="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FSeK5nYAAAACgEAAA8AAAAAAAAAAQAgAAAAIgAAAGRycy9k&#10;b3ducmV2LnhtbFBLAQIUABQAAAAIAIdO4kB4/X85AgIAANkDAAAOAAAAAAAAAAEAIAAAACc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场内临时道路</w:t>
                      </w:r>
                    </w:p>
                    <w:p>
                      <w:pPr>
                        <w:rPr>
                          <w:rFonts w:ascii="宋体" w:hAnsi="宋体"/>
                          <w:color w:val="000000"/>
                          <w:sz w:val="24"/>
                        </w:rPr>
                      </w:pPr>
                      <w:r>
                        <w:rPr>
                          <w:rFonts w:hint="eastAsia" w:ascii="楷体_GB2312" w:hAnsi="宋体"/>
                          <w:b/>
                          <w:color w:val="000000"/>
                          <w:sz w:val="18"/>
                          <w:szCs w:val="18"/>
                        </w:rPr>
                        <w:t>和交通设施</w:t>
                      </w:r>
                    </w:p>
                    <w:p>
                      <w:pPr>
                        <w:rPr>
                          <w:color w:val="0000FF"/>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13.2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r>
        <w:rPr>
          <w:rFonts w:hint="eastAsia" w:ascii="宋体" w:hAnsi="宋体" w:cs="宋体"/>
          <w:color w:val="auto"/>
          <w:kern w:val="0"/>
          <w:szCs w:val="21"/>
          <w:highlight w:val="none"/>
        </w:rPr>
        <w:t>除专用条款另有约定外，承包人应负责修建、维修、养护和管理施工场地内所需的临时道路和交通设施，包括维修、养护和管理发包人提供的道路和交通设施，并承担相应费用。</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承包人修建的临时道路和交通设施应免费提供发包人使用。</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5200" behindDoc="0" locked="0" layoutInCell="1" allowOverlap="1">
                <wp:simplePos x="0" y="0"/>
                <wp:positionH relativeFrom="column">
                  <wp:posOffset>-114300</wp:posOffset>
                </wp:positionH>
                <wp:positionV relativeFrom="paragraph">
                  <wp:posOffset>224790</wp:posOffset>
                </wp:positionV>
                <wp:extent cx="1028700" cy="297180"/>
                <wp:effectExtent l="0" t="0" r="0" b="0"/>
                <wp:wrapNone/>
                <wp:docPr id="370" name="文本框 370"/>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场外交通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23.4pt;width:81pt;z-index:251955200;mso-width-relative:page;mso-height-relative:page;" filled="f" stroked="f" coordsize="21600,21600" o:gfxdata="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1nJll1gAAAAkBAAAPAAAAAAAAAAEAIAAAACIAAABkcnMvZG93&#10;bnJldi54bWxQSwECFAAUAAAACACHTuJASlyZWQICAADZ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场外交通</w:t>
                      </w:r>
                    </w:p>
                  </w:txbxContent>
                </v:textbox>
              </v:shape>
            </w:pict>
          </mc:Fallback>
        </mc:AlternateContent>
      </w:r>
      <w:r>
        <w:rPr>
          <w:rFonts w:hint="eastAsia" w:ascii="宋体" w:hAnsi="宋体" w:cs="宋体"/>
          <w:b/>
          <w:color w:val="auto"/>
          <w:kern w:val="0"/>
          <w:szCs w:val="21"/>
          <w:highlight w:val="none"/>
        </w:rPr>
        <w:t xml:space="preserve">13.3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承包人应遵守有关交通法规，严格按照道路和桥梁的限制荷重安全行驶，并服从交通管理部门的检查和监督。承包人车辆外出行驶所需的场外公共道路的通行费、养路费和税款等，由承包人承担。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6224"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9" name="文本框 369"/>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6224;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BvSKrfXAAAACgEAAA8AAAAAAAAAAQAgAAAAIgAAAGRycy9k&#10;b3ducmV2LnhtbFBLAQIUABQAAAAIAIdO4kC4iPVHAwIAANkDAAAOAAAAAAAAAAEAIAAAACYBAABk&#10;cnMvZTJvRG9jLnhtbFBLBQYAAAAABgAGAFkBAACb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超大件和超重</w:t>
                      </w:r>
                    </w:p>
                    <w:p>
                      <w:pPr>
                        <w:rPr>
                          <w:rFonts w:ascii="楷体_GB2312" w:hAnsi="宋体"/>
                          <w:b/>
                          <w:color w:val="000000"/>
                          <w:sz w:val="18"/>
                          <w:szCs w:val="18"/>
                        </w:rPr>
                      </w:pPr>
                      <w:r>
                        <w:rPr>
                          <w:rFonts w:hint="eastAsia" w:ascii="楷体_GB2312" w:hAnsi="宋体"/>
                          <w:b/>
                          <w:color w:val="000000"/>
                          <w:sz w:val="18"/>
                          <w:szCs w:val="18"/>
                        </w:rPr>
                        <w:t>件的运输</w:t>
                      </w:r>
                    </w:p>
                  </w:txbxContent>
                </v:textbox>
              </v:shape>
            </w:pict>
          </mc:Fallback>
        </mc:AlternateContent>
      </w:r>
      <w:r>
        <w:rPr>
          <w:rFonts w:hint="eastAsia" w:ascii="宋体" w:hAnsi="宋体" w:cs="宋体"/>
          <w:b/>
          <w:color w:val="auto"/>
          <w:kern w:val="0"/>
          <w:szCs w:val="21"/>
          <w:highlight w:val="none"/>
        </w:rPr>
        <w:t xml:space="preserve">13.4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负责向交通管理部门办理运输超大件或超重件的申请手续，发包人应协助承包人办理上述手续。除专用条款另有约定外，运输超大件或超重件所需的道路和桥梁临时加固改造费用和其他有关费用，由承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7248" behindDoc="0" locked="0" layoutInCell="1" allowOverlap="1">
                <wp:simplePos x="0" y="0"/>
                <wp:positionH relativeFrom="column">
                  <wp:posOffset>-114300</wp:posOffset>
                </wp:positionH>
                <wp:positionV relativeFrom="paragraph">
                  <wp:posOffset>224790</wp:posOffset>
                </wp:positionV>
                <wp:extent cx="1028700" cy="466090"/>
                <wp:effectExtent l="0" t="0" r="0" b="0"/>
                <wp:wrapNone/>
                <wp:docPr id="368" name="文本框 368"/>
                <wp:cNvGraphicFramePr/>
                <a:graphic xmlns:a="http://schemas.openxmlformats.org/drawingml/2006/main">
                  <a:graphicData uri="http://schemas.microsoft.com/office/word/2010/wordprocessingShape">
                    <wps:wsp>
                      <wps:cNvSpPr txBox="1">
                        <a:spLocks noChangeArrowheads="1"/>
                      </wps:cNvSpPr>
                      <wps:spPr bwMode="auto">
                        <a:xfrm>
                          <a:off x="0" y="0"/>
                          <a:ext cx="1028700" cy="466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36.7pt;width:81pt;z-index:251957248;mso-width-relative:page;mso-height-relative:page;" filled="f" stroked="f" coordsize="21600,21600" o:gfxdata="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9Iqt9cAAAAKAQAADwAAAAAAAAABACAAAAAiAAAAZHJzL2Rv&#10;d25yZXYueG1sUEsBAhQAFAAAAAgAh07iQF54JK0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道路和桥梁的</w:t>
                      </w:r>
                    </w:p>
                    <w:p>
                      <w:pPr>
                        <w:rPr>
                          <w:rFonts w:ascii="楷体_GB2312" w:hAnsi="宋体"/>
                          <w:b/>
                          <w:color w:val="000000"/>
                          <w:sz w:val="18"/>
                          <w:szCs w:val="18"/>
                        </w:rPr>
                      </w:pPr>
                      <w:r>
                        <w:rPr>
                          <w:rFonts w:hint="eastAsia" w:ascii="楷体_GB2312" w:hAnsi="宋体"/>
                          <w:b/>
                          <w:color w:val="000000"/>
                          <w:sz w:val="18"/>
                          <w:szCs w:val="18"/>
                        </w:rPr>
                        <w:t>损坏责任</w:t>
                      </w:r>
                    </w:p>
                  </w:txbxContent>
                </v:textbox>
              </v:shape>
            </w:pict>
          </mc:Fallback>
        </mc:AlternateContent>
      </w:r>
      <w:r>
        <w:rPr>
          <w:rFonts w:hint="eastAsia" w:ascii="宋体" w:hAnsi="宋体" w:cs="宋体"/>
          <w:b/>
          <w:color w:val="auto"/>
          <w:kern w:val="0"/>
          <w:szCs w:val="21"/>
          <w:highlight w:val="none"/>
        </w:rPr>
        <w:t xml:space="preserve">13.5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因承包人运输造成施工场地内外公共道路和桥梁损坏的，由承包人承担修复损坏的全部费用和可能引起的赔偿。</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8272" behindDoc="0" locked="0" layoutInCell="1" allowOverlap="1">
                <wp:simplePos x="0" y="0"/>
                <wp:positionH relativeFrom="column">
                  <wp:posOffset>-114300</wp:posOffset>
                </wp:positionH>
                <wp:positionV relativeFrom="paragraph">
                  <wp:posOffset>224790</wp:posOffset>
                </wp:positionV>
                <wp:extent cx="1028700" cy="608330"/>
                <wp:effectExtent l="0" t="0" r="0" b="0"/>
                <wp:wrapNone/>
                <wp:docPr id="367" name="文本框 367"/>
                <wp:cNvGraphicFramePr/>
                <a:graphic xmlns:a="http://schemas.openxmlformats.org/drawingml/2006/main">
                  <a:graphicData uri="http://schemas.microsoft.com/office/word/2010/wordprocessingShape">
                    <wps:wsp>
                      <wps:cNvSpPr txBox="1">
                        <a:spLocks noChangeArrowheads="1"/>
                      </wps:cNvSpPr>
                      <wps:spPr bwMode="auto">
                        <a:xfrm>
                          <a:off x="0" y="0"/>
                          <a:ext cx="1028700" cy="60833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7pt;height:47.9pt;width:81pt;z-index:251958272;mso-width-relative:page;mso-height-relative:page;" filled="f" stroked="f" coordsize="21600,21600" o:gfxdata="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eKadSdcAAAAKAQAADwAAAAAAAAABACAAAAAiAAAAZHJzL2Rv&#10;d25yZXYueG1sUEsBAhQAFAAAAAgAh07iQEKTBjICAgAA2Q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水路和航空运</w:t>
                      </w:r>
                    </w:p>
                    <w:p>
                      <w:pPr>
                        <w:rPr>
                          <w:rFonts w:ascii="楷体_GB2312" w:hAnsi="宋体"/>
                          <w:b/>
                          <w:color w:val="000000"/>
                          <w:sz w:val="18"/>
                          <w:szCs w:val="18"/>
                        </w:rPr>
                      </w:pPr>
                      <w:r>
                        <w:rPr>
                          <w:rFonts w:hint="eastAsia" w:ascii="楷体_GB2312" w:hAnsi="宋体"/>
                          <w:b/>
                          <w:color w:val="000000"/>
                          <w:sz w:val="18"/>
                          <w:szCs w:val="18"/>
                        </w:rPr>
                        <w:t>输</w:t>
                      </w:r>
                    </w:p>
                  </w:txbxContent>
                </v:textbox>
              </v:shape>
            </w:pict>
          </mc:Fallback>
        </mc:AlternateContent>
      </w:r>
      <w:r>
        <w:rPr>
          <w:rFonts w:hint="eastAsia" w:ascii="宋体" w:hAnsi="宋体" w:cs="宋体"/>
          <w:b/>
          <w:color w:val="auto"/>
          <w:kern w:val="0"/>
          <w:szCs w:val="21"/>
          <w:highlight w:val="none"/>
        </w:rPr>
        <w:t xml:space="preserve">13.6 </w:t>
      </w:r>
      <w:r>
        <w:rPr>
          <w:rFonts w:hint="eastAsia" w:ascii="宋体" w:hAnsi="宋体" w:cs="宋体"/>
          <w:b/>
          <w:color w:val="auto"/>
          <w:kern w:val="0"/>
          <w:szCs w:val="21"/>
          <w:highlight w:val="none"/>
          <w:u w:val="dotted"/>
        </w:rPr>
        <w:t xml:space="preserve">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本条内容适用于水路运输和航空运输，其中“道路”包括河道、航线、船闸、机场、码头、堤防以及水路或航空运输中其他相似结构物；“车辆”包括船舶和飞机等。</w:t>
      </w:r>
    </w:p>
    <w:p>
      <w:pPr>
        <w:tabs>
          <w:tab w:val="left" w:pos="1202"/>
        </w:tabs>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Cs w:val="21"/>
          <w:highlight w:val="none"/>
        </w:rPr>
        <w:t xml:space="preserve">  </w:t>
      </w:r>
    </w:p>
    <w:p>
      <w:pPr>
        <w:tabs>
          <w:tab w:val="left" w:pos="3818"/>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14  专项批准事件的签认</w:t>
      </w:r>
      <w:r>
        <w:rPr>
          <w:rFonts w:hint="eastAsia" w:ascii="宋体" w:hAnsi="宋体" w:cs="宋体"/>
          <w:b/>
          <w:color w:val="auto"/>
          <w:kern w:val="0"/>
          <w:szCs w:val="21"/>
          <w:highlight w:val="none"/>
        </w:rPr>
        <w:tab/>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4000" behindDoc="0" locked="0" layoutInCell="1" allowOverlap="1">
                <wp:simplePos x="0" y="0"/>
                <wp:positionH relativeFrom="column">
                  <wp:posOffset>-114300</wp:posOffset>
                </wp:positionH>
                <wp:positionV relativeFrom="paragraph">
                  <wp:posOffset>246380</wp:posOffset>
                </wp:positionV>
                <wp:extent cx="914400" cy="875665"/>
                <wp:effectExtent l="0" t="0" r="0" b="0"/>
                <wp:wrapNone/>
                <wp:docPr id="366" name="文本框 366"/>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68.95pt;width:72pt;z-index:251904000;mso-width-relative:page;mso-height-relative:page;" filled="f" stroked="f" coordsize="21600,21600" o:gfxdata="UEsDBAoAAAAAAIdO4kAAAAAAAAAAAAAAAAAEAAAAZHJzL1BLAwQUAAAACACHTuJAbHBLGN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bHBLGNgAAAAKAQAADwAAAAAAAAABACAAAAAiAAAAZHJzL2Rv&#10;d25yZXYueG1sUEsBAhQAFAAAAAgAh07iQEEhwcY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专项批准事件的签认</w:t>
                      </w:r>
                    </w:p>
                  </w:txbxContent>
                </v:textbox>
              </v:shape>
            </w:pict>
          </mc:Fallback>
        </mc:AlternateContent>
      </w:r>
      <w:r>
        <w:rPr>
          <w:rFonts w:hint="eastAsia" w:ascii="宋体" w:hAnsi="宋体" w:cs="宋体"/>
          <w:b/>
          <w:color w:val="auto"/>
          <w:kern w:val="0"/>
          <w:szCs w:val="21"/>
          <w:highlight w:val="none"/>
        </w:rPr>
        <w:t xml:space="preserve">14.1      </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合同工程发生第23.3款、第24.3款专项批准事件的，发包人批准后应通知监理工程师和（或）造价工程师按照合同约定以书面形式向承包人发出工作指令，提供所需的相关资料。承包人在收到监理工程师和（或）造价工程师发出的工作指令后，应按照合同约定实施发生事件的相关工作。</w:t>
      </w:r>
    </w:p>
    <w:p>
      <w:pPr>
        <w:tabs>
          <w:tab w:val="left" w:pos="1202"/>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合同双方当事人应按照第14.2款规定对发生的专项批准事件予以签认，并及时将发生事件的相关资料整理、归档，同时按第23.2款、第24.2款规定职权将其中一份送监理工程师和（或）造价工程师留存。</w:t>
      </w:r>
    </w:p>
    <w:p>
      <w:pPr>
        <w:tabs>
          <w:tab w:val="left" w:pos="2160"/>
        </w:tabs>
        <w:spacing w:beforeLines="80"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14.2  </w:t>
      </w:r>
      <w:r>
        <w:rPr>
          <w:rFonts w:hint="eastAsia" w:ascii="宋体" w:hAnsi="宋体" w:cs="宋体"/>
          <w:b/>
          <w:color w:val="auto"/>
          <w:kern w:val="0"/>
          <w:szCs w:val="21"/>
          <w:highlight w:val="none"/>
          <w:u w:val="dotted"/>
        </w:rPr>
        <w:t xml:space="preserve">                                                                                 </w:t>
      </w:r>
    </w:p>
    <w:p>
      <w:pPr>
        <w:tabs>
          <w:tab w:val="left" w:pos="1620"/>
        </w:tabs>
        <w:spacing w:line="360" w:lineRule="auto"/>
        <w:ind w:left="1618" w:leftChars="770" w:hanging="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8336" behindDoc="0" locked="0" layoutInCell="1" allowOverlap="1">
                <wp:simplePos x="0" y="0"/>
                <wp:positionH relativeFrom="column">
                  <wp:posOffset>0</wp:posOffset>
                </wp:positionH>
                <wp:positionV relativeFrom="paragraph">
                  <wp:posOffset>10795</wp:posOffset>
                </wp:positionV>
                <wp:extent cx="914400" cy="875665"/>
                <wp:effectExtent l="0" t="0" r="0" b="0"/>
                <wp:wrapNone/>
                <wp:docPr id="365" name="文本框 365"/>
                <wp:cNvGraphicFramePr/>
                <a:graphic xmlns:a="http://schemas.openxmlformats.org/drawingml/2006/main">
                  <a:graphicData uri="http://schemas.microsoft.com/office/word/2010/wordprocessingShape">
                    <wps:wsp>
                      <wps:cNvSpPr txBox="1">
                        <a:spLocks noChangeArrowheads="1"/>
                      </wps:cNvSpPr>
                      <wps:spPr bwMode="auto">
                        <a:xfrm>
                          <a:off x="0" y="0"/>
                          <a:ext cx="914400" cy="875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0.85pt;height:68.95pt;width:72pt;z-index:251918336;mso-width-relative:page;mso-height-relative:page;" filled="f" stroked="f" coordsize="21600,21600" o:gfxdata="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5qRuYtMAAAAGAQAADwAAAAAAAAABACAAAAAiAAAAZHJzL2Rvd25yZXYu&#10;eG1sUEsBAhQAFAAAAAgAh07iQM1BGcsAAgAA2AMAAA4AAAAAAAAAAQAgAAAAIg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专项批准事件签认人的要求</w:t>
                      </w:r>
                    </w:p>
                  </w:txbxContent>
                </v:textbox>
              </v:shape>
            </w:pict>
          </mc:Fallback>
        </mc:AlternateContent>
      </w:r>
      <w:r>
        <w:rPr>
          <w:rFonts w:hint="eastAsia" w:ascii="宋体" w:hAnsi="宋体" w:cs="宋体"/>
          <w:color w:val="auto"/>
          <w:kern w:val="0"/>
          <w:szCs w:val="21"/>
          <w:highlight w:val="none"/>
        </w:rPr>
        <w:t>合同双方当事人应按照第23.1款、第24.1款和第25.1款规定，分别在专用条款中写明负责专项批准事件签认的监理工程师、造价工程师和建造师具体人选，授予其负责专项批准事件签认的权力，并提供该人选的印章、签字式样，作为本合同的附件。当专项批准事件发生时，该人选应在其职权范围内，按照本合同约定的程序、时限、生效条件等要求，对发生事件的内容、数量和单价等办理签认手续，并加盖所在单位的法人公章或其授权的施工现场管理机构章。</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u w:val="single"/>
        </w:rPr>
      </w:pP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15  专利技术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15.1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7072"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4" name="文本框 364"/>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07072;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um2TpNYAAAAIAQAADwAAAAAAAAABACAAAAAiAAAAZHJzL2Rvd25y&#10;ZXYueG1sUEsBAhQAFAAAAAgAh07iQDjJ22w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侵犯专利技术责任</w:t>
                      </w:r>
                    </w:p>
                  </w:txbxContent>
                </v:textbox>
              </v:shape>
            </w:pict>
          </mc:Fallback>
        </mc:AlternateContent>
      </w:r>
      <w:r>
        <w:rPr>
          <w:rFonts w:hint="eastAsia" w:ascii="宋体" w:hAnsi="宋体" w:cs="宋体"/>
          <w:color w:val="auto"/>
          <w:kern w:val="0"/>
          <w:szCs w:val="21"/>
          <w:highlight w:val="none"/>
        </w:rPr>
        <w:t>承包人在实施、完成并保修合同工程过程中，如因采用施工工艺或使用施工设备及自身供应的材料和工程设备，而发生侵犯他人商标、图案、工艺、材料、设备专利权或知识产权的行为，并引起索赔或诉讼，则一切与此有关的损失、赔偿、诉讼等责任，均由承包人承担。但由于遵守发包人提供的施工设计图纸、标准与规范、技术说明和要求而造成的侵权，则属例外。</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9600" behindDoc="0" locked="0" layoutInCell="1" allowOverlap="1">
                <wp:simplePos x="0" y="0"/>
                <wp:positionH relativeFrom="column">
                  <wp:posOffset>-114300</wp:posOffset>
                </wp:positionH>
                <wp:positionV relativeFrom="paragraph">
                  <wp:posOffset>22860</wp:posOffset>
                </wp:positionV>
                <wp:extent cx="914400" cy="471805"/>
                <wp:effectExtent l="0" t="0" r="0" b="0"/>
                <wp:wrapNone/>
                <wp:docPr id="363" name="文本框 363"/>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37.15pt;width:72pt;z-index:251929600;mso-width-relative:page;mso-height-relative:page;" filled="f" stroked="f" coordsize="21600,21600" o:gfxdata="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tk6TWAAAACAEAAA8AAAAAAAAAAQAgAAAAIgAAAGRycy9kb3du&#10;cmV2LnhtbFBLAQIUABQAAAAIAIdO4kCk19xzAQIAANg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专利技术的使用</w:t>
                      </w:r>
                    </w:p>
                  </w:txbxContent>
                </v:textbox>
              </v:shape>
            </w:pict>
          </mc:Fallback>
        </mc:AlternateContent>
      </w:r>
      <w:r>
        <w:rPr>
          <w:rFonts w:hint="eastAsia" w:ascii="宋体" w:hAnsi="宋体" w:cs="宋体"/>
          <w:color w:val="auto"/>
          <w:kern w:val="0"/>
          <w:szCs w:val="21"/>
          <w:highlight w:val="none"/>
        </w:rPr>
        <w:t>承包人在响应文件中采用专利技术的，其发生的费用已包含在投标报价内。承包人的技术秘密和第91条规定的保密信息、资料等，发包人应严格按照第91条规定不得为合同以外的目的泄露给第三方。</w:t>
      </w:r>
    </w:p>
    <w:p>
      <w:pPr>
        <w:tabs>
          <w:tab w:val="left" w:pos="168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8096" behindDoc="0" locked="0" layoutInCell="1" allowOverlap="1">
                <wp:simplePos x="0" y="0"/>
                <wp:positionH relativeFrom="column">
                  <wp:posOffset>-114300</wp:posOffset>
                </wp:positionH>
                <wp:positionV relativeFrom="paragraph">
                  <wp:posOffset>241300</wp:posOffset>
                </wp:positionV>
                <wp:extent cx="914400" cy="497840"/>
                <wp:effectExtent l="0" t="0" r="0" b="0"/>
                <wp:wrapNone/>
                <wp:docPr id="362" name="文本框 362"/>
                <wp:cNvGraphicFramePr/>
                <a:graphic xmlns:a="http://schemas.openxmlformats.org/drawingml/2006/main">
                  <a:graphicData uri="http://schemas.microsoft.com/office/word/2010/wordprocessingShape">
                    <wps:wsp>
                      <wps:cNvSpPr txBox="1">
                        <a:spLocks noChangeArrowheads="1"/>
                      </wps:cNvSpPr>
                      <wps:spPr bwMode="auto">
                        <a:xfrm>
                          <a:off x="0" y="0"/>
                          <a:ext cx="914400" cy="4978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9.2pt;width:72pt;z-index:251908096;mso-width-relative:page;mso-height-relative:page;" filled="f" stroked="f" coordsize="21600,21600" o:gfxdata="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1ehpHXAAAACgEAAA8AAAAAAAAAAQAgAAAAIgAAAGRycy9kb3du&#10;cmV2LnhtbFBLAQIUABQAAAAIAIdO4kC0HFXr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版权和知识产权</w:t>
                      </w:r>
                    </w:p>
                  </w:txbxContent>
                </v:textbox>
              </v:shape>
            </w:pict>
          </mc:Fallback>
        </mc:AlternateContent>
      </w:r>
      <w:r>
        <w:rPr>
          <w:rFonts w:hint="eastAsia" w:ascii="宋体" w:hAnsi="宋体" w:cs="宋体"/>
          <w:color w:val="auto"/>
          <w:kern w:val="0"/>
          <w:szCs w:val="21"/>
          <w:highlight w:val="none"/>
        </w:rPr>
        <w:t xml:space="preserve">15.3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各自对属于自己的施工设计图纸及其他文件保留版权和知识产权。双方签订本合同后，应视为分别授权对方当事人为实施合同工程而复制、使用、传送上述施工设计图纸和文件。但未经对方当事人同意，另一方当事人不得将其另作他用或转给第三方。</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16  联合的责任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9120" behindDoc="0" locked="0" layoutInCell="1" allowOverlap="1">
                <wp:simplePos x="0" y="0"/>
                <wp:positionH relativeFrom="column">
                  <wp:posOffset>-114300</wp:posOffset>
                </wp:positionH>
                <wp:positionV relativeFrom="paragraph">
                  <wp:posOffset>234950</wp:posOffset>
                </wp:positionV>
                <wp:extent cx="914400" cy="461010"/>
                <wp:effectExtent l="0" t="0" r="0" b="0"/>
                <wp:wrapNone/>
                <wp:docPr id="361" name="文本框 361"/>
                <wp:cNvGraphicFramePr/>
                <a:graphic xmlns:a="http://schemas.openxmlformats.org/drawingml/2006/main">
                  <a:graphicData uri="http://schemas.microsoft.com/office/word/2010/wordprocessingShape">
                    <wps:wsp>
                      <wps:cNvSpPr txBox="1">
                        <a:spLocks noChangeArrowheads="1"/>
                      </wps:cNvSpPr>
                      <wps:spPr bwMode="auto">
                        <a:xfrm>
                          <a:off x="0" y="0"/>
                          <a:ext cx="914400" cy="46101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3pt;width:72pt;z-index:251909120;mso-width-relative:page;mso-height-relative:page;" filled="f" stroked="f" coordsize="21600,21600" o:gfxdata="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axOp9cAAAAKAQAADwAAAAAAAAABACAAAAAiAAAAZHJzL2Rvd25y&#10;ZXYueG1sUEsBAhQAFAAAAAgAh07iQBJ3r2v/AQAA2AMAAA4AAAAAAAAAAQAgAAAAJg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共同的和各自的责任</w:t>
                      </w:r>
                    </w:p>
                  </w:txbxContent>
                </v:textbox>
              </v:shape>
            </w:pict>
          </mc:Fallback>
        </mc:AlternateContent>
      </w:r>
      <w:r>
        <w:rPr>
          <w:rFonts w:hint="eastAsia" w:ascii="宋体" w:hAnsi="宋体" w:cs="宋体"/>
          <w:b/>
          <w:color w:val="auto"/>
          <w:kern w:val="0"/>
          <w:szCs w:val="21"/>
          <w:highlight w:val="none"/>
        </w:rPr>
        <w:t xml:space="preserve">16.1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如果承包人是联合体经营，则联合体各方应共同与发包人签订合同协议书，并在工程开工前签订联合体施工协议书，作为本合同的附件。该联合体各方都应在合同履行期间对发包人负有共同的和各自的责任。</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0144" behindDoc="0" locked="0" layoutInCell="1" allowOverlap="1">
                <wp:simplePos x="0" y="0"/>
                <wp:positionH relativeFrom="column">
                  <wp:posOffset>-114300</wp:posOffset>
                </wp:positionH>
                <wp:positionV relativeFrom="paragraph">
                  <wp:posOffset>245745</wp:posOffset>
                </wp:positionV>
                <wp:extent cx="914400" cy="495300"/>
                <wp:effectExtent l="0" t="0" r="0" b="0"/>
                <wp:wrapNone/>
                <wp:docPr id="360" name="文本框 36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5pt;height:39pt;width:72pt;z-index:251910144;mso-width-relative:page;mso-height-relative:page;" filled="f" stroked="f" coordsize="21600,21600" o:gfxdata="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7HiBtgAAAAKAQAADwAAAAAAAAABACAAAAAiAAAAZHJzL2Rvd25y&#10;ZXYueG1sUEsBAhQAFAAAAAgAh07iQMfgUYn+AQAA2AMAAA4AAAAAAAAAAQAgAAAAJ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联合体文件签暑</w:t>
                      </w:r>
                    </w:p>
                  </w:txbxContent>
                </v:textbox>
              </v:shape>
            </w:pict>
          </mc:Fallback>
        </mc:AlternateContent>
      </w:r>
      <w:r>
        <w:rPr>
          <w:rFonts w:hint="eastAsia" w:ascii="宋体" w:hAnsi="宋体" w:cs="宋体"/>
          <w:b/>
          <w:color w:val="auto"/>
          <w:kern w:val="0"/>
          <w:szCs w:val="21"/>
          <w:highlight w:val="none"/>
        </w:rPr>
        <w:t xml:space="preserve">16.2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联合体应有一个被授权的、对联合体各方有约束力的牵头人，由其负责与发包人、监理人和工程造价咨询人联系，组织联合体各方全面履行合同。该牵头人应指派专职代表负责，履行合同的有关文件由该专职代表签署。未经发包人事先书面同意，联合体的组成、结构和施工协议书不得随意变动。</w:t>
      </w:r>
    </w:p>
    <w:p>
      <w:pPr>
        <w:tabs>
          <w:tab w:val="left" w:pos="1620"/>
        </w:tabs>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beforeLines="100" w:line="240" w:lineRule="exact"/>
        <w:ind w:right="-238" w:firstLine="601"/>
        <w:rPr>
          <w:rFonts w:ascii="宋体" w:hAnsi="宋体" w:cs="宋体"/>
          <w:b/>
          <w:color w:val="auto"/>
          <w:kern w:val="0"/>
          <w:szCs w:val="21"/>
          <w:highlight w:val="none"/>
        </w:rPr>
      </w:pPr>
    </w:p>
    <w:p>
      <w:pPr>
        <w:tabs>
          <w:tab w:val="left" w:pos="105"/>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17  保障</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6544" behindDoc="0" locked="0" layoutInCell="1" allowOverlap="1">
                <wp:simplePos x="0" y="0"/>
                <wp:positionH relativeFrom="column">
                  <wp:posOffset>0</wp:posOffset>
                </wp:positionH>
                <wp:positionV relativeFrom="paragraph">
                  <wp:posOffset>181610</wp:posOffset>
                </wp:positionV>
                <wp:extent cx="914400" cy="594360"/>
                <wp:effectExtent l="0" t="0" r="0" b="0"/>
                <wp:wrapNone/>
                <wp:docPr id="359" name="文本框 359"/>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0pt;margin-top:14.3pt;height:46.8pt;width:72pt;z-index:251756544;mso-width-relative:page;mso-height-relative:page;" filled="f" stroked="f" coordsize="21600,21600" o:gfxdata="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hgkNUAAAAHAQAADwAAAAAAAAABACAAAAAiAAAAZHJzL2Rvd25y&#10;ZXYueG1sUEsBAhQAFAAAAAgAh07iQFBFCtM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合同双方相互保障</w:t>
                      </w:r>
                    </w:p>
                  </w:txbxContent>
                </v:textbox>
              </v:shape>
            </w:pict>
          </mc:Fallback>
        </mc:AlternateContent>
      </w:r>
      <w:r>
        <w:rPr>
          <w:rFonts w:hint="eastAsia" w:ascii="宋体" w:hAnsi="宋体" w:cs="宋体"/>
          <w:b/>
          <w:color w:val="auto"/>
          <w:kern w:val="0"/>
          <w:szCs w:val="21"/>
          <w:highlight w:val="none"/>
        </w:rPr>
        <w:t xml:space="preserve">17.1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负责和保障另一方当事人不因其自身的行为或疏忽而引起的一切损害、损失和赔偿。但受保障的一方当事人应积极采取合理措施减少可能发生的损失或损害。因受保障的一方当事人未采取合理措施而导致损失扩大，则损失扩大部分由其自身承担。</w:t>
      </w:r>
    </w:p>
    <w:p>
      <w:pPr>
        <w:tabs>
          <w:tab w:val="left" w:pos="1202"/>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57568" behindDoc="0" locked="0" layoutInCell="1" allowOverlap="1">
                <wp:simplePos x="0" y="0"/>
                <wp:positionH relativeFrom="column">
                  <wp:posOffset>-114300</wp:posOffset>
                </wp:positionH>
                <wp:positionV relativeFrom="paragraph">
                  <wp:posOffset>240665</wp:posOffset>
                </wp:positionV>
                <wp:extent cx="914400" cy="534670"/>
                <wp:effectExtent l="0" t="0" r="0" b="0"/>
                <wp:wrapNone/>
                <wp:docPr id="358" name="文本框 358"/>
                <wp:cNvGraphicFramePr/>
                <a:graphic xmlns:a="http://schemas.openxmlformats.org/drawingml/2006/main">
                  <a:graphicData uri="http://schemas.microsoft.com/office/word/2010/wordprocessingShape">
                    <wps:wsp>
                      <wps:cNvSpPr txBox="1">
                        <a:spLocks noChangeArrowheads="1"/>
                      </wps:cNvSpPr>
                      <wps:spPr bwMode="auto">
                        <a:xfrm>
                          <a:off x="0" y="0"/>
                          <a:ext cx="914400" cy="5346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95pt;height:42.1pt;width:72pt;z-index:251757568;mso-width-relative:page;mso-height-relative:page;" filled="f" stroked="f" coordsize="21600,21600" o:gfxdata="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geQZ9gAAAAKAQAADwAAAAAAAAABACAAAAAiAAAAZHJzL2Rv&#10;d25yZXYueG1sUEsBAhQAFAAAAAgAh07iQNDBcuQ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承包人对发包人的保障</w:t>
                      </w:r>
                    </w:p>
                  </w:txbxContent>
                </v:textbox>
              </v:shape>
            </w:pict>
          </mc:Fallback>
        </mc:AlternateContent>
      </w:r>
      <w:r>
        <w:rPr>
          <w:rFonts w:hint="eastAsia" w:ascii="宋体" w:hAnsi="宋体" w:cs="宋体"/>
          <w:b/>
          <w:color w:val="auto"/>
          <w:kern w:val="0"/>
          <w:szCs w:val="21"/>
          <w:highlight w:val="none"/>
        </w:rPr>
        <w:t xml:space="preserve">17.2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承包人应保障发包人不承担因承包人移动或使用施工场地外的施工设备和临时设施所造成的损害而引起的赔偿。</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b/>
          <w:color w:val="auto"/>
          <w:szCs w:val="21"/>
          <w:highlight w:val="none"/>
        </w:rPr>
      </w:pPr>
    </w:p>
    <w:p>
      <w:pPr>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18  财产</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18.1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8592" behindDoc="0" locked="0" layoutInCell="1" allowOverlap="1">
                <wp:simplePos x="0" y="0"/>
                <wp:positionH relativeFrom="column">
                  <wp:posOffset>-114300</wp:posOffset>
                </wp:positionH>
                <wp:positionV relativeFrom="paragraph">
                  <wp:posOffset>0</wp:posOffset>
                </wp:positionV>
                <wp:extent cx="914400" cy="724535"/>
                <wp:effectExtent l="0" t="0" r="0" b="0"/>
                <wp:wrapNone/>
                <wp:docPr id="357" name="文本框 357"/>
                <wp:cNvGraphicFramePr/>
                <a:graphic xmlns:a="http://schemas.openxmlformats.org/drawingml/2006/main">
                  <a:graphicData uri="http://schemas.microsoft.com/office/word/2010/wordprocessingShape">
                    <wps:wsp>
                      <wps:cNvSpPr txBox="1">
                        <a:spLocks noChangeArrowheads="1"/>
                      </wps:cNvSpPr>
                      <wps:spPr bwMode="auto">
                        <a:xfrm>
                          <a:off x="0" y="0"/>
                          <a:ext cx="914400" cy="7245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7.05pt;width:72pt;z-index:251758592;mso-width-relative:page;mso-height-relative:page;" filled="f" stroked="f" coordsize="21600,21600" o:gfxdata="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Usi51QAAAAgBAAAPAAAAAAAAAAEAIAAAACIAAABkcnMvZG93bnJl&#10;di54bWxQSwECFAAUAAAACACHTuJA+RcY+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用于工程材料、工程设备和施工设备的</w:t>
                      </w:r>
                    </w:p>
                  </w:txbxContent>
                </v:textbox>
              </v:shape>
            </w:pict>
          </mc:Fallback>
        </mc:AlternateContent>
      </w:r>
      <w:r>
        <w:rPr>
          <w:rFonts w:hint="eastAsia" w:ascii="宋体" w:hAnsi="宋体" w:cs="宋体"/>
          <w:color w:val="auto"/>
          <w:szCs w:val="21"/>
          <w:highlight w:val="none"/>
        </w:rPr>
        <w:t>合同工程所需的材料、工程设备（包括备品备件、安装专用工器具与随机资料）和承包人的施工设备一经运至施工现场，即成为实施合同工程的财产。没有经监理工程师同意并由其报发包人批准，承包人不得使用合同工程的财产，也不得将实施合同工程的财产运出施工现场，但用于运送材料和工程设备、施工设备和雇员的运输工具除外。</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59616" behindDoc="0" locked="0" layoutInCell="1" allowOverlap="1">
                <wp:simplePos x="0" y="0"/>
                <wp:positionH relativeFrom="column">
                  <wp:posOffset>-114300</wp:posOffset>
                </wp:positionH>
                <wp:positionV relativeFrom="paragraph">
                  <wp:posOffset>282575</wp:posOffset>
                </wp:positionV>
                <wp:extent cx="914400" cy="460375"/>
                <wp:effectExtent l="0" t="0" r="0" b="0"/>
                <wp:wrapNone/>
                <wp:docPr id="356" name="文本框 356"/>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36.25pt;width:72pt;z-index:251759616;mso-width-relative:page;mso-height-relative:page;" filled="f" stroked="f" coordsize="21600,21600" o:gfxdata="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6GjUt1wAAAAoBAAAPAAAAAAAAAAEAIAAAACIAAABkcnMvZG93&#10;bnJldi54bWxQSwECFAAUAAAACACHTuJAToxrXgECAADY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发包人财产及其使用</w:t>
                      </w:r>
                    </w:p>
                  </w:txbxContent>
                </v:textbox>
              </v:shape>
            </w:pict>
          </mc:Fallback>
        </mc:AlternateContent>
      </w:r>
      <w:r>
        <w:rPr>
          <w:rFonts w:hint="eastAsia" w:ascii="宋体" w:hAnsi="宋体" w:cs="宋体"/>
          <w:b/>
          <w:color w:val="auto"/>
          <w:szCs w:val="21"/>
          <w:highlight w:val="none"/>
        </w:rPr>
        <w:t xml:space="preserve">18.2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依据第87.3款规定的情形解除合同，则现场的所有材料和工程设备（周转性材料除外）和合同工程，均应认为是发包人的财产。发包人有权留下承包人的任何施工设备、周转性材料，且无需为此支付任何费用，直到永久工程完工为止。</w:t>
      </w:r>
    </w:p>
    <w:p>
      <w:pPr>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0640" behindDoc="0" locked="0" layoutInCell="1" allowOverlap="1">
                <wp:simplePos x="0" y="0"/>
                <wp:positionH relativeFrom="column">
                  <wp:posOffset>-114300</wp:posOffset>
                </wp:positionH>
                <wp:positionV relativeFrom="paragraph">
                  <wp:posOffset>282575</wp:posOffset>
                </wp:positionV>
                <wp:extent cx="914400" cy="544195"/>
                <wp:effectExtent l="0" t="0" r="0" b="0"/>
                <wp:wrapNone/>
                <wp:docPr id="355" name="文本框 355"/>
                <wp:cNvGraphicFramePr/>
                <a:graphic xmlns:a="http://schemas.openxmlformats.org/drawingml/2006/main">
                  <a:graphicData uri="http://schemas.microsoft.com/office/word/2010/wordprocessingShape">
                    <wps:wsp>
                      <wps:cNvSpPr txBox="1">
                        <a:spLocks noChangeArrowheads="1"/>
                      </wps:cNvSpPr>
                      <wps:spPr bwMode="auto">
                        <a:xfrm>
                          <a:off x="0" y="0"/>
                          <a:ext cx="914400" cy="5441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25pt;height:42.85pt;width:72pt;z-index:251760640;mso-width-relative:page;mso-height-relative:page;" filled="f" stroked="f" coordsize="21600,21600" o:gfxdata="UEsDBAoAAAAAAIdO4kAAAAAAAAAAAAAAAAAEAAAAZHJzL1BLAwQUAAAACACHTuJApbsBX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bsBXNgAAAAKAQAADwAAAAAAAAABACAAAAAiAAAAZHJzL2Rv&#10;d25yZXYueG1sUEsBAhQAFAAAAAgAh07iQJq3WkIBAgAA2AMAAA4AAAAAAAAAAQAgAAAAJw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承包人财产及其使用</w:t>
                      </w:r>
                    </w:p>
                  </w:txbxContent>
                </v:textbox>
              </v:shape>
            </w:pict>
          </mc:Fallback>
        </mc:AlternateContent>
      </w:r>
      <w:r>
        <w:rPr>
          <w:rFonts w:hint="eastAsia" w:ascii="宋体" w:hAnsi="宋体" w:cs="宋体"/>
          <w:b/>
          <w:color w:val="auto"/>
          <w:szCs w:val="21"/>
          <w:highlight w:val="none"/>
        </w:rPr>
        <w:t xml:space="preserve">18.3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依据第87.4款规定的情形解除合同，则承包人有权要求发包人支付已完工程款，并赔偿因此造成的损失。发包人应为承包人撤出现场提供便利和协助。如发包人未付完相关款项，承包人有权留置施工现场，直到发包人付完款项为止。</w:t>
      </w:r>
    </w:p>
    <w:p>
      <w:pPr>
        <w:spacing w:line="360" w:lineRule="auto"/>
        <w:outlineLvl w:val="1"/>
        <w:rPr>
          <w:rFonts w:ascii="宋体" w:hAnsi="宋体" w:cs="宋体"/>
          <w:b/>
          <w:bCs/>
          <w:color w:val="auto"/>
          <w:szCs w:val="21"/>
          <w:highlight w:val="non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二、合同主体</w:t>
      </w:r>
    </w:p>
    <w:p>
      <w:pPr>
        <w:spacing w:line="360" w:lineRule="auto"/>
        <w:jc w:val="center"/>
        <w:outlineLvl w:val="1"/>
        <w:rPr>
          <w:rFonts w:ascii="宋体" w:hAnsi="宋体" w:cs="宋体"/>
          <w:b/>
          <w:bCs/>
          <w:color w:val="auto"/>
          <w:szCs w:val="21"/>
          <w:highlight w:val="none"/>
        </w:rPr>
      </w:pPr>
    </w:p>
    <w:p>
      <w:pPr>
        <w:spacing w:beforeLines="50" w:afterLines="50" w:line="360" w:lineRule="auto"/>
        <w:rPr>
          <w:rFonts w:ascii="宋体" w:hAnsi="宋体" w:cs="宋体"/>
          <w:b/>
          <w:color w:val="auto"/>
          <w:szCs w:val="21"/>
          <w:highlight w:val="none"/>
        </w:rPr>
      </w:pPr>
      <w:r>
        <w:rPr>
          <w:rFonts w:hint="eastAsia" w:ascii="宋体" w:hAnsi="宋体" w:cs="宋体"/>
          <w:b/>
          <w:color w:val="auto"/>
          <w:szCs w:val="21"/>
          <w:highlight w:val="none"/>
        </w:rPr>
        <w:t>19  发包人</w:t>
      </w:r>
    </w:p>
    <w:p>
      <w:pPr>
        <w:tabs>
          <w:tab w:val="left" w:pos="1620"/>
        </w:tabs>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0624"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4" name="文本框 354"/>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0624;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kBHf0A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发包人在履行合同期间应遵守法律，并保证承包人免于承担因发包人违反法律而引起的任何责任。</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19.2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98880"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53" name="文本框 353"/>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898880;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hRaKZNUAAAAHAQAADwAAAAAAAAABACAAAAAiAAAAZHJzL2Rvd25y&#10;ZXYueG1sUEsBAhQAFAAAAAgAh07iQAwP2M8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发包人工作</w:t>
                      </w:r>
                    </w:p>
                  </w:txbxContent>
                </v:textbox>
              </v:shape>
            </w:pict>
          </mc:Fallback>
        </mc:AlternateContent>
      </w:r>
      <w:r>
        <w:rPr>
          <w:rFonts w:hint="eastAsia" w:ascii="宋体" w:hAnsi="宋体" w:cs="宋体"/>
          <w:color w:val="auto"/>
          <w:szCs w:val="21"/>
          <w:highlight w:val="none"/>
        </w:rPr>
        <w:t>发包人应按照合同约定完成下列工作，包括但不限于：</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办理土地征用、拆迁、平整施工场地等工作，使施工场地具备施工条件，并在开工后继续负责解决上述工作遗留的问题；</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将施工所需水、电、通讯线路从施工场地外部接驳至专用条款约定的地点，</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保证施工期间的需要；</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开通施工场地与城乡公共道路间的通道，满足第13条交通运输的需要；</w:t>
      </w:r>
    </w:p>
    <w:p>
      <w:pPr>
        <w:numPr>
          <w:ilvl w:val="0"/>
          <w:numId w:val="12"/>
        </w:numPr>
        <w:tabs>
          <w:tab w:val="left" w:pos="1080"/>
          <w:tab w:val="left" w:pos="1470"/>
          <w:tab w:val="left" w:pos="1980"/>
        </w:tabs>
        <w:spacing w:line="360" w:lineRule="auto"/>
        <w:ind w:left="1610" w:leftChars="749" w:hanging="37" w:hangingChars="18"/>
        <w:rPr>
          <w:rFonts w:ascii="宋体" w:hAnsi="宋体" w:cs="宋体"/>
          <w:color w:val="auto"/>
          <w:szCs w:val="21"/>
          <w:highlight w:val="none"/>
        </w:rPr>
      </w:pPr>
      <w:r>
        <w:rPr>
          <w:rFonts w:hint="eastAsia" w:ascii="宋体" w:hAnsi="宋体" w:cs="宋体"/>
          <w:color w:val="auto"/>
          <w:szCs w:val="21"/>
          <w:highlight w:val="none"/>
        </w:rPr>
        <w:t>向承包人提供施工场地的工程地质勘察资料，以及施工现场及毗邻区域内供水、排水、供电、供气、供热、通信、广播电视等地下管线资料，气象和水文观测资料，邻近建筑物和构筑物、地下工程的有关资料，并保证资料的真实、准确、完整；</w:t>
      </w:r>
    </w:p>
    <w:p>
      <w:pPr>
        <w:numPr>
          <w:ilvl w:val="0"/>
          <w:numId w:val="12"/>
        </w:numPr>
        <w:tabs>
          <w:tab w:val="left" w:pos="1080"/>
          <w:tab w:val="left" w:pos="1470"/>
          <w:tab w:val="left" w:pos="1980"/>
        </w:tabs>
        <w:spacing w:line="360" w:lineRule="auto"/>
        <w:ind w:left="1610" w:leftChars="748" w:hanging="39" w:hangingChars="19"/>
        <w:rPr>
          <w:rFonts w:ascii="宋体" w:hAnsi="宋体" w:cs="宋体"/>
          <w:color w:val="auto"/>
          <w:szCs w:val="21"/>
          <w:highlight w:val="none"/>
        </w:rPr>
      </w:pPr>
      <w:r>
        <w:rPr>
          <w:rFonts w:hint="eastAsia" w:ascii="宋体" w:hAnsi="宋体" w:cs="宋体"/>
          <w:color w:val="auto"/>
          <w:szCs w:val="21"/>
          <w:highlight w:val="none"/>
        </w:rPr>
        <w:t>办理施工许可及其他所需证件、批准文件和办理临时用地、停水、停电、中断道路交通、爆破作业等的申请批准手续（承包人自身施工资质的证件除外）；</w:t>
      </w:r>
    </w:p>
    <w:p>
      <w:pPr>
        <w:numPr>
          <w:ilvl w:val="0"/>
          <w:numId w:val="12"/>
        </w:numPr>
        <w:tabs>
          <w:tab w:val="left" w:pos="1080"/>
          <w:tab w:val="left" w:pos="1470"/>
          <w:tab w:val="left" w:pos="1980"/>
        </w:tabs>
        <w:spacing w:line="360" w:lineRule="auto"/>
        <w:ind w:left="1627" w:leftChars="750" w:hanging="52" w:hangingChars="25"/>
        <w:rPr>
          <w:rFonts w:ascii="宋体" w:hAnsi="宋体" w:cs="宋体"/>
          <w:color w:val="auto"/>
          <w:szCs w:val="21"/>
          <w:highlight w:val="none"/>
        </w:rPr>
      </w:pPr>
      <w:r>
        <w:rPr>
          <w:rFonts w:hint="eastAsia" w:ascii="宋体" w:hAnsi="宋体" w:cs="宋体"/>
          <w:color w:val="auto"/>
          <w:szCs w:val="21"/>
          <w:highlight w:val="none"/>
        </w:rPr>
        <w:t>确定水准点与坐标控制点，组织现场交验并以书面形式移交给承包人；</w:t>
      </w:r>
    </w:p>
    <w:p>
      <w:pPr>
        <w:tabs>
          <w:tab w:val="left" w:pos="1980"/>
        </w:tabs>
        <w:spacing w:line="360" w:lineRule="auto"/>
        <w:ind w:left="540" w:leftChars="257" w:firstLine="890" w:firstLineChars="424"/>
        <w:rPr>
          <w:rFonts w:ascii="宋体" w:hAnsi="宋体" w:cs="宋体"/>
          <w:color w:val="auto"/>
          <w:szCs w:val="21"/>
          <w:highlight w:val="none"/>
        </w:rPr>
      </w:pPr>
      <w:r>
        <w:rPr>
          <w:rFonts w:hint="eastAsia" w:ascii="宋体" w:hAnsi="宋体" w:cs="宋体"/>
          <w:color w:val="auto"/>
          <w:szCs w:val="21"/>
          <w:highlight w:val="none"/>
        </w:rPr>
        <w:t>(7) 按照专用条款约定的时间向承包人提供一式两份约定的标准与规范；</w:t>
      </w:r>
    </w:p>
    <w:p>
      <w:pPr>
        <w:tabs>
          <w:tab w:val="left" w:pos="1080"/>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(8) 组织承包人和设计人进行图纸会审和设计交底；</w:t>
      </w:r>
    </w:p>
    <w:p>
      <w:pPr>
        <w:tabs>
          <w:tab w:val="left" w:pos="1980"/>
        </w:tabs>
        <w:spacing w:line="360" w:lineRule="auto"/>
        <w:ind w:left="1575"/>
        <w:rPr>
          <w:rFonts w:ascii="宋体" w:hAnsi="宋体" w:cs="宋体"/>
          <w:color w:val="auto"/>
          <w:szCs w:val="21"/>
          <w:highlight w:val="none"/>
        </w:rPr>
      </w:pPr>
      <w:r>
        <w:rPr>
          <w:rFonts w:hint="eastAsia" w:ascii="宋体" w:hAnsi="宋体" w:cs="宋体"/>
          <w:color w:val="auto"/>
          <w:szCs w:val="21"/>
          <w:highlight w:val="none"/>
        </w:rPr>
        <w:t>(9)协调处理施工场地周围地形关系问题和做好邻近建筑物、构筑物（包括文物</w:t>
      </w:r>
    </w:p>
    <w:p>
      <w:pPr>
        <w:tabs>
          <w:tab w:val="left" w:pos="1980"/>
        </w:tabs>
        <w:spacing w:line="360" w:lineRule="auto"/>
        <w:ind w:left="1575" w:leftChars="750" w:firstLine="37" w:firstLineChars="18"/>
        <w:rPr>
          <w:rFonts w:ascii="宋体" w:hAnsi="宋体" w:cs="宋体"/>
          <w:color w:val="auto"/>
          <w:szCs w:val="21"/>
          <w:highlight w:val="none"/>
        </w:rPr>
      </w:pPr>
      <w:r>
        <w:rPr>
          <w:rFonts w:hint="eastAsia" w:ascii="宋体" w:hAnsi="宋体" w:cs="宋体"/>
          <w:color w:val="auto"/>
          <w:szCs w:val="21"/>
          <w:highlight w:val="none"/>
        </w:rPr>
        <w:t>保护建筑）、古树名木等的保护工作；</w:t>
      </w:r>
    </w:p>
    <w:p>
      <w:pPr>
        <w:tabs>
          <w:tab w:val="left" w:pos="1980"/>
        </w:tabs>
        <w:spacing w:line="360" w:lineRule="auto"/>
        <w:ind w:left="480" w:firstLine="997" w:firstLineChars="475"/>
        <w:rPr>
          <w:rFonts w:ascii="宋体" w:hAnsi="宋体" w:cs="宋体"/>
          <w:color w:val="auto"/>
          <w:szCs w:val="21"/>
          <w:highlight w:val="none"/>
        </w:rPr>
      </w:pPr>
      <w:r>
        <w:rPr>
          <w:rFonts w:hint="eastAsia" w:ascii="宋体" w:hAnsi="宋体" w:cs="宋体"/>
          <w:color w:val="auto"/>
          <w:szCs w:val="21"/>
          <w:highlight w:val="none"/>
        </w:rPr>
        <w:t>(10)及时接收已完工程，并按照合同约定及时支付工程款及其他各种款项。</w:t>
      </w:r>
    </w:p>
    <w:p>
      <w:pPr>
        <w:tabs>
          <w:tab w:val="left" w:pos="1980"/>
        </w:tabs>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发包人可将其中部分工作委托给承包人办理，具体由合同双方当事人在专用条款中约定。除合同价款已包括外，由发包人承担所需费用，并向承包人支付合理利润。</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19.3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1664"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52" name="文本框 35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1664;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kLuITtQAAAAHAQAADwAAAAAAAAABACAAAAAiAAAAZHJzL2Rvd25yZXYu&#10;eG1sUEsBAhQAFAAAAAgAh07iQKRIPWT/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发包人提供施工场地</w:t>
                      </w:r>
                    </w:p>
                  </w:txbxContent>
                </v:textbox>
              </v:shape>
            </w:pict>
          </mc:Fallback>
        </mc:AlternateContent>
      </w:r>
      <w:r>
        <w:rPr>
          <w:rFonts w:hint="eastAsia" w:ascii="宋体" w:hAnsi="宋体" w:cs="宋体"/>
          <w:color w:val="auto"/>
          <w:szCs w:val="21"/>
          <w:highlight w:val="none"/>
        </w:rPr>
        <w:t>发包人应按照专用条款约定的时间提供施工场地，并在确保承包人按照计划进度顺利开工的时间内给予承包人进入和使用施工场地的权利。</w:t>
      </w:r>
    </w:p>
    <w:p>
      <w:pPr>
        <w:spacing w:line="360" w:lineRule="auto"/>
        <w:ind w:left="1619" w:leftChars="771" w:firstLine="2"/>
        <w:rPr>
          <w:rFonts w:ascii="宋体" w:hAnsi="宋体" w:cs="宋体"/>
          <w:color w:val="auto"/>
          <w:szCs w:val="21"/>
          <w:highlight w:val="none"/>
        </w:rPr>
      </w:pPr>
      <w:r>
        <w:rPr>
          <w:rFonts w:hint="eastAsia" w:ascii="宋体" w:hAnsi="宋体" w:cs="宋体"/>
          <w:color w:val="auto"/>
          <w:szCs w:val="21"/>
          <w:highlight w:val="none"/>
        </w:rPr>
        <w:t>发包人保留其工作人员、雇员和相关执法人员进入和使用施工场地的权利。</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1648" behindDoc="0" locked="0" layoutInCell="1" allowOverlap="1">
                <wp:simplePos x="0" y="0"/>
                <wp:positionH relativeFrom="column">
                  <wp:posOffset>-114300</wp:posOffset>
                </wp:positionH>
                <wp:positionV relativeFrom="paragraph">
                  <wp:posOffset>15240</wp:posOffset>
                </wp:positionV>
                <wp:extent cx="914400" cy="715645"/>
                <wp:effectExtent l="0" t="0" r="0" b="0"/>
                <wp:wrapNone/>
                <wp:docPr id="351" name="文本框 351"/>
                <wp:cNvGraphicFramePr/>
                <a:graphic xmlns:a="http://schemas.openxmlformats.org/drawingml/2006/main">
                  <a:graphicData uri="http://schemas.microsoft.com/office/word/2010/wordprocessingShape">
                    <wps:wsp>
                      <wps:cNvSpPr txBox="1">
                        <a:spLocks noChangeArrowheads="1"/>
                      </wps:cNvSpPr>
                      <wps:spPr bwMode="auto">
                        <a:xfrm>
                          <a:off x="0" y="0"/>
                          <a:ext cx="914400" cy="71564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6.35pt;width:72pt;z-index:251931648;mso-width-relative:page;mso-height-relative:page;" filled="f" stroked="f" coordsize="21600,21600" o:gfxdata="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QxO5NYAAAAJAQAADwAAAAAAAAABACAAAAAiAAAAZHJzL2Rvd25y&#10;ZXYueG1sUEsBAhQAFAAAAAgAh07iQDtjPjY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发包人支付款项</w:t>
                      </w:r>
                    </w:p>
                  </w:txbxContent>
                </v:textbox>
              </v:shape>
            </w:pict>
          </mc:Fallback>
        </mc:AlternateContent>
      </w:r>
      <w:r>
        <w:rPr>
          <w:rFonts w:hint="eastAsia" w:ascii="宋体" w:hAnsi="宋体" w:cs="宋体"/>
          <w:color w:val="auto"/>
          <w:szCs w:val="21"/>
          <w:highlight w:val="none"/>
        </w:rPr>
        <w:t>发包人应按照合同约定的期限和方式向承包人支付工程款及其他应支付的款项。</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2672" behindDoc="0" locked="0" layoutInCell="1" allowOverlap="1">
                <wp:simplePos x="0" y="0"/>
                <wp:positionH relativeFrom="column">
                  <wp:posOffset>-114300</wp:posOffset>
                </wp:positionH>
                <wp:positionV relativeFrom="paragraph">
                  <wp:posOffset>15240</wp:posOffset>
                </wp:positionV>
                <wp:extent cx="914400" cy="852170"/>
                <wp:effectExtent l="0" t="0" r="0" b="0"/>
                <wp:wrapNone/>
                <wp:docPr id="350" name="文本框 350"/>
                <wp:cNvGraphicFramePr/>
                <a:graphic xmlns:a="http://schemas.openxmlformats.org/drawingml/2006/main">
                  <a:graphicData uri="http://schemas.microsoft.com/office/word/2010/wordprocessingShape">
                    <wps:wsp>
                      <wps:cNvSpPr txBox="1">
                        <a:spLocks noChangeArrowheads="1"/>
                      </wps:cNvSpPr>
                      <wps:spPr bwMode="auto">
                        <a:xfrm>
                          <a:off x="0" y="0"/>
                          <a:ext cx="914400" cy="85217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67.1pt;width:72pt;z-index:251932672;mso-width-relative:page;mso-height-relative:page;" filled="f" stroked="f" coordsize="21600,21600" o:gfxdata="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csd5dYAAAAJAQAADwAAAAAAAAABACAAAAAiAAAAZHJzL2Rvd25y&#10;ZXYueG1sUEsBAhQAFAAAAAgAh07iQJHphjQAAgAA2AMAAA4AAAAAAAAAAQAgAAAAJQ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发包人组织竣工验收</w:t>
                      </w:r>
                    </w:p>
                  </w:txbxContent>
                </v:textbox>
              </v:shape>
            </w:pict>
          </mc:Fallback>
        </mc:AlternateContent>
      </w:r>
      <w:r>
        <w:rPr>
          <w:rFonts w:hint="eastAsia" w:ascii="宋体" w:hAnsi="宋体" w:cs="宋体"/>
          <w:color w:val="auto"/>
          <w:szCs w:val="21"/>
          <w:highlight w:val="none"/>
        </w:rPr>
        <w:t>发包人应按照第58条规定组织承包人、设计人、监理人和工程造价咨询人等进行竣工验收。</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2688" behindDoc="0" locked="0" layoutInCell="1" allowOverlap="1">
                <wp:simplePos x="0" y="0"/>
                <wp:positionH relativeFrom="column">
                  <wp:posOffset>-114300</wp:posOffset>
                </wp:positionH>
                <wp:positionV relativeFrom="paragraph">
                  <wp:posOffset>273050</wp:posOffset>
                </wp:positionV>
                <wp:extent cx="914400" cy="116268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914400" cy="116268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5pt;height:91.55pt;width:72pt;z-index:251762688;mso-width-relative:page;mso-height-relative:page;" filled="f" stroked="f" coordsize="21600,21600" o:gfxdata="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LMi0l1wAAAAoBAAAPAAAAAAAAAAEAIAAAACIAAABkcnMvZG93&#10;bnJldi54bWxQSwECFAAUAAAACACHTuJA8ahSyAECAADZAwAADgAAAAAAAAABACAAAAAm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发包人供应材料和工程设备要求</w:t>
                      </w:r>
                    </w:p>
                  </w:txbxContent>
                </v:textbox>
              </v:shape>
            </w:pict>
          </mc:Fallback>
        </mc:AlternateContent>
      </w:r>
      <w:r>
        <w:rPr>
          <w:rFonts w:hint="eastAsia" w:ascii="宋体" w:hAnsi="宋体" w:cs="宋体"/>
          <w:b/>
          <w:color w:val="auto"/>
          <w:szCs w:val="21"/>
          <w:highlight w:val="none"/>
        </w:rPr>
        <w:t xml:space="preserve">19.6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发包人供应材料和工程设备的，发包人应按照第48条规定向承包人提供材料和工程设备。</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19.7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3712" behindDoc="0" locked="0" layoutInCell="1" allowOverlap="1">
                <wp:simplePos x="0" y="0"/>
                <wp:positionH relativeFrom="column">
                  <wp:posOffset>-114300</wp:posOffset>
                </wp:positionH>
                <wp:positionV relativeFrom="paragraph">
                  <wp:posOffset>0</wp:posOffset>
                </wp:positionV>
                <wp:extent cx="914400" cy="449580"/>
                <wp:effectExtent l="0" t="0" r="0" b="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发包人未尽义务的责任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5.4pt;width:72pt;z-index:251763712;mso-width-relative:page;mso-height-relative:page;" filled="f" stroked="f" coordsize="21600,21600" o:gfxdata="UEsDBAoAAAAAAIdO4kAAAAAAAAAAAAAAAAAEAAAAZHJzL1BLAwQUAAAACACHTuJAp3Dy2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ncPLa1AAAAAcBAAAPAAAAAAAAAAEAIAAAACIAAABkcnMvZG93bnJl&#10;di54bWxQSwECFAAUAAAACACHTuJAYRvV8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发包人未尽义务的责任</w:t>
                      </w:r>
                    </w:p>
                  </w:txbxContent>
                </v:textbox>
              </v:shape>
            </w:pict>
          </mc:Fallback>
        </mc:AlternateContent>
      </w:r>
      <w:r>
        <w:rPr>
          <w:rFonts w:hint="eastAsia" w:ascii="宋体" w:hAnsi="宋体" w:cs="宋体"/>
          <w:color w:val="auto"/>
          <w:szCs w:val="21"/>
          <w:highlight w:val="none"/>
        </w:rPr>
        <w:t>发包人未能正确完成本合同约定的全部义务，导致费用的增加和（或）延误的工期，由发包人承担；给承包人造成损失的，发包人应予赔偿。</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before="100" w:line="240" w:lineRule="exact"/>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20  承包人</w:t>
      </w:r>
    </w:p>
    <w:p>
      <w:pPr>
        <w:tabs>
          <w:tab w:val="left" w:pos="1620"/>
        </w:tabs>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20.1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3696" behindDoc="0" locked="0" layoutInCell="1" allowOverlap="1">
                <wp:simplePos x="0" y="0"/>
                <wp:positionH relativeFrom="column">
                  <wp:posOffset>-114300</wp:posOffset>
                </wp:positionH>
                <wp:positionV relativeFrom="paragraph">
                  <wp:posOffset>4445</wp:posOffset>
                </wp:positionV>
                <wp:extent cx="914400" cy="429895"/>
                <wp:effectExtent l="0" t="0" r="0" b="0"/>
                <wp:wrapNone/>
                <wp:docPr id="347" name="文本框 347"/>
                <wp:cNvGraphicFramePr/>
                <a:graphic xmlns:a="http://schemas.openxmlformats.org/drawingml/2006/main">
                  <a:graphicData uri="http://schemas.microsoft.com/office/word/2010/wordprocessingShape">
                    <wps:wsp>
                      <wps:cNvSpPr txBox="1">
                        <a:spLocks noChangeArrowheads="1"/>
                      </wps:cNvSpPr>
                      <wps:spPr bwMode="auto">
                        <a:xfrm>
                          <a:off x="0" y="0"/>
                          <a:ext cx="914400" cy="42989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遵守法律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3.85pt;width:72pt;z-index:251933696;mso-width-relative:page;mso-height-relative:page;" filled="f" stroked="f" coordsize="21600,21600" o:gfxdata="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Fopk1QAAAAcBAAAPAAAAAAAAAAEAIAAAACIAAABkcnMvZG93bnJl&#10;di54bWxQSwECFAAUAAAACACHTuJA+oHWN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遵守法律</w:t>
                      </w:r>
                    </w:p>
                  </w:txbxContent>
                </v:textbox>
              </v:shape>
            </w:pict>
          </mc:Fallback>
        </mc:AlternateContent>
      </w:r>
      <w:r>
        <w:rPr>
          <w:rFonts w:hint="eastAsia" w:ascii="宋体" w:hAnsi="宋体" w:cs="宋体"/>
          <w:color w:val="auto"/>
          <w:szCs w:val="21"/>
          <w:highlight w:val="none"/>
        </w:rPr>
        <w:t>承包人在履行合同期间应遵守法律，并保证发包人免于承担因承包人违反法律而引起的任何责任。</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20.2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62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4736" behindDoc="0" locked="0" layoutInCell="1" allowOverlap="1">
                <wp:simplePos x="0" y="0"/>
                <wp:positionH relativeFrom="column">
                  <wp:posOffset>-114300</wp:posOffset>
                </wp:positionH>
                <wp:positionV relativeFrom="paragraph">
                  <wp:posOffset>0</wp:posOffset>
                </wp:positionV>
                <wp:extent cx="914400" cy="373380"/>
                <wp:effectExtent l="0" t="0" r="0" b="0"/>
                <wp:wrapNone/>
                <wp:docPr id="346" name="文本框 346"/>
                <wp:cNvGraphicFramePr/>
                <a:graphic xmlns:a="http://schemas.openxmlformats.org/drawingml/2006/main">
                  <a:graphicData uri="http://schemas.microsoft.com/office/word/2010/wordprocessingShape">
                    <wps:wsp>
                      <wps:cNvSpPr txBox="1">
                        <a:spLocks noChangeArrowheads="1"/>
                      </wps:cNvSpPr>
                      <wps:spPr bwMode="auto">
                        <a:xfrm>
                          <a:off x="0" y="0"/>
                          <a:ext cx="914400" cy="3733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9.4pt;width:72pt;z-index:251764736;mso-width-relative:page;mso-height-relative:page;" filled="f" stroked="f" coordsize="21600,21600" o:gfxdata="UEsDBAoAAAAAAIdO4kAAAAAAAAAAAAAAAAAEAAAAZHJzL1BLAwQUAAAACACHTuJAaKfto9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in7aPUAAAABwEAAA8AAAAAAAAAAQAgAAAAIgAAAGRycy9kb3ducmV2&#10;LnhtbFBLAQIUABQAAAAIAIdO4kBfDsX6AAIAANgDAAAOAAAAAAAAAAEAIAAAACMBAABkcnMvZTJv&#10;RG9jLnhtbFBLBQYAAAAABgAGAFkBAACV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承包人工作</w:t>
                      </w:r>
                    </w:p>
                  </w:txbxContent>
                </v:textbox>
              </v:shape>
            </w:pict>
          </mc:Fallback>
        </mc:AlternateContent>
      </w:r>
      <w:r>
        <w:rPr>
          <w:rFonts w:hint="eastAsia" w:ascii="宋体" w:hAnsi="宋体" w:cs="宋体"/>
          <w:color w:val="auto"/>
          <w:szCs w:val="21"/>
          <w:highlight w:val="none"/>
        </w:rPr>
        <w:t>承包人应按照合同约定完成下列工作，包括但不限于：</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按照合同约定和监理工程师的指令实施、完成并保修合同工程；</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按照合同约定和监理工程师的要求提交工程进度报告和进度计划；</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按照合同约定和造价工程师的要求提交支付申请和工程款报告，包括安全文明施工费、进度款、结算款和调整合同价款等；</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负责施工场地安全保卫工作，防止因工程施工造成的人身伤害和财产损失，提供和维修非夜间施工使用的照明、围栏设施等安全标志；</w:t>
      </w:r>
    </w:p>
    <w:p>
      <w:pPr>
        <w:numPr>
          <w:ilvl w:val="0"/>
          <w:numId w:val="13"/>
        </w:numPr>
        <w:tabs>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按照专用条款约定的数量和要求，向发包人提供施工场地办公和生活的房屋及设施，并在施工现场保留本合同、约定的标准与规范、变更资料等各一份，供监理工程师、造价工程师需要时使用；</w:t>
      </w:r>
    </w:p>
    <w:p>
      <w:pPr>
        <w:numPr>
          <w:ilvl w:val="0"/>
          <w:numId w:val="13"/>
        </w:numPr>
        <w:tabs>
          <w:tab w:val="left" w:pos="198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 xml:space="preserve">遵守政府部门有关施工场地交通、环境保护、施工噪声、安全文明施工等的管理规定，办理有关手续，并以书面形式通知发包人； </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在合同工程或其某单位工程已竣工未移交给发包人之前，负责已完工程的照管工作。工程接收证书颁发时尚有部分未竣工工程的，还应负责该未竣工工程的照管工作，直至竣工后移交给发包人为止。照管期间发生损坏的，应予以修复并承担费用；发包人要求采取特殊保护措施的，由发包人承担相应费用；</w:t>
      </w:r>
    </w:p>
    <w:p>
      <w:pPr>
        <w:numPr>
          <w:ilvl w:val="0"/>
          <w:numId w:val="13"/>
        </w:numPr>
        <w:tabs>
          <w:tab w:val="left" w:pos="1980"/>
          <w:tab w:val="left" w:pos="252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做好施工场地地下管线和邻近建筑物、构筑物（包括文物保护建筑）、古树</w:t>
      </w:r>
    </w:p>
    <w:p>
      <w:pPr>
        <w:tabs>
          <w:tab w:val="left" w:pos="1980"/>
          <w:tab w:val="left" w:pos="2520"/>
        </w:tabs>
        <w:spacing w:line="360" w:lineRule="auto"/>
        <w:ind w:left="1138" w:leftChars="542" w:firstLine="420" w:firstLineChars="200"/>
        <w:rPr>
          <w:rFonts w:ascii="宋体" w:hAnsi="宋体" w:cs="宋体"/>
          <w:color w:val="auto"/>
          <w:szCs w:val="21"/>
          <w:highlight w:val="none"/>
        </w:rPr>
      </w:pPr>
      <w:r>
        <w:rPr>
          <w:rFonts w:hint="eastAsia" w:ascii="宋体" w:hAnsi="宋体" w:cs="宋体"/>
          <w:color w:val="auto"/>
          <w:szCs w:val="21"/>
          <w:highlight w:val="none"/>
        </w:rPr>
        <w:t>名木的保护工作；</w:t>
      </w:r>
    </w:p>
    <w:p>
      <w:pPr>
        <w:numPr>
          <w:ilvl w:val="0"/>
          <w:numId w:val="13"/>
        </w:numPr>
        <w:tabs>
          <w:tab w:val="left" w:pos="1980"/>
          <w:tab w:val="left" w:pos="2520"/>
        </w:tabs>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遵守政府部门有关环境卫生的管理规定，保证施工场地的清洁和做好交工前施工现场的清理工作，并承担因自身责任造成的损失和罚款；</w:t>
      </w:r>
    </w:p>
    <w:p>
      <w:pPr>
        <w:numPr>
          <w:ilvl w:val="0"/>
          <w:numId w:val="13"/>
        </w:numPr>
        <w:tabs>
          <w:tab w:val="left" w:pos="1440"/>
          <w:tab w:val="left" w:pos="198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工程完工后，应按照合同约定提交竣工验收申请报告和竣工结算文件。</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20.3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5760"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45" name="文本框 345"/>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65760;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Y3ug4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承包人实施工作</w:t>
                      </w:r>
                    </w:p>
                  </w:txbxContent>
                </v:textbox>
              </v:shape>
            </w:pict>
          </mc:Fallback>
        </mc:AlternateContent>
      </w:r>
      <w:r>
        <w:rPr>
          <w:rFonts w:hint="eastAsia" w:ascii="宋体" w:hAnsi="宋体" w:cs="宋体"/>
          <w:color w:val="auto"/>
          <w:szCs w:val="21"/>
          <w:highlight w:val="none"/>
        </w:rPr>
        <w:t>承包人应按照合同约定和监理工程师指令实施、完成并保修合同工程。除专用条款另有约定外，承包人应提供为完成合同工程所需的劳务、材料、工程设备、施工设备和其他物品。如果承包人不按照合同约定或监理工程师依据合同发出的指令组织施工，且在监理工程师书面要求改正后的7天内仍未采取补救措施的，则发包人可自行或委托第三方进行补救，由此发生的费用和造成的损失由承包人承担。该笔款项经造价工程师核实后，由发包人从应支付或将支付给承包人的工程进度款或结算款中扣除。</w:t>
      </w:r>
    </w:p>
    <w:p>
      <w:pPr>
        <w:tabs>
          <w:tab w:val="left" w:pos="497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20.4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6784" behindDoc="0" locked="0" layoutInCell="1" allowOverlap="1">
                <wp:simplePos x="0" y="0"/>
                <wp:positionH relativeFrom="column">
                  <wp:posOffset>-114300</wp:posOffset>
                </wp:positionH>
                <wp:positionV relativeFrom="paragraph">
                  <wp:posOffset>22860</wp:posOffset>
                </wp:positionV>
                <wp:extent cx="914400" cy="1003935"/>
                <wp:effectExtent l="0" t="0" r="0" b="0"/>
                <wp:wrapNone/>
                <wp:docPr id="344" name="文本框 344"/>
                <wp:cNvGraphicFramePr/>
                <a:graphic xmlns:a="http://schemas.openxmlformats.org/drawingml/2006/main">
                  <a:graphicData uri="http://schemas.microsoft.com/office/word/2010/wordprocessingShape">
                    <wps:wsp>
                      <wps:cNvSpPr txBox="1">
                        <a:spLocks noChangeArrowheads="1"/>
                      </wps:cNvSpPr>
                      <wps:spPr bwMode="auto">
                        <a:xfrm>
                          <a:off x="0" y="0"/>
                          <a:ext cx="914400" cy="100393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pt;height:79.05pt;width:72pt;z-index:251766784;mso-width-relative:page;mso-height-relative:page;" filled="f" stroked="f" coordsize="21600,21600" o:gfxdata="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q/gQnWAAAACQEAAA8AAAAAAAAAAQAgAAAAIgAAAGRycy9kb3du&#10;cmV2LnhtbFBLAQIUABQAAAAIAIdO4kCGFFwEAQIAANkDAAAOAAAAAAAAAAEAIAAAACU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承包人实施施工组织设计和工作安排</w:t>
                      </w:r>
                    </w:p>
                  </w:txbxContent>
                </v:textbox>
              </v:shape>
            </w:pict>
          </mc:Fallback>
        </mc:AlternateContent>
      </w:r>
      <w:r>
        <w:rPr>
          <w:rFonts w:hint="eastAsia" w:ascii="宋体" w:hAnsi="宋体" w:cs="宋体"/>
          <w:color w:val="auto"/>
          <w:szCs w:val="21"/>
          <w:highlight w:val="none"/>
        </w:rPr>
        <w:t>承包人对所有现场作业和施工方法的完备性、稳定性和安全性负责，并应按照合同约定的工作内容和施工进度要求，向监理工程师提交合同工程拟采用的施工组织设计和工作安排的详细说明。如承包人对施工组织设计和工作安排作出重大修改，应事先征得监理工程师同意。</w:t>
      </w:r>
    </w:p>
    <w:p>
      <w:pPr>
        <w:tabs>
          <w:tab w:val="left" w:pos="4970"/>
        </w:tabs>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20.5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497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7808" behindDoc="0" locked="0" layoutInCell="1" allowOverlap="1">
                <wp:simplePos x="0" y="0"/>
                <wp:positionH relativeFrom="column">
                  <wp:posOffset>-114300</wp:posOffset>
                </wp:positionH>
                <wp:positionV relativeFrom="paragraph">
                  <wp:posOffset>15240</wp:posOffset>
                </wp:positionV>
                <wp:extent cx="914400" cy="657860"/>
                <wp:effectExtent l="0" t="0" r="0" b="0"/>
                <wp:wrapNone/>
                <wp:docPr id="343" name="文本框 343"/>
                <wp:cNvGraphicFramePr/>
                <a:graphic xmlns:a="http://schemas.openxmlformats.org/drawingml/2006/main">
                  <a:graphicData uri="http://schemas.microsoft.com/office/word/2010/wordprocessingShape">
                    <wps:wsp>
                      <wps:cNvSpPr txBox="1">
                        <a:spLocks noChangeArrowheads="1"/>
                      </wps:cNvSpPr>
                      <wps:spPr bwMode="auto">
                        <a:xfrm>
                          <a:off x="0" y="0"/>
                          <a:ext cx="914400" cy="65786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51.8pt;width:72pt;z-index:251767808;mso-width-relative:page;mso-height-relative:page;" filled="f" stroked="f" coordsize="21600,21600" o:gfxdata="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ZQt8D1AAAAAkBAAAPAAAAAAAAAAEAIAAAACIAAABkcnMvZG93bnJl&#10;di54bWxQSwECFAAUAAAACACHTuJAZARNJgECAADYAwAADgAAAAAAAAABACAAAAAjAQAAZHJzL2Uy&#10;b0RvYy54bWxQSwUGAAAAAAYABgBZAQAAlg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承包人为发包人的人员提供配合</w:t>
                      </w:r>
                    </w:p>
                  </w:txbxContent>
                </v:textbox>
              </v:shape>
            </w:pict>
          </mc:Fallback>
        </mc:AlternateContent>
      </w:r>
      <w:r>
        <w:rPr>
          <w:rFonts w:hint="eastAsia" w:ascii="宋体" w:hAnsi="宋体" w:cs="宋体"/>
          <w:color w:val="auto"/>
          <w:kern w:val="0"/>
          <w:szCs w:val="21"/>
          <w:highlight w:val="none"/>
        </w:rPr>
        <w:t>承包人应按照合同约定或监理工程师的指令，配合和协助下述人员在施工场地及其附近实施与合同工程有关的各项工作：</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（1）发包人的工作人员；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（2）发包人的雇员；</w:t>
      </w:r>
    </w:p>
    <w:p>
      <w:pPr>
        <w:tabs>
          <w:tab w:val="left" w:pos="1980"/>
          <w:tab w:val="left" w:pos="497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（3）任何监督管理机构的执法人员。</w:t>
      </w:r>
    </w:p>
    <w:p>
      <w:pPr>
        <w:tabs>
          <w:tab w:val="left" w:pos="2520"/>
          <w:tab w:val="left" w:pos="4970"/>
        </w:tabs>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此类指令若增加了承包人的工作或支出，包括使用了承包人的设备、临时工程或通行道路等，则视为工程变更，按照第72条规定调整合同价款。</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20.6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4720" behindDoc="0" locked="0" layoutInCell="1" allowOverlap="1">
                <wp:simplePos x="0" y="0"/>
                <wp:positionH relativeFrom="column">
                  <wp:posOffset>-114300</wp:posOffset>
                </wp:positionH>
                <wp:positionV relativeFrom="paragraph">
                  <wp:posOffset>0</wp:posOffset>
                </wp:positionV>
                <wp:extent cx="914400" cy="792480"/>
                <wp:effectExtent l="0" t="0" r="0" b="0"/>
                <wp:wrapNone/>
                <wp:docPr id="342" name="文本框 342"/>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承包人避免施工损害他人利益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2.4pt;width:72pt;z-index:251934720;mso-width-relative:page;mso-height-relative:page;" filled="f" stroked="f" coordsize="21600,21600" o:gfxdata="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qTZUc1QAAAAgBAAAPAAAAAAAAAAEAIAAAACIAAABkcnMvZG93bnJl&#10;di54bWxQSwECFAAUAAAACACHTuJAJCUDtgACAADYAwAADgAAAAAAAAABACAAAAAk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承包人避免施工损害他人利益</w:t>
                      </w:r>
                    </w:p>
                  </w:txbxContent>
                </v:textbox>
              </v:shape>
            </w:pict>
          </mc:Fallback>
        </mc:AlternateContent>
      </w:r>
      <w:r>
        <w:rPr>
          <w:rFonts w:hint="eastAsia" w:ascii="宋体" w:hAnsi="宋体" w:cs="宋体"/>
          <w:color w:val="auto"/>
          <w:szCs w:val="21"/>
          <w:highlight w:val="none"/>
        </w:rPr>
        <w:t>承包人在施工过程中，不得侵害发包人与他人使用公用道路、水源、市政管网等公共设施的权利，避免对邻近的公共设施产生干扰。承包人占用或使用他人的施工场地，影响他人作业或生活的，应承担相应责任。</w:t>
      </w:r>
    </w:p>
    <w:p>
      <w:pPr>
        <w:tabs>
          <w:tab w:val="left" w:pos="4970"/>
        </w:tabs>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20.7  </w:t>
      </w:r>
      <w:r>
        <w:rPr>
          <w:rFonts w:hint="eastAsia" w:ascii="宋体" w:hAnsi="宋体" w:cs="宋体"/>
          <w:b/>
          <w:color w:val="auto"/>
          <w:szCs w:val="21"/>
          <w:highlight w:val="none"/>
          <w:u w:val="dotted"/>
        </w:rPr>
        <w:t xml:space="preserve">                                                                                                        </w:t>
      </w:r>
    </w:p>
    <w:p>
      <w:pPr>
        <w:tabs>
          <w:tab w:val="left" w:pos="497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68832" behindDoc="0" locked="0" layoutInCell="1" allowOverlap="1">
                <wp:simplePos x="0" y="0"/>
                <wp:positionH relativeFrom="column">
                  <wp:posOffset>-114300</wp:posOffset>
                </wp:positionH>
                <wp:positionV relativeFrom="paragraph">
                  <wp:posOffset>0</wp:posOffset>
                </wp:positionV>
                <wp:extent cx="914400" cy="495300"/>
                <wp:effectExtent l="0" t="0" r="0" b="0"/>
                <wp:wrapNone/>
                <wp:docPr id="341" name="文本框 34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承包人未尽义务的责任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9pt;width:72pt;z-index:251768832;mso-width-relative:page;mso-height-relative:page;" filled="f" stroked="f" coordsize="21600,21600" o:gfxdata="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C7iE7UAAAABwEAAA8AAAAAAAAAAQAgAAAAIgAAAGRycy9kb3ducmV2&#10;LnhtbFBLAQIUABQAAAAIAIdO4kDO2DSDAAIAANgDAAAOAAAAAAAAAAEAIAAAACM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承包人未尽义务的责任</w:t>
                      </w:r>
                    </w:p>
                  </w:txbxContent>
                </v:textbox>
              </v:shape>
            </w:pict>
          </mc:Fallback>
        </mc:AlternateContent>
      </w:r>
      <w:r>
        <w:rPr>
          <w:rFonts w:hint="eastAsia" w:ascii="宋体" w:hAnsi="宋体" w:cs="宋体"/>
          <w:color w:val="auto"/>
          <w:szCs w:val="21"/>
          <w:highlight w:val="none"/>
        </w:rPr>
        <w:t>承包人未能正确完成本合同约定的全部义务，导致费用的增加和（或）延误的工期，由承包人承担；给发包人造成损失的，承包人应予赔偿。</w:t>
      </w:r>
    </w:p>
    <w:p>
      <w:pPr>
        <w:adjustRightInd w:val="0"/>
        <w:snapToGrid w:val="0"/>
        <w:spacing w:line="48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21  现场管理人员任命和更换</w:t>
      </w:r>
    </w:p>
    <w:p>
      <w:pPr>
        <w:tabs>
          <w:tab w:val="left" w:pos="1320"/>
        </w:tabs>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21.1</w:t>
      </w:r>
    </w:p>
    <w:p>
      <w:pPr>
        <w:adjustRightInd w:val="0"/>
        <w:snapToGrid w:val="0"/>
        <w:spacing w:line="360" w:lineRule="auto"/>
        <w:ind w:left="1619" w:leftChars="771" w:right="-238"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69856" behindDoc="0" locked="0" layoutInCell="1" allowOverlap="1">
                <wp:simplePos x="0" y="0"/>
                <wp:positionH relativeFrom="column">
                  <wp:posOffset>-114300</wp:posOffset>
                </wp:positionH>
                <wp:positionV relativeFrom="paragraph">
                  <wp:posOffset>7620</wp:posOffset>
                </wp:positionV>
                <wp:extent cx="914400" cy="602615"/>
                <wp:effectExtent l="0" t="0" r="0" b="0"/>
                <wp:wrapNone/>
                <wp:docPr id="340" name="文本框 340"/>
                <wp:cNvGraphicFramePr/>
                <a:graphic xmlns:a="http://schemas.openxmlformats.org/drawingml/2006/main">
                  <a:graphicData uri="http://schemas.microsoft.com/office/word/2010/wordprocessingShape">
                    <wps:wsp>
                      <wps:cNvSpPr txBox="1">
                        <a:spLocks noChangeArrowheads="1"/>
                      </wps:cNvSpPr>
                      <wps:spPr bwMode="auto">
                        <a:xfrm>
                          <a:off x="0" y="0"/>
                          <a:ext cx="914400" cy="602615"/>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7.45pt;width:72pt;z-index:251769856;mso-width-relative:page;mso-height-relative:page;" filled="f" stroked="f" coordsize="21600,21600" o:gfxdata="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Tdb+dQAAAAIAQAADwAAAAAAAAABACAAAAAiAAAAZHJzL2Rvd25yZXYu&#10;eG1sUEsBAhQAFAAAAAgAh07iQEJiOKj/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发包人现场管理人员任命和更换</w:t>
                      </w:r>
                    </w:p>
                  </w:txbxContent>
                </v:textbox>
              </v:shape>
            </w:pict>
          </mc:Fallback>
        </mc:AlternateContent>
      </w:r>
      <w:r>
        <w:rPr>
          <w:rFonts w:hint="eastAsia" w:ascii="宋体" w:hAnsi="宋体" w:cs="宋体"/>
          <w:color w:val="auto"/>
          <w:kern w:val="0"/>
          <w:szCs w:val="21"/>
          <w:highlight w:val="none"/>
        </w:rPr>
        <w:t>发包人应任命代表发包人工作的现场管理人员，并在开工前将该任命书以书面形式通知承包人。该类管理人员可包括发包人代表、监理工程师、造价工程师等。国家、省规定发包人可不委托监理人和（或）工程造价咨询人，发包人因而没有任命监理工程师和（或）造价工程师的，本合同规定的监理工程师和（或）造价工程师及其代表的工作，由发包人代表担任。</w:t>
      </w:r>
    </w:p>
    <w:p>
      <w:pPr>
        <w:adjustRightInd w:val="0"/>
        <w:snapToGrid w:val="0"/>
        <w:spacing w:line="360" w:lineRule="auto"/>
        <w:ind w:left="1619" w:leftChars="771" w:right="-238" w:firstLine="2"/>
        <w:rPr>
          <w:rFonts w:ascii="宋体" w:hAnsi="宋体" w:cs="宋体"/>
          <w:color w:val="auto"/>
          <w:kern w:val="0"/>
          <w:szCs w:val="21"/>
          <w:highlight w:val="none"/>
        </w:rPr>
      </w:pPr>
      <w:r>
        <w:rPr>
          <w:rFonts w:hint="eastAsia" w:ascii="宋体" w:hAnsi="宋体" w:cs="宋体"/>
          <w:color w:val="auto"/>
          <w:kern w:val="0"/>
          <w:szCs w:val="21"/>
          <w:highlight w:val="none"/>
        </w:rPr>
        <w:t>发包人如需更换现场管理人员，应至少提前7天以书面形式通知承包人，否则该项更换无效。承包人应在收到通知后7天内予以回复，否则视为已收到通知。后任现场管理人员应继续行使合同规定的前任现场管理人员的职权和履行相应的义务。</w:t>
      </w:r>
    </w:p>
    <w:p>
      <w:pPr>
        <w:tabs>
          <w:tab w:val="left" w:pos="1320"/>
          <w:tab w:val="left" w:pos="16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0880" behindDoc="0" locked="0" layoutInCell="1" allowOverlap="1">
                <wp:simplePos x="0" y="0"/>
                <wp:positionH relativeFrom="column">
                  <wp:posOffset>-114300</wp:posOffset>
                </wp:positionH>
                <wp:positionV relativeFrom="paragraph">
                  <wp:posOffset>84455</wp:posOffset>
                </wp:positionV>
                <wp:extent cx="914400" cy="457200"/>
                <wp:effectExtent l="0" t="0" r="0" b="0"/>
                <wp:wrapNone/>
                <wp:docPr id="339" name="文本框 339"/>
                <wp:cNvGraphicFramePr/>
                <a:graphic xmlns:a="http://schemas.openxmlformats.org/drawingml/2006/main">
                  <a:graphicData uri="http://schemas.microsoft.com/office/word/2010/wordprocessingShape">
                    <wps:wsp>
                      <wps:cNvSpPr txBox="1">
                        <a:spLocks noChangeArrowheads="1"/>
                      </wps:cNvSpPr>
                      <wps:spPr bwMode="auto">
                        <a:xfrm>
                          <a:off x="0" y="0"/>
                          <a:ext cx="914400" cy="45720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65pt;height:36pt;width:72pt;z-index:251770880;mso-width-relative:page;mso-height-relative:page;" filled="f" stroked="f" coordsize="21600,21600" o:gfxdata="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8TAn6dYAAAAJAQAADwAAAAAAAAABACAAAAAiAAAAZHJzL2Rvd25yZXYu&#10;eG1sUEsBAhQAFAAAAAgAh07iQJuK4vb9AQAA2AMAAA4AAAAAAAAAAQAgAAAAJQ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承包人代表任命和更换</w:t>
                      </w:r>
                    </w:p>
                  </w:txbxContent>
                </v:textbox>
              </v:shape>
            </w:pict>
          </mc:Fallback>
        </mc:AlternateContent>
      </w:r>
      <w:r>
        <w:rPr>
          <w:rFonts w:hint="eastAsia" w:ascii="宋体" w:hAnsi="宋体" w:cs="宋体"/>
          <w:color w:val="auto"/>
          <w:kern w:val="0"/>
          <w:szCs w:val="21"/>
          <w:highlight w:val="none"/>
        </w:rPr>
        <w:t>承包人应任命代表承包人工作的承包人代表，该代表的人选应具有注册建造师执业资格，由承包人在开工前依法向发包人提出，经发包人同意后在专用条款中写明。建设行政主管部门有规定的，应遵守其规定；招标工程的承包人代表，应为响应文件所载明的人选。</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如需更换承包人代表，应取得发包人的同意和遵守建设行政主管部门的规定，并至少提前7天以书面形式通知发包人，否则该项更换无效。发包人应在收到通知后的7天内予以答复，否则视为同意。后任承包人代表应继续行使合同规定的前任承包人代表的职权和履行相应的义务。</w:t>
      </w:r>
    </w:p>
    <w:p>
      <w:pPr>
        <w:tabs>
          <w:tab w:val="left" w:pos="1320"/>
        </w:tabs>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 xml:space="preserve">21.3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6"/>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1904" behindDoc="0" locked="0" layoutInCell="1" allowOverlap="1">
                <wp:simplePos x="0" y="0"/>
                <wp:positionH relativeFrom="column">
                  <wp:posOffset>-83820</wp:posOffset>
                </wp:positionH>
                <wp:positionV relativeFrom="paragraph">
                  <wp:posOffset>46355</wp:posOffset>
                </wp:positionV>
                <wp:extent cx="1231900" cy="720725"/>
                <wp:effectExtent l="0" t="0" r="0" b="0"/>
                <wp:wrapNone/>
                <wp:docPr id="338" name="文本框 338"/>
                <wp:cNvGraphicFramePr/>
                <a:graphic xmlns:a="http://schemas.openxmlformats.org/drawingml/2006/main">
                  <a:graphicData uri="http://schemas.microsoft.com/office/word/2010/wordprocessingShape">
                    <wps:wsp>
                      <wps:cNvSpPr txBox="1">
                        <a:spLocks noChangeArrowheads="1"/>
                      </wps:cNvSpPr>
                      <wps:spPr bwMode="auto">
                        <a:xfrm>
                          <a:off x="0" y="0"/>
                          <a:ext cx="1231900" cy="720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3.65pt;height:56.75pt;width:97pt;z-index:251771904;mso-width-relative:page;mso-height-relative:page;" filled="f" stroked="f" coordsize="21600,21600" o:gfxdata="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VlyPVAAAACQEAAA8AAAAAAAAAAQAgAAAAIgAAAGRycy9kb3du&#10;cmV2LnhtbFBLAQIUABQAAAAIAIdO4kCjHZJY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w:t>
                      </w:r>
                    </w:p>
                    <w:p>
                      <w:pPr>
                        <w:spacing w:line="240" w:lineRule="exact"/>
                        <w:rPr>
                          <w:rFonts w:ascii="楷体_GB2312" w:hAnsi="宋体"/>
                          <w:b/>
                          <w:color w:val="000000"/>
                          <w:sz w:val="18"/>
                          <w:szCs w:val="18"/>
                        </w:rPr>
                      </w:pPr>
                      <w:r>
                        <w:rPr>
                          <w:rFonts w:hint="eastAsia" w:ascii="楷体_GB2312" w:hAnsi="宋体"/>
                          <w:b/>
                          <w:color w:val="000000"/>
                          <w:sz w:val="18"/>
                          <w:szCs w:val="18"/>
                        </w:rPr>
                        <w:t>造价工程师代</w:t>
                      </w:r>
                    </w:p>
                    <w:p>
                      <w:pPr>
                        <w:spacing w:line="240" w:lineRule="exact"/>
                        <w:rPr>
                          <w:rFonts w:ascii="楷体_GB2312" w:hAnsi="宋体"/>
                          <w:b/>
                          <w:color w:val="000000"/>
                          <w:sz w:val="18"/>
                          <w:szCs w:val="18"/>
                        </w:rPr>
                      </w:pPr>
                      <w:r>
                        <w:rPr>
                          <w:rFonts w:hint="eastAsia" w:ascii="楷体_GB2312" w:hAnsi="宋体"/>
                          <w:b/>
                          <w:color w:val="000000"/>
                          <w:sz w:val="18"/>
                          <w:szCs w:val="18"/>
                        </w:rPr>
                        <w:t>表任命和撤回</w:t>
                      </w:r>
                    </w:p>
                  </w:txbxContent>
                </v:textbox>
              </v:shape>
            </w:pict>
          </mc:Fallback>
        </mc:AlternateContent>
      </w:r>
      <w:r>
        <w:rPr>
          <w:rFonts w:hint="eastAsia" w:ascii="宋体" w:hAnsi="宋体" w:cs="宋体"/>
          <w:color w:val="auto"/>
          <w:kern w:val="0"/>
          <w:szCs w:val="21"/>
          <w:highlight w:val="none"/>
        </w:rPr>
        <w:t>除合同约定或依法应由监理工程师、造价工程师行使的职权外，监理工程师、造价工程师可将其职权以书面形式授予其任命的监理工程师、造价工程师代表，亦可将其授权撤回。任何此类任命或撤回，均应至少提前7天以书面形式通知承包人。未将有关文件送交承包人之前，任何此类任命或撤回均为无效。</w:t>
      </w:r>
    </w:p>
    <w:p>
      <w:pPr>
        <w:tabs>
          <w:tab w:val="left" w:pos="1320"/>
        </w:tabs>
        <w:adjustRightInd w:val="0"/>
        <w:snapToGrid w:val="0"/>
        <w:spacing w:line="360" w:lineRule="auto"/>
        <w:ind w:right="-238"/>
        <w:rPr>
          <w:rFonts w:ascii="宋体" w:hAnsi="宋体" w:cs="宋体"/>
          <w:b/>
          <w:color w:val="auto"/>
          <w:kern w:val="0"/>
          <w:szCs w:val="21"/>
          <w:highlight w:val="none"/>
        </w:rPr>
      </w:pPr>
    </w:p>
    <w:p>
      <w:pPr>
        <w:tabs>
          <w:tab w:val="left" w:pos="1320"/>
        </w:tabs>
        <w:adjustRightInd w:val="0"/>
        <w:snapToGrid w:val="0"/>
        <w:spacing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21.4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2928" behindDoc="0" locked="0" layoutInCell="1" allowOverlap="1">
                <wp:simplePos x="0" y="0"/>
                <wp:positionH relativeFrom="column">
                  <wp:posOffset>-114300</wp:posOffset>
                </wp:positionH>
                <wp:positionV relativeFrom="paragraph">
                  <wp:posOffset>35560</wp:posOffset>
                </wp:positionV>
                <wp:extent cx="914400" cy="559435"/>
                <wp:effectExtent l="0" t="0" r="0" b="0"/>
                <wp:wrapNone/>
                <wp:docPr id="337" name="文本框 337"/>
                <wp:cNvGraphicFramePr/>
                <a:graphic xmlns:a="http://schemas.openxmlformats.org/drawingml/2006/main">
                  <a:graphicData uri="http://schemas.microsoft.com/office/word/2010/wordprocessingShape">
                    <wps:wsp>
                      <wps:cNvSpPr txBox="1">
                        <a:spLocks noChangeArrowheads="1"/>
                      </wps:cNvSpPr>
                      <wps:spPr bwMode="auto">
                        <a:xfrm>
                          <a:off x="0" y="0"/>
                          <a:ext cx="914400" cy="5594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44.05pt;width:72pt;z-index:251772928;mso-width-relative:page;mso-height-relative:page;" filled="f" stroked="f" coordsize="21600,21600" o:gfxdata="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eIOGdYAAAAIAQAADwAAAAAAAAABACAAAAAiAAAAZHJzL2Rvd25y&#10;ZXYueG1sUEsBAhQAFAAAAAgAh07iQEW1zcQ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承包人代表授权人选任命和撤回</w:t>
                      </w:r>
                    </w:p>
                  </w:txbxContent>
                </v:textbox>
              </v:shape>
            </w:pict>
          </mc:Fallback>
        </mc:AlternateContent>
      </w:r>
      <w:r>
        <w:rPr>
          <w:rFonts w:hint="eastAsia" w:ascii="宋体" w:hAnsi="宋体" w:cs="宋体"/>
          <w:color w:val="auto"/>
          <w:kern w:val="0"/>
          <w:szCs w:val="21"/>
          <w:highlight w:val="none"/>
        </w:rPr>
        <w:t>除合同约定或依法应由承包人代表行使的职权外，承包人代表可将其职权以书</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面形式授予其任命的合格人选，亦可将其授权撤回。任何此类任命或撤回，均应至少提前7天以书面形式通知发包人和监理工程师、造价工程师。未将有关文件提交发包人和监理工程师、造价工程师之前，任何此类任命或撤回均为无效。</w:t>
      </w:r>
    </w:p>
    <w:p>
      <w:pPr>
        <w:spacing w:line="360" w:lineRule="auto"/>
        <w:rPr>
          <w:rFonts w:ascii="宋体" w:hAnsi="宋体" w:cs="宋体"/>
          <w:b/>
          <w:color w:val="auto"/>
          <w:szCs w:val="21"/>
          <w:highlight w:val="none"/>
          <w:u w:val="single"/>
        </w:rPr>
      </w:pPr>
      <w:r>
        <w:rPr>
          <w:rFonts w:hint="eastAsia" w:ascii="宋体" w:hAnsi="宋体" w:cs="宋体"/>
          <w:b/>
          <w:bCs/>
          <w:color w:val="auto"/>
          <w:szCs w:val="21"/>
          <w:highlight w:val="none"/>
          <w:u w:val="single"/>
        </w:rPr>
        <w:t xml:space="preserve">                  </w:t>
      </w: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bCs/>
          <w:color w:val="auto"/>
          <w:szCs w:val="21"/>
          <w:highlight w:val="none"/>
        </w:rPr>
      </w:pPr>
      <w:r>
        <w:rPr>
          <w:rFonts w:hint="eastAsia" w:ascii="宋体" w:hAnsi="宋体" w:cs="宋体"/>
          <w:b/>
          <w:bCs/>
          <w:color w:val="auto"/>
          <w:szCs w:val="21"/>
          <w:highlight w:val="none"/>
        </w:rPr>
        <w:t>22  发包人代表</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22.1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3952" behindDoc="0" locked="0" layoutInCell="1" allowOverlap="1">
                <wp:simplePos x="0" y="0"/>
                <wp:positionH relativeFrom="column">
                  <wp:posOffset>-114300</wp:posOffset>
                </wp:positionH>
                <wp:positionV relativeFrom="paragraph">
                  <wp:posOffset>53340</wp:posOffset>
                </wp:positionV>
                <wp:extent cx="914400" cy="443230"/>
                <wp:effectExtent l="0" t="0" r="0" b="0"/>
                <wp:wrapNone/>
                <wp:docPr id="336" name="文本框 336"/>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4.9pt;width:72pt;z-index:251773952;mso-width-relative:page;mso-height-relative:page;" filled="f" stroked="f" coordsize="21600,21600" o:gfxdata="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Cu6wF1QAAAAgBAAAPAAAAAAAAAAEAIAAAACIAAABkcnMvZG93bnJl&#10;di54bWxQSwECFAAUAAAACACHTuJAdt2WB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发包人对其代表授权</w:t>
                      </w:r>
                    </w:p>
                  </w:txbxContent>
                </v:textbox>
              </v:shape>
            </w:pict>
          </mc:Fallback>
        </mc:AlternateContent>
      </w:r>
      <w:r>
        <w:rPr>
          <w:rFonts w:hint="eastAsia" w:ascii="宋体" w:hAnsi="宋体" w:cs="宋体"/>
          <w:color w:val="auto"/>
          <w:kern w:val="0"/>
          <w:szCs w:val="21"/>
          <w:highlight w:val="none"/>
        </w:rPr>
        <w:t>发包人应在专用条款中写明发包人代表具体人选，并在开工前将发包人代表任命书以书面形式通知承包人，授予其代表发包人履行合同规定职责所需的一切权力。除专用条款另有约定外，发包人不应对发包人代表的权力另有限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22.2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4976" behindDoc="0" locked="0" layoutInCell="1" allowOverlap="1">
                <wp:simplePos x="0" y="0"/>
                <wp:positionH relativeFrom="column">
                  <wp:posOffset>-114300</wp:posOffset>
                </wp:positionH>
                <wp:positionV relativeFrom="paragraph">
                  <wp:posOffset>76200</wp:posOffset>
                </wp:positionV>
                <wp:extent cx="914400" cy="396240"/>
                <wp:effectExtent l="0" t="0" r="0" b="0"/>
                <wp:wrapNone/>
                <wp:docPr id="335" name="文本框 33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pt;height:31.2pt;width:72pt;z-index:251774976;mso-width-relative:page;mso-height-relative:page;" filled="f" stroked="f" coordsize="21600,21600" o:gfxdata="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2N7btYAAAAJAQAADwAAAAAAAAABACAAAAAiAAAAZHJzL2Rvd25y&#10;ZXYueG1sUEsBAhQAFAAAAAgAh07iQAnFnXI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发包人代表职权</w:t>
                      </w:r>
                    </w:p>
                  </w:txbxContent>
                </v:textbox>
              </v:shape>
            </w:pict>
          </mc:Fallback>
        </mc:AlternateContent>
      </w:r>
      <w:r>
        <w:rPr>
          <w:rFonts w:hint="eastAsia" w:ascii="宋体" w:hAnsi="宋体" w:cs="宋体"/>
          <w:color w:val="auto"/>
          <w:kern w:val="0"/>
          <w:szCs w:val="21"/>
          <w:highlight w:val="none"/>
        </w:rPr>
        <w:t>发包人代表应代表发包人履行合同规定的职责、行使合同明文规定和必然隐含的权力，对发包人负责。发包人代表在发包人授予职权范围内工作，发包人应予认可。</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spacing w:beforeLines="100" w:line="360" w:lineRule="auto"/>
        <w:rPr>
          <w:rFonts w:ascii="宋体" w:hAnsi="宋体" w:cs="宋体"/>
          <w:b/>
          <w:color w:val="auto"/>
          <w:szCs w:val="21"/>
          <w:highlight w:val="none"/>
        </w:rPr>
      </w:pPr>
      <w:r>
        <w:rPr>
          <w:rFonts w:hint="eastAsia" w:ascii="宋体" w:hAnsi="宋体" w:cs="宋体"/>
          <w:b/>
          <w:color w:val="auto"/>
          <w:szCs w:val="21"/>
          <w:highlight w:val="none"/>
        </w:rPr>
        <w:t>23  监理工程师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76000" behindDoc="0" locked="0" layoutInCell="1" allowOverlap="1">
                <wp:simplePos x="0" y="0"/>
                <wp:positionH relativeFrom="column">
                  <wp:posOffset>-114300</wp:posOffset>
                </wp:positionH>
                <wp:positionV relativeFrom="paragraph">
                  <wp:posOffset>53340</wp:posOffset>
                </wp:positionV>
                <wp:extent cx="914400" cy="389890"/>
                <wp:effectExtent l="0" t="0" r="0" b="0"/>
                <wp:wrapNone/>
                <wp:docPr id="334" name="文本框 334"/>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pt;height:30.7pt;width:72pt;z-index:251776000;mso-width-relative:page;mso-height-relative:page;" filled="f" stroked="f" coordsize="21600,21600" o:gfxdata="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GASC1QAAAAgBAAAPAAAAAAAAAAEAIAAAACIAAABkcnMvZG93bnJl&#10;di54bWxQSwECFAAUAAAACACHTuJAhMJm6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发包人对监理工程师授权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发包人应在专用条款中写明负责合同工程工程监理专业技术的监理人名称和监理工程师具体人选，并在开工前将监理工程师任命书以书面形式通知承包人，授予其代表发包人履行合同规定职责所需的权力。</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7024" behindDoc="0" locked="0" layoutInCell="1" allowOverlap="1">
                <wp:simplePos x="0" y="0"/>
                <wp:positionH relativeFrom="column">
                  <wp:posOffset>-114300</wp:posOffset>
                </wp:positionH>
                <wp:positionV relativeFrom="paragraph">
                  <wp:posOffset>38100</wp:posOffset>
                </wp:positionV>
                <wp:extent cx="914400" cy="483870"/>
                <wp:effectExtent l="0" t="0" r="0" b="0"/>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8.1pt;width:72pt;z-index:251777024;mso-width-relative:page;mso-height-relative:page;" filled="f" stroked="f" coordsize="21600,21600" o:gfxdata="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7H5hO1QAAAAgBAAAPAAAAAAAAAAEAIAAAACIAAABkcnMvZG93bnJl&#10;di54bWxQSwECFAAUAAAACACHTuJAnUlb0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w:t>
                      </w:r>
                    </w:p>
                  </w:txbxContent>
                </v:textbox>
              </v:shape>
            </w:pict>
          </mc:Fallback>
        </mc:AlternateContent>
      </w:r>
      <w:r>
        <w:rPr>
          <w:rFonts w:hint="eastAsia" w:ascii="宋体" w:hAnsi="宋体" w:cs="宋体"/>
          <w:color w:val="auto"/>
          <w:szCs w:val="21"/>
          <w:highlight w:val="none"/>
        </w:rPr>
        <w:t>监理工程师行使合同明文规定和必然隐含的职权，代表发包人负责监督、检查合同工程的进度、质量和安全，试验和检验承包人使用的与合同工程有关的材料、工程设备、施工设备和施工工艺，及时向承包人提供工作所需的批准、确认和通知等指令。监理工程师无权免除或变更合同规定的合同任何一方当事人在合同履行期间的权力、义务和责任。</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23.3  </w:t>
      </w:r>
      <w:r>
        <w:rPr>
          <w:rFonts w:hint="eastAsia" w:ascii="宋体" w:hAnsi="宋体" w:cs="宋体"/>
          <w:b/>
          <w:color w:val="auto"/>
          <w:szCs w:val="21"/>
          <w:highlight w:val="none"/>
          <w:u w:val="dotted"/>
        </w:rPr>
        <w:t xml:space="preserve">                                                                                                        </w:t>
      </w:r>
    </w:p>
    <w:p>
      <w:pPr>
        <w:spacing w:line="360" w:lineRule="auto"/>
        <w:ind w:left="1619" w:leftChars="771" w:firstLine="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8048" behindDoc="0" locked="0" layoutInCell="1" allowOverlap="1">
                <wp:simplePos x="0" y="0"/>
                <wp:positionH relativeFrom="column">
                  <wp:posOffset>-114300</wp:posOffset>
                </wp:positionH>
                <wp:positionV relativeFrom="paragraph">
                  <wp:posOffset>68580</wp:posOffset>
                </wp:positionV>
                <wp:extent cx="914400" cy="410210"/>
                <wp:effectExtent l="0" t="0" r="0" b="0"/>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2.3pt;width:72pt;z-index:251778048;mso-width-relative:page;mso-height-relative:page;" filled="f" stroked="f" coordsize="21600,21600" o:gfxdata="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BLaHVAAAACQEAAA8AAAAAAAAAAQAgAAAAIgAAAGRycy9kb3ducmV2&#10;LnhtbFBLAQIUABQAAAAIAIdO4kC+zs1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监理工程师职权限制</w:t>
                      </w:r>
                    </w:p>
                  </w:txbxContent>
                </v:textbox>
              </v:shape>
            </w:pict>
          </mc:Fallback>
        </mc:AlternateContent>
      </w:r>
      <w:r>
        <w:rPr>
          <w:rFonts w:hint="eastAsia" w:ascii="宋体" w:hAnsi="宋体" w:cs="宋体"/>
          <w:color w:val="auto"/>
          <w:szCs w:val="21"/>
          <w:highlight w:val="none"/>
        </w:rPr>
        <w:t>除属于第86条规定的争议外，监理工程师在职权范围内的工作，发包人应予认可，但下列事件应事先取得发包人的专项批准：</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根据第5.2款规定批准承包人提供的配合施工设计图纸；</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根据第7.2款规定同意承包人分包工程；</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根据第18.1款规定批准承包人将材料和工程设备、施工设备移出施工场地；</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根据第33条规定批准承包人的施工组织设计和工程进度计划；</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根据第34.2款规定发出的工程开工令；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根据第37.2款规定发出加快进度的变更指令；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根据第49.6款规定使用替换材料；</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根据第63条规定发出使用暂列金额的工作指令；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根据第64条规定发出使用计日工的工作指令；</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根据第56条规定指令或批准的工程变更；</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根据第75条规定指令或确认的现场签证；</w:t>
      </w:r>
    </w:p>
    <w:p>
      <w:pPr>
        <w:numPr>
          <w:ilvl w:val="0"/>
          <w:numId w:val="14"/>
        </w:num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79072" behindDoc="0" locked="0" layoutInCell="1" allowOverlap="1">
                <wp:simplePos x="0" y="0"/>
                <wp:positionH relativeFrom="column">
                  <wp:posOffset>-114300</wp:posOffset>
                </wp:positionH>
                <wp:positionV relativeFrom="paragraph">
                  <wp:posOffset>278130</wp:posOffset>
                </wp:positionV>
                <wp:extent cx="1028700" cy="457200"/>
                <wp:effectExtent l="0" t="0" r="0" b="0"/>
                <wp:wrapNone/>
                <wp:docPr id="331" name="文本框 331"/>
                <wp:cNvGraphicFramePr/>
                <a:graphic xmlns:a="http://schemas.openxmlformats.org/drawingml/2006/main">
                  <a:graphicData uri="http://schemas.microsoft.com/office/word/2010/wordprocessingShape">
                    <wps:wsp>
                      <wps:cNvSpPr txBox="1">
                        <a:spLocks noChangeArrowheads="1"/>
                      </wps:cNvSpPr>
                      <wps:spPr bwMode="auto">
                        <a:xfrm>
                          <a:off x="0" y="0"/>
                          <a:ext cx="1028700" cy="4572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6pt;width:81pt;z-index:251779072;mso-width-relative:page;mso-height-relative:page;" filled="f" stroked="f" coordsize="21600,21600" o:gfxdata="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OZhKhdcAAAAKAQAADwAAAAAAAAABACAAAAAiAAAAZHJzL2Rvd25y&#10;ZXYueG1sUEsBAhQAFAAAAAgAh07iQHIbtZb/AQAA2Q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监理工程师指</w:t>
                      </w:r>
                    </w:p>
                    <w:p>
                      <w:pPr>
                        <w:spacing w:line="240" w:lineRule="exact"/>
                        <w:rPr>
                          <w:rFonts w:ascii="宋体" w:hAnsi="宋体"/>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b/>
          <w:color w:val="auto"/>
          <w:szCs w:val="21"/>
          <w:highlight w:val="none"/>
        </w:rPr>
        <w:t xml:space="preserve">23.4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监理工程师应按照合同约定时间向承包人提供实施合同工程的进度、质量和安全工作所需的批准、确认和通知等指令。</w:t>
      </w:r>
    </w:p>
    <w:p>
      <w:pPr>
        <w:tabs>
          <w:tab w:val="left" w:pos="1260"/>
        </w:tabs>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监理工程师提供的指令，均应采用书面形式。在紧急情况下，监理工程师可发出口头指令，但应在48小时内给予书面确认。对监理工程师的口头指令，承包人应予执行。如果承包人在监理工程师发出口头指令48小时后未收到书面确认，则应在接到口头指令后的7天内向监理工程师发出书面确认函。监理工程师应在承包人发出书面确认函后48小时内给予答复；逾期未予答复的，视为承包人的书面确认函已被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0096" behindDoc="0" locked="0" layoutInCell="1" allowOverlap="1">
                <wp:simplePos x="0" y="0"/>
                <wp:positionH relativeFrom="column">
                  <wp:posOffset>-114300</wp:posOffset>
                </wp:positionH>
                <wp:positionV relativeFrom="paragraph">
                  <wp:posOffset>49530</wp:posOffset>
                </wp:positionV>
                <wp:extent cx="914400" cy="430530"/>
                <wp:effectExtent l="0" t="0" r="0" b="0"/>
                <wp:wrapNone/>
                <wp:docPr id="330" name="文本框 330"/>
                <wp:cNvGraphicFramePr/>
                <a:graphic xmlns:a="http://schemas.openxmlformats.org/drawingml/2006/main">
                  <a:graphicData uri="http://schemas.microsoft.com/office/word/2010/wordprocessingShape">
                    <wps:wsp>
                      <wps:cNvSpPr txBox="1">
                        <a:spLocks noChangeArrowheads="1"/>
                      </wps:cNvSpPr>
                      <wps:spPr bwMode="auto">
                        <a:xfrm>
                          <a:off x="0" y="0"/>
                          <a:ext cx="914400" cy="4305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33.9pt;width:72pt;z-index:251780096;mso-width-relative:page;mso-height-relative:page;" filled="f" stroked="f" coordsize="21600,21600" o:gfxdata="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lZ3x+tQAAAAIAQAADwAAAAAAAAABACAAAAAiAAAAZHJzL2Rvd25yZXYu&#10;eG1sUEsBAhQAFAAAAAgAh07iQB/Aq4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承包人执行监理工程师指令</w:t>
                      </w:r>
                    </w:p>
                  </w:txbxContent>
                </v:textbox>
              </v:shape>
            </w:pict>
          </mc:Fallback>
        </mc:AlternateContent>
      </w:r>
      <w:r>
        <w:rPr>
          <w:rFonts w:hint="eastAsia" w:ascii="宋体" w:hAnsi="宋体" w:cs="宋体"/>
          <w:color w:val="auto"/>
          <w:szCs w:val="21"/>
          <w:highlight w:val="none"/>
        </w:rPr>
        <w:t>如果承包人认为监理工程师的指令不合理，应在收到指令后24小时内向监理工程师提出书面报告，监理工程师应在收到承包人报告后24小时内做出修改指令或继续执行原指令的决定，并书面通知承包人。逾期不做出决定的，承包人可不执行监理工程师的指令。</w:t>
      </w:r>
    </w:p>
    <w:p>
      <w:pPr>
        <w:spacing w:line="360" w:lineRule="auto"/>
        <w:rPr>
          <w:rFonts w:ascii="宋体" w:hAnsi="宋体" w:cs="宋体"/>
          <w:color w:val="auto"/>
          <w:szCs w:val="21"/>
          <w:highlight w:val="none"/>
        </w:rPr>
      </w:pPr>
      <w:r>
        <w:rPr>
          <w:rFonts w:hint="eastAsia" w:ascii="宋体" w:hAnsi="宋体" w:cs="宋体"/>
          <w:b/>
          <w:color w:val="auto"/>
          <w:szCs w:val="21"/>
          <w:highlight w:val="none"/>
        </w:rPr>
        <w:t>23.6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1120" behindDoc="0" locked="0" layoutInCell="1" allowOverlap="1">
                <wp:simplePos x="0" y="0"/>
                <wp:positionH relativeFrom="column">
                  <wp:posOffset>-114300</wp:posOffset>
                </wp:positionH>
                <wp:positionV relativeFrom="paragraph">
                  <wp:posOffset>21590</wp:posOffset>
                </wp:positionV>
                <wp:extent cx="914400" cy="443230"/>
                <wp:effectExtent l="0" t="0" r="0" b="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914400" cy="4432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34.9pt;width:72pt;z-index:251781120;mso-width-relative:page;mso-height-relative:page;" filled="f" stroked="f" coordsize="21600,21600" o:gfxdata="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LIZsdYAAAAIAQAADwAAAAAAAAABACAAAAAiAAAAZHJzL2Rvd25y&#10;ZXYueG1sUEsBAhQAFAAAAAgAh07iQCzP/tc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监理工程师职权委托</w:t>
                      </w:r>
                    </w:p>
                  </w:txbxContent>
                </v:textbox>
              </v:shape>
            </w:pict>
          </mc:Fallback>
        </mc:AlternateContent>
      </w:r>
      <w:r>
        <w:rPr>
          <w:rFonts w:hint="eastAsia" w:ascii="宋体" w:hAnsi="宋体" w:cs="宋体"/>
          <w:color w:val="auto"/>
          <w:szCs w:val="21"/>
          <w:highlight w:val="none"/>
        </w:rPr>
        <w:t>监理工程师可按照第21.3款规定授权给其任命的监理工程师代表，亦可将其授权撤回。监理工程师代表行使监理工程师授予的职权，对监理工程师负责。监理工程师代表在监理工程师授予职权范围内工作，监理工程师应予认可，但监理工程师保留因监理工程师代表未反对合同工程的工程质量检查、材料和工程设备使用等工作的错误而否定该类工作，并发出纠正指令的权力。未按照第21.3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23.7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2144" behindDoc="0" locked="0" layoutInCell="1" allowOverlap="1">
                <wp:simplePos x="0" y="0"/>
                <wp:positionH relativeFrom="column">
                  <wp:posOffset>-114300</wp:posOffset>
                </wp:positionH>
                <wp:positionV relativeFrom="paragraph">
                  <wp:posOffset>29210</wp:posOffset>
                </wp:positionV>
                <wp:extent cx="914400" cy="610870"/>
                <wp:effectExtent l="0" t="0" r="0" b="0"/>
                <wp:wrapNone/>
                <wp:docPr id="328" name="文本框 328"/>
                <wp:cNvGraphicFramePr/>
                <a:graphic xmlns:a="http://schemas.openxmlformats.org/drawingml/2006/main">
                  <a:graphicData uri="http://schemas.microsoft.com/office/word/2010/wordprocessingShape">
                    <wps:wsp>
                      <wps:cNvSpPr txBox="1">
                        <a:spLocks noChangeArrowheads="1"/>
                      </wps:cNvSpPr>
                      <wps:spPr bwMode="auto">
                        <a:xfrm>
                          <a:off x="0" y="0"/>
                          <a:ext cx="914400" cy="610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8.1pt;width:72pt;z-index:251782144;mso-width-relative:page;mso-height-relative:page;" filled="f" stroked="f" coordsize="21600,21600" o:gfxdata="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qHM/WAAAACQEAAA8AAAAAAAAAAQAgAAAAIgAAAGRycy9kb3du&#10;cmV2LnhtbFBLAQIUABQAAAAIAIdO4kDWaBW+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监理工程师未尽义务或失误的责任</w:t>
                      </w:r>
                    </w:p>
                  </w:txbxContent>
                </v:textbox>
              </v:shape>
            </w:pict>
          </mc:Fallback>
        </mc:AlternateContent>
      </w:r>
      <w:r>
        <w:rPr>
          <w:rFonts w:hint="eastAsia" w:ascii="宋体" w:hAnsi="宋体" w:cs="宋体"/>
          <w:color w:val="auto"/>
          <w:szCs w:val="21"/>
          <w:highlight w:val="none"/>
        </w:rPr>
        <w:t>监理工程师（含其代表）未能正确完成本合同约定的全部义务，或工作出现失误，导致费用的增加和（或）延误的工期，由发包人承担；给承包人造成损失的，发包人应予赔偿。</w:t>
      </w:r>
    </w:p>
    <w:p>
      <w:pPr>
        <w:tabs>
          <w:tab w:val="left" w:pos="126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1260"/>
        </w:tabs>
        <w:spacing w:beforeLines="100"/>
        <w:rPr>
          <w:rFonts w:ascii="宋体" w:hAnsi="宋体" w:cs="宋体"/>
          <w:b/>
          <w:color w:val="auto"/>
          <w:szCs w:val="21"/>
          <w:highlight w:val="none"/>
        </w:rPr>
      </w:pPr>
      <w:r>
        <w:rPr>
          <w:rFonts w:hint="eastAsia" w:ascii="宋体" w:hAnsi="宋体" w:cs="宋体"/>
          <w:b/>
          <w:color w:val="auto"/>
          <w:szCs w:val="21"/>
          <w:highlight w:val="none"/>
        </w:rPr>
        <w:t>24  造价工程师</w:t>
      </w:r>
    </w:p>
    <w:p>
      <w:pPr>
        <w:tabs>
          <w:tab w:val="left" w:pos="1260"/>
        </w:tabs>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24.1                                                   </w:t>
      </w:r>
    </w:p>
    <w:p>
      <w:pPr>
        <w:tabs>
          <w:tab w:val="left" w:pos="1260"/>
          <w:tab w:val="left" w:pos="16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3168" behindDoc="0" locked="0" layoutInCell="1" allowOverlap="1">
                <wp:simplePos x="0" y="0"/>
                <wp:positionH relativeFrom="column">
                  <wp:posOffset>-114300</wp:posOffset>
                </wp:positionH>
                <wp:positionV relativeFrom="paragraph">
                  <wp:posOffset>45720</wp:posOffset>
                </wp:positionV>
                <wp:extent cx="914400" cy="449580"/>
                <wp:effectExtent l="0" t="0" r="0" b="0"/>
                <wp:wrapNone/>
                <wp:docPr id="327" name="文本框 327"/>
                <wp:cNvGraphicFramePr/>
                <a:graphic xmlns:a="http://schemas.openxmlformats.org/drawingml/2006/main">
                  <a:graphicData uri="http://schemas.microsoft.com/office/word/2010/wordprocessingShape">
                    <wps:wsp>
                      <wps:cNvSpPr txBox="1">
                        <a:spLocks noChangeArrowheads="1"/>
                      </wps:cNvSpPr>
                      <wps:spPr bwMode="auto">
                        <a:xfrm>
                          <a:off x="0" y="0"/>
                          <a:ext cx="914400" cy="4495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5.4pt;width:72pt;z-index:251783168;mso-width-relative:page;mso-height-relative:page;" filled="f" stroked="f" coordsize="21600,21600" o:gfxdata="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6OTFDTAAAACAEAAA8AAAAAAAAAAQAgAAAAIgAAAGRycy9kb3ducmV2&#10;LnhtbFBLAQIUABQAAAAIAIdO4kBK0RvbAQIAANg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发包人对造价工程师授权</w:t>
                      </w:r>
                    </w:p>
                  </w:txbxContent>
                </v:textbox>
              </v:shape>
            </w:pict>
          </mc:Fallback>
        </mc:AlternateContent>
      </w:r>
      <w:r>
        <w:rPr>
          <w:rFonts w:hint="eastAsia" w:ascii="宋体" w:hAnsi="宋体" w:cs="宋体"/>
          <w:color w:val="auto"/>
          <w:kern w:val="0"/>
          <w:szCs w:val="21"/>
          <w:highlight w:val="none"/>
        </w:rPr>
        <w:t>发包人应在专用条款中写明负责合同工程工程造价专业技术的工程造价咨询人名称和造价工程师具体人选，并在开工前将造价工程师任命书以书面形式通知承包人，授予其代表发包人履行合同规定职责所需的权力。</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24.2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4192" behindDoc="0" locked="0" layoutInCell="1" allowOverlap="1">
                <wp:simplePos x="0" y="0"/>
                <wp:positionH relativeFrom="column">
                  <wp:posOffset>-114300</wp:posOffset>
                </wp:positionH>
                <wp:positionV relativeFrom="paragraph">
                  <wp:posOffset>-1270</wp:posOffset>
                </wp:positionV>
                <wp:extent cx="914400" cy="427990"/>
                <wp:effectExtent l="0" t="0" r="0" b="0"/>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914400" cy="4279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3.7pt;width:72pt;z-index:251784192;mso-width-relative:page;mso-height-relative:page;" filled="f" stroked="f" coordsize="21600,21600" o:gfxdata="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coraj1QAAAAgBAAAPAAAAAAAAAAEAIAAAACIAAABkcnMvZG93bnJl&#10;di54bWxQSwECFAAUAAAACACHTuJAL8pyZ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w:t>
                      </w:r>
                    </w:p>
                  </w:txbxContent>
                </v:textbox>
              </v:shape>
            </w:pict>
          </mc:Fallback>
        </mc:AlternateContent>
      </w:r>
      <w:r>
        <w:rPr>
          <w:rFonts w:hint="eastAsia" w:ascii="宋体" w:hAnsi="宋体" w:cs="宋体"/>
          <w:color w:val="auto"/>
          <w:szCs w:val="21"/>
          <w:highlight w:val="none"/>
        </w:rPr>
        <w:t>造价工程师行使合同明文规定和必然隐含的职权，代表发包人负责工程计量和计价，工程进度款的调整和核实，结算价款的编制、调整和复核，签发支付证书，及时向承包人提供合同价款的核实、调整和通知等指令。造价工程师无权免除或变更合同规定的合同任何一方当事人在合同履行期间的权力、义务和责任。</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24.3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5216" behindDoc="0" locked="0" layoutInCell="1" allowOverlap="1">
                <wp:simplePos x="0" y="0"/>
                <wp:positionH relativeFrom="column">
                  <wp:posOffset>-114300</wp:posOffset>
                </wp:positionH>
                <wp:positionV relativeFrom="paragraph">
                  <wp:posOffset>0</wp:posOffset>
                </wp:positionV>
                <wp:extent cx="914400" cy="510540"/>
                <wp:effectExtent l="0" t="0" r="0" b="0"/>
                <wp:wrapNone/>
                <wp:docPr id="325" name="文本框 325"/>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pt;width:72pt;z-index:251785216;mso-width-relative:page;mso-height-relative:page;" filled="f" stroked="f" coordsize="21600,21600" o:gfxdata="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7vLnbUAAAABwEAAA8AAAAAAAAAAQAgAAAAIgAAAGRycy9kb3ducmV2&#10;LnhtbFBLAQIUABQAAAAIAIdO4kANV9nu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造价工程师职权限制</w:t>
                      </w:r>
                    </w:p>
                  </w:txbxContent>
                </v:textbox>
              </v:shape>
            </w:pict>
          </mc:Fallback>
        </mc:AlternateContent>
      </w:r>
      <w:r>
        <w:rPr>
          <w:rFonts w:hint="eastAsia" w:ascii="宋体" w:hAnsi="宋体" w:cs="宋体"/>
          <w:color w:val="auto"/>
          <w:szCs w:val="21"/>
          <w:highlight w:val="none"/>
        </w:rPr>
        <w:t>除属于第86条规定的争议外，造价工程师在职权范围内的工作，发包人应予认可，但下列事件应事先取得发包人的专项批准：</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根据第63条规定使用暂列金额；</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根据第64条规定使用计日工；</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根据第65条规定使用暂估价；</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根据第66条确定的提前竣工奖与误期赔偿费；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根据第67条确定的工程优质费；</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根据第68.2款规定事件调整的合同价款；</w:t>
      </w:r>
    </w:p>
    <w:p>
      <w:pPr>
        <w:numPr>
          <w:ilvl w:val="0"/>
          <w:numId w:val="15"/>
        </w:numPr>
        <w:tabs>
          <w:tab w:val="left" w:pos="21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专用条款约定需要发包人批准的其他事项。</w:t>
      </w:r>
    </w:p>
    <w:p>
      <w:pPr>
        <w:spacing w:line="400" w:lineRule="exact"/>
        <w:rPr>
          <w:rFonts w:ascii="宋体" w:hAnsi="宋体" w:cs="宋体"/>
          <w:b/>
          <w:color w:val="auto"/>
          <w:szCs w:val="21"/>
          <w:highlight w:val="none"/>
        </w:rPr>
      </w:pPr>
      <w:r>
        <w:rPr>
          <w:rFonts w:hint="eastAsia" w:ascii="宋体" w:hAnsi="宋体" w:cs="宋体"/>
          <w:b/>
          <w:color w:val="auto"/>
          <w:szCs w:val="21"/>
          <w:highlight w:val="none"/>
        </w:rPr>
        <w:t xml:space="preserve">24.4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6240" behindDoc="0" locked="0" layoutInCell="1" allowOverlap="1">
                <wp:simplePos x="0" y="0"/>
                <wp:positionH relativeFrom="column">
                  <wp:posOffset>-114300</wp:posOffset>
                </wp:positionH>
                <wp:positionV relativeFrom="paragraph">
                  <wp:posOffset>0</wp:posOffset>
                </wp:positionV>
                <wp:extent cx="1092200" cy="434340"/>
                <wp:effectExtent l="0" t="0" r="0" b="0"/>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92200" cy="4343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pt;width:86pt;z-index:251786240;mso-width-relative:page;mso-height-relative:page;" filled="f" stroked="f" coordsize="21600,21600" o:gfxdata="UEsDBAoAAAAAAIdO4kAAAAAAAAAAAAAAAAAEAAAAZHJzL1BLAwQUAAAACACHTuJAa8Y3yd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vGN8nVAAAABwEAAA8AAAAAAAAAAQAgAAAAIgAAAGRycy9kb3du&#10;cmV2LnhtbFBLAQIUABQAAAAIAIdO4kAlMMq4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造价工程师指</w:t>
                      </w:r>
                    </w:p>
                    <w:p>
                      <w:pPr>
                        <w:spacing w:line="240" w:lineRule="exact"/>
                        <w:rPr>
                          <w:rFonts w:ascii="楷体_GB2312" w:hAnsi="宋体"/>
                          <w:b/>
                          <w:color w:val="000000"/>
                          <w:sz w:val="18"/>
                          <w:szCs w:val="18"/>
                        </w:rPr>
                      </w:pPr>
                      <w:r>
                        <w:rPr>
                          <w:rFonts w:hint="eastAsia" w:ascii="楷体_GB2312" w:hAnsi="宋体"/>
                          <w:b/>
                          <w:color w:val="000000"/>
                          <w:sz w:val="18"/>
                          <w:szCs w:val="18"/>
                        </w:rPr>
                        <w:t>令</w:t>
                      </w:r>
                    </w:p>
                  </w:txbxContent>
                </v:textbox>
              </v:shape>
            </w:pict>
          </mc:Fallback>
        </mc:AlternateContent>
      </w:r>
      <w:r>
        <w:rPr>
          <w:rFonts w:hint="eastAsia" w:ascii="宋体" w:hAnsi="宋体" w:cs="宋体"/>
          <w:color w:val="auto"/>
          <w:szCs w:val="21"/>
          <w:highlight w:val="none"/>
        </w:rPr>
        <w:t>造价工程师应按照合同约定时间向承包人提供实施合同工程的工程造价工作所需的核实、调整和通知等指令。</w:t>
      </w:r>
    </w:p>
    <w:p>
      <w:pPr>
        <w:tabs>
          <w:tab w:val="left" w:pos="126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造价工程师提供的指令，均应采用书面形式。在紧急情况下，造价工程师可发出口头指令，但应在48小时内给予书面确认。对造价工程师的口头指令，承包人应予执行。如果承包人在造价工程师发出的口头指令48小时后未收到书面确认，则应在接到口头指令后的7天内向造价工程师发出书面确认函。造价工程师应在承包人发出书面确认函后48小时内给予答复；逾期未予答复的，视为承包人的书面确认函已被认可。</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24.5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7264" behindDoc="0" locked="0" layoutInCell="1" allowOverlap="1">
                <wp:simplePos x="0" y="0"/>
                <wp:positionH relativeFrom="column">
                  <wp:posOffset>-114300</wp:posOffset>
                </wp:positionH>
                <wp:positionV relativeFrom="paragraph">
                  <wp:posOffset>15240</wp:posOffset>
                </wp:positionV>
                <wp:extent cx="914400" cy="448310"/>
                <wp:effectExtent l="0" t="0" r="0" b="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35.3pt;width:72pt;z-index:251787264;mso-width-relative:page;mso-height-relative:page;" filled="f" stroked="f" coordsize="21600,21600" o:gfxdata="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o11F1QAAAAgBAAAPAAAAAAAAAAEAIAAAACIAAABkcnMvZG93bnJl&#10;di54bWxQSwECFAAUAAAACACHTuJAqUozj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承包人执行造价工程师指令</w:t>
                      </w:r>
                    </w:p>
                  </w:txbxContent>
                </v:textbox>
              </v:shape>
            </w:pict>
          </mc:Fallback>
        </mc:AlternateContent>
      </w:r>
      <w:r>
        <w:rPr>
          <w:rFonts w:hint="eastAsia" w:ascii="宋体" w:hAnsi="宋体" w:cs="宋体"/>
          <w:color w:val="auto"/>
          <w:szCs w:val="21"/>
          <w:highlight w:val="none"/>
        </w:rPr>
        <w:t>如果承包人认为造价工程师的指令不合理，应在收到指令后24小时内向造价工程师提出书面报告，造价工程师应在收到承包人报告后24小时内做出修改指令或继续执行原指令的决定，并书面通知承包人。逾期不做出决定的，承包人可不执行造价工程师的指令。</w:t>
      </w:r>
    </w:p>
    <w:p>
      <w:pPr>
        <w:tabs>
          <w:tab w:val="left" w:pos="126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24.6  </w:t>
      </w:r>
      <w:r>
        <w:rPr>
          <w:rFonts w:hint="eastAsia" w:ascii="宋体" w:hAnsi="宋体" w:cs="宋体"/>
          <w:b/>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0432"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2" name="文本框 3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2050432;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I0BygIBAgAA2AMAAA4AAAAAAAAAAQAgAAAAJA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造价工程师职权委托</w:t>
                      </w:r>
                    </w:p>
                  </w:txbxContent>
                </v:textbox>
              </v:shape>
            </w:pict>
          </mc:Fallback>
        </mc:AlternateContent>
      </w:r>
      <w:r>
        <w:rPr>
          <w:rFonts w:hint="eastAsia" w:ascii="宋体" w:hAnsi="宋体" w:cs="宋体"/>
          <w:color w:val="auto"/>
          <w:szCs w:val="21"/>
          <w:highlight w:val="none"/>
        </w:rPr>
        <w:t>造价工程师可按照第21.3款规定授权给其任命的造价工程师代表，亦可将其授权撤回，造价工程师代表行使造价工程师授予的职权，对造价工程师负责。造价工程师代表在造价工程师授予职权范围内工作，造价工程师应予认可，但造价工程师保留因造价工程师代表未反对合同工程的工程计量和计价工作的错误而否定该工作，并发出纠正指令的权力。未按照第21.3款规定，任何此类任命或撤回均为无效。</w:t>
      </w:r>
    </w:p>
    <w:p>
      <w:pPr>
        <w:tabs>
          <w:tab w:val="left" w:pos="1260"/>
        </w:tabs>
        <w:spacing w:line="360" w:lineRule="auto"/>
        <w:rPr>
          <w:rFonts w:ascii="宋体" w:hAnsi="宋体" w:cs="宋体"/>
          <w:color w:val="auto"/>
          <w:szCs w:val="21"/>
          <w:highlight w:val="none"/>
        </w:rPr>
      </w:pPr>
      <w:r>
        <w:rPr>
          <w:rFonts w:hint="eastAsia" w:ascii="宋体" w:hAnsi="宋体" w:cs="宋体"/>
          <w:b/>
          <w:color w:val="auto"/>
          <w:szCs w:val="21"/>
          <w:highlight w:val="none"/>
        </w:rPr>
        <w:t>24.7</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1260"/>
        </w:tabs>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88288" behindDoc="0" locked="0" layoutInCell="1" allowOverlap="1">
                <wp:simplePos x="0" y="0"/>
                <wp:positionH relativeFrom="column">
                  <wp:posOffset>-114300</wp:posOffset>
                </wp:positionH>
                <wp:positionV relativeFrom="paragraph">
                  <wp:posOffset>0</wp:posOffset>
                </wp:positionV>
                <wp:extent cx="914400" cy="594360"/>
                <wp:effectExtent l="0" t="0" r="0" b="0"/>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6.8pt;width:72pt;z-index:251788288;mso-width-relative:page;mso-height-relative:page;" filled="f" stroked="f" coordsize="21600,21600" o:gfxdata="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yfpMtUAAAAHAQAADwAAAAAAAAABACAAAAAiAAAAZHJzL2Rvd25y&#10;ZXYueG1sUEsBAhQAFAAAAAgAh07iQAFhEg8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造价工程师未尽义务或失误的责任</w:t>
                      </w:r>
                    </w:p>
                  </w:txbxContent>
                </v:textbox>
              </v:shape>
            </w:pict>
          </mc:Fallback>
        </mc:AlternateContent>
      </w:r>
      <w:r>
        <w:rPr>
          <w:rFonts w:hint="eastAsia" w:ascii="宋体" w:hAnsi="宋体" w:cs="宋体"/>
          <w:color w:val="auto"/>
          <w:szCs w:val="21"/>
          <w:highlight w:val="none"/>
        </w:rPr>
        <w:t>造价工程师（含其代表）未能正确完成本合同约定的全部义务，或工作出现失误，导致费用的增加和（或）延误的工期，由发包人承担；给承包人造成损失的，发包人应予赔偿。</w:t>
      </w:r>
    </w:p>
    <w:p>
      <w:pPr>
        <w:tabs>
          <w:tab w:val="left" w:pos="540"/>
          <w:tab w:val="left" w:pos="7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25  承包人代表</w:t>
      </w:r>
    </w:p>
    <w:p>
      <w:pPr>
        <w:tabs>
          <w:tab w:val="left" w:pos="540"/>
          <w:tab w:val="left" w:pos="7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25.1                                 </w:t>
      </w:r>
    </w:p>
    <w:p>
      <w:pPr>
        <w:tabs>
          <w:tab w:val="left" w:pos="540"/>
          <w:tab w:val="left" w:pos="720"/>
        </w:tabs>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89312" behindDoc="0" locked="0" layoutInCell="1" allowOverlap="1">
                <wp:simplePos x="0" y="0"/>
                <wp:positionH relativeFrom="column">
                  <wp:posOffset>-114300</wp:posOffset>
                </wp:positionH>
                <wp:positionV relativeFrom="paragraph">
                  <wp:posOffset>0</wp:posOffset>
                </wp:positionV>
                <wp:extent cx="914400" cy="419100"/>
                <wp:effectExtent l="0" t="0" r="0" b="0"/>
                <wp:wrapNone/>
                <wp:docPr id="320" name="文本框 320"/>
                <wp:cNvGraphicFramePr/>
                <a:graphic xmlns:a="http://schemas.openxmlformats.org/drawingml/2006/main">
                  <a:graphicData uri="http://schemas.microsoft.com/office/word/2010/wordprocessingShape">
                    <wps:wsp>
                      <wps:cNvSpPr txBox="1">
                        <a:spLocks noChangeArrowheads="1"/>
                      </wps:cNvSpPr>
                      <wps:spPr bwMode="auto">
                        <a:xfrm>
                          <a:off x="0" y="0"/>
                          <a:ext cx="914400" cy="4191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3pt;width:72pt;z-index:251789312;mso-width-relative:page;mso-height-relative:page;" filled="f" stroked="f" coordsize="21600,21600" o:gfxdata="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lzqsjUAAAABwEAAA8AAAAAAAAAAQAgAAAAIgAAAGRycy9kb3ducmV2Lnht&#10;bFBLAQIUABQAAAAIAIdO4kDInsF+/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承包人对其代表授权</w:t>
                      </w:r>
                    </w:p>
                  </w:txbxContent>
                </v:textbox>
              </v:shape>
            </w:pict>
          </mc:Fallback>
        </mc:AlternateContent>
      </w:r>
      <w:r>
        <w:rPr>
          <w:rFonts w:hint="eastAsia" w:ascii="宋体" w:hAnsi="宋体" w:cs="宋体"/>
          <w:color w:val="auto"/>
          <w:kern w:val="0"/>
          <w:szCs w:val="21"/>
          <w:highlight w:val="none"/>
        </w:rPr>
        <w:t>承包人应依据第21.2款规定在专用条款中写明承包人代表具体人选，同时在开工前将承包人代表任命书以书面形式通知发包人，授予其代表承包人履行合同规定职责所需的一切权力。</w:t>
      </w:r>
    </w:p>
    <w:p>
      <w:pPr>
        <w:tabs>
          <w:tab w:val="left" w:pos="540"/>
          <w:tab w:val="left" w:pos="720"/>
          <w:tab w:val="left" w:pos="1260"/>
          <w:tab w:val="left" w:pos="144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25.2  </w:t>
      </w:r>
      <w:r>
        <w:rPr>
          <w:rFonts w:hint="eastAsia" w:ascii="宋体" w:hAnsi="宋体" w:cs="宋体"/>
          <w:b/>
          <w:color w:val="auto"/>
          <w:szCs w:val="21"/>
          <w:highlight w:val="none"/>
          <w:u w:val="dotted"/>
        </w:rPr>
        <w:t xml:space="preserve">                                                                                                        </w:t>
      </w:r>
    </w:p>
    <w:p>
      <w:pPr>
        <w:tabs>
          <w:tab w:val="left" w:pos="540"/>
          <w:tab w:val="left" w:pos="720"/>
          <w:tab w:val="left" w:pos="1260"/>
          <w:tab w:val="left" w:pos="1440"/>
        </w:tabs>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0336"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319" name="文本框 31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790336;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nmXnjQ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承包人代表职</w:t>
                      </w:r>
                    </w:p>
                    <w:p>
                      <w:pPr>
                        <w:spacing w:line="240" w:lineRule="exact"/>
                        <w:rPr>
                          <w:rFonts w:ascii="宋体" w:hAnsi="宋体"/>
                          <w:sz w:val="18"/>
                          <w:szCs w:val="18"/>
                        </w:rPr>
                      </w:pPr>
                      <w:r>
                        <w:rPr>
                          <w:rFonts w:hint="eastAsia" w:ascii="楷体_GB2312" w:hAnsi="宋体"/>
                          <w:b/>
                          <w:color w:val="000000"/>
                          <w:sz w:val="18"/>
                          <w:szCs w:val="18"/>
                        </w:rPr>
                        <w:t>权</w:t>
                      </w:r>
                    </w:p>
                  </w:txbxContent>
                </v:textbox>
              </v:shape>
            </w:pict>
          </mc:Fallback>
        </mc:AlternateContent>
      </w:r>
      <w:r>
        <w:rPr>
          <w:rFonts w:hint="eastAsia" w:ascii="宋体" w:hAnsi="宋体" w:cs="宋体"/>
          <w:color w:val="auto"/>
          <w:szCs w:val="21"/>
          <w:highlight w:val="none"/>
        </w:rPr>
        <w:t>承包人代表应代表承包人履行合同规定的职责、行使合同明文约定或必然隐含的权力，对承包人负责。承包人代表在承包人授予职权范围内的工作，承包人应予认可。</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1360" behindDoc="0" locked="0" layoutInCell="1" allowOverlap="1">
                <wp:simplePos x="0" y="0"/>
                <wp:positionH relativeFrom="column">
                  <wp:posOffset>-114300</wp:posOffset>
                </wp:positionH>
                <wp:positionV relativeFrom="paragraph">
                  <wp:posOffset>0</wp:posOffset>
                </wp:positionV>
                <wp:extent cx="914400" cy="487680"/>
                <wp:effectExtent l="0" t="0" r="0" b="0"/>
                <wp:wrapNone/>
                <wp:docPr id="318" name="文本框 318"/>
                <wp:cNvGraphicFramePr/>
                <a:graphic xmlns:a="http://schemas.openxmlformats.org/drawingml/2006/main">
                  <a:graphicData uri="http://schemas.microsoft.com/office/word/2010/wordprocessingShape">
                    <wps:wsp>
                      <wps:cNvSpPr txBox="1">
                        <a:spLocks noChangeArrowheads="1"/>
                      </wps:cNvSpPr>
                      <wps:spPr bwMode="auto">
                        <a:xfrm>
                          <a:off x="0" y="0"/>
                          <a:ext cx="914400" cy="487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8.4pt;width:72pt;z-index:251791360;mso-width-relative:page;mso-height-relative:page;" filled="f" stroked="f" coordsize="21600,21600" o:gfxdata="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cu3RXtUAAAAHAQAADwAAAAAAAAABACAAAAAiAAAAZHJzL2Rvd25y&#10;ZXYueG1sUEsBAhQAFAAAAAgAh07iQAbazj4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承包人代表临时任命人职权</w:t>
                      </w:r>
                    </w:p>
                  </w:txbxContent>
                </v:textbox>
              </v:shape>
            </w:pict>
          </mc:Fallback>
        </mc:AlternateContent>
      </w:r>
      <w:r>
        <w:rPr>
          <w:rFonts w:hint="eastAsia" w:ascii="宋体" w:hAnsi="宋体" w:cs="宋体"/>
          <w:color w:val="auto"/>
          <w:szCs w:val="21"/>
          <w:highlight w:val="none"/>
        </w:rPr>
        <w:t>如果承包人代表在合同履行期间确需暂离现场，则应在监理工程师同意下，按照第21.4款规定授权给其任命的合格人选，亦可将其授权撤回。任命的人选行使承包人代表授予的职权，对承包人代表负责。该人选在承包人代表授予职权范围内的工作，承包人代表应予认可，但承包人代表保留因该人选未曾对实施、完成合同工程工作错误加以反对的失误而否定该工作，并发出纠正通知的权力。未按照第21.4款规定，任何此类任命或撤回均为无效。</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25.4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2384" behindDoc="0" locked="0" layoutInCell="1" allowOverlap="1">
                <wp:simplePos x="0" y="0"/>
                <wp:positionH relativeFrom="column">
                  <wp:posOffset>-114300</wp:posOffset>
                </wp:positionH>
                <wp:positionV relativeFrom="paragraph">
                  <wp:posOffset>0</wp:posOffset>
                </wp:positionV>
                <wp:extent cx="914400" cy="762000"/>
                <wp:effectExtent l="0" t="0" r="0" b="0"/>
                <wp:wrapNone/>
                <wp:docPr id="317" name="文本框 317"/>
                <wp:cNvGraphicFramePr/>
                <a:graphic xmlns:a="http://schemas.openxmlformats.org/drawingml/2006/main">
                  <a:graphicData uri="http://schemas.microsoft.com/office/word/2010/wordprocessingShape">
                    <wps:wsp>
                      <wps:cNvSpPr txBox="1">
                        <a:spLocks noChangeArrowheads="1"/>
                      </wps:cNvSpPr>
                      <wps:spPr bwMode="auto">
                        <a:xfrm>
                          <a:off x="0" y="0"/>
                          <a:ext cx="914400" cy="7620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60pt;width:72pt;z-index:251792384;mso-width-relative:page;mso-height-relative:page;" filled="f" stroked="f" coordsize="21600,21600" o:gfxdata="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a72VvUAAAACAEAAA8AAAAAAAAAAQAgAAAAIgAAAGRycy9kb3ducmV2&#10;LnhtbFBLAQIUABQAAAAIAIdO4kCaXstm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紧急情况时承包人代表采取措施及双方责任</w:t>
                      </w:r>
                    </w:p>
                  </w:txbxContent>
                </v:textbox>
              </v:shape>
            </w:pict>
          </mc:Fallback>
        </mc:AlternateContent>
      </w:r>
      <w:r>
        <w:rPr>
          <w:rFonts w:hint="eastAsia" w:ascii="宋体" w:hAnsi="宋体" w:cs="宋体"/>
          <w:color w:val="auto"/>
          <w:szCs w:val="21"/>
          <w:highlight w:val="none"/>
        </w:rPr>
        <w:t>承包人代表按照经发包人认可的施工组织设计和监理工程师发出的指令组织施工。在紧急情况下，且无法与监理工程师取得联系时，承包人代表应立即采取保证人员生命和工程、财产安全的有效措施，并在采取措施后48小时内向监理工程师提交书面报告，通知发包人。属于发包人或第三方责任的，其发生的费用和（或）延误的工期由发包人承担，并支付承包人合理利润；属于承包人责任的，其发生的费用和（或）延误的工期由承包人承担。</w:t>
      </w:r>
    </w:p>
    <w:p>
      <w:pPr>
        <w:tabs>
          <w:tab w:val="left" w:pos="540"/>
        </w:tabs>
        <w:adjustRightInd w:val="0"/>
        <w:snapToGrid w:val="0"/>
        <w:spacing w:line="360" w:lineRule="auto"/>
        <w:ind w:right="-240"/>
        <w:rPr>
          <w:rFonts w:ascii="宋体" w:hAnsi="宋体" w:cs="宋体"/>
          <w:b/>
          <w:color w:val="auto"/>
          <w:kern w:val="0"/>
          <w:szCs w:val="21"/>
          <w:highlight w:val="none"/>
          <w:u w:val="single"/>
        </w:rPr>
      </w:pPr>
      <w:bookmarkStart w:id="302" w:name="_Toc468936969"/>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rPr>
          <w:rFonts w:ascii="宋体" w:hAnsi="宋体" w:cs="宋体"/>
          <w:b/>
          <w:color w:val="auto"/>
          <w:kern w:val="0"/>
          <w:szCs w:val="21"/>
          <w:highlight w:val="none"/>
        </w:rPr>
      </w:pPr>
    </w:p>
    <w:p>
      <w:pPr>
        <w:tabs>
          <w:tab w:val="left" w:pos="540"/>
        </w:tabs>
        <w:adjustRightInd w:val="0"/>
        <w:snapToGrid w:val="0"/>
        <w:ind w:right="-240"/>
        <w:rPr>
          <w:rFonts w:ascii="宋体" w:hAnsi="宋体" w:cs="宋体"/>
          <w:b/>
          <w:color w:val="auto"/>
          <w:kern w:val="0"/>
          <w:szCs w:val="21"/>
          <w:highlight w:val="none"/>
        </w:rPr>
      </w:pPr>
      <w:r>
        <w:rPr>
          <w:rFonts w:hint="eastAsia" w:ascii="宋体" w:hAnsi="宋体" w:cs="宋体"/>
          <w:b/>
          <w:color w:val="auto"/>
          <w:kern w:val="0"/>
          <w:szCs w:val="21"/>
          <w:highlight w:val="none"/>
        </w:rPr>
        <w:t>26  指定分包</w:t>
      </w:r>
      <w:bookmarkEnd w:id="302"/>
      <w:r>
        <w:rPr>
          <w:rFonts w:hint="eastAsia" w:ascii="宋体" w:hAnsi="宋体" w:cs="宋体"/>
          <w:b/>
          <w:color w:val="auto"/>
          <w:kern w:val="0"/>
          <w:szCs w:val="21"/>
          <w:highlight w:val="none"/>
        </w:rPr>
        <w:t>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26.1 </w:t>
      </w:r>
    </w:p>
    <w:p>
      <w:pPr>
        <w:adjustRightInd w:val="0"/>
        <w:snapToGrid w:val="0"/>
        <w:spacing w:line="360" w:lineRule="auto"/>
        <w:ind w:left="1978" w:leftChars="94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9904" behindDoc="0" locked="0" layoutInCell="1" allowOverlap="1">
                <wp:simplePos x="0" y="0"/>
                <wp:positionH relativeFrom="column">
                  <wp:posOffset>-114300</wp:posOffset>
                </wp:positionH>
                <wp:positionV relativeFrom="paragraph">
                  <wp:posOffset>60325</wp:posOffset>
                </wp:positionV>
                <wp:extent cx="914400" cy="693420"/>
                <wp:effectExtent l="0" t="0" r="0" b="0"/>
                <wp:wrapNone/>
                <wp:docPr id="316" name="文本框 31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5pt;height:54.6pt;width:72pt;z-index:251899904;mso-width-relative:page;mso-height-relative:page;" filled="f" stroked="f" coordsize="21600,21600" o:gfxdata="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Rey6tdYAAAAJAQAADwAAAAAAAAABACAAAAAiAAAAZHJzL2Rvd25y&#10;ZXYueG1sUEsBAhQAFAAAAAgAh07iQEJm9pU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指定分包人工作</w:t>
                      </w:r>
                    </w:p>
                  </w:txbxContent>
                </v:textbox>
              </v:shape>
            </w:pict>
          </mc:Fallback>
        </mc:AlternateContent>
      </w:r>
      <w:r>
        <w:rPr>
          <w:rFonts w:hint="eastAsia" w:ascii="宋体" w:hAnsi="宋体" w:cs="宋体"/>
          <w:color w:val="auto"/>
          <w:kern w:val="0"/>
          <w:szCs w:val="21"/>
          <w:highlight w:val="none"/>
        </w:rPr>
        <w:t>指定分包人是指发包人事先指定的从事下列工作之一的分包人：</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（1）根据专用条款的约定，发包人依法事先指定的实施、完成部分永久工程的分包人；</w:t>
      </w:r>
    </w:p>
    <w:p>
      <w:pPr>
        <w:widowControl/>
        <w:adjustRightInd w:val="0"/>
        <w:snapToGrid w:val="0"/>
        <w:spacing w:line="360" w:lineRule="auto"/>
        <w:ind w:left="1978" w:leftChars="942" w:firstLine="14" w:firstLineChars="7"/>
        <w:jc w:val="left"/>
        <w:rPr>
          <w:rFonts w:ascii="宋体" w:hAnsi="宋体" w:cs="宋体"/>
          <w:color w:val="auto"/>
          <w:kern w:val="0"/>
          <w:szCs w:val="21"/>
          <w:highlight w:val="none"/>
        </w:rPr>
      </w:pPr>
      <w:r>
        <w:rPr>
          <w:rFonts w:hint="eastAsia" w:ascii="宋体" w:hAnsi="宋体" w:cs="宋体"/>
          <w:color w:val="auto"/>
          <w:kern w:val="0"/>
          <w:szCs w:val="21"/>
          <w:highlight w:val="none"/>
        </w:rPr>
        <w:t>（2）根据专用条款的约定，发包人选定的提供合同工程材料、工程设备和服务的分包人。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26.2  </w:t>
      </w:r>
      <w:r>
        <w:rPr>
          <w:rFonts w:hint="eastAsia" w:ascii="宋体" w:hAnsi="宋体" w:cs="宋体"/>
          <w:b/>
          <w:color w:val="auto"/>
          <w:szCs w:val="21"/>
          <w:highlight w:val="none"/>
          <w:u w:val="dotted"/>
        </w:rPr>
        <w:t xml:space="preserve">                                                                             </w:t>
      </w:r>
    </w:p>
    <w:p>
      <w:pPr>
        <w:widowControl/>
        <w:adjustRightInd w:val="0"/>
        <w:snapToGrid w:val="0"/>
        <w:spacing w:line="360" w:lineRule="auto"/>
        <w:ind w:left="1978" w:leftChars="942" w:firstLine="2" w:firstLineChars="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01952" behindDoc="0" locked="0" layoutInCell="1" allowOverlap="1">
                <wp:simplePos x="0" y="0"/>
                <wp:positionH relativeFrom="column">
                  <wp:posOffset>-114300</wp:posOffset>
                </wp:positionH>
                <wp:positionV relativeFrom="paragraph">
                  <wp:posOffset>0</wp:posOffset>
                </wp:positionV>
                <wp:extent cx="1028700" cy="627380"/>
                <wp:effectExtent l="0" t="0" r="0" b="0"/>
                <wp:wrapNone/>
                <wp:docPr id="315" name="文本框 315"/>
                <wp:cNvGraphicFramePr/>
                <a:graphic xmlns:a="http://schemas.openxmlformats.org/drawingml/2006/main">
                  <a:graphicData uri="http://schemas.microsoft.com/office/word/2010/wordprocessingShape">
                    <wps:wsp>
                      <wps:cNvSpPr txBox="1">
                        <a:spLocks noChangeArrowheads="1"/>
                      </wps:cNvSpPr>
                      <wps:spPr bwMode="auto">
                        <a:xfrm>
                          <a:off x="0" y="0"/>
                          <a:ext cx="102870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9.4pt;width:81pt;z-index:251901952;mso-width-relative:page;mso-height-relative:page;" filled="f" stroked="f" coordsize="21600,21600" o:gfxdata="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aA7AbUAAAABwEAAA8AAAAAAAAAAQAgAAAAIgAAAGRycy9kb3du&#10;cmV2LnhtbFBLAQIUABQAAAAIAIdO4kDAqMmRAwIAANkDAAAOAAAAAAAAAAEAIAAAACM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承包人对指定分包人的接受</w:t>
                      </w:r>
                    </w:p>
                  </w:txbxContent>
                </v:textbox>
              </v:shape>
            </w:pict>
          </mc:Fallback>
        </mc:AlternateContent>
      </w:r>
      <w:r>
        <w:rPr>
          <w:rFonts w:hint="eastAsia" w:ascii="宋体" w:hAnsi="宋体" w:cs="宋体"/>
          <w:color w:val="auto"/>
          <w:kern w:val="0"/>
          <w:szCs w:val="21"/>
          <w:highlight w:val="none"/>
        </w:rPr>
        <w:t>指定分包人属于承包人的分包人，发包人不应要求承包人有义务接受承包人有理由反对的任何指定分包人。</w:t>
      </w: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rPr>
      </w:pP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2976" behindDoc="0" locked="0" layoutInCell="1" allowOverlap="1">
                <wp:simplePos x="0" y="0"/>
                <wp:positionH relativeFrom="column">
                  <wp:posOffset>-114300</wp:posOffset>
                </wp:positionH>
                <wp:positionV relativeFrom="paragraph">
                  <wp:posOffset>237490</wp:posOffset>
                </wp:positionV>
                <wp:extent cx="1028700" cy="699135"/>
                <wp:effectExtent l="0" t="0" r="0" b="0"/>
                <wp:wrapNone/>
                <wp:docPr id="314" name="文本框 314"/>
                <wp:cNvGraphicFramePr/>
                <a:graphic xmlns:a="http://schemas.openxmlformats.org/drawingml/2006/main">
                  <a:graphicData uri="http://schemas.microsoft.com/office/word/2010/wordprocessingShape">
                    <wps:wsp>
                      <wps:cNvSpPr txBox="1">
                        <a:spLocks noChangeArrowheads="1"/>
                      </wps:cNvSpPr>
                      <wps:spPr bwMode="auto">
                        <a:xfrm>
                          <a:off x="0" y="0"/>
                          <a:ext cx="1028700" cy="6991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55.05pt;width:81pt;z-index:251902976;mso-width-relative:page;mso-height-relative:page;" filled="f" stroked="f" coordsize="21600,21600" o:gfxdata="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7ywcu2AAAAAoBAAAPAAAAAAAAAAEAIAAAACIAAABkcnMv&#10;ZG93bnJldi54bWxQSwECFAAUAAAACACHTuJAa/4P2wMCAADZAwAADgAAAAAAAAABACAAAAAn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指定分包工程款结算与支付</w:t>
                      </w:r>
                    </w:p>
                  </w:txbxContent>
                </v:textbox>
              </v:shape>
            </w:pict>
          </mc:Fallback>
        </mc:AlternateContent>
      </w:r>
      <w:r>
        <w:rPr>
          <w:rFonts w:hint="eastAsia" w:ascii="宋体" w:hAnsi="宋体" w:cs="宋体"/>
          <w:b/>
          <w:color w:val="auto"/>
          <w:szCs w:val="21"/>
          <w:highlight w:val="none"/>
        </w:rPr>
        <w:t xml:space="preserve">26.3  </w:t>
      </w:r>
      <w:r>
        <w:rPr>
          <w:rFonts w:hint="eastAsia" w:ascii="宋体" w:hAnsi="宋体" w:cs="宋体"/>
          <w:b/>
          <w:color w:val="auto"/>
          <w:szCs w:val="21"/>
          <w:highlight w:val="none"/>
          <w:u w:val="dotted"/>
        </w:rPr>
        <w:t xml:space="preserve">                                                                              </w:t>
      </w:r>
    </w:p>
    <w:p>
      <w:pPr>
        <w:widowControl/>
        <w:adjustRightInd w:val="0"/>
        <w:snapToGrid w:val="0"/>
        <w:spacing w:line="360" w:lineRule="auto"/>
        <w:ind w:firstLine="1680" w:firstLineChars="8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发包人应按照合同的约定向承包人支付指定分包人的分包工程配合费。</w:t>
      </w:r>
    </w:p>
    <w:p>
      <w:pPr>
        <w:widowControl/>
        <w:adjustRightInd w:val="0"/>
        <w:snapToGrid w:val="0"/>
        <w:spacing w:line="360" w:lineRule="auto"/>
        <w:ind w:left="1978"/>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指定分包工程款的结算与支付，按照第7.4款办理。</w:t>
      </w:r>
    </w:p>
    <w:p>
      <w:pPr>
        <w:spacing w:line="360" w:lineRule="auto"/>
        <w:rPr>
          <w:rFonts w:ascii="宋体" w:hAnsi="宋体" w:cs="宋体"/>
          <w:b/>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900928" behindDoc="0" locked="0" layoutInCell="1" allowOverlap="1">
                <wp:simplePos x="0" y="0"/>
                <wp:positionH relativeFrom="column">
                  <wp:posOffset>-66675</wp:posOffset>
                </wp:positionH>
                <wp:positionV relativeFrom="paragraph">
                  <wp:posOffset>199390</wp:posOffset>
                </wp:positionV>
                <wp:extent cx="1133475" cy="791845"/>
                <wp:effectExtent l="0" t="0" r="0" b="0"/>
                <wp:wrapNone/>
                <wp:docPr id="313" name="文本框 313"/>
                <wp:cNvGraphicFramePr/>
                <a:graphic xmlns:a="http://schemas.openxmlformats.org/drawingml/2006/main">
                  <a:graphicData uri="http://schemas.microsoft.com/office/word/2010/wordprocessingShape">
                    <wps:wsp>
                      <wps:cNvSpPr txBox="1">
                        <a:spLocks noChangeArrowheads="1"/>
                      </wps:cNvSpPr>
                      <wps:spPr bwMode="auto">
                        <a:xfrm>
                          <a:off x="0" y="0"/>
                          <a:ext cx="113347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7pt;height:62.35pt;width:89.25pt;z-index:251900928;mso-width-relative:page;mso-height-relative:page;" filled="f" stroked="f" coordsize="21600,21600" o:gfxdata="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JTIIv1wAAAAoBAAAPAAAAAAAAAAEAIAAAACIAAABkcnMv&#10;ZG93bnJldi54bWxQSwECFAAUAAAACACHTuJAbk545QQCAADZAwAADgAAAAAAAAABACAAAAAmAQAA&#10;ZHJzL2Uyb0RvYy54bWxQSwUGAAAAAAYABgBZAQAAnA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承包人对指定</w:t>
                      </w:r>
                    </w:p>
                    <w:p>
                      <w:pPr>
                        <w:spacing w:line="240" w:lineRule="exact"/>
                        <w:rPr>
                          <w:rFonts w:ascii="楷体_GB2312" w:hAnsi="宋体"/>
                          <w:b/>
                          <w:color w:val="000000"/>
                          <w:sz w:val="18"/>
                          <w:szCs w:val="18"/>
                        </w:rPr>
                      </w:pPr>
                      <w:r>
                        <w:rPr>
                          <w:rFonts w:hint="eastAsia" w:ascii="楷体_GB2312" w:hAnsi="宋体"/>
                          <w:b/>
                          <w:color w:val="000000"/>
                          <w:sz w:val="18"/>
                          <w:szCs w:val="18"/>
                        </w:rPr>
                        <w:t>分包工程的义</w:t>
                      </w:r>
                    </w:p>
                    <w:p>
                      <w:pPr>
                        <w:spacing w:line="240" w:lineRule="exact"/>
                        <w:rPr>
                          <w:rFonts w:ascii="楷体_GB2312" w:hAnsi="宋体"/>
                          <w:b/>
                          <w:color w:val="000000"/>
                          <w:sz w:val="18"/>
                          <w:szCs w:val="18"/>
                        </w:rPr>
                      </w:pPr>
                      <w:r>
                        <w:rPr>
                          <w:rFonts w:hint="eastAsia" w:ascii="楷体_GB2312" w:hAnsi="宋体"/>
                          <w:b/>
                          <w:color w:val="000000"/>
                          <w:sz w:val="18"/>
                          <w:szCs w:val="18"/>
                        </w:rPr>
                        <w:t>务</w:t>
                      </w:r>
                    </w:p>
                    <w:p>
                      <w:pPr>
                        <w:rPr>
                          <w:rFonts w:ascii="楷体_GB2312" w:hAnsi="宋体"/>
                          <w:b/>
                          <w:color w:val="000000"/>
                        </w:rPr>
                      </w:pPr>
                    </w:p>
                    <w:p/>
                    <w:p/>
                  </w:txbxContent>
                </v:textbox>
              </v:shape>
            </w:pict>
          </mc:Fallback>
        </mc:AlternateContent>
      </w:r>
      <w:r>
        <w:rPr>
          <w:rFonts w:hint="eastAsia" w:ascii="宋体" w:hAnsi="宋体" w:cs="宋体"/>
          <w:b/>
          <w:color w:val="auto"/>
          <w:szCs w:val="21"/>
          <w:highlight w:val="none"/>
        </w:rPr>
        <w:t>26.4</w:t>
      </w:r>
      <w:r>
        <w:rPr>
          <w:rFonts w:hint="eastAsia" w:ascii="宋体" w:hAnsi="宋体" w:cs="宋体"/>
          <w:b/>
          <w:color w:val="auto"/>
          <w:szCs w:val="21"/>
          <w:highlight w:val="none"/>
          <w:u w:val="dotted"/>
        </w:rPr>
        <w:t xml:space="preserve">                                                                               </w:t>
      </w:r>
    </w:p>
    <w:p>
      <w:pPr>
        <w:widowControl/>
        <w:tabs>
          <w:tab w:val="left" w:pos="1260"/>
        </w:tabs>
        <w:adjustRightInd w:val="0"/>
        <w:snapToGrid w:val="0"/>
        <w:spacing w:line="360" w:lineRule="auto"/>
        <w:ind w:left="1978" w:leftChars="942" w:firstLine="1"/>
        <w:jc w:val="left"/>
        <w:rPr>
          <w:rFonts w:ascii="宋体" w:hAnsi="宋体" w:cs="宋体"/>
          <w:color w:val="auto"/>
          <w:kern w:val="0"/>
          <w:szCs w:val="21"/>
          <w:highlight w:val="none"/>
        </w:rPr>
      </w:pPr>
      <w:r>
        <w:rPr>
          <w:rFonts w:hint="eastAsia" w:ascii="宋体" w:hAnsi="宋体" w:cs="宋体"/>
          <w:color w:val="auto"/>
          <w:kern w:val="0"/>
          <w:szCs w:val="21"/>
          <w:highlight w:val="none"/>
        </w:rPr>
        <w:t>指定分包人应按照分包合同的约定对承包人负责。承包人有义务协助、配合指定分包人实施分包工程。</w:t>
      </w:r>
    </w:p>
    <w:p>
      <w:pPr>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27  承包人劳务</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27.1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5744" behindDoc="0" locked="0" layoutInCell="1" allowOverlap="1">
                <wp:simplePos x="0" y="0"/>
                <wp:positionH relativeFrom="column">
                  <wp:posOffset>-114300</wp:posOffset>
                </wp:positionH>
                <wp:positionV relativeFrom="paragraph">
                  <wp:posOffset>8255</wp:posOffset>
                </wp:positionV>
                <wp:extent cx="914400" cy="692150"/>
                <wp:effectExtent l="0" t="0" r="0" b="0"/>
                <wp:wrapNone/>
                <wp:docPr id="312" name="文本框 312"/>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5pt;width:72pt;z-index:251935744;mso-width-relative:page;mso-height-relative:page;" filled="f" stroked="f" coordsize="21600,21600" o:gfxdata="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Ds6rC1QAAAAkBAAAPAAAAAAAAAAEAIAAAACIAAABkcnMvZG93bnJl&#10;di54bWxQSwECFAAUAAAACACHTuJAfjsWA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承包人提交施工机构安排报告</w:t>
                      </w:r>
                    </w:p>
                  </w:txbxContent>
                </v:textbox>
              </v:shape>
            </w:pict>
          </mc:Fallback>
        </mc:AlternateContent>
      </w:r>
      <w:r>
        <w:rPr>
          <w:rFonts w:hint="eastAsia" w:ascii="宋体" w:hAnsi="宋体" w:cs="宋体"/>
          <w:color w:val="auto"/>
          <w:szCs w:val="21"/>
          <w:highlight w:val="none"/>
        </w:rPr>
        <w:t>承包人应在接到开工令后28天内，向监理工程师提交承包人在施工场地的管理机构以及人员安排报告，并附上响应文件中的“主要人员一览表”。报告内容应包括管理机构的设置、各主要岗位的技术和管理人员名单及其资格，以及各工种技术工人的安排情况等。</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27.2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widowControl/>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340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311" name="文本框 31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9340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Wt2iW1QAAAAgBAAAPAAAAAAAAAAEAIAAAACIAAABkcnMvZG93bnJl&#10;di54bWxQSwECFAAUAAAACACHTuJAlFyQb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承包人人员的雇佣</w:t>
                      </w:r>
                    </w:p>
                  </w:txbxContent>
                </v:textbox>
              </v:shape>
            </w:pict>
          </mc:Fallback>
        </mc:AlternateContent>
      </w:r>
      <w:r>
        <w:rPr>
          <w:rFonts w:hint="eastAsia" w:ascii="宋体" w:hAnsi="宋体" w:cs="宋体"/>
          <w:color w:val="auto"/>
          <w:szCs w:val="21"/>
          <w:highlight w:val="none"/>
        </w:rPr>
        <w:t>承包人除应雇佣响应文件中“主要人员一览表”中指明的人员外，也可以雇佣经监理工程师批准的其他人员，但不得从发包人或服务于发包人的人员中雇佣人员。</w:t>
      </w:r>
    </w:p>
    <w:p>
      <w:pPr>
        <w:tabs>
          <w:tab w:val="left" w:pos="1620"/>
        </w:tabs>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4432" behindDoc="0" locked="0" layoutInCell="1" allowOverlap="1">
                <wp:simplePos x="0" y="0"/>
                <wp:positionH relativeFrom="column">
                  <wp:posOffset>-114300</wp:posOffset>
                </wp:positionH>
                <wp:positionV relativeFrom="paragraph">
                  <wp:posOffset>59690</wp:posOffset>
                </wp:positionV>
                <wp:extent cx="914400" cy="495300"/>
                <wp:effectExtent l="0" t="0" r="0" b="0"/>
                <wp:wrapNone/>
                <wp:docPr id="310" name="文本框 310"/>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39pt;width:72pt;z-index:251794432;mso-width-relative:page;mso-height-relative:page;" filled="f" stroked="f" coordsize="21600,21600" o:gfxdata="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wVgKKNUAAAAIAQAADwAAAAAAAAABACAAAAAiAAAAZHJzL2Rvd25yZXYu&#10;eG1sUEsBAhQAFAAAAAgAh07iQLY493D+AQAA2AMAAA4AAAAAAAAAAQAgAAAAJA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承包人对雇员应做的工作</w:t>
                      </w:r>
                    </w:p>
                  </w:txbxContent>
                </v:textbox>
              </v:shape>
            </w:pict>
          </mc:Fallback>
        </mc:AlternateContent>
      </w:r>
      <w:r>
        <w:rPr>
          <w:rFonts w:hint="eastAsia" w:ascii="宋体" w:hAnsi="宋体" w:cs="宋体"/>
          <w:color w:val="auto"/>
          <w:szCs w:val="21"/>
          <w:highlight w:val="none"/>
        </w:rPr>
        <w:t>承包人应完善雇员的劳务注册手续，并与雇员订立劳动合同，明确双方的权利和义务。雇佣期间，承包人应做好下列工作：</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(1)负责为雇员提供必要的食宿及各种生活设施，采取合理的卫生、劳动保护和安全防护措施，保证雇员的健康和安全；</w:t>
      </w:r>
    </w:p>
    <w:p>
      <w:pPr>
        <w:tabs>
          <w:tab w:val="left" w:pos="1080"/>
          <w:tab w:val="left" w:pos="2160"/>
        </w:tabs>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(2)保障雇员的合法权利和人身安全，及时采取有效措施抢救和治疗施工中受伤害的雇员；</w:t>
      </w:r>
    </w:p>
    <w:p>
      <w:pPr>
        <w:tabs>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(3)充分考虑和保障雇员的休息时间和法定节假日休假时间，尊重雇员的宗教信仰和风俗习惯；</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(4)在施工现场主要出入口处设榜公布雇员工资发放时间和投诉电话，以及合同工程中标价格、进度款支付情况。</w:t>
      </w:r>
    </w:p>
    <w:p>
      <w:pPr>
        <w:tabs>
          <w:tab w:val="left" w:pos="1080"/>
          <w:tab w:val="left" w:pos="2160"/>
        </w:tabs>
        <w:spacing w:line="360" w:lineRule="auto"/>
        <w:ind w:left="1617"/>
        <w:rPr>
          <w:rFonts w:ascii="宋体" w:hAnsi="宋体" w:cs="宋体"/>
          <w:color w:val="auto"/>
          <w:szCs w:val="21"/>
          <w:highlight w:val="none"/>
        </w:rPr>
      </w:pPr>
      <w:r>
        <w:rPr>
          <w:rFonts w:hint="eastAsia" w:ascii="宋体" w:hAnsi="宋体" w:cs="宋体"/>
          <w:color w:val="auto"/>
          <w:szCs w:val="21"/>
          <w:highlight w:val="none"/>
        </w:rPr>
        <w:t>(5)督促雇员和发包人现场人员应佩戴由合同双方当事人共同盖章、签发的工作证上岗；</w:t>
      </w:r>
    </w:p>
    <w:p>
      <w:pPr>
        <w:tabs>
          <w:tab w:val="left" w:pos="1080"/>
          <w:tab w:val="left" w:pos="2160"/>
        </w:tabs>
        <w:spacing w:line="360" w:lineRule="auto"/>
        <w:ind w:left="1619"/>
        <w:rPr>
          <w:rFonts w:ascii="宋体" w:hAnsi="宋体" w:cs="宋体"/>
          <w:color w:val="auto"/>
          <w:szCs w:val="21"/>
          <w:highlight w:val="none"/>
        </w:rPr>
      </w:pPr>
      <w:r>
        <w:rPr>
          <w:rFonts w:hint="eastAsia" w:ascii="宋体" w:hAnsi="宋体" w:cs="宋体"/>
          <w:color w:val="auto"/>
          <w:szCs w:val="21"/>
          <w:highlight w:val="none"/>
        </w:rPr>
        <w:t>(6)办理雇员的意外伤害等一切保险，处理雇员因工伤亡事故的善后事宜。</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5456" behindDoc="0" locked="0" layoutInCell="1" allowOverlap="1">
                <wp:simplePos x="0" y="0"/>
                <wp:positionH relativeFrom="column">
                  <wp:posOffset>-114300</wp:posOffset>
                </wp:positionH>
                <wp:positionV relativeFrom="paragraph">
                  <wp:posOffset>0</wp:posOffset>
                </wp:positionV>
                <wp:extent cx="914400" cy="693420"/>
                <wp:effectExtent l="0" t="0" r="0" b="0"/>
                <wp:wrapNone/>
                <wp:docPr id="309" name="文本框 30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4.6pt;width:72pt;z-index:251795456;mso-width-relative:page;mso-height-relative:page;" filled="f" stroked="f" coordsize="21600,21600" o:gfxdata="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5RFTPUAAAACAEAAA8AAAAAAAAAAQAgAAAAIgAAAGRycy9kb3ducmV2&#10;LnhtbFBLAQIUABQAAAAIAIdO4kAYdJ5F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承包人特殊时间施工的批准</w:t>
                      </w:r>
                    </w:p>
                  </w:txbxContent>
                </v:textbox>
              </v:shape>
            </w:pict>
          </mc:Fallback>
        </mc:AlternateContent>
      </w:r>
      <w:r>
        <w:rPr>
          <w:rFonts w:hint="eastAsia" w:ascii="宋体" w:hAnsi="宋体" w:cs="宋体"/>
          <w:color w:val="auto"/>
          <w:kern w:val="0"/>
          <w:szCs w:val="21"/>
          <w:highlight w:val="none"/>
        </w:rPr>
        <w:t>承包人如需在法定节假日施工，应经监理工程师同意；如需在夜间施工，除应经监理工程师同意外，还应经有关部门批准。此类情况，均不得超过法律规定的限度，并应按照法律规定给予雇员补休或付酬。如无特殊原因，只要在不影响工程质量、施工安全、周围环境的情况下，监理工程师应予同意。但为抢救生命、保护财产，或为工程安全、质量而不可避免的作业，则无需事先经监理工程师同意。</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6480" behindDoc="0" locked="0" layoutInCell="1" allowOverlap="1">
                <wp:simplePos x="0" y="0"/>
                <wp:positionH relativeFrom="column">
                  <wp:posOffset>-114300</wp:posOffset>
                </wp:positionH>
                <wp:positionV relativeFrom="paragraph">
                  <wp:posOffset>0</wp:posOffset>
                </wp:positionV>
                <wp:extent cx="914400" cy="480695"/>
                <wp:effectExtent l="0" t="0" r="0" b="0"/>
                <wp:wrapNone/>
                <wp:docPr id="308" name="文本框 308"/>
                <wp:cNvGraphicFramePr/>
                <a:graphic xmlns:a="http://schemas.openxmlformats.org/drawingml/2006/main">
                  <a:graphicData uri="http://schemas.microsoft.com/office/word/2010/wordprocessingShape">
                    <wps:wsp>
                      <wps:cNvSpPr txBox="1">
                        <a:spLocks noChangeArrowheads="1"/>
                      </wps:cNvSpPr>
                      <wps:spPr bwMode="auto">
                        <a:xfrm>
                          <a:off x="0" y="0"/>
                          <a:ext cx="914400" cy="4806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7.85pt;width:72pt;z-index:251796480;mso-width-relative:page;mso-height-relative:page;" filled="f" stroked="f" coordsize="21600,21600" o:gfxdata="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2Nuey1QAAAAcBAAAPAAAAAAAAAAEAIAAAACIAAABkcnMvZG93bnJl&#10;di54bWxQSwECFAAUAAAACACHTuJATT1gO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承包人向雇员支付劳务工资</w:t>
                      </w:r>
                    </w:p>
                  </w:txbxContent>
                </v:textbox>
              </v:shape>
            </w:pict>
          </mc:Fallback>
        </mc:AlternateContent>
      </w:r>
      <w:r>
        <w:rPr>
          <w:rFonts w:hint="eastAsia" w:ascii="宋体" w:hAnsi="宋体" w:cs="宋体"/>
          <w:color w:val="auto"/>
          <w:kern w:val="0"/>
          <w:szCs w:val="21"/>
          <w:highlight w:val="none"/>
        </w:rPr>
        <w:t>承包人应按照时足额向雇员支付劳务工资，并不低于当地最低工资标准。因承包人拖欠其雇员工资而造成群体性示威、游行等一切后果，由承包人承担。对发包人造成损失和（或）导致工期延误的，应赔偿发包人的损失，工期不予顺延。</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97504" behindDoc="0" locked="0" layoutInCell="1" allowOverlap="1">
                <wp:simplePos x="0" y="0"/>
                <wp:positionH relativeFrom="column">
                  <wp:posOffset>-114300</wp:posOffset>
                </wp:positionH>
                <wp:positionV relativeFrom="paragraph">
                  <wp:posOffset>0</wp:posOffset>
                </wp:positionV>
                <wp:extent cx="914400" cy="891540"/>
                <wp:effectExtent l="0" t="0" r="0" b="0"/>
                <wp:wrapNone/>
                <wp:docPr id="307" name="文本框 307"/>
                <wp:cNvGraphicFramePr/>
                <a:graphic xmlns:a="http://schemas.openxmlformats.org/drawingml/2006/main">
                  <a:graphicData uri="http://schemas.microsoft.com/office/word/2010/wordprocessingShape">
                    <wps:wsp>
                      <wps:cNvSpPr txBox="1">
                        <a:spLocks noChangeArrowheads="1"/>
                      </wps:cNvSpPr>
                      <wps:spPr bwMode="auto">
                        <a:xfrm>
                          <a:off x="0" y="0"/>
                          <a:ext cx="914400" cy="8915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70.2pt;width:72pt;z-index:251797504;mso-width-relative:page;mso-height-relative:page;" filled="f" stroked="f" coordsize="21600,21600" o:gfxdata="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Ss4xE1AAAAAgBAAAPAAAAAAAAAAEAIAAAACIAAABkcnMvZG93bnJl&#10;di54bWxQSwECFAAUAAAACACHTuJAl+wBxAECAADYAwAADgAAAAAAAAABACAAAAAj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承包人向工地派遣雇员的要求</w:t>
                      </w:r>
                    </w:p>
                  </w:txbxContent>
                </v:textbox>
              </v:shape>
            </w:pict>
          </mc:Fallback>
        </mc:AlternateContent>
      </w:r>
      <w:r>
        <w:rPr>
          <w:rFonts w:hint="eastAsia" w:ascii="宋体" w:hAnsi="宋体" w:cs="宋体"/>
          <w:color w:val="auto"/>
          <w:szCs w:val="21"/>
          <w:highlight w:val="none"/>
        </w:rPr>
        <w:t>承包人的雇员应是在行业或职业内具有相应资格、技能和经验的人员。承包人应向施工场地派遣足够数量的下列雇员：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 xml:space="preserve">具有相应资格的专业技工和合格的普工； </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具有相应施工经验的技术人员；</w:t>
      </w:r>
    </w:p>
    <w:p>
      <w:pPr>
        <w:numPr>
          <w:ilvl w:val="1"/>
          <w:numId w:val="11"/>
        </w:numPr>
        <w:tabs>
          <w:tab w:val="left" w:pos="2160"/>
          <w:tab w:val="left" w:pos="2340"/>
        </w:tabs>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具有相应岗位资格的各级管理人员。</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27.7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36768" behindDoc="0" locked="0" layoutInCell="1" allowOverlap="1">
                <wp:simplePos x="0" y="0"/>
                <wp:positionH relativeFrom="column">
                  <wp:posOffset>-114300</wp:posOffset>
                </wp:positionH>
                <wp:positionV relativeFrom="paragraph">
                  <wp:posOffset>0</wp:posOffset>
                </wp:positionV>
                <wp:extent cx="914400" cy="511175"/>
                <wp:effectExtent l="0" t="0" r="0" b="0"/>
                <wp:wrapNone/>
                <wp:docPr id="306" name="文本框 306"/>
                <wp:cNvGraphicFramePr/>
                <a:graphic xmlns:a="http://schemas.openxmlformats.org/drawingml/2006/main">
                  <a:graphicData uri="http://schemas.microsoft.com/office/word/2010/wordprocessingShape">
                    <wps:wsp>
                      <wps:cNvSpPr txBox="1">
                        <a:spLocks noChangeArrowheads="1"/>
                      </wps:cNvSpPr>
                      <wps:spPr bwMode="auto">
                        <a:xfrm>
                          <a:off x="0" y="0"/>
                          <a:ext cx="914400" cy="5111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0.25pt;width:72pt;z-index:251936768;mso-width-relative:page;mso-height-relative:page;" filled="f" stroked="f" coordsize="21600,21600" o:gfxdata="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ZvzKHUAAAABwEAAA8AAAAAAAAAAQAgAAAAIgAAAGRycy9kb3ducmV2&#10;LnhtbFBLAQIUABQAAAAIAIdO4kDWCHnk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承包人雇员安排和撤换</w:t>
                      </w:r>
                    </w:p>
                  </w:txbxContent>
                </v:textbox>
              </v:shape>
            </w:pict>
          </mc:Fallback>
        </mc:AlternateContent>
      </w:r>
      <w:r>
        <w:rPr>
          <w:rFonts w:hint="eastAsia" w:ascii="宋体" w:hAnsi="宋体" w:cs="宋体"/>
          <w:color w:val="auto"/>
          <w:szCs w:val="21"/>
          <w:highlight w:val="none"/>
        </w:rPr>
        <w:t>承包人安排在施工场地的雇员应保持相对稳定，但有下列行为的任何承包人雇员，监理工程师可要求承包人将其撤换：</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经常行为不当，或工作漫不经心；</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无能力履行义务或玩忽职守；</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不遵守合同的约定；</w:t>
      </w:r>
    </w:p>
    <w:p>
      <w:pPr>
        <w:numPr>
          <w:ilvl w:val="0"/>
          <w:numId w:val="16"/>
        </w:numPr>
        <w:tabs>
          <w:tab w:val="left" w:pos="2160"/>
        </w:tabs>
        <w:spacing w:line="360" w:lineRule="auto"/>
        <w:rPr>
          <w:rFonts w:ascii="宋体" w:hAnsi="宋体" w:cs="宋体"/>
          <w:color w:val="auto"/>
          <w:szCs w:val="21"/>
          <w:highlight w:val="none"/>
        </w:rPr>
      </w:pPr>
      <w:r>
        <w:rPr>
          <w:rFonts w:hint="eastAsia" w:ascii="宋体" w:hAnsi="宋体" w:cs="宋体"/>
          <w:color w:val="auto"/>
          <w:szCs w:val="21"/>
          <w:highlight w:val="none"/>
        </w:rPr>
        <w:t>有损安全、健康和不利于环境保护的行为。</w:t>
      </w: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27.8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8528" behindDoc="0" locked="0" layoutInCell="1" allowOverlap="1">
                <wp:simplePos x="0" y="0"/>
                <wp:positionH relativeFrom="column">
                  <wp:posOffset>-114300</wp:posOffset>
                </wp:positionH>
                <wp:positionV relativeFrom="paragraph">
                  <wp:posOffset>0</wp:posOffset>
                </wp:positionV>
                <wp:extent cx="914400" cy="434975"/>
                <wp:effectExtent l="0" t="0" r="0" b="0"/>
                <wp:wrapNone/>
                <wp:docPr id="305" name="文本框 305"/>
                <wp:cNvGraphicFramePr/>
                <a:graphic xmlns:a="http://schemas.openxmlformats.org/drawingml/2006/main">
                  <a:graphicData uri="http://schemas.microsoft.com/office/word/2010/wordprocessingShape">
                    <wps:wsp>
                      <wps:cNvSpPr txBox="1">
                        <a:spLocks noChangeArrowheads="1"/>
                      </wps:cNvSpPr>
                      <wps:spPr bwMode="auto">
                        <a:xfrm>
                          <a:off x="0" y="0"/>
                          <a:ext cx="914400" cy="434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34.25pt;width:72pt;z-index:251798528;mso-width-relative:page;mso-height-relative:page;" filled="f" stroked="f" coordsize="21600,21600" o:gfxdata="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LXY79UAAAAHAQAADwAAAAAAAAABACAAAAAiAAAAZHJzL2Rvd25y&#10;ZXYueG1sUEsBAhQAFAAAAAgAh07iQAB8xRk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承包人对雇员的保护</w:t>
                      </w:r>
                    </w:p>
                  </w:txbxContent>
                </v:textbox>
              </v:shape>
            </w:pict>
          </mc:Fallback>
        </mc:AlternateContent>
      </w:r>
      <w:r>
        <w:rPr>
          <w:rFonts w:hint="eastAsia" w:ascii="宋体" w:hAnsi="宋体" w:cs="宋体"/>
          <w:color w:val="auto"/>
          <w:kern w:val="0"/>
          <w:szCs w:val="21"/>
          <w:highlight w:val="none"/>
        </w:rPr>
        <w:t>承包人应自始至终采取各种合理的预防措施，防止雇员内部发生打斗和任何无序、非法的不良行为，以确保现场安定和保护现场及邻近人员的生命、财产安全。</w:t>
      </w:r>
    </w:p>
    <w:p>
      <w:pPr>
        <w:spacing w:line="360" w:lineRule="auto"/>
        <w:rPr>
          <w:rFonts w:ascii="宋体" w:hAnsi="宋体" w:cs="宋体"/>
          <w:b/>
          <w:color w:val="auto"/>
          <w:sz w:val="24"/>
          <w:szCs w:val="18"/>
          <w:highlight w:val="none"/>
        </w:rPr>
      </w:pPr>
      <w:r>
        <w:rPr>
          <w:rFonts w:hint="eastAsia" w:ascii="宋体" w:hAnsi="宋体" w:cs="宋体"/>
          <w:b/>
          <w:color w:val="auto"/>
          <w:szCs w:val="21"/>
          <w:highlight w:val="none"/>
          <w:u w:val="single"/>
        </w:rPr>
        <w:t xml:space="preserve">                                                                                   </w:t>
      </w:r>
      <w:r>
        <w:rPr>
          <w:rFonts w:hint="eastAsia" w:ascii="宋体" w:hAnsi="宋体" w:cs="宋体"/>
          <w:b/>
          <w:color w:val="auto"/>
          <w:sz w:val="24"/>
          <w:szCs w:val="18"/>
          <w:highlight w:val="none"/>
          <w:u w:val="single"/>
        </w:rPr>
        <w:t xml:space="preserve">                           </w:t>
      </w:r>
    </w:p>
    <w:p>
      <w:pPr>
        <w:adjustRightInd w:val="0"/>
        <w:snapToGrid w:val="0"/>
        <w:spacing w:line="360" w:lineRule="auto"/>
        <w:ind w:right="-238"/>
        <w:outlineLvl w:val="1"/>
        <w:rPr>
          <w:rFonts w:ascii="宋体" w:hAnsi="宋体" w:cs="宋体"/>
          <w:b/>
          <w:color w:val="auto"/>
          <w:kern w:val="0"/>
          <w:sz w:val="32"/>
          <w:szCs w:val="28"/>
          <w:highlight w:val="none"/>
        </w:rPr>
      </w:pPr>
    </w:p>
    <w:p>
      <w:pPr>
        <w:adjustRightInd w:val="0"/>
        <w:snapToGrid w:val="0"/>
        <w:spacing w:line="360" w:lineRule="auto"/>
        <w:ind w:right="-238"/>
        <w:jc w:val="center"/>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三、担保、保险与风险</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28  工程担保</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799552" behindDoc="0" locked="0" layoutInCell="1" allowOverlap="1">
                <wp:simplePos x="0" y="0"/>
                <wp:positionH relativeFrom="column">
                  <wp:posOffset>-114300</wp:posOffset>
                </wp:positionH>
                <wp:positionV relativeFrom="paragraph">
                  <wp:posOffset>243840</wp:posOffset>
                </wp:positionV>
                <wp:extent cx="914400" cy="396240"/>
                <wp:effectExtent l="0" t="0" r="0" b="0"/>
                <wp:wrapNone/>
                <wp:docPr id="304" name="文本框 30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31.2pt;width:72pt;z-index:251799552;mso-width-relative:page;mso-height-relative:page;" filled="f" stroked="f" coordsize="21600,21600" o:gfxdata="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4G5QTXAAAACgEAAA8AAAAAAAAAAQAgAAAAIgAAAGRycy9kb3du&#10;cmV2LnhtbFBLAQIUABQAAAAIAIdO4kDmDSmS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承包人提供履约担保</w:t>
                      </w:r>
                    </w:p>
                  </w:txbxContent>
                </v:textbox>
              </v:shape>
            </w:pict>
          </mc:Fallback>
        </mc:AlternateContent>
      </w:r>
      <w:r>
        <w:rPr>
          <w:rFonts w:hint="eastAsia" w:ascii="宋体" w:hAnsi="宋体" w:cs="宋体"/>
          <w:b/>
          <w:color w:val="auto"/>
          <w:kern w:val="0"/>
          <w:szCs w:val="21"/>
          <w:highlight w:val="none"/>
        </w:rPr>
        <w:t xml:space="preserve">28.1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为正确履行本合同，发包人应在招标文件中或在签订合同前明确履约担保的有关要求，承包人应按照合同约定时间向发包人提供履约担保。履约担保采用银行保函的形式，提供履约保函所发生的费用由承包人承担。</w:t>
      </w:r>
    </w:p>
    <w:p>
      <w:pPr>
        <w:tabs>
          <w:tab w:val="left" w:pos="1320"/>
        </w:tabs>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0576" behindDoc="0" locked="0" layoutInCell="1" allowOverlap="1">
                <wp:simplePos x="0" y="0"/>
                <wp:positionH relativeFrom="column">
                  <wp:posOffset>-114300</wp:posOffset>
                </wp:positionH>
                <wp:positionV relativeFrom="paragraph">
                  <wp:posOffset>255905</wp:posOffset>
                </wp:positionV>
                <wp:extent cx="914400" cy="394970"/>
                <wp:effectExtent l="0" t="0" r="0" b="0"/>
                <wp:wrapNone/>
                <wp:docPr id="303" name="文本框 303"/>
                <wp:cNvGraphicFramePr/>
                <a:graphic xmlns:a="http://schemas.openxmlformats.org/drawingml/2006/main">
                  <a:graphicData uri="http://schemas.microsoft.com/office/word/2010/wordprocessingShape">
                    <wps:wsp>
                      <wps:cNvSpPr txBox="1">
                        <a:spLocks noChangeArrowheads="1"/>
                      </wps:cNvSpPr>
                      <wps:spPr bwMode="auto">
                        <a:xfrm>
                          <a:off x="0" y="0"/>
                          <a:ext cx="914400" cy="3949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5pt;height:31.1pt;width:72pt;z-index:251800576;mso-width-relative:page;mso-height-relative:page;" filled="f" stroked="f" coordsize="21600,21600" o:gfxdata="UEsDBAoAAAAAAIdO4kAAAAAAAAAAAAAAAAAEAAAAZHJzL1BLAwQUAAAACACHTuJACkedS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pHnUjXAAAACgEAAA8AAAAAAAAAAQAgAAAAIgAAAGRycy9kb3du&#10;cmV2LnhtbFBLAQIUABQAAAAIAIdO4kCbRrsq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履约担保期限和退还</w:t>
                      </w:r>
                    </w:p>
                  </w:txbxContent>
                </v:textbox>
              </v:shape>
            </w:pict>
          </mc:Fallback>
        </mc:AlternateContent>
      </w:r>
      <w:r>
        <w:rPr>
          <w:rFonts w:hint="eastAsia" w:ascii="宋体" w:hAnsi="宋体" w:cs="宋体"/>
          <w:b/>
          <w:color w:val="auto"/>
          <w:kern w:val="0"/>
          <w:szCs w:val="21"/>
          <w:highlight w:val="none"/>
        </w:rPr>
        <w:t xml:space="preserve">28.2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履约担保的有效期，是从提供履约担保之日起至合同工程竣工验收合格之日止。发包人应在担保有效期满后的14 天内将此担保退还给承包人。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1600" behindDoc="0" locked="0" layoutInCell="1" allowOverlap="1">
                <wp:simplePos x="0" y="0"/>
                <wp:positionH relativeFrom="column">
                  <wp:posOffset>-114300</wp:posOffset>
                </wp:positionH>
                <wp:positionV relativeFrom="paragraph">
                  <wp:posOffset>248920</wp:posOffset>
                </wp:positionV>
                <wp:extent cx="914400" cy="495300"/>
                <wp:effectExtent l="0" t="0" r="0" b="0"/>
                <wp:wrapNone/>
                <wp:docPr id="302" name="文本框 302"/>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6pt;height:39pt;width:72pt;z-index:251801600;mso-width-relative:page;mso-height-relative:page;" filled="f" stroked="f" coordsize="21600,21600" o:gfxdata="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W7JD7YAAAACgEAAA8AAAAAAAAAAQAgAAAAIgAAAGRycy9kb3du&#10;cmV2LnhtbFBLAQIUABQAAAAIAIdO4kBYd0mT/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向发包人支付索赔款项</w:t>
                      </w:r>
                    </w:p>
                  </w:txbxContent>
                </v:textbox>
              </v:shape>
            </w:pict>
          </mc:Fallback>
        </mc:AlternateContent>
      </w:r>
      <w:r>
        <w:rPr>
          <w:rFonts w:hint="eastAsia" w:ascii="宋体" w:hAnsi="宋体" w:cs="宋体"/>
          <w:b/>
          <w:color w:val="auto"/>
          <w:kern w:val="0"/>
          <w:szCs w:val="21"/>
          <w:highlight w:val="none"/>
        </w:rPr>
        <w:t xml:space="preserve">28.3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b/>
          <w:color w:val="auto"/>
          <w:kern w:val="0"/>
          <w:szCs w:val="21"/>
          <w:highlight w:val="none"/>
        </w:rPr>
      </w:pPr>
      <w:r>
        <w:rPr>
          <w:rFonts w:hint="eastAsia" w:ascii="宋体" w:hAnsi="宋体" w:cs="宋体"/>
          <w:color w:val="auto"/>
          <w:kern w:val="0"/>
          <w:szCs w:val="21"/>
          <w:highlight w:val="none"/>
        </w:rPr>
        <w:t>发包人在对履约担保提出索赔要求之前，应书面通知承包人，说明导致此项索赔的原因，并及时向担保人提出索赔文件。担保人根据担保合同的约定在担保范围内承担担保责任，并无须征得承包人的同意，直接向发包人支付索赔价款。</w:t>
      </w:r>
    </w:p>
    <w:p>
      <w:pPr>
        <w:tabs>
          <w:tab w:val="left" w:pos="540"/>
          <w:tab w:val="left" w:pos="7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2624" behindDoc="0" locked="0" layoutInCell="1" allowOverlap="1">
                <wp:simplePos x="0" y="0"/>
                <wp:positionH relativeFrom="column">
                  <wp:posOffset>-114300</wp:posOffset>
                </wp:positionH>
                <wp:positionV relativeFrom="paragraph">
                  <wp:posOffset>251460</wp:posOffset>
                </wp:positionV>
                <wp:extent cx="914400" cy="417830"/>
                <wp:effectExtent l="0" t="0" r="0" b="0"/>
                <wp:wrapNone/>
                <wp:docPr id="301" name="文本框 301"/>
                <wp:cNvGraphicFramePr/>
                <a:graphic xmlns:a="http://schemas.openxmlformats.org/drawingml/2006/main">
                  <a:graphicData uri="http://schemas.microsoft.com/office/word/2010/wordprocessingShape">
                    <wps:wsp>
                      <wps:cNvSpPr txBox="1">
                        <a:spLocks noChangeArrowheads="1"/>
                      </wps:cNvSpPr>
                      <wps:spPr bwMode="auto">
                        <a:xfrm>
                          <a:off x="0" y="0"/>
                          <a:ext cx="914400" cy="41783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8pt;height:32.9pt;width:72pt;z-index:251802624;mso-width-relative:page;mso-height-relative:page;" filled="f" stroked="f" coordsize="21600,21600" o:gfxdata="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LE7+Y2AAAAAoBAAAPAAAAAAAAAAEAIAAAACIAAABkcnMvZG93&#10;bnJldi54bWxQSwECFAAUAAAACACHTuJAv3uQQQ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发包人提供支付担保</w:t>
                      </w:r>
                    </w:p>
                  </w:txbxContent>
                </v:textbox>
              </v:shape>
            </w:pict>
          </mc:Fallback>
        </mc:AlternateContent>
      </w:r>
      <w:r>
        <w:rPr>
          <w:rFonts w:hint="eastAsia" w:ascii="宋体" w:hAnsi="宋体" w:cs="宋体"/>
          <w:b/>
          <w:color w:val="auto"/>
          <w:kern w:val="0"/>
          <w:szCs w:val="21"/>
          <w:highlight w:val="none"/>
        </w:rPr>
        <w:t xml:space="preserve">28.4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承包人按照第28.1款的要求提交了履约担保，发包人应按照合同约定时间向承包人提交与履约担保等值的支付担保。支付担保采用银行保函的形式，提供支付保函所发生的费用由发包人承担。</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3648" behindDoc="0" locked="0" layoutInCell="1" allowOverlap="1">
                <wp:simplePos x="0" y="0"/>
                <wp:positionH relativeFrom="column">
                  <wp:posOffset>-114300</wp:posOffset>
                </wp:positionH>
                <wp:positionV relativeFrom="paragraph">
                  <wp:posOffset>238125</wp:posOffset>
                </wp:positionV>
                <wp:extent cx="914400" cy="412750"/>
                <wp:effectExtent l="0" t="0" r="0" b="0"/>
                <wp:wrapNone/>
                <wp:docPr id="300" name="文本框 30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5pt;height:32.5pt;width:72pt;z-index:251803648;mso-width-relative:page;mso-height-relative:page;" filled="f" stroked="f" coordsize="21600,21600" o:gfxdata="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jwydjYAAAACgEAAA8AAAAAAAAAAQAgAAAAIgAAAGRycy9kb3du&#10;cmV2LnhtbFBLAQIUABQAAAAIAIdO4kA+Lefb/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支付担保期限和退还</w:t>
                      </w:r>
                    </w:p>
                  </w:txbxContent>
                </v:textbox>
              </v:shape>
            </w:pict>
          </mc:Fallback>
        </mc:AlternateContent>
      </w:r>
      <w:r>
        <w:rPr>
          <w:rFonts w:hint="eastAsia" w:ascii="宋体" w:hAnsi="宋体" w:cs="宋体"/>
          <w:b/>
          <w:color w:val="auto"/>
          <w:kern w:val="0"/>
          <w:szCs w:val="21"/>
          <w:highlight w:val="none"/>
        </w:rPr>
        <w:t xml:space="preserve">28.5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支付担保的有效期，是从提供支付担保之日起至发包人根据本合同约定支付完除质量保证金以外的全部款项之日止。承包人应在担保有效期满后的14天内将此担保退还给发包人。</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04672" behindDoc="0" locked="0" layoutInCell="1" allowOverlap="1">
                <wp:simplePos x="0" y="0"/>
                <wp:positionH relativeFrom="column">
                  <wp:posOffset>-114300</wp:posOffset>
                </wp:positionH>
                <wp:positionV relativeFrom="paragraph">
                  <wp:posOffset>247650</wp:posOffset>
                </wp:positionV>
                <wp:extent cx="914400" cy="396240"/>
                <wp:effectExtent l="0" t="0" r="0" b="0"/>
                <wp:wrapNone/>
                <wp:docPr id="299" name="文本框 29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31.2pt;width:72pt;z-index:251804672;mso-width-relative:page;mso-height-relative:page;" filled="f" stroked="f" coordsize="21600,21600" o:gfxdata="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oaQYtYAAAAKAQAADwAAAAAAAAABACAAAAAiAAAAZHJzL2Rvd25y&#10;ZXYueG1sUEsBAhQAFAAAAAgAh07iQD2o5jk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向承包人支付索赔款项</w:t>
                      </w:r>
                    </w:p>
                  </w:txbxContent>
                </v:textbox>
              </v:shape>
            </w:pict>
          </mc:Fallback>
        </mc:AlternateContent>
      </w:r>
      <w:r>
        <w:rPr>
          <w:rFonts w:hint="eastAsia" w:ascii="宋体" w:hAnsi="宋体" w:cs="宋体"/>
          <w:b/>
          <w:color w:val="auto"/>
          <w:kern w:val="0"/>
          <w:szCs w:val="21"/>
          <w:highlight w:val="none"/>
        </w:rPr>
        <w:t xml:space="preserve">28.6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承包人在对支付担保提出索赔要求之前，应书面通知发包人和造价工程师，说明导致此项索赔的原因，并及时向担保人提出索赔文件。担保人根据担保合同的约定在担保范围内承担担保责任，并无须征得发包人的同意，直接向承包人支付索赔款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243205</wp:posOffset>
                </wp:positionV>
                <wp:extent cx="914400" cy="422910"/>
                <wp:effectExtent l="0" t="0" r="0" b="0"/>
                <wp:wrapNone/>
                <wp:docPr id="298" name="文本框 298"/>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5pt;height:33.3pt;width:72pt;z-index:251659264;mso-width-relative:page;mso-height-relative:page;" filled="f" stroked="f" coordsize="21600,21600" o:gfxdata="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ATYqdcAAAAKAQAADwAAAAAAAAABACAAAAAiAAAAZHJzL2Rvd25y&#10;ZXYueG1sUEsBAhQAFAAAAAgAh07iQEQbO/v/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双方延长担保期限</w:t>
                      </w:r>
                    </w:p>
                  </w:txbxContent>
                </v:textbox>
              </v:shape>
            </w:pict>
          </mc:Fallback>
        </mc:AlternateContent>
      </w:r>
      <w:r>
        <w:rPr>
          <w:rFonts w:hint="eastAsia" w:ascii="宋体" w:hAnsi="宋体" w:cs="宋体"/>
          <w:b/>
          <w:color w:val="auto"/>
          <w:kern w:val="0"/>
          <w:szCs w:val="21"/>
          <w:highlight w:val="none"/>
        </w:rPr>
        <w:t xml:space="preserve">28.7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合同双方当事人均应确保合同工程担保有效期符合工期合理顺延的要求。若合同一方当事人未能保证延长担保有效期，另一方当事人可向其索赔担保的全部金额。</w:t>
      </w:r>
    </w:p>
    <w:p>
      <w:pPr>
        <w:tabs>
          <w:tab w:val="left" w:pos="1320"/>
        </w:tabs>
        <w:adjustRightInd w:val="0"/>
        <w:snapToGrid w:val="0"/>
        <w:spacing w:line="360" w:lineRule="auto"/>
        <w:ind w:right="-238"/>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0288" behindDoc="0" locked="0" layoutInCell="1" allowOverlap="1">
                <wp:simplePos x="0" y="0"/>
                <wp:positionH relativeFrom="column">
                  <wp:posOffset>-114300</wp:posOffset>
                </wp:positionH>
                <wp:positionV relativeFrom="paragraph">
                  <wp:posOffset>255270</wp:posOffset>
                </wp:positionV>
                <wp:extent cx="914400" cy="339090"/>
                <wp:effectExtent l="0" t="0" r="0" b="0"/>
                <wp:wrapNone/>
                <wp:docPr id="297" name="文本框 297"/>
                <wp:cNvGraphicFramePr/>
                <a:graphic xmlns:a="http://schemas.openxmlformats.org/drawingml/2006/main">
                  <a:graphicData uri="http://schemas.microsoft.com/office/word/2010/wordprocessingShape">
                    <wps:wsp>
                      <wps:cNvSpPr txBox="1">
                        <a:spLocks noChangeArrowheads="1"/>
                      </wps:cNvSpPr>
                      <wps:spPr bwMode="auto">
                        <a:xfrm>
                          <a:off x="0" y="0"/>
                          <a:ext cx="914400" cy="33909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1pt;height:26.7pt;width:72pt;z-index:251660288;mso-width-relative:page;mso-height-relative:page;" filled="f" stroked="f" coordsize="21600,21600" o:gfxdata="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xIfdXXAAAACQEAAA8AAAAAAAAAAQAgAAAAIgAAAGRycy9kb3du&#10;cmV2LnhtbFBLAQIUABQAAAAIAIdO4kDo6rSR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约定担保事项</w:t>
                      </w:r>
                    </w:p>
                  </w:txbxContent>
                </v:textbox>
              </v:shape>
            </w:pict>
          </mc:Fallback>
        </mc:AlternateContent>
      </w:r>
      <w:r>
        <w:rPr>
          <w:rFonts w:hint="eastAsia" w:ascii="宋体" w:hAnsi="宋体" w:cs="宋体"/>
          <w:b/>
          <w:color w:val="auto"/>
          <w:kern w:val="0"/>
          <w:szCs w:val="21"/>
          <w:highlight w:val="none"/>
        </w:rPr>
        <w:t xml:space="preserve">28.8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38"/>
        <w:rPr>
          <w:rFonts w:ascii="宋体" w:hAnsi="宋体" w:cs="宋体"/>
          <w:color w:val="auto"/>
          <w:kern w:val="0"/>
          <w:szCs w:val="21"/>
          <w:highlight w:val="none"/>
        </w:rPr>
      </w:pPr>
      <w:r>
        <w:rPr>
          <w:rFonts w:hint="eastAsia" w:ascii="宋体" w:hAnsi="宋体" w:cs="宋体"/>
          <w:color w:val="auto"/>
          <w:kern w:val="0"/>
          <w:szCs w:val="21"/>
          <w:highlight w:val="none"/>
        </w:rPr>
        <w:t>合同双方当事人在专用条款中约定担保内容、方式和责任等事项，并签订担保合同，作为本合同附件。</w:t>
      </w:r>
    </w:p>
    <w:p>
      <w:pPr>
        <w:adjustRightInd w:val="0"/>
        <w:snapToGrid w:val="0"/>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29  发包人风险</w:t>
      </w:r>
    </w:p>
    <w:p>
      <w:pPr>
        <w:adjustRightInd w:val="0"/>
        <w:snapToGrid w:val="0"/>
        <w:spacing w:line="360" w:lineRule="auto"/>
        <w:ind w:right="-24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1312" behindDoc="0" locked="0" layoutInCell="1" allowOverlap="1">
                <wp:simplePos x="0" y="0"/>
                <wp:positionH relativeFrom="column">
                  <wp:posOffset>-114300</wp:posOffset>
                </wp:positionH>
                <wp:positionV relativeFrom="paragraph">
                  <wp:posOffset>226695</wp:posOffset>
                </wp:positionV>
                <wp:extent cx="914400" cy="396240"/>
                <wp:effectExtent l="0" t="0" r="0" b="0"/>
                <wp:wrapNone/>
                <wp:docPr id="296" name="文本框 29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31.2pt;width:72pt;z-index:251661312;mso-width-relative:page;mso-height-relative:page;" filled="f" stroked="f" coordsize="21600,21600" o:gfxdata="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Fo6vjXAAAACQEAAA8AAAAAAAAAAQAgAAAAIgAAAGRycy9kb3du&#10;cmV2LnhtbFBLAQIUABQAAAAIAIdO4kCBSl8D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发包人承担风险</w:t>
                      </w:r>
                    </w:p>
                  </w:txbxContent>
                </v:textbox>
              </v:shape>
            </w:pict>
          </mc:Fallback>
        </mc:AlternateContent>
      </w:r>
      <w:r>
        <w:rPr>
          <w:rFonts w:hint="eastAsia" w:ascii="宋体" w:hAnsi="宋体" w:cs="宋体"/>
          <w:b/>
          <w:color w:val="auto"/>
          <w:kern w:val="0"/>
          <w:szCs w:val="21"/>
          <w:highlight w:val="none"/>
        </w:rPr>
        <w:t xml:space="preserve">29.1     </w:t>
      </w:r>
    </w:p>
    <w:p>
      <w:pPr>
        <w:adjustRightInd w:val="0"/>
        <w:snapToGrid w:val="0"/>
        <w:spacing w:line="360" w:lineRule="auto"/>
        <w:ind w:left="1619" w:leftChars="771" w:right="-240"/>
        <w:rPr>
          <w:rFonts w:ascii="宋体" w:hAnsi="宋体" w:cs="宋体"/>
          <w:color w:val="auto"/>
          <w:kern w:val="0"/>
          <w:szCs w:val="21"/>
          <w:highlight w:val="none"/>
        </w:rPr>
      </w:pPr>
      <w:r>
        <w:rPr>
          <w:rFonts w:hint="eastAsia" w:ascii="宋体" w:hAnsi="宋体" w:cs="宋体"/>
          <w:color w:val="auto"/>
          <w:kern w:val="0"/>
          <w:szCs w:val="21"/>
          <w:highlight w:val="none"/>
        </w:rPr>
        <w:t>发包人应承担本合同中规定应由发包人承担的风险。</w:t>
      </w:r>
    </w:p>
    <w:p>
      <w:pPr>
        <w:adjustRightInd w:val="0"/>
        <w:snapToGrid w:val="0"/>
        <w:spacing w:line="48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 xml:space="preserve">29.2  </w:t>
      </w:r>
      <w:r>
        <w:rPr>
          <w:rFonts w:hint="eastAsia" w:ascii="宋体" w:hAnsi="宋体" w:cs="宋体"/>
          <w:b/>
          <w:color w:val="auto"/>
          <w:kern w:val="0"/>
          <w:szCs w:val="21"/>
          <w:highlight w:val="none"/>
          <w:u w:val="dotted"/>
        </w:rPr>
        <w:t xml:space="preserve">                                                                             </w:t>
      </w:r>
    </w:p>
    <w:p>
      <w:pPr>
        <w:adjustRightInd w:val="0"/>
        <w:snapToGrid w:val="0"/>
        <w:spacing w:line="360" w:lineRule="auto"/>
        <w:ind w:right="-240"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2336" behindDoc="0" locked="0" layoutInCell="1" allowOverlap="1">
                <wp:simplePos x="0" y="0"/>
                <wp:positionH relativeFrom="column">
                  <wp:posOffset>-114300</wp:posOffset>
                </wp:positionH>
                <wp:positionV relativeFrom="paragraph">
                  <wp:posOffset>10795</wp:posOffset>
                </wp:positionV>
                <wp:extent cx="914400" cy="356235"/>
                <wp:effectExtent l="0" t="0" r="0" b="0"/>
                <wp:wrapNone/>
                <wp:docPr id="295" name="文本框 295"/>
                <wp:cNvGraphicFramePr/>
                <a:graphic xmlns:a="http://schemas.openxmlformats.org/drawingml/2006/main">
                  <a:graphicData uri="http://schemas.microsoft.com/office/word/2010/wordprocessingShape">
                    <wps:wsp>
                      <wps:cNvSpPr txBox="1">
                        <a:spLocks noChangeArrowheads="1"/>
                      </wps:cNvSpPr>
                      <wps:spPr bwMode="auto">
                        <a:xfrm>
                          <a:off x="0" y="0"/>
                          <a:ext cx="914400" cy="3562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28.05pt;width:72pt;z-index:251662336;mso-width-relative:page;mso-height-relative:page;" filled="f" stroked="f" coordsize="21600,21600" o:gfxdata="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RBU2NUAAAAIAQAADwAAAAAAAAABACAAAAAiAAAAZHJzL2Rvd25y&#10;ZXYueG1sUEsBAhQAFAAAAAgAh07iQDnK2/c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发包人风险</w:t>
                      </w:r>
                    </w:p>
                  </w:txbxContent>
                </v:textbox>
              </v:shape>
            </w:pict>
          </mc:Fallback>
        </mc:AlternateContent>
      </w:r>
      <w:r>
        <w:rPr>
          <w:rFonts w:hint="eastAsia" w:ascii="宋体" w:hAnsi="宋体" w:cs="宋体"/>
          <w:color w:val="auto"/>
          <w:kern w:val="0"/>
          <w:szCs w:val="21"/>
          <w:highlight w:val="none"/>
        </w:rPr>
        <w:t>自开工之日起至颁发工程接收证书之日止，发包人风险包括但不限于：</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由于永久工程本身或施工而不可避免造成的财产（除工程本身、材料和工程设备和施工设备外）损失或损坏；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由于发包人工作人员及其相关人员（除承包人外）的疏忽或违规造成的人员伤亡、财产损失或损坏；</w:t>
      </w:r>
    </w:p>
    <w:p>
      <w:pPr>
        <w:numPr>
          <w:ilvl w:val="0"/>
          <w:numId w:val="17"/>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由于发包人提前使用或占用永久工程或其部分造成的损失或损坏；</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由于发包人提供或发包人负责的设计造成的对永久工程、材料和工程设备和施工设备的损失或损害；</w:t>
      </w:r>
    </w:p>
    <w:p>
      <w:pPr>
        <w:numPr>
          <w:ilvl w:val="0"/>
          <w:numId w:val="17"/>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由于地质、邻近建筑物、古树名木和物价上涨等非承包人原因造成施工过程中费用的增加。</w:t>
      </w:r>
    </w:p>
    <w:p>
      <w:pPr>
        <w:adjustRightInd w:val="0"/>
        <w:snapToGrid w:val="0"/>
        <w:spacing w:line="360" w:lineRule="auto"/>
        <w:ind w:right="-240"/>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right="-240"/>
        <w:rPr>
          <w:rFonts w:ascii="宋体" w:hAnsi="宋体" w:cs="宋体"/>
          <w:b/>
          <w:color w:val="auto"/>
          <w:kern w:val="0"/>
          <w:szCs w:val="21"/>
          <w:highlight w:val="non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30  承包人风险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3360" behindDoc="0" locked="0" layoutInCell="1" allowOverlap="1">
                <wp:simplePos x="0" y="0"/>
                <wp:positionH relativeFrom="column">
                  <wp:posOffset>-133350</wp:posOffset>
                </wp:positionH>
                <wp:positionV relativeFrom="paragraph">
                  <wp:posOffset>254635</wp:posOffset>
                </wp:positionV>
                <wp:extent cx="1028700" cy="427355"/>
                <wp:effectExtent l="0" t="0" r="0" b="0"/>
                <wp:wrapNone/>
                <wp:docPr id="294" name="文本框 294"/>
                <wp:cNvGraphicFramePr/>
                <a:graphic xmlns:a="http://schemas.openxmlformats.org/drawingml/2006/main">
                  <a:graphicData uri="http://schemas.microsoft.com/office/word/2010/wordprocessingShape">
                    <wps:wsp>
                      <wps:cNvSpPr txBox="1">
                        <a:spLocks noChangeArrowheads="1"/>
                      </wps:cNvSpPr>
                      <wps:spPr bwMode="auto">
                        <a:xfrm>
                          <a:off x="0" y="0"/>
                          <a:ext cx="1028700" cy="4273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0.05pt;height:33.65pt;width:81pt;z-index:251663360;mso-width-relative:page;mso-height-relative:page;" filled="f" stroked="f" coordsize="21600,21600" o:gfxdata="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ZKqyZ1gAAAAoBAAAPAAAAAAAAAAEAIAAAACIAAABkcnMvZG93&#10;bnJldi54bWxQSwECFAAUAAAACACHTuJA24klvwICAADZ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承包人承担风</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b/>
          <w:color w:val="auto"/>
          <w:kern w:val="0"/>
          <w:szCs w:val="21"/>
          <w:highlight w:val="none"/>
        </w:rPr>
        <w:t xml:space="preserve">30.1      </w:t>
      </w:r>
    </w:p>
    <w:p>
      <w:pPr>
        <w:tabs>
          <w:tab w:val="left" w:pos="1440"/>
        </w:tabs>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承包人应承担本合同中规定应由承包人承担的风险。</w:t>
      </w:r>
    </w:p>
    <w:p>
      <w:pPr>
        <w:tabs>
          <w:tab w:val="left" w:pos="1320"/>
          <w:tab w:val="left" w:pos="144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4384" behindDoc="0" locked="0" layoutInCell="1" allowOverlap="1">
                <wp:simplePos x="0" y="0"/>
                <wp:positionH relativeFrom="column">
                  <wp:posOffset>-114300</wp:posOffset>
                </wp:positionH>
                <wp:positionV relativeFrom="paragraph">
                  <wp:posOffset>262255</wp:posOffset>
                </wp:positionV>
                <wp:extent cx="914400" cy="307975"/>
                <wp:effectExtent l="0" t="0" r="0" b="0"/>
                <wp:wrapNone/>
                <wp:docPr id="293" name="文本框 293"/>
                <wp:cNvGraphicFramePr/>
                <a:graphic xmlns:a="http://schemas.openxmlformats.org/drawingml/2006/main">
                  <a:graphicData uri="http://schemas.microsoft.com/office/word/2010/wordprocessingShape">
                    <wps:wsp>
                      <wps:cNvSpPr txBox="1">
                        <a:spLocks noChangeArrowheads="1"/>
                      </wps:cNvSpPr>
                      <wps:spPr bwMode="auto">
                        <a:xfrm>
                          <a:off x="0" y="0"/>
                          <a:ext cx="914400" cy="30797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5pt;height:24.25pt;width:72pt;z-index:251664384;mso-width-relative:page;mso-height-relative:page;" filled="f" stroked="f" coordsize="21600,21600" o:gfxdata="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gvk+c1wAAAAkBAAAPAAAAAAAAAAEAIAAAACIAAABkcnMvZG93&#10;bnJldi54bWxQSwECFAAUAAAACACHTuJAJZ0G9A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承包人风险</w:t>
                      </w:r>
                    </w:p>
                  </w:txbxContent>
                </v:textbox>
              </v:shape>
            </w:pict>
          </mc:Fallback>
        </mc:AlternateContent>
      </w:r>
      <w:r>
        <w:rPr>
          <w:rFonts w:hint="eastAsia" w:ascii="宋体" w:hAnsi="宋体" w:cs="宋体"/>
          <w:b/>
          <w:color w:val="auto"/>
          <w:kern w:val="0"/>
          <w:szCs w:val="21"/>
          <w:highlight w:val="none"/>
        </w:rPr>
        <w:t xml:space="preserve">30.2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tabs>
          <w:tab w:val="left" w:pos="1440"/>
        </w:tabs>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自开工之日起直到颁发工程接收证书之日止，承包人风险为：除第29条和第31条以外的人员伤亡以及财产（包括但不限于合同工程、材料、工程设</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备和施工设备）的损失或损坏。</w:t>
      </w:r>
    </w:p>
    <w:p>
      <w:pPr>
        <w:adjustRightInd w:val="0"/>
        <w:snapToGrid w:val="0"/>
        <w:spacing w:line="360" w:lineRule="auto"/>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40"/>
        <w:rPr>
          <w:rFonts w:ascii="宋体" w:hAnsi="宋体" w:cs="宋体"/>
          <w:color w:val="auto"/>
          <w:kern w:val="0"/>
          <w:szCs w:val="21"/>
          <w:highlight w:val="none"/>
          <w:u w:val="single"/>
        </w:rPr>
      </w:pPr>
    </w:p>
    <w:p>
      <w:pPr>
        <w:adjustRightInd w:val="0"/>
        <w:snapToGrid w:val="0"/>
        <w:spacing w:line="360" w:lineRule="auto"/>
        <w:ind w:right="-240"/>
        <w:rPr>
          <w:rFonts w:ascii="宋体" w:hAnsi="宋体" w:cs="宋体"/>
          <w:b/>
          <w:color w:val="auto"/>
          <w:kern w:val="0"/>
          <w:szCs w:val="21"/>
          <w:highlight w:val="none"/>
        </w:rPr>
      </w:pPr>
      <w:r>
        <w:rPr>
          <w:rFonts w:hint="eastAsia" w:ascii="宋体" w:hAnsi="宋体" w:cs="宋体"/>
          <w:b/>
          <w:color w:val="auto"/>
          <w:kern w:val="0"/>
          <w:szCs w:val="21"/>
          <w:highlight w:val="none"/>
        </w:rPr>
        <w:t>31  不可抗力</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31.1      </w:t>
      </w:r>
    </w:p>
    <w:p>
      <w:pPr>
        <w:tabs>
          <w:tab w:val="left" w:pos="1620"/>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5408" behindDoc="0" locked="0" layoutInCell="1" allowOverlap="1">
                <wp:simplePos x="0" y="0"/>
                <wp:positionH relativeFrom="column">
                  <wp:posOffset>-114300</wp:posOffset>
                </wp:positionH>
                <wp:positionV relativeFrom="paragraph">
                  <wp:posOffset>0</wp:posOffset>
                </wp:positionV>
                <wp:extent cx="1028700" cy="360680"/>
                <wp:effectExtent l="0" t="0" r="0" b="0"/>
                <wp:wrapNone/>
                <wp:docPr id="292" name="文本框 292"/>
                <wp:cNvGraphicFramePr/>
                <a:graphic xmlns:a="http://schemas.openxmlformats.org/drawingml/2006/main">
                  <a:graphicData uri="http://schemas.microsoft.com/office/word/2010/wordprocessingShape">
                    <wps:wsp>
                      <wps:cNvSpPr txBox="1">
                        <a:spLocks noChangeArrowheads="1"/>
                      </wps:cNvSpPr>
                      <wps:spPr bwMode="auto">
                        <a:xfrm>
                          <a:off x="0" y="0"/>
                          <a:ext cx="1028700" cy="3606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28.4pt;width:81pt;z-index:251665408;mso-width-relative:page;mso-height-relative:page;" filled="f" stroked="f" coordsize="21600,21600" o:gfxdata="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zGHyjVAAAABwEAAA8AAAAAAAAAAQAgAAAAIgAAAGRycy9kb3du&#10;cmV2LnhtbFBLAQIUABQAAAAIAIdO4kDjlWytAgIAANk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不可抗力因素</w:t>
                      </w:r>
                    </w:p>
                  </w:txbxContent>
                </v:textbox>
              </v:shape>
            </w:pict>
          </mc:Fallback>
        </mc:AlternateContent>
      </w:r>
      <w:r>
        <w:rPr>
          <w:rFonts w:hint="eastAsia" w:ascii="宋体" w:hAnsi="宋体" w:cs="宋体"/>
          <w:color w:val="auto"/>
          <w:kern w:val="0"/>
          <w:szCs w:val="21"/>
          <w:highlight w:val="none"/>
        </w:rPr>
        <w:t>不可抗力包括因战争、敌对行动（无论是否宣战）、入侵、外敌行为、军事政变、恐怖主义、骚乱、暴动、空中飞行物坠落或其他非合同双方当事人责任或原因造成的罢工、停工、爆炸、火灾等，以及：</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 xml:space="preserve">当地气象部门规定的情形； </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当地地震部门规定的情形；</w:t>
      </w:r>
    </w:p>
    <w:p>
      <w:pPr>
        <w:numPr>
          <w:ilvl w:val="0"/>
          <w:numId w:val="18"/>
        </w:num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当地卫生部门规定的情形；</w:t>
      </w:r>
    </w:p>
    <w:p>
      <w:pPr>
        <w:numPr>
          <w:ilvl w:val="0"/>
          <w:numId w:val="18"/>
        </w:numPr>
        <w:adjustRightInd w:val="0"/>
        <w:snapToGrid w:val="0"/>
        <w:spacing w:line="360" w:lineRule="auto"/>
        <w:ind w:left="1619" w:leftChars="771" w:firstLine="1"/>
        <w:rPr>
          <w:rFonts w:ascii="宋体" w:hAnsi="宋体" w:cs="宋体"/>
          <w:b/>
          <w:color w:val="auto"/>
          <w:kern w:val="0"/>
          <w:szCs w:val="21"/>
          <w:highlight w:val="none"/>
        </w:rPr>
      </w:pPr>
      <w:r>
        <w:rPr>
          <w:rFonts w:hint="eastAsia" w:ascii="宋体" w:hAnsi="宋体" w:cs="宋体"/>
          <w:color w:val="auto"/>
          <w:kern w:val="0"/>
          <w:szCs w:val="21"/>
          <w:highlight w:val="none"/>
        </w:rPr>
        <w:t>专用条款约定的其他情形。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6432" behindDoc="0" locked="0" layoutInCell="1" allowOverlap="1">
                <wp:simplePos x="0" y="0"/>
                <wp:positionH relativeFrom="column">
                  <wp:posOffset>-114300</wp:posOffset>
                </wp:positionH>
                <wp:positionV relativeFrom="paragraph">
                  <wp:posOffset>7620</wp:posOffset>
                </wp:positionV>
                <wp:extent cx="914400" cy="492760"/>
                <wp:effectExtent l="0" t="0" r="0" b="0"/>
                <wp:wrapNone/>
                <wp:docPr id="291" name="文本框 291"/>
                <wp:cNvGraphicFramePr/>
                <a:graphic xmlns:a="http://schemas.openxmlformats.org/drawingml/2006/main">
                  <a:graphicData uri="http://schemas.microsoft.com/office/word/2010/wordprocessingShape">
                    <wps:wsp>
                      <wps:cNvSpPr txBox="1">
                        <a:spLocks noChangeArrowheads="1"/>
                      </wps:cNvSpPr>
                      <wps:spPr bwMode="auto">
                        <a:xfrm>
                          <a:off x="0" y="0"/>
                          <a:ext cx="914400" cy="4927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8.8pt;width:72pt;z-index:251666432;mso-width-relative:page;mso-height-relative:page;" filled="f" stroked="f" coordsize="21600,21600" o:gfxdata="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r7S/t1QAAAAgBAAAPAAAAAAAAAAEAIAAAACIAAABkcnMvZG93bnJl&#10;di54bWxQSwECFAAUAAAACACHTuJAi1Qmx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不可抗力处理程序</w:t>
                      </w:r>
                    </w:p>
                  </w:txbxContent>
                </v:textbox>
              </v:shape>
            </w:pict>
          </mc:Fallback>
        </mc:AlternateContent>
      </w:r>
      <w:r>
        <w:rPr>
          <w:rFonts w:hint="eastAsia" w:ascii="宋体" w:hAnsi="宋体" w:cs="宋体"/>
          <w:color w:val="auto"/>
          <w:kern w:val="0"/>
          <w:szCs w:val="21"/>
          <w:highlight w:val="none"/>
        </w:rPr>
        <w:t>不可抗力事件发生后，承包人应立即书面通知发包人和监理工程师，并在力所能及的条件下迅速采取措施，尽力减少损失，发包人应协助承包人采取相应措施。监理工程师认为应当暂停施工的，承包人应暂停施工。不可抗力事件结束后的7天内，承包人向监理工程师通报受害情况和损失情况，并预计清理和修复的费用，抄送造价工程师。不可抗力事件持续发生，承包人应每隔7天向监理工程师和造价工程师报告一次受害情况。不可抗力事件结束后的28天内，承包人应分别按照第36条、第74条规定索赔工期、费用。</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7456" behindDoc="0" locked="0" layoutInCell="1" allowOverlap="1">
                <wp:simplePos x="0" y="0"/>
                <wp:positionH relativeFrom="column">
                  <wp:posOffset>-114300</wp:posOffset>
                </wp:positionH>
                <wp:positionV relativeFrom="paragraph">
                  <wp:posOffset>22225</wp:posOffset>
                </wp:positionV>
                <wp:extent cx="914400" cy="693420"/>
                <wp:effectExtent l="0" t="0" r="0" b="0"/>
                <wp:wrapNone/>
                <wp:docPr id="290" name="文本框 29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54.6pt;width:72pt;z-index:251667456;mso-width-relative:page;mso-height-relative:page;" filled="f" stroked="f" coordsize="21600,21600" o:gfxdata="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hLrpXXAAAACQEAAA8AAAAAAAAAAQAgAAAAIgAAAGRycy9kb3du&#10;cmV2LnhtbFBLAQIUABQAAAAIAIdO4kDTr478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不可抗力引起费用的承担</w:t>
                      </w:r>
                    </w:p>
                  </w:txbxContent>
                </v:textbox>
              </v:shape>
            </w:pict>
          </mc:Fallback>
        </mc:AlternateContent>
      </w:r>
      <w:r>
        <w:rPr>
          <w:rFonts w:hint="eastAsia" w:ascii="宋体" w:hAnsi="宋体" w:cs="宋体"/>
          <w:color w:val="auto"/>
          <w:kern w:val="0"/>
          <w:szCs w:val="21"/>
          <w:highlight w:val="none"/>
        </w:rPr>
        <w:t>因不可抗力事件导致的费用，由合同双方当事人按照下列规定承担，并相应调整合同价款：</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永久工程本身的损害、已运至施工场地的材料和工程设备的损害，以及因工程损害导致第三者人员伤亡和财产损失，由发包人承担；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承包人施工设备和用于合同工程的周转材料损坏以及停工损失，由承包人承担；发包人提供的施工设备损坏，由发包人承担；</w:t>
      </w:r>
    </w:p>
    <w:p>
      <w:pPr>
        <w:numPr>
          <w:ilvl w:val="0"/>
          <w:numId w:val="19"/>
        </w:numPr>
        <w:tabs>
          <w:tab w:val="left" w:pos="108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施工场地内的人员伤亡和本款第(1)点、第(2)点以外财产损失及其相关费用，由合同双方当事人各自承担；</w:t>
      </w:r>
    </w:p>
    <w:p>
      <w:pPr>
        <w:numPr>
          <w:ilvl w:val="0"/>
          <w:numId w:val="19"/>
        </w:numPr>
        <w:tabs>
          <w:tab w:val="left" w:pos="108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停工期间，承包人应监理工程师要求照管工程的费用，由发包人承担；</w:t>
      </w:r>
    </w:p>
    <w:p>
      <w:pPr>
        <w:numPr>
          <w:ilvl w:val="0"/>
          <w:numId w:val="19"/>
        </w:numPr>
        <w:tabs>
          <w:tab w:val="left" w:pos="1080"/>
        </w:tabs>
        <w:adjustRightInd w:val="0"/>
        <w:snapToGrid w:val="0"/>
        <w:spacing w:line="360" w:lineRule="auto"/>
        <w:ind w:left="2036" w:leftChars="772" w:hanging="415" w:hangingChars="198"/>
        <w:rPr>
          <w:rFonts w:ascii="宋体" w:hAnsi="宋体" w:cs="宋体"/>
          <w:color w:val="auto"/>
          <w:kern w:val="0"/>
          <w:szCs w:val="21"/>
          <w:highlight w:val="none"/>
        </w:rPr>
      </w:pPr>
      <w:r>
        <w:rPr>
          <w:rFonts w:hint="eastAsia" w:ascii="宋体" w:hAnsi="宋体" w:cs="宋体"/>
          <w:color w:val="auto"/>
          <w:kern w:val="0"/>
          <w:szCs w:val="21"/>
          <w:highlight w:val="none"/>
        </w:rPr>
        <w:t>工程所需的清理、修复费用，由发包人承担。</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4784"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9" name="文本框 289"/>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894784;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pNVNE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不可抗力引起工期的处理</w:t>
                      </w:r>
                    </w:p>
                  </w:txbxContent>
                </v:textbox>
              </v:shape>
            </w:pict>
          </mc:Fallback>
        </mc:AlternateContent>
      </w:r>
      <w:r>
        <w:rPr>
          <w:rFonts w:hint="eastAsia" w:ascii="宋体" w:hAnsi="宋体" w:cs="宋体"/>
          <w:b/>
          <w:color w:val="auto"/>
          <w:kern w:val="0"/>
          <w:szCs w:val="21"/>
          <w:highlight w:val="none"/>
        </w:rPr>
        <w:t xml:space="preserve">31.4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dstrike/>
          <w:color w:val="auto"/>
          <w:kern w:val="0"/>
          <w:szCs w:val="21"/>
          <w:highlight w:val="none"/>
        </w:rPr>
      </w:pPr>
      <w:r>
        <w:rPr>
          <w:rFonts w:hint="eastAsia" w:ascii="宋体" w:hAnsi="宋体" w:cs="宋体"/>
          <w:color w:val="auto"/>
          <w:kern w:val="0"/>
          <w:szCs w:val="21"/>
          <w:highlight w:val="none"/>
        </w:rPr>
        <w:t>因发生不可抗力事件导致工期延误的，工期相应顺延；不能按期竣工的，承包人无需为此支付任何误期赔偿费。发包人要求赶工的，承包人应采取赶工措施，赶工费用由发包人支付。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8480"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8" name="文本框 288"/>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1668480;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At6uRA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延迟履约发生不可抗力的责任</w:t>
                      </w:r>
                    </w:p>
                  </w:txbxContent>
                </v:textbox>
              </v:shape>
            </w:pict>
          </mc:Fallback>
        </mc:AlternateContent>
      </w:r>
      <w:r>
        <w:rPr>
          <w:rFonts w:hint="eastAsia" w:ascii="宋体" w:hAnsi="宋体" w:cs="宋体"/>
          <w:b/>
          <w:color w:val="auto"/>
          <w:kern w:val="0"/>
          <w:szCs w:val="21"/>
          <w:highlight w:val="none"/>
        </w:rPr>
        <w:t xml:space="preserve">31.5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合同任何一方当事人延迟履行合同后发生不可抗力事件的，不能免除另一方当事人因不可抗力造成损失的责任。</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5552" behindDoc="0" locked="0" layoutInCell="1" allowOverlap="1">
                <wp:simplePos x="0" y="0"/>
                <wp:positionH relativeFrom="column">
                  <wp:posOffset>-114300</wp:posOffset>
                </wp:positionH>
                <wp:positionV relativeFrom="paragraph">
                  <wp:posOffset>247650</wp:posOffset>
                </wp:positionV>
                <wp:extent cx="914400" cy="563245"/>
                <wp:effectExtent l="0" t="0" r="0" b="0"/>
                <wp:wrapNone/>
                <wp:docPr id="287" name="文本框 287"/>
                <wp:cNvGraphicFramePr/>
                <a:graphic xmlns:a="http://schemas.openxmlformats.org/drawingml/2006/main">
                  <a:graphicData uri="http://schemas.microsoft.com/office/word/2010/wordprocessingShape">
                    <wps:wsp>
                      <wps:cNvSpPr txBox="1">
                        <a:spLocks noChangeArrowheads="1"/>
                      </wps:cNvSpPr>
                      <wps:spPr bwMode="auto">
                        <a:xfrm>
                          <a:off x="0" y="0"/>
                          <a:ext cx="914400" cy="5632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pt;height:44.35pt;width:72pt;z-index:252055552;mso-width-relative:page;mso-height-relative:page;" filled="f" stroked="f" coordsize="21600,21600" o:gfxdata="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OcIaHXAAAACgEAAA8AAAAAAAAAAQAgAAAAIgAAAGRycy9kb3du&#10;cmV2LnhtbFBLAQIUABQAAAAIAIdO4kCRCF16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避免和减少不可抗力的损失</w:t>
                      </w:r>
                    </w:p>
                  </w:txbxContent>
                </v:textbox>
              </v:shape>
            </w:pict>
          </mc:Fallback>
        </mc:AlternateContent>
      </w:r>
      <w:r>
        <w:rPr>
          <w:rFonts w:hint="eastAsia" w:ascii="宋体" w:hAnsi="宋体" w:cs="宋体"/>
          <w:b/>
          <w:color w:val="auto"/>
          <w:kern w:val="0"/>
          <w:szCs w:val="21"/>
          <w:highlight w:val="none"/>
        </w:rPr>
        <w:t xml:space="preserve">31.6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不可抗力事件发生后，合同双方当事人应采取措施尽量避免和减少由此发生的损失。因合同任何一方当事人没有采取有效措施而导致损失扩大的，则损失扩大部分由其自身承担。</w:t>
      </w:r>
    </w:p>
    <w:p>
      <w:pPr>
        <w:adjustRightInd w:val="0"/>
        <w:snapToGrid w:val="0"/>
        <w:spacing w:line="480" w:lineRule="auto"/>
        <w:rPr>
          <w:rFonts w:ascii="宋体" w:hAnsi="宋体" w:cs="宋体"/>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32  保险</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32.1      </w:t>
      </w:r>
    </w:p>
    <w:p>
      <w:pPr>
        <w:adjustRightInd w:val="0"/>
        <w:snapToGrid w:val="0"/>
        <w:spacing w:line="360" w:lineRule="auto"/>
        <w:ind w:firstLine="1417" w:firstLineChars="67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69504" behindDoc="0" locked="0" layoutInCell="1" allowOverlap="1">
                <wp:simplePos x="0" y="0"/>
                <wp:positionH relativeFrom="column">
                  <wp:posOffset>-114300</wp:posOffset>
                </wp:positionH>
                <wp:positionV relativeFrom="paragraph">
                  <wp:posOffset>7620</wp:posOffset>
                </wp:positionV>
                <wp:extent cx="1028700" cy="396240"/>
                <wp:effectExtent l="0" t="0" r="0" b="0"/>
                <wp:wrapNone/>
                <wp:docPr id="286" name="文本框 286"/>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1.2pt;width:81pt;z-index:251669504;mso-width-relative:page;mso-height-relative:page;" filled="f" stroked="f" coordsize="21600,21600" o:gfxdata="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4yfBG1QAAAAgBAAAPAAAAAAAAAAEAIAAAACIAAABkcnMvZG93&#10;bnJldi54bWxQSwECFAAUAAAACACHTuJA6kafkgMCAADZ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发包人应按照下列规定办理保险，并支付保险费：</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工程开工前，为合同工程办理建筑工程一切险、安装工程一切险；</w:t>
      </w:r>
    </w:p>
    <w:p>
      <w:pPr>
        <w:numPr>
          <w:ilvl w:val="0"/>
          <w:numId w:val="20"/>
        </w:numPr>
        <w:tabs>
          <w:tab w:val="left" w:pos="540"/>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工程开工前，为施工场地内的自有人员（包括监理工程师、造价工程师在内）办理工伤保险、意外伤害保险；</w:t>
      </w:r>
    </w:p>
    <w:p>
      <w:pPr>
        <w:numPr>
          <w:ilvl w:val="0"/>
          <w:numId w:val="20"/>
        </w:numPr>
        <w:tabs>
          <w:tab w:val="left" w:pos="540"/>
          <w:tab w:val="left" w:pos="1980"/>
        </w:tabs>
        <w:adjustRightInd w:val="0"/>
        <w:snapToGrid w:val="0"/>
        <w:spacing w:line="360" w:lineRule="auto"/>
        <w:ind w:left="2039" w:leftChars="771" w:hanging="420" w:hangingChars="200"/>
        <w:rPr>
          <w:rFonts w:ascii="宋体" w:hAnsi="宋体" w:cs="宋体"/>
          <w:color w:val="auto"/>
          <w:kern w:val="0"/>
          <w:szCs w:val="21"/>
          <w:highlight w:val="none"/>
        </w:rPr>
      </w:pPr>
      <w:r>
        <w:rPr>
          <w:rFonts w:hint="eastAsia" w:ascii="宋体" w:hAnsi="宋体" w:cs="宋体"/>
          <w:color w:val="auto"/>
          <w:kern w:val="0"/>
          <w:szCs w:val="21"/>
          <w:highlight w:val="none"/>
        </w:rPr>
        <w:t>为第三者办理第三者责任险；</w:t>
      </w:r>
    </w:p>
    <w:p>
      <w:pPr>
        <w:numPr>
          <w:ilvl w:val="0"/>
          <w:numId w:val="20"/>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为运至施工场地内用于永久工程的材料和待安装工程设备办理保险。</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保险期从办理保险之日起至工程竣工验收合格之日止。</w:t>
      </w:r>
    </w:p>
    <w:p>
      <w:pPr>
        <w:tabs>
          <w:tab w:val="left" w:pos="10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发包人可将其中部分事项委托给承包人办理，具体由合同双方当事人在专用条款中约定。除合同价款已包括外，由发包人承担所需保险费用，并向承包人支付合理利润。</w:t>
      </w:r>
    </w:p>
    <w:p>
      <w:pPr>
        <w:tabs>
          <w:tab w:val="left" w:pos="132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0528" behindDoc="0" locked="0" layoutInCell="1" allowOverlap="1">
                <wp:simplePos x="0" y="0"/>
                <wp:positionH relativeFrom="column">
                  <wp:posOffset>-114300</wp:posOffset>
                </wp:positionH>
                <wp:positionV relativeFrom="paragraph">
                  <wp:posOffset>635</wp:posOffset>
                </wp:positionV>
                <wp:extent cx="1028700" cy="478155"/>
                <wp:effectExtent l="0" t="0" r="0" b="0"/>
                <wp:wrapNone/>
                <wp:docPr id="285" name="文本框 285"/>
                <wp:cNvGraphicFramePr/>
                <a:graphic xmlns:a="http://schemas.openxmlformats.org/drawingml/2006/main">
                  <a:graphicData uri="http://schemas.microsoft.com/office/word/2010/wordprocessingShape">
                    <wps:wsp>
                      <wps:cNvSpPr txBox="1">
                        <a:spLocks noChangeArrowheads="1"/>
                      </wps:cNvSpPr>
                      <wps:spPr bwMode="auto">
                        <a:xfrm>
                          <a:off x="0" y="0"/>
                          <a:ext cx="1028700" cy="4781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7.65pt;width:81pt;z-index:251670528;mso-width-relative:page;mso-height-relative:page;" filled="f" stroked="f" coordsize="21600,21600" o:gfxdata="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U7LFtQAAAAHAQAADwAAAAAAAAABACAAAAAiAAAAZHJzL2Rvd25y&#10;ZXYueG1sUEsBAhQAFAAAAAgAh07iQGCy0P0CAgAA2QMAAA4AAAAAAAAAAQAgAAAAIw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承包人办理保</w:t>
                      </w:r>
                    </w:p>
                    <w:p>
                      <w:pPr>
                        <w:spacing w:line="240" w:lineRule="exact"/>
                        <w:rPr>
                          <w:rFonts w:ascii="楷体_GB2312" w:hAnsi="宋体"/>
                          <w:b/>
                          <w:color w:val="000000"/>
                          <w:sz w:val="18"/>
                          <w:szCs w:val="18"/>
                        </w:rPr>
                      </w:pPr>
                      <w:r>
                        <w:rPr>
                          <w:rFonts w:hint="eastAsia" w:ascii="楷体_GB2312" w:hAnsi="宋体"/>
                          <w:b/>
                          <w:color w:val="000000"/>
                          <w:sz w:val="18"/>
                          <w:szCs w:val="18"/>
                        </w:rPr>
                        <w:t>险</w:t>
                      </w:r>
                    </w:p>
                  </w:txbxContent>
                </v:textbox>
              </v:shape>
            </w:pict>
          </mc:Fallback>
        </mc:AlternateContent>
      </w:r>
      <w:r>
        <w:rPr>
          <w:rFonts w:hint="eastAsia" w:ascii="宋体" w:hAnsi="宋体" w:cs="宋体"/>
          <w:color w:val="auto"/>
          <w:kern w:val="0"/>
          <w:szCs w:val="21"/>
          <w:highlight w:val="none"/>
        </w:rPr>
        <w:t>承包人应按照下列规定办理保险，并支付保险费：</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(1)工程开工前，为施工场地内自有人员（包括分包人在内）办理工伤保险、意外伤害保险；</w:t>
      </w:r>
    </w:p>
    <w:p>
      <w:pPr>
        <w:adjustRightInd w:val="0"/>
        <w:snapToGrid w:val="0"/>
        <w:spacing w:line="360" w:lineRule="auto"/>
        <w:ind w:left="1676" w:leftChars="798"/>
        <w:rPr>
          <w:rFonts w:ascii="宋体" w:hAnsi="宋体" w:cs="宋体"/>
          <w:color w:val="auto"/>
          <w:kern w:val="0"/>
          <w:szCs w:val="21"/>
          <w:highlight w:val="none"/>
        </w:rPr>
      </w:pPr>
      <w:r>
        <w:rPr>
          <w:rFonts w:hint="eastAsia" w:ascii="宋体" w:hAnsi="宋体" w:cs="宋体"/>
          <w:color w:val="auto"/>
          <w:kern w:val="0"/>
          <w:szCs w:val="21"/>
          <w:highlight w:val="none"/>
        </w:rPr>
        <w:t>(2)为施工场地内的自有施工设备、第32.1款第(4)点以外采购进场的材料和工程设备等办理保险。</w:t>
      </w:r>
    </w:p>
    <w:p>
      <w:pPr>
        <w:tabs>
          <w:tab w:val="left" w:pos="1080"/>
        </w:tabs>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保险期从开工之日起至工程竣工验收合格之日止。</w:t>
      </w:r>
    </w:p>
    <w:p>
      <w:pPr>
        <w:tabs>
          <w:tab w:val="left" w:pos="108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1552" behindDoc="0" locked="0" layoutInCell="1" allowOverlap="1">
                <wp:simplePos x="0" y="0"/>
                <wp:positionH relativeFrom="column">
                  <wp:posOffset>-114300</wp:posOffset>
                </wp:positionH>
                <wp:positionV relativeFrom="paragraph">
                  <wp:posOffset>287020</wp:posOffset>
                </wp:positionV>
                <wp:extent cx="914400" cy="541020"/>
                <wp:effectExtent l="0" t="0" r="0" b="0"/>
                <wp:wrapNone/>
                <wp:docPr id="284" name="文本框 284"/>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42.6pt;width:72pt;z-index:251671552;mso-width-relative:page;mso-height-relative:page;" filled="f" stroked="f" coordsize="21600,21600" o:gfxdata="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skZ3jYAAAACgEAAA8AAAAAAAAAAQAgAAAAIgAAAGRycy9kb3du&#10;cmV2LnhtbFBLAQIUABQAAAAIAIdO4kC2Qba1/wEAANgDAAAOAAAAAAAAAAEAIAAAACc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双方提供保险单和凭证</w:t>
                      </w:r>
                    </w:p>
                  </w:txbxContent>
                </v:textbox>
              </v:shape>
            </w:pict>
          </mc:Fallback>
        </mc:AlternateContent>
      </w:r>
      <w:r>
        <w:rPr>
          <w:rFonts w:hint="eastAsia" w:ascii="宋体" w:hAnsi="宋体" w:cs="宋体"/>
          <w:b/>
          <w:color w:val="auto"/>
          <w:kern w:val="0"/>
          <w:szCs w:val="21"/>
          <w:highlight w:val="none"/>
        </w:rPr>
        <w:t xml:space="preserve">32.3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合同一方当事人应按照本合同要求向另一方当事人提供有效的投保保险单和保险凭证。</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2576" behindDoc="0" locked="0" layoutInCell="1" allowOverlap="1">
                <wp:simplePos x="0" y="0"/>
                <wp:positionH relativeFrom="column">
                  <wp:posOffset>-114300</wp:posOffset>
                </wp:positionH>
                <wp:positionV relativeFrom="paragraph">
                  <wp:posOffset>236855</wp:posOffset>
                </wp:positionV>
                <wp:extent cx="914400" cy="396240"/>
                <wp:effectExtent l="0" t="0" r="0" b="0"/>
                <wp:wrapNone/>
                <wp:docPr id="283" name="文本框 28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65pt;height:31.2pt;width:72pt;z-index:251672576;mso-width-relative:page;mso-height-relative:page;" filled="f" stroked="f" coordsize="21600,21600" o:gfxdata="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cKJDi1wAAAAkBAAAPAAAAAAAAAAEAIAAAACIAAABkcnMvZG93&#10;bnJldi54bWxQSwECFAAUAAAACACHTuJA8xvm/wECAADYAwAADgAAAAAAAAABACAAAAAmAQAAZHJz&#10;L2Uyb0RvYy54bWxQSwUGAAAAAAYABgBZAQAAmQU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未按规定投保的补救</w:t>
                      </w:r>
                    </w:p>
                  </w:txbxContent>
                </v:textbox>
              </v:shape>
            </w:pict>
          </mc:Fallback>
        </mc:AlternateContent>
      </w:r>
      <w:r>
        <w:rPr>
          <w:rFonts w:hint="eastAsia" w:ascii="宋体" w:hAnsi="宋体" w:cs="宋体"/>
          <w:b/>
          <w:color w:val="auto"/>
          <w:kern w:val="0"/>
          <w:szCs w:val="21"/>
          <w:highlight w:val="none"/>
        </w:rPr>
        <w:t xml:space="preserve">32.4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合同双方当事人应遵守本条规定办理有关保险事项。如果未按规定投保的，应按下列规定补偿：</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(1)由于负有投保义务的合同一方当事人未按合同约定办理保险，或未能使保险持续有效的，则另一方当事人可代为办理，所需费用由对方当事人承担；</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(2)由于负有投保义务的合同一方当事人未按合同约定办理某项保险，导致受益人未能得到保险人的赔偿，则该项保险金应由负有投保义务的一方当事人支付。</w:t>
      </w:r>
    </w:p>
    <w:p>
      <w:pPr>
        <w:adjustRightInd w:val="0"/>
        <w:snapToGrid w:val="0"/>
        <w:spacing w:line="36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3600" behindDoc="0" locked="0" layoutInCell="1" allowOverlap="1">
                <wp:simplePos x="0" y="0"/>
                <wp:positionH relativeFrom="column">
                  <wp:posOffset>-114300</wp:posOffset>
                </wp:positionH>
                <wp:positionV relativeFrom="paragraph">
                  <wp:posOffset>292100</wp:posOffset>
                </wp:positionV>
                <wp:extent cx="914400" cy="541020"/>
                <wp:effectExtent l="0" t="0" r="0" b="0"/>
                <wp:wrapNone/>
                <wp:docPr id="282" name="文本框 282"/>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pt;height:42.6pt;width:72pt;z-index:251673600;mso-width-relative:page;mso-height-relative:page;" filled="f" stroked="f" coordsize="21600,21600" o:gfxdata="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jylF9cAAAAKAQAADwAAAAAAAAABACAAAAAiAAAAZHJzL2Rvd25y&#10;ZXYueG1sUEsBAhQAFAAAAAgAh07iQK6ABq7/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发生保险事故双方应尽的责任</w:t>
                      </w:r>
                    </w:p>
                  </w:txbxContent>
                </v:textbox>
              </v:shape>
            </w:pict>
          </mc:Fallback>
        </mc:AlternateContent>
      </w:r>
      <w:r>
        <w:rPr>
          <w:rFonts w:hint="eastAsia" w:ascii="宋体" w:hAnsi="宋体" w:cs="宋体"/>
          <w:b/>
          <w:color w:val="auto"/>
          <w:kern w:val="0"/>
          <w:szCs w:val="21"/>
          <w:highlight w:val="none"/>
        </w:rPr>
        <w:t xml:space="preserve">32.5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当合同工程发生保险事故时,被保险人应及时通知保险人，并提供有关资料。合同双方当事人有责任采取合理有效措施防止或减少损失，并应相互协助做好向保险人的报告和理赔工作。</w:t>
      </w:r>
    </w:p>
    <w:p>
      <w:pPr>
        <w:tabs>
          <w:tab w:val="left" w:pos="1320"/>
          <w:tab w:val="left" w:pos="16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4624" behindDoc="0" locked="0" layoutInCell="1" allowOverlap="1">
                <wp:simplePos x="0" y="0"/>
                <wp:positionH relativeFrom="column">
                  <wp:posOffset>-114300</wp:posOffset>
                </wp:positionH>
                <wp:positionV relativeFrom="paragraph">
                  <wp:posOffset>0</wp:posOffset>
                </wp:positionV>
                <wp:extent cx="914400" cy="552450"/>
                <wp:effectExtent l="0" t="0" r="0" b="0"/>
                <wp:wrapNone/>
                <wp:docPr id="281" name="文本框 281"/>
                <wp:cNvGraphicFramePr/>
                <a:graphic xmlns:a="http://schemas.openxmlformats.org/drawingml/2006/main">
                  <a:graphicData uri="http://schemas.microsoft.com/office/word/2010/wordprocessingShape">
                    <wps:wsp>
                      <wps:cNvSpPr txBox="1">
                        <a:spLocks noChangeArrowheads="1"/>
                      </wps:cNvSpPr>
                      <wps:spPr bwMode="auto">
                        <a:xfrm>
                          <a:off x="0" y="0"/>
                          <a:ext cx="914400" cy="552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43.5pt;width:72pt;z-index:251674624;mso-width-relative:page;mso-height-relative:page;" filled="f" stroked="f" coordsize="21600,21600" o:gfxdata="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9EAn7UAAAABwEAAA8AAAAAAAAAAQAgAAAAIgAAAGRycy9kb3ducmV2&#10;LnhtbFBLAQIUABQAAAAIAIdO4kDkVj+x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工程变更被保险人应尽的责任</w:t>
                      </w:r>
                    </w:p>
                  </w:txbxContent>
                </v:textbox>
              </v:shape>
            </w:pict>
          </mc:Fallback>
        </mc:AlternateContent>
      </w:r>
      <w:r>
        <w:rPr>
          <w:rFonts w:hint="eastAsia" w:ascii="宋体" w:hAnsi="宋体" w:cs="宋体"/>
          <w:color w:val="auto"/>
          <w:kern w:val="0"/>
          <w:szCs w:val="21"/>
          <w:highlight w:val="none"/>
        </w:rPr>
        <w:t>当合同工程的性质、规模或计划发生变更时，被保险人应及时通知保险人，并在合同履行期间按照本条规定保证足够的保险额，由此造成的费用由责任方承担。</w:t>
      </w:r>
    </w:p>
    <w:p>
      <w:pPr>
        <w:tabs>
          <w:tab w:val="left" w:pos="132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32.7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13970</wp:posOffset>
                </wp:positionV>
                <wp:extent cx="914400" cy="425450"/>
                <wp:effectExtent l="0" t="0" r="0" b="0"/>
                <wp:wrapNone/>
                <wp:docPr id="280" name="文本框 280"/>
                <wp:cNvGraphicFramePr/>
                <a:graphic xmlns:a="http://schemas.openxmlformats.org/drawingml/2006/main">
                  <a:graphicData uri="http://schemas.microsoft.com/office/word/2010/wordprocessingShape">
                    <wps:wsp>
                      <wps:cNvSpPr txBox="1">
                        <a:spLocks noChangeArrowheads="1"/>
                      </wps:cNvSpPr>
                      <wps:spPr bwMode="auto">
                        <a:xfrm>
                          <a:off x="0" y="0"/>
                          <a:ext cx="914400" cy="4254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1pt;height:33.5pt;width:72pt;z-index:251675648;mso-width-relative:page;mso-height-relative:page;" filled="f" stroked="f" coordsize="21600,21600" o:gfxdata="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1HVAAAACAEAAA8AAAAAAAAAAQAgAAAAIgAAAGRycy9kb3ducmV2&#10;LnhtbFBLAQIUABQAAAAIAIdO4kDBmEPd/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保险赔偿金的用途</w:t>
                      </w:r>
                    </w:p>
                  </w:txbxContent>
                </v:textbox>
              </v:shape>
            </w:pict>
          </mc:Fallback>
        </mc:AlternateContent>
      </w:r>
      <w:r>
        <w:rPr>
          <w:rFonts w:hint="eastAsia" w:ascii="宋体" w:hAnsi="宋体" w:cs="宋体"/>
          <w:color w:val="auto"/>
          <w:kern w:val="0"/>
          <w:szCs w:val="21"/>
          <w:highlight w:val="none"/>
        </w:rPr>
        <w:t>从保险人收到的因合同工程本身损失或损坏的保险金,应专项用于修复合同工程的损失或损坏，或作为对未能修复合同工程这些损失或损坏的补偿。</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6672" behindDoc="0" locked="0" layoutInCell="1" allowOverlap="1">
                <wp:simplePos x="0" y="0"/>
                <wp:positionH relativeFrom="column">
                  <wp:posOffset>-114300</wp:posOffset>
                </wp:positionH>
                <wp:positionV relativeFrom="paragraph">
                  <wp:posOffset>227330</wp:posOffset>
                </wp:positionV>
                <wp:extent cx="914400" cy="407035"/>
                <wp:effectExtent l="0" t="0" r="0" b="0"/>
                <wp:wrapNone/>
                <wp:docPr id="279" name="文本框 279"/>
                <wp:cNvGraphicFramePr/>
                <a:graphic xmlns:a="http://schemas.openxmlformats.org/drawingml/2006/main">
                  <a:graphicData uri="http://schemas.microsoft.com/office/word/2010/wordprocessingShape">
                    <wps:wsp>
                      <wps:cNvSpPr txBox="1">
                        <a:spLocks noChangeArrowheads="1"/>
                      </wps:cNvSpPr>
                      <wps:spPr bwMode="auto">
                        <a:xfrm>
                          <a:off x="0" y="0"/>
                          <a:ext cx="914400" cy="40703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9pt;height:32.05pt;width:72pt;z-index:251676672;mso-width-relative:page;mso-height-relative:page;" filled="f" stroked="f" coordsize="21600,21600" o:gfxdata="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dw8uNYAAAAJAQAADwAAAAAAAAABACAAAAAiAAAAZHJzL2Rvd25y&#10;ZXYueG1sUEsBAhQAFAAAAAgAh07iQJ4JbiUAAgAA2AMAAA4AAAAAAAAAAQAgAAAAJQEAAGRycy9l&#10;Mm9Eb2MueG1sUEsFBgAAAAAGAAYAWQEAAJcFA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约定投保事项</w:t>
                      </w:r>
                    </w:p>
                  </w:txbxContent>
                </v:textbox>
              </v:shape>
            </w:pict>
          </mc:Fallback>
        </mc:AlternateContent>
      </w:r>
      <w:r>
        <w:rPr>
          <w:rFonts w:hint="eastAsia" w:ascii="宋体" w:hAnsi="宋体" w:cs="宋体"/>
          <w:b/>
          <w:color w:val="auto"/>
          <w:kern w:val="0"/>
          <w:szCs w:val="21"/>
          <w:highlight w:val="none"/>
        </w:rPr>
        <w:t xml:space="preserve">32.8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具体投保内容、保险金、保险期限及相关责任等事项，合同双方当事人应在专用条款中约定。</w:t>
      </w:r>
    </w:p>
    <w:p>
      <w:pPr>
        <w:adjustRightInd w:val="0"/>
        <w:snapToGrid w:val="0"/>
        <w:spacing w:line="360" w:lineRule="auto"/>
        <w:ind w:right="-238"/>
        <w:outlineLvl w:val="1"/>
        <w:rPr>
          <w:rFonts w:ascii="宋体" w:hAnsi="宋体" w:cs="宋体"/>
          <w:b/>
          <w:bCs/>
          <w:color w:val="auto"/>
          <w:kern w:val="0"/>
          <w:sz w:val="32"/>
          <w:szCs w:val="28"/>
          <w:highlight w:val="none"/>
        </w:rPr>
      </w:pPr>
      <w:r>
        <w:rPr>
          <w:rFonts w:hint="eastAsia" w:ascii="宋体" w:hAnsi="宋体" w:cs="宋体"/>
          <w:b/>
          <w:bCs/>
          <w:color w:val="auto"/>
          <w:kern w:val="0"/>
          <w:szCs w:val="21"/>
          <w:highlight w:val="none"/>
          <w:u w:val="single"/>
        </w:rPr>
        <w:t xml:space="preserve">                                                                                       </w:t>
      </w:r>
      <w:r>
        <w:rPr>
          <w:rFonts w:hint="eastAsia" w:ascii="宋体" w:hAnsi="宋体" w:cs="宋体"/>
          <w:b/>
          <w:bCs/>
          <w:color w:val="auto"/>
          <w:kern w:val="0"/>
          <w:sz w:val="24"/>
          <w:szCs w:val="18"/>
          <w:highlight w:val="none"/>
          <w:u w:val="single"/>
        </w:rPr>
        <w:t xml:space="preserve">                       </w:t>
      </w:r>
    </w:p>
    <w:p>
      <w:pPr>
        <w:adjustRightInd w:val="0"/>
        <w:snapToGrid w:val="0"/>
        <w:spacing w:line="360" w:lineRule="auto"/>
        <w:ind w:right="-238"/>
        <w:jc w:val="center"/>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四、工  期</w:t>
      </w:r>
    </w:p>
    <w:p>
      <w:pPr>
        <w:adjustRightInd w:val="0"/>
        <w:snapToGrid w:val="0"/>
        <w:spacing w:line="360" w:lineRule="auto"/>
        <w:ind w:right="-238"/>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33  进度计划和报告</w:t>
      </w:r>
    </w:p>
    <w:p>
      <w:pPr>
        <w:tabs>
          <w:tab w:val="left" w:pos="16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77696" behindDoc="0" locked="0" layoutInCell="1" allowOverlap="1">
                <wp:simplePos x="0" y="0"/>
                <wp:positionH relativeFrom="column">
                  <wp:posOffset>-114300</wp:posOffset>
                </wp:positionH>
                <wp:positionV relativeFrom="paragraph">
                  <wp:posOffset>283845</wp:posOffset>
                </wp:positionV>
                <wp:extent cx="914400" cy="412750"/>
                <wp:effectExtent l="0" t="0" r="0" b="0"/>
                <wp:wrapNone/>
                <wp:docPr id="278" name="文本框 278"/>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35pt;height:32.5pt;width:72pt;z-index:251677696;mso-width-relative:page;mso-height-relative:page;" filled="f" stroked="f" coordsize="21600,21600" o:gfxdata="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3cbg72AAAAAoBAAAPAAAAAAAAAAEAIAAAACIAAABkcnMvZG93&#10;bnJldi54bWxQSwECFAAUAAAACACHTuJA0p98TgACAADYAwAADgAAAAAAAAABACAAAAAnAQAAZHJz&#10;L2Uyb0RvYy54bWxQSwUGAAAAAAYABgBZAQAAmQU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提交工程进度计划</w:t>
                      </w:r>
                    </w:p>
                  </w:txbxContent>
                </v:textbox>
              </v:shape>
            </w:pict>
          </mc:Fallback>
        </mc:AlternateContent>
      </w:r>
      <w:r>
        <w:rPr>
          <w:rFonts w:hint="eastAsia" w:ascii="宋体" w:hAnsi="宋体" w:cs="宋体"/>
          <w:b/>
          <w:color w:val="auto"/>
          <w:kern w:val="0"/>
          <w:szCs w:val="21"/>
          <w:highlight w:val="none"/>
        </w:rPr>
        <w:t xml:space="preserve">33.1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31天内，向监理工程师提交一式两份施工组织设计和合同工程进度计划。经发包人批准后，监理工程师应在收到该设计和计划后的7天内予以确认或提出修改意见，逾期不确认也不提出书面意见的，视为同意。工程进度计划，应对合同工程的全部施工作业提出总体上的施工方法、施工安排、作业顺序和时间表。合同约定有单位工程的，承包人还应编制单位工程进度计划。</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8720" behindDoc="0" locked="0" layoutInCell="1" allowOverlap="1">
                <wp:simplePos x="0" y="0"/>
                <wp:positionH relativeFrom="column">
                  <wp:posOffset>-114300</wp:posOffset>
                </wp:positionH>
                <wp:positionV relativeFrom="paragraph">
                  <wp:posOffset>281305</wp:posOffset>
                </wp:positionV>
                <wp:extent cx="914400" cy="471805"/>
                <wp:effectExtent l="0" t="0" r="0" b="0"/>
                <wp:wrapNone/>
                <wp:docPr id="277" name="文本框 277"/>
                <wp:cNvGraphicFramePr/>
                <a:graphic xmlns:a="http://schemas.openxmlformats.org/drawingml/2006/main">
                  <a:graphicData uri="http://schemas.microsoft.com/office/word/2010/wordprocessingShape">
                    <wps:wsp>
                      <wps:cNvSpPr txBox="1">
                        <a:spLocks noChangeArrowheads="1"/>
                      </wps:cNvSpPr>
                      <wps:spPr bwMode="auto">
                        <a:xfrm>
                          <a:off x="0" y="0"/>
                          <a:ext cx="914400" cy="4718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15pt;height:37.15pt;width:72pt;z-index:251678720;mso-width-relative:page;mso-height-relative:page;" filled="f" stroked="f" coordsize="21600,21600" o:gfxdata="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gftHjXAAAACgEAAA8AAAAAAAAAAQAgAAAAIgAAAGRycy9kb3du&#10;cmV2LnhtbFBLAQIUABQAAAAIAIdO4kDvz1HC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工程进度的监督和检查</w:t>
                      </w:r>
                    </w:p>
                  </w:txbxContent>
                </v:textbox>
              </v:shape>
            </w:pict>
          </mc:Fallback>
        </mc:AlternateContent>
      </w:r>
      <w:r>
        <w:rPr>
          <w:rFonts w:hint="eastAsia" w:ascii="宋体" w:hAnsi="宋体" w:cs="宋体"/>
          <w:b/>
          <w:color w:val="auto"/>
          <w:kern w:val="0"/>
          <w:szCs w:val="21"/>
          <w:highlight w:val="none"/>
        </w:rPr>
        <w:t xml:space="preserve">33.2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承包人应按照经监理工程师确认并由其报发包人批准的进度计划组织施工，接受监理工程师对工程进度的监督和检查。</w:t>
      </w:r>
    </w:p>
    <w:p>
      <w:pPr>
        <w:tabs>
          <w:tab w:val="left" w:pos="16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79744" behindDoc="0" locked="0" layoutInCell="1" allowOverlap="1">
                <wp:simplePos x="0" y="0"/>
                <wp:positionH relativeFrom="column">
                  <wp:posOffset>-114300</wp:posOffset>
                </wp:positionH>
                <wp:positionV relativeFrom="paragraph">
                  <wp:posOffset>265430</wp:posOffset>
                </wp:positionV>
                <wp:extent cx="914400" cy="555625"/>
                <wp:effectExtent l="0" t="0" r="0" b="0"/>
                <wp:wrapNone/>
                <wp:docPr id="276" name="文本框 276"/>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9pt;height:43.75pt;width:72pt;z-index:251679744;mso-width-relative:page;mso-height-relative:page;" filled="f" stroked="f" coordsize="21600,21600" o:gfxdata="UEsDBAoAAAAAAIdO4kAAAAAAAAAAAAAAAAAEAAAAZHJzL1BLAwQUAAAACACHTuJA4Lm4CNc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C5uAjXAAAACgEAAA8AAAAAAAAAAQAgAAAAIgAAAGRycy9kb3du&#10;cmV2LnhtbFBLAQIUABQAAAAIAIdO4kCKZITm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提交施工进度报告和修订进度计划</w:t>
                      </w:r>
                    </w:p>
                  </w:txbxContent>
                </v:textbox>
              </v:shape>
            </w:pict>
          </mc:Fallback>
        </mc:AlternateContent>
      </w:r>
      <w:r>
        <w:rPr>
          <w:rFonts w:hint="eastAsia" w:ascii="宋体" w:hAnsi="宋体" w:cs="宋体"/>
          <w:b/>
          <w:color w:val="auto"/>
          <w:kern w:val="0"/>
          <w:szCs w:val="21"/>
          <w:highlight w:val="none"/>
        </w:rPr>
        <w:t xml:space="preserve">33.3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除专用条款另有约定外，承包人应编制每月施工进度报告，同时每季对进度计划修订一次，并在每月或季结束后的7天内向监理理工程师提交上述报告和修订计划一式两份。月施工进度报告的内容至少应包括：</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（1）施工、安装、试验以及其他发包人工作等进展情况的图表和说明；</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（2）材料、设备、货物的采购和制造商名称、地点以及进入现场情况；</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（3）索赔情况和安全统计；</w:t>
      </w:r>
    </w:p>
    <w:p>
      <w:pPr>
        <w:adjustRightInd w:val="0"/>
        <w:snapToGrid w:val="0"/>
        <w:spacing w:line="360" w:lineRule="auto"/>
        <w:ind w:left="1558" w:leftChars="742"/>
        <w:rPr>
          <w:rFonts w:ascii="宋体" w:hAnsi="宋体" w:cs="宋体"/>
          <w:color w:val="auto"/>
          <w:kern w:val="0"/>
          <w:szCs w:val="21"/>
          <w:highlight w:val="none"/>
        </w:rPr>
      </w:pPr>
      <w:r>
        <w:rPr>
          <w:rFonts w:hint="eastAsia" w:ascii="宋体" w:hAnsi="宋体" w:cs="宋体"/>
          <w:color w:val="auto"/>
          <w:kern w:val="0"/>
          <w:szCs w:val="21"/>
          <w:highlight w:val="none"/>
        </w:rPr>
        <w:t>（4）实际进度与计划进度的对比，以及为消除延误正在或准备采取的措施。</w:t>
      </w:r>
    </w:p>
    <w:p>
      <w:pPr>
        <w:tabs>
          <w:tab w:val="left" w:pos="1620"/>
        </w:tabs>
        <w:adjustRightInd w:val="0"/>
        <w:snapToGrid w:val="0"/>
        <w:spacing w:line="480" w:lineRule="auto"/>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0768" behindDoc="0" locked="0" layoutInCell="1" allowOverlap="1">
                <wp:simplePos x="0" y="0"/>
                <wp:positionH relativeFrom="column">
                  <wp:posOffset>-114300</wp:posOffset>
                </wp:positionH>
                <wp:positionV relativeFrom="paragraph">
                  <wp:posOffset>243840</wp:posOffset>
                </wp:positionV>
                <wp:extent cx="914400" cy="644525"/>
                <wp:effectExtent l="0" t="0" r="0" b="0"/>
                <wp:wrapNone/>
                <wp:docPr id="275" name="文本框 275"/>
                <wp:cNvGraphicFramePr/>
                <a:graphic xmlns:a="http://schemas.openxmlformats.org/drawingml/2006/main">
                  <a:graphicData uri="http://schemas.microsoft.com/office/word/2010/wordprocessingShape">
                    <wps:wsp>
                      <wps:cNvSpPr txBox="1">
                        <a:spLocks noChangeArrowheads="1"/>
                      </wps:cNvSpPr>
                      <wps:spPr bwMode="auto">
                        <a:xfrm>
                          <a:off x="0" y="0"/>
                          <a:ext cx="914400" cy="6445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pt;height:50.75pt;width:72pt;z-index:251680768;mso-width-relative:page;mso-height-relative:page;" filled="f" stroked="f" coordsize="21600,21600" o:gfxdata="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emlUNgAAAAKAQAADwAAAAAAAAABACAAAAAiAAAAZHJzL2Rv&#10;d25yZXYueG1sUEsBAhQAFAAAAAgAh07iQI3KIDg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实际进度与进度计划不符时的处理</w:t>
                      </w:r>
                    </w:p>
                  </w:txbxContent>
                </v:textbox>
              </v:shape>
            </w:pict>
          </mc:Fallback>
        </mc:AlternateContent>
      </w:r>
      <w:r>
        <w:rPr>
          <w:rFonts w:hint="eastAsia" w:ascii="宋体" w:hAnsi="宋体" w:cs="宋体"/>
          <w:b/>
          <w:color w:val="auto"/>
          <w:kern w:val="0"/>
          <w:szCs w:val="21"/>
          <w:highlight w:val="none"/>
        </w:rPr>
        <w:t xml:space="preserve">33.4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监理工程师指出承包人的实际进度和经确认的计划进度不符时，承包人应按照监理工程师的要求提出改进措施，经监理工程师确认后执行。因承包人的原因导致实际进度迟于计划进度的，承包人不但无权就改进措施要求发包人支付任何附加费用，而且应按照第66.2款规定向发包人支付由此产生的误期赔偿费。工程进度计划即使经监理工程师确认，也不能免除承包人按照合同约定应承担的任何责任和应履行的任何义务。</w:t>
      </w: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ind w:right="-238" w:firstLine="480"/>
        <w:rPr>
          <w:rFonts w:ascii="宋体" w:hAnsi="宋体" w:cs="宋体"/>
          <w:color w:val="auto"/>
          <w:kern w:val="0"/>
          <w:szCs w:val="21"/>
          <w:highlight w:val="none"/>
        </w:rPr>
      </w:pPr>
    </w:p>
    <w:p>
      <w:pPr>
        <w:adjustRightInd w:val="0"/>
        <w:snapToGrid w:val="0"/>
        <w:spacing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34  开工</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1792" behindDoc="0" locked="0" layoutInCell="1" allowOverlap="1">
                <wp:simplePos x="0" y="0"/>
                <wp:positionH relativeFrom="column">
                  <wp:posOffset>-114300</wp:posOffset>
                </wp:positionH>
                <wp:positionV relativeFrom="paragraph">
                  <wp:posOffset>247015</wp:posOffset>
                </wp:positionV>
                <wp:extent cx="800100" cy="310515"/>
                <wp:effectExtent l="0" t="0" r="0" b="0"/>
                <wp:wrapNone/>
                <wp:docPr id="274" name="文本框 274"/>
                <wp:cNvGraphicFramePr/>
                <a:graphic xmlns:a="http://schemas.openxmlformats.org/drawingml/2006/main">
                  <a:graphicData uri="http://schemas.microsoft.com/office/word/2010/wordprocessingShape">
                    <wps:wsp>
                      <wps:cNvSpPr txBox="1">
                        <a:spLocks noChangeArrowheads="1"/>
                      </wps:cNvSpPr>
                      <wps:spPr bwMode="auto">
                        <a:xfrm>
                          <a:off x="0" y="0"/>
                          <a:ext cx="800100" cy="3105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5pt;height:24.45pt;width:63pt;z-index:251681792;mso-width-relative:page;mso-height-relative:page;" filled="f" stroked="f" coordsize="21600,21600" o:gfxdata="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fiVgNUAAAAJAQAADwAAAAAAAAABACAAAAAiAAAAZHJzL2Rvd25y&#10;ZXYueG1sUEsBAhQAFAAAAAgAh07iQME7/nUBAgAA2AMAAA4AAAAAAAAAAQAgAAAAJA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开工条件</w:t>
                      </w:r>
                    </w:p>
                  </w:txbxContent>
                </v:textbox>
              </v:shape>
            </w:pict>
          </mc:Fallback>
        </mc:AlternateContent>
      </w:r>
      <w:r>
        <w:rPr>
          <w:rFonts w:hint="eastAsia" w:ascii="宋体" w:hAnsi="宋体" w:cs="宋体"/>
          <w:b/>
          <w:color w:val="auto"/>
          <w:kern w:val="0"/>
          <w:szCs w:val="21"/>
          <w:highlight w:val="none"/>
        </w:rPr>
        <w:t xml:space="preserve">34.1    </w:t>
      </w:r>
    </w:p>
    <w:p>
      <w:pPr>
        <w:adjustRightInd w:val="0"/>
        <w:snapToGrid w:val="0"/>
        <w:spacing w:line="360" w:lineRule="auto"/>
        <w:ind w:left="1619" w:leftChars="771" w:right="6"/>
        <w:rPr>
          <w:rFonts w:ascii="宋体" w:hAnsi="宋体" w:cs="宋体"/>
          <w:color w:val="auto"/>
          <w:kern w:val="0"/>
          <w:szCs w:val="21"/>
          <w:highlight w:val="none"/>
        </w:rPr>
      </w:pPr>
      <w:r>
        <w:rPr>
          <w:rFonts w:hint="eastAsia" w:ascii="宋体" w:hAnsi="宋体" w:cs="宋体"/>
          <w:color w:val="auto"/>
          <w:kern w:val="0"/>
          <w:szCs w:val="21"/>
          <w:highlight w:val="none"/>
        </w:rPr>
        <w:t>工程开工必须具备法律规定的开工条件，并已经领取了施工许可证。</w:t>
      </w:r>
    </w:p>
    <w:p>
      <w:pPr>
        <w:tabs>
          <w:tab w:val="left" w:pos="1320"/>
        </w:tabs>
        <w:adjustRightInd w:val="0"/>
        <w:snapToGrid w:val="0"/>
        <w:spacing w:line="360" w:lineRule="auto"/>
        <w:ind w:right="3"/>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2816" behindDoc="0" locked="0" layoutInCell="1" allowOverlap="1">
                <wp:simplePos x="0" y="0"/>
                <wp:positionH relativeFrom="column">
                  <wp:posOffset>-114300</wp:posOffset>
                </wp:positionH>
                <wp:positionV relativeFrom="paragraph">
                  <wp:posOffset>242570</wp:posOffset>
                </wp:positionV>
                <wp:extent cx="800100" cy="297180"/>
                <wp:effectExtent l="0" t="0" r="0" b="0"/>
                <wp:wrapNone/>
                <wp:docPr id="273" name="文本框 27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23.4pt;width:63pt;z-index:251682816;mso-width-relative:page;mso-height-relative:page;" filled="f" stroked="f" coordsize="21600,21600" o:gfxdata="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4WbpX1gAAAAkBAAAPAAAAAAAAAAEAIAAAACIAAABkcnMvZG93&#10;bnJldi54bWxQSwECFAAUAAAACACHTuJAuN3jog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工程开工</w:t>
                      </w:r>
                    </w:p>
                  </w:txbxContent>
                </v:textbox>
              </v:shape>
            </w:pict>
          </mc:Fallback>
        </mc:AlternateContent>
      </w:r>
      <w:r>
        <w:rPr>
          <w:rFonts w:hint="eastAsia" w:ascii="宋体" w:hAnsi="宋体" w:cs="宋体"/>
          <w:b/>
          <w:color w:val="auto"/>
          <w:kern w:val="0"/>
          <w:szCs w:val="21"/>
          <w:highlight w:val="none"/>
        </w:rPr>
        <w:t xml:space="preserve">34.2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应在签订本合同后的28天内，向监理工程师提交开工申请书，并附上表明已做好开工准备的有关资料。除专用条款另有约定外，监理工程师应在本合同签订后的42天内报发包人批准后向承包人发出开工令；承包人应在接到开工令后的7天内开工，并一直保持合同工程连续均衡施工，直至其被改变为止。</w:t>
      </w:r>
    </w:p>
    <w:p>
      <w:pPr>
        <w:tabs>
          <w:tab w:val="left" w:pos="1320"/>
        </w:tabs>
        <w:adjustRightInd w:val="0"/>
        <w:snapToGrid w:val="0"/>
        <w:spacing w:line="360" w:lineRule="auto"/>
        <w:ind w:right="3"/>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3840" behindDoc="0" locked="0" layoutInCell="1" allowOverlap="1">
                <wp:simplePos x="0" y="0"/>
                <wp:positionH relativeFrom="column">
                  <wp:posOffset>-114300</wp:posOffset>
                </wp:positionH>
                <wp:positionV relativeFrom="paragraph">
                  <wp:posOffset>269875</wp:posOffset>
                </wp:positionV>
                <wp:extent cx="914400" cy="594360"/>
                <wp:effectExtent l="0" t="0" r="0" b="0"/>
                <wp:wrapNone/>
                <wp:docPr id="272" name="文本框 27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25pt;height:46.8pt;width:72pt;z-index:251683840;mso-width-relative:page;mso-height-relative:page;" filled="f" stroked="f" coordsize="21600,21600" o:gfxdata="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XoKTg2AAAAAoBAAAPAAAAAAAAAAEAIAAAACIAAABkcnMvZG93&#10;bnJldi54bWxQSwECFAAUAAAACACHTuJAzKg9v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承包人未按时开工的处理程序和责任</w:t>
                      </w:r>
                    </w:p>
                  </w:txbxContent>
                </v:textbox>
              </v:shape>
            </w:pict>
          </mc:Fallback>
        </mc:AlternateContent>
      </w:r>
      <w:r>
        <w:rPr>
          <w:rFonts w:hint="eastAsia" w:ascii="宋体" w:hAnsi="宋体" w:cs="宋体"/>
          <w:b/>
          <w:color w:val="auto"/>
          <w:kern w:val="0"/>
          <w:szCs w:val="21"/>
          <w:highlight w:val="none"/>
        </w:rPr>
        <w:t xml:space="preserve">34.3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承包人未能按照时开工，应在接到开工令后立即以书面形式向监理工程师提出延期开工的要求并说明理由。监理工程师应当在接到延期开工申请后的48小时内书面予以答复，否则视为同意。由此造成的损失和延误的工期由承包人承担.</w:t>
      </w:r>
    </w:p>
    <w:p>
      <w:pPr>
        <w:tabs>
          <w:tab w:val="left" w:pos="1320"/>
        </w:tabs>
        <w:adjustRightInd w:val="0"/>
        <w:snapToGrid w:val="0"/>
        <w:spacing w:line="360" w:lineRule="auto"/>
        <w:ind w:right="3"/>
        <w:rPr>
          <w:rFonts w:ascii="宋体" w:hAnsi="宋体" w:cs="宋体"/>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4864" behindDoc="0" locked="0" layoutInCell="1" allowOverlap="1">
                <wp:simplePos x="0" y="0"/>
                <wp:positionH relativeFrom="column">
                  <wp:posOffset>-114300</wp:posOffset>
                </wp:positionH>
                <wp:positionV relativeFrom="paragraph">
                  <wp:posOffset>237490</wp:posOffset>
                </wp:positionV>
                <wp:extent cx="914400" cy="568325"/>
                <wp:effectExtent l="0" t="0" r="0" b="0"/>
                <wp:wrapNone/>
                <wp:docPr id="271" name="文本框 271"/>
                <wp:cNvGraphicFramePr/>
                <a:graphic xmlns:a="http://schemas.openxmlformats.org/drawingml/2006/main">
                  <a:graphicData uri="http://schemas.microsoft.com/office/word/2010/wordprocessingShape">
                    <wps:wsp>
                      <wps:cNvSpPr txBox="1">
                        <a:spLocks noChangeArrowheads="1"/>
                      </wps:cNvSpPr>
                      <wps:spPr bwMode="auto">
                        <a:xfrm>
                          <a:off x="0" y="0"/>
                          <a:ext cx="914400" cy="5683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7pt;height:44.75pt;width:72pt;z-index:251684864;mso-width-relative:page;mso-height-relative:page;" filled="f" stroked="f" coordsize="21600,21600" o:gfxdata="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kHdkS1wAAAAoBAAAPAAAAAAAAAAEAIAAAACIAAABkcnMvZG93&#10;bnJldi54bWxQSwECFAAUAAAACACHTuJALzgZ4wECAADYAwAADgAAAAAAAAABACAAAAAm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发包人推迟开工的处理程序和责任</w:t>
                      </w:r>
                    </w:p>
                  </w:txbxContent>
                </v:textbox>
              </v:shape>
            </w:pict>
          </mc:Fallback>
        </mc:AlternateContent>
      </w:r>
      <w:r>
        <w:rPr>
          <w:rFonts w:hint="eastAsia" w:ascii="宋体" w:hAnsi="宋体" w:cs="宋体"/>
          <w:color w:val="auto"/>
          <w:kern w:val="0"/>
          <w:szCs w:val="21"/>
          <w:highlight w:val="none"/>
        </w:rPr>
        <w:t xml:space="preserve">34.4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3"/>
        <w:rPr>
          <w:rFonts w:ascii="宋体" w:hAnsi="宋体" w:cs="宋体"/>
          <w:color w:val="auto"/>
          <w:kern w:val="0"/>
          <w:szCs w:val="21"/>
          <w:highlight w:val="none"/>
        </w:rPr>
      </w:pPr>
      <w:r>
        <w:rPr>
          <w:rFonts w:hint="eastAsia" w:ascii="宋体" w:hAnsi="宋体" w:cs="宋体"/>
          <w:color w:val="auto"/>
          <w:kern w:val="0"/>
          <w:szCs w:val="21"/>
          <w:highlight w:val="none"/>
        </w:rPr>
        <w:t>因发包人的原因不能在第34.2款规定的时间内发出开工令的，监理工程师应至少提前7天以书面形式通知承包人推迟开工。由此造成的损失由发包人承担，开工日期相应顺延。监理工程师未能提前7天通知承包人推迟开工的，由此造成损失的扩大由发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rPr>
          <w:rFonts w:ascii="宋体" w:hAnsi="宋体" w:cs="宋体"/>
          <w:b/>
          <w:color w:val="auto"/>
          <w:kern w:val="0"/>
          <w:szCs w:val="21"/>
          <w:highlight w:val="none"/>
        </w:rPr>
      </w:pP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35  暂停施工和复工</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5888" behindDoc="0" locked="0" layoutInCell="1" allowOverlap="1">
                <wp:simplePos x="0" y="0"/>
                <wp:positionH relativeFrom="column">
                  <wp:posOffset>-114300</wp:posOffset>
                </wp:positionH>
                <wp:positionV relativeFrom="paragraph">
                  <wp:posOffset>261620</wp:posOffset>
                </wp:positionV>
                <wp:extent cx="914400" cy="497205"/>
                <wp:effectExtent l="0" t="0" r="0" b="0"/>
                <wp:wrapNone/>
                <wp:docPr id="270" name="文本框 270"/>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6pt;height:39.15pt;width:72pt;z-index:251685888;mso-width-relative:page;mso-height-relative:page;" filled="f" stroked="f" coordsize="21600,21600" o:gfxdata="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bVN6NcAAAAKAQAADwAAAAAAAAABACAAAAAiAAAAZHJzL2Rvd25y&#10;ZXYueG1sUEsBAhQAFAAAAAgAh07iQDYGb7b/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暂停施工的指令</w:t>
                      </w:r>
                    </w:p>
                  </w:txbxContent>
                </v:textbox>
              </v:shape>
            </w:pict>
          </mc:Fallback>
        </mc:AlternateContent>
      </w:r>
      <w:r>
        <w:rPr>
          <w:rFonts w:hint="eastAsia" w:ascii="宋体" w:hAnsi="宋体" w:cs="宋体"/>
          <w:b/>
          <w:color w:val="auto"/>
          <w:kern w:val="0"/>
          <w:szCs w:val="21"/>
          <w:highlight w:val="none"/>
        </w:rPr>
        <w:t xml:space="preserve">35.1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监理工程师认为有必要时，可向承包人发出暂停施工令，并在48小时内提出处理意见，承包人应按照监理工程师的指令停止施工。不论任何原因造成的暂停施工，暂停施工期间承包人应妥善保护已完工程并提供安全保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发包人的原因引起暂停施工的合同工程发生紧急情况，且监理工程师又未及时发出暂停施工令时，承包人可先暂停施工，并及时向监理工程师提出暂停施工报告。监理工程师应在收到暂停施工报告后的24小时内予以答复；逾期未答复的，视为承包人的暂停施工报告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35.2</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7904" behindDoc="0" locked="0" layoutInCell="1" allowOverlap="1">
                <wp:simplePos x="0" y="0"/>
                <wp:positionH relativeFrom="column">
                  <wp:posOffset>-114300</wp:posOffset>
                </wp:positionH>
                <wp:positionV relativeFrom="paragraph">
                  <wp:posOffset>20320</wp:posOffset>
                </wp:positionV>
                <wp:extent cx="914400" cy="497205"/>
                <wp:effectExtent l="0" t="0" r="0" b="0"/>
                <wp:wrapNone/>
                <wp:docPr id="269" name="文本框 269"/>
                <wp:cNvGraphicFramePr/>
                <a:graphic xmlns:a="http://schemas.openxmlformats.org/drawingml/2006/main">
                  <a:graphicData uri="http://schemas.microsoft.com/office/word/2010/wordprocessingShape">
                    <wps:wsp>
                      <wps:cNvSpPr txBox="1">
                        <a:spLocks noChangeArrowheads="1"/>
                      </wps:cNvSpPr>
                      <wps:spPr bwMode="auto">
                        <a:xfrm>
                          <a:off x="0" y="0"/>
                          <a:ext cx="914400" cy="4972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39.15pt;width:72pt;z-index:252027904;mso-width-relative:page;mso-height-relative:page;" filled="f" stroked="f" coordsize="21600,21600" o:gfxdata="UEsDBAoAAAAAAIdO4kAAAAAAAAAAAAAAAAAEAAAAZHJzL1BLAwQUAAAACACHTuJAsTc8t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E3PLTVAAAACAEAAA8AAAAAAAAAAQAgAAAAIgAAAGRycy9kb3ducmV2&#10;LnhtbFBLAQIUABQAAAAIAIdO4kB01bd9/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复工的要求</w:t>
                      </w:r>
                    </w:p>
                  </w:txbxContent>
                </v:textbox>
              </v:shape>
            </w:pict>
          </mc:Fallback>
        </mc:AlternateContent>
      </w:r>
      <w:r>
        <w:rPr>
          <w:rFonts w:hint="eastAsia" w:ascii="宋体" w:hAnsi="宋体" w:cs="宋体"/>
          <w:color w:val="auto"/>
          <w:kern w:val="0"/>
          <w:szCs w:val="21"/>
          <w:highlight w:val="none"/>
        </w:rPr>
        <w:t>承包人实施监理工程师的处理意见后，可向监理工程师提交复工报审表要求复工；监理工程师应在收到复工报审表后的48小时内予以答复。具备复工条件时，监理工程师应立即向承包人发出复工令，承包人应立即组织复工。监理工程师在收到复工报审表后的48小时内未答复也未提出处理意见的，承包人可自行复工，监理工程师应予认可。</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承包人无故拖延或拒绝复工的，由此增加的费用和（或）延误的工期由承包人承担；因发包人的原因无法按时复工的，承包人有权要求发包人增加发生的费用和（或）顺延工期，并支付合理利润。</w:t>
      </w:r>
    </w:p>
    <w:p>
      <w:pPr>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86912" behindDoc="0" locked="0" layoutInCell="1" allowOverlap="1">
                <wp:simplePos x="0" y="0"/>
                <wp:positionH relativeFrom="column">
                  <wp:posOffset>-114300</wp:posOffset>
                </wp:positionH>
                <wp:positionV relativeFrom="paragraph">
                  <wp:posOffset>244475</wp:posOffset>
                </wp:positionV>
                <wp:extent cx="914400" cy="792480"/>
                <wp:effectExtent l="0" t="0" r="0" b="0"/>
                <wp:wrapNone/>
                <wp:docPr id="268" name="文本框 268"/>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25pt;height:62.4pt;width:72pt;z-index:251686912;mso-width-relative:page;mso-height-relative:page;" filled="f" stroked="f" coordsize="21600,21600" o:gfxdata="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HCdnfXAAAACgEAAA8AAAAAAAAAAQAgAAAAIgAAAGRycy9kb3du&#10;cmV2LnhtbFBLAQIUABQAAAAIAIdO4kA8F4PdAAIAANgDAAAOAAAAAAAAAAEAIAAAACYBAABkcnMv&#10;ZTJvRG9jLnhtbFBLBQYAAAAABgAGAFkBAACY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暂停施工持续56天以上的复工要求</w:t>
                      </w:r>
                    </w:p>
                  </w:txbxContent>
                </v:textbox>
              </v:shape>
            </w:pict>
          </mc:Fallback>
        </mc:AlternateContent>
      </w:r>
      <w:r>
        <w:rPr>
          <w:rFonts w:hint="eastAsia" w:ascii="宋体" w:hAnsi="宋体" w:cs="宋体"/>
          <w:b/>
          <w:color w:val="auto"/>
          <w:kern w:val="0"/>
          <w:szCs w:val="21"/>
          <w:highlight w:val="none"/>
        </w:rPr>
        <w:t xml:space="preserve">35.3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非承包人的原因造成暂停施工持续56天以上时，承包人可向监理工程师提交复工报审表要求复工；监理工程师应在收到复工报审表后的28天内准许复工。如果在上述期限内监理工程师未予准许，则承包人可以作如下选择：</w:t>
      </w:r>
    </w:p>
    <w:p>
      <w:pPr>
        <w:numPr>
          <w:ilvl w:val="0"/>
          <w:numId w:val="21"/>
        </w:numPr>
        <w:tabs>
          <w:tab w:val="left" w:pos="10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如果此项停工仅影响合同工程的一部分时，则根据第56.2款规定及时提出工程变更，取消该部分工程，并书面通知发包人，抄送监理工程师和造价工程师；</w:t>
      </w:r>
    </w:p>
    <w:p>
      <w:pPr>
        <w:numPr>
          <w:ilvl w:val="0"/>
          <w:numId w:val="21"/>
        </w:numPr>
        <w:tabs>
          <w:tab w:val="left" w:pos="1080"/>
        </w:tabs>
        <w:adjustRightInd w:val="0"/>
        <w:snapToGrid w:val="0"/>
        <w:spacing w:line="360" w:lineRule="auto"/>
        <w:ind w:left="2091" w:leftChars="771"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如果此项停工影响整个合同工程时，则根据第87.4款规定解除合同。</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因承包人的原因引起暂停施工持续56天以上，承包人不采取有效的复工措施，造成工期延误的，发包人可根据第87.3款规定解除合同。</w:t>
      </w:r>
    </w:p>
    <w:p>
      <w:pPr>
        <w:tabs>
          <w:tab w:val="left" w:pos="216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7936" behindDoc="0" locked="0" layoutInCell="1" allowOverlap="1">
                <wp:simplePos x="0" y="0"/>
                <wp:positionH relativeFrom="column">
                  <wp:posOffset>-114300</wp:posOffset>
                </wp:positionH>
                <wp:positionV relativeFrom="paragraph">
                  <wp:posOffset>635</wp:posOffset>
                </wp:positionV>
                <wp:extent cx="914400" cy="792480"/>
                <wp:effectExtent l="0" t="0" r="0" b="0"/>
                <wp:wrapNone/>
                <wp:docPr id="267" name="文本框 267"/>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2.4pt;width:72pt;z-index:251687936;mso-width-relative:page;mso-height-relative:page;" filled="f" stroked="f" coordsize="21600,21600" o:gfxdata="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3ah0vUAAAACAEAAA8AAAAAAAAAAQAgAAAAIgAAAGRycy9kb3ducmV2&#10;LnhtbFBLAQIUABQAAAAIAIdO4kCA9Trn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发包人、承包人原因和不可抗力因素造成暂停施工的责任</w:t>
                      </w:r>
                    </w:p>
                  </w:txbxContent>
                </v:textbox>
              </v:shape>
            </w:pict>
          </mc:Fallback>
        </mc:AlternateContent>
      </w:r>
      <w:r>
        <w:rPr>
          <w:rFonts w:hint="eastAsia" w:ascii="宋体" w:hAnsi="宋体" w:cs="宋体"/>
          <w:color w:val="auto"/>
          <w:kern w:val="0"/>
          <w:szCs w:val="21"/>
          <w:highlight w:val="none"/>
        </w:rPr>
        <w:t>因发包人的原因造成暂停施工且引起工期延误的，承包人有权要求发包人增加由此发生的费用和（或）顺延工期，并支付合理利润。</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因承包人下列原因造成的暂停施工，增加的费用和（或）延误的工期由承包人承担：</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工作失误或违约造成的；</w:t>
      </w:r>
    </w:p>
    <w:p>
      <w:pPr>
        <w:numPr>
          <w:ilvl w:val="0"/>
          <w:numId w:val="22"/>
        </w:numPr>
        <w:adjustRightInd w:val="0"/>
        <w:snapToGrid w:val="0"/>
        <w:spacing w:line="360" w:lineRule="auto"/>
        <w:ind w:left="2089" w:leftChars="770" w:hanging="472" w:hangingChars="225"/>
        <w:rPr>
          <w:rFonts w:ascii="宋体" w:hAnsi="宋体" w:cs="宋体"/>
          <w:color w:val="auto"/>
          <w:kern w:val="0"/>
          <w:szCs w:val="21"/>
          <w:highlight w:val="none"/>
        </w:rPr>
      </w:pPr>
      <w:r>
        <w:rPr>
          <w:rFonts w:hint="eastAsia" w:ascii="宋体" w:hAnsi="宋体" w:cs="宋体"/>
          <w:color w:val="auto"/>
          <w:kern w:val="0"/>
          <w:szCs w:val="21"/>
          <w:highlight w:val="none"/>
        </w:rPr>
        <w:t>为合同工程合理施工和安全保障所必需的；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施工现场气候条件（除不可抗力停工外）导致的；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擅自停工的；</w:t>
      </w:r>
    </w:p>
    <w:p>
      <w:pPr>
        <w:numPr>
          <w:ilvl w:val="0"/>
          <w:numId w:val="22"/>
        </w:numPr>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专用条款约定的其他原因。</w:t>
      </w:r>
    </w:p>
    <w:p>
      <w:pPr>
        <w:tabs>
          <w:tab w:val="left" w:pos="1980"/>
        </w:tabs>
        <w:adjustRightInd w:val="0"/>
        <w:snapToGrid w:val="0"/>
        <w:spacing w:line="360" w:lineRule="auto"/>
        <w:ind w:left="1617" w:leftChars="770"/>
        <w:rPr>
          <w:rFonts w:ascii="宋体" w:hAnsi="宋体" w:cs="宋体"/>
          <w:color w:val="auto"/>
          <w:kern w:val="0"/>
          <w:szCs w:val="21"/>
          <w:highlight w:val="none"/>
        </w:rPr>
      </w:pPr>
      <w:r>
        <w:rPr>
          <w:rFonts w:hint="eastAsia" w:ascii="宋体" w:hAnsi="宋体" w:cs="宋体"/>
          <w:color w:val="auto"/>
          <w:kern w:val="0"/>
          <w:szCs w:val="21"/>
          <w:highlight w:val="none"/>
        </w:rPr>
        <w:t>因不可抗力因素造成暂停施工的，按照第31条规定处理。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8960" behindDoc="0" locked="0" layoutInCell="1" allowOverlap="1">
                <wp:simplePos x="0" y="0"/>
                <wp:positionH relativeFrom="column">
                  <wp:posOffset>-66675</wp:posOffset>
                </wp:positionH>
                <wp:positionV relativeFrom="paragraph">
                  <wp:posOffset>6350</wp:posOffset>
                </wp:positionV>
                <wp:extent cx="914400" cy="693420"/>
                <wp:effectExtent l="0" t="0" r="0" b="0"/>
                <wp:wrapNone/>
                <wp:docPr id="266" name="文本框 266"/>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5pt;height:54.6pt;width:72pt;z-index:251688960;mso-width-relative:page;mso-height-relative:page;" filled="f" stroked="f" coordsize="21600,21600" o:gfxdata="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LVLN7UAAAACQEAAA8AAAAAAAAAAQAgAAAAIgAAAGRycy9kb3ducmV2&#10;LnhtbFBLAQIUABQAAAAIAIdO4kCOKNMlAAIAANgDAAAOAAAAAAAAAAEAIAAAACMBAABkcnMvZTJv&#10;RG9jLnhtbFBLBQYAAAAABgAGAFkBAACVBQ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发包人不按规定支付工程款造成暂停施工的责任</w:t>
                      </w:r>
                    </w:p>
                  </w:txbxContent>
                </v:textbox>
              </v:shape>
            </w:pict>
          </mc:Fallback>
        </mc:AlternateContent>
      </w:r>
      <w:r>
        <w:rPr>
          <w:rFonts w:hint="eastAsia" w:ascii="宋体" w:hAnsi="宋体" w:cs="宋体"/>
          <w:color w:val="auto"/>
          <w:kern w:val="0"/>
          <w:szCs w:val="21"/>
          <w:highlight w:val="none"/>
        </w:rPr>
        <w:t>如果发包人未按照合同约定支付工程进度款，经催告后在28天内仍未支付的，承包人可以暂停施工，直至收到包括第78.2款规定的应付利息在内的所欠全部款项。由此造成的暂停施工，视为是因发包人的原因引起的，并按照第35.4款规定处理。</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9664" behindDoc="0" locked="0" layoutInCell="1" allowOverlap="1">
                <wp:simplePos x="0" y="0"/>
                <wp:positionH relativeFrom="column">
                  <wp:posOffset>-114300</wp:posOffset>
                </wp:positionH>
                <wp:positionV relativeFrom="paragraph">
                  <wp:posOffset>635</wp:posOffset>
                </wp:positionV>
                <wp:extent cx="914400" cy="396240"/>
                <wp:effectExtent l="0" t="0" r="0" b="0"/>
                <wp:wrapNone/>
                <wp:docPr id="265" name="文本框 2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1.2pt;width:72pt;z-index:251889664;mso-width-relative:page;mso-height-relative:page;" filled="f" stroked="f" coordsize="21600,21600" o:gfxdata="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8G9LdMAAAAHAQAADwAAAAAAAAABACAAAAAiAAAAZHJzL2Rvd25yZXYu&#10;eG1sUEsBAhQAFAAAAAgAh07iQEhsaswAAgAA2AMAAA4AAAAAAAAAAQAgAAAAIgEAAGRycy9lMm9E&#10;b2MueG1sUEsFBgAAAAAGAAYAWQEAAJQFAAAAAA==&#10;">
                <v:fill on="f" focussize="0,0"/>
                <v:stroke on="f"/>
                <v:imagedata o:title=""/>
                <o:lock v:ext="edit" aspectratio="f"/>
                <v:textbox>
                  <w:txbxContent>
                    <w:p>
                      <w:pPr>
                        <w:spacing w:line="220" w:lineRule="exact"/>
                        <w:rPr>
                          <w:rFonts w:ascii="楷体_GB2312" w:hAnsi="宋体"/>
                          <w:b/>
                          <w:color w:val="000000"/>
                          <w:sz w:val="18"/>
                          <w:szCs w:val="18"/>
                        </w:rPr>
                      </w:pPr>
                      <w:r>
                        <w:rPr>
                          <w:rFonts w:hint="eastAsia" w:ascii="楷体_GB2312" w:hAnsi="宋体"/>
                          <w:b/>
                          <w:color w:val="000000"/>
                          <w:sz w:val="18"/>
                          <w:szCs w:val="18"/>
                        </w:rPr>
                        <w:t>暂停施工结束后的处理</w:t>
                      </w:r>
                    </w:p>
                  </w:txbxContent>
                </v:textbox>
              </v:shape>
            </w:pict>
          </mc:Fallback>
        </mc:AlternateContent>
      </w:r>
      <w:r>
        <w:rPr>
          <w:rFonts w:hint="eastAsia" w:ascii="宋体" w:hAnsi="宋体" w:cs="宋体"/>
          <w:color w:val="auto"/>
          <w:kern w:val="0"/>
          <w:szCs w:val="21"/>
          <w:highlight w:val="none"/>
        </w:rPr>
        <w:t>暂停施工结束后，承包人和监理工程师应对受暂停施工影响的工程、材料和工程设备进行检查。承包人负责修复在暂停期间发生的任何变质、缺陷或损坏，因而发生的费用和造成的损失按照第35.4款规定处理。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u w:val="singl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36  工期和工期延误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2192" behindDoc="0" locked="0" layoutInCell="1" allowOverlap="1">
                <wp:simplePos x="0" y="0"/>
                <wp:positionH relativeFrom="column">
                  <wp:posOffset>-114300</wp:posOffset>
                </wp:positionH>
                <wp:positionV relativeFrom="paragraph">
                  <wp:posOffset>393700</wp:posOffset>
                </wp:positionV>
                <wp:extent cx="977900" cy="335915"/>
                <wp:effectExtent l="0" t="0" r="0" b="0"/>
                <wp:wrapNone/>
                <wp:docPr id="264" name="文本框 264"/>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1pt;height:26.45pt;width:77pt;z-index:251912192;mso-width-relative:page;mso-height-relative:page;" filled="f" stroked="f" coordsize="21600,21600" o:gfxdata="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l/3ojXAAAACgEAAA8AAAAAAAAAAQAgAAAAIgAAAGRycy9k&#10;b3ducmV2LnhtbFBLAQIUABQAAAAIAIdO4kCzFYezAwIAANgDAAAOAAAAAAAAAAEAIAAAACYBAABk&#10;cnMvZTJvRG9jLnhtbFBLBQYAAAAABgAGAFkBAACbBQAAAAA=&#10;">
                <v:fill on="f" focussize="0,0"/>
                <v:stroke on="f"/>
                <v:imagedata o:title=""/>
                <o:lock v:ext="edit" aspectratio="f"/>
                <v:textbox>
                  <w:txbxContent>
                    <w:p>
                      <w:pPr>
                        <w:rPr>
                          <w:szCs w:val="18"/>
                        </w:rPr>
                      </w:pPr>
                    </w:p>
                  </w:txbxContent>
                </v:textbox>
              </v:shape>
            </w:pict>
          </mc:Fallback>
        </mc:AlternateContent>
      </w:r>
      <w:r>
        <w:rPr>
          <w:rFonts w:ascii="宋体" w:hAnsi="宋体" w:cs="宋体"/>
          <w:color w:val="auto"/>
          <w:szCs w:val="21"/>
          <w:highlight w:val="none"/>
        </w:rPr>
        <mc:AlternateContent>
          <mc:Choice Requires="wps">
            <w:drawing>
              <wp:anchor distT="0" distB="0" distL="114300" distR="114300" simplePos="0" relativeHeight="251911168"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3" name="文本框 263"/>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911168;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Lqx/gE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工期计算</w:t>
                      </w:r>
                    </w:p>
                  </w:txbxContent>
                </v:textbox>
              </v:shape>
            </w:pict>
          </mc:Fallback>
        </mc:AlternateContent>
      </w:r>
      <w:r>
        <w:rPr>
          <w:rFonts w:hint="eastAsia" w:ascii="宋体" w:hAnsi="宋体" w:cs="宋体"/>
          <w:color w:val="auto"/>
          <w:szCs w:val="21"/>
          <w:highlight w:val="none"/>
        </w:rPr>
        <w:t>合同工程的工期，由合同双方当事人根据《广东省建筑安装工程工期定额》等有关规定，结合合同工程拟实施的施工组织设计或施工方案等情况予以确定，并在合同中约定。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禁止合同双方当事人随意压缩工期。</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36.2 </w:t>
      </w:r>
      <w:r>
        <w:rPr>
          <w:rFonts w:hint="eastAsia" w:ascii="宋体" w:hAnsi="宋体" w:cs="宋体"/>
          <w:color w:val="auto"/>
          <w:kern w:val="0"/>
          <w:szCs w:val="21"/>
          <w:highlight w:val="none"/>
          <w:u w:val="dotted"/>
        </w:rPr>
        <w:t xml:space="preserve">                                                                          </w:t>
      </w:r>
    </w:p>
    <w:p>
      <w:pPr>
        <w:adjustRightInd w:val="0"/>
        <w:snapToGrid w:val="0"/>
        <w:spacing w:line="360" w:lineRule="auto"/>
        <w:ind w:left="1671" w:leftChars="771" w:hanging="52" w:hangingChars="25"/>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89984" behindDoc="0" locked="0" layoutInCell="1" allowOverlap="1">
                <wp:simplePos x="0" y="0"/>
                <wp:positionH relativeFrom="column">
                  <wp:posOffset>-114300</wp:posOffset>
                </wp:positionH>
                <wp:positionV relativeFrom="paragraph">
                  <wp:posOffset>31750</wp:posOffset>
                </wp:positionV>
                <wp:extent cx="800100" cy="459740"/>
                <wp:effectExtent l="0" t="0" r="0" b="0"/>
                <wp:wrapNone/>
                <wp:docPr id="262" name="文本框 262"/>
                <wp:cNvGraphicFramePr/>
                <a:graphic xmlns:a="http://schemas.openxmlformats.org/drawingml/2006/main">
                  <a:graphicData uri="http://schemas.microsoft.com/office/word/2010/wordprocessingShape">
                    <wps:wsp>
                      <wps:cNvSpPr txBox="1">
                        <a:spLocks noChangeArrowheads="1"/>
                      </wps:cNvSpPr>
                      <wps:spPr bwMode="auto">
                        <a:xfrm>
                          <a:off x="0" y="0"/>
                          <a:ext cx="800100" cy="4597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36.2pt;width:63pt;z-index:251689984;mso-width-relative:page;mso-height-relative:page;" filled="f" stroked="f" coordsize="21600,21600" o:gfxdata="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yCmINUAAAAIAQAADwAAAAAAAAABACAAAAAiAAAAZHJzL2Rvd25y&#10;ZXYueG1sUEsBAhQAFAAAAAgAh07iQD5uSQUBAgAA2AMAAA4AAAAAAAAAAQAgAAAAJA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工期约定的要求</w:t>
                      </w:r>
                    </w:p>
                  </w:txbxContent>
                </v:textbox>
              </v:shape>
            </w:pict>
          </mc:Fallback>
        </mc:AlternateContent>
      </w:r>
      <w:r>
        <w:rPr>
          <w:rFonts w:hint="eastAsia" w:ascii="宋体" w:hAnsi="宋体" w:cs="宋体"/>
          <w:color w:val="auto"/>
          <w:kern w:val="0"/>
          <w:szCs w:val="21"/>
          <w:highlight w:val="none"/>
        </w:rPr>
        <w:t>合同双方当事人应在专用条款中约定合同工程的工期，工期从开工日期开始计算。合同中包括有多个单位工程的，应在专用条款中约定各单位工程的工期。</w:t>
      </w:r>
    </w:p>
    <w:p>
      <w:pPr>
        <w:adjustRightInd w:val="0"/>
        <w:snapToGrid w:val="0"/>
        <w:spacing w:line="360" w:lineRule="auto"/>
        <w:ind w:right="-2"/>
        <w:rPr>
          <w:rFonts w:ascii="宋体" w:hAnsi="宋体" w:cs="宋体"/>
          <w:b/>
          <w:color w:val="auto"/>
          <w:kern w:val="0"/>
          <w:szCs w:val="21"/>
          <w:highlight w:val="none"/>
        </w:rPr>
      </w:pPr>
      <w:r>
        <w:rPr>
          <w:rFonts w:hint="eastAsia" w:ascii="宋体" w:hAnsi="宋体" w:cs="宋体"/>
          <w:b/>
          <w:color w:val="auto"/>
          <w:kern w:val="0"/>
          <w:szCs w:val="21"/>
          <w:highlight w:val="none"/>
        </w:rPr>
        <w:t xml:space="preserve">36.3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1008" behindDoc="0" locked="0" layoutInCell="1" allowOverlap="1">
                <wp:simplePos x="0" y="0"/>
                <wp:positionH relativeFrom="column">
                  <wp:posOffset>-114300</wp:posOffset>
                </wp:positionH>
                <wp:positionV relativeFrom="paragraph">
                  <wp:posOffset>16510</wp:posOffset>
                </wp:positionV>
                <wp:extent cx="800100" cy="261620"/>
                <wp:effectExtent l="0" t="0" r="0" b="0"/>
                <wp:wrapNone/>
                <wp:docPr id="261" name="文本框 261"/>
                <wp:cNvGraphicFramePr/>
                <a:graphic xmlns:a="http://schemas.openxmlformats.org/drawingml/2006/main">
                  <a:graphicData uri="http://schemas.microsoft.com/office/word/2010/wordprocessingShape">
                    <wps:wsp>
                      <wps:cNvSpPr txBox="1">
                        <a:spLocks noChangeArrowheads="1"/>
                      </wps:cNvSpPr>
                      <wps:spPr bwMode="auto">
                        <a:xfrm>
                          <a:off x="0" y="0"/>
                          <a:ext cx="800100" cy="2616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工期顺延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0.6pt;width:63pt;z-index:251691008;mso-width-relative:page;mso-height-relative:page;" filled="f" stroked="f" coordsize="21600,21600" o:gfxdata="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px24I1QAAAAgBAAAPAAAAAAAAAAEAIAAAACIAAABkcnMvZG93bnJl&#10;di54bWxQSwECFAAUAAAACACHTuJAuzxKhwACAADYAwAADgAAAAAAAAABACAAAAAkAQAAZHJzL2Uy&#10;b0RvYy54bWxQSwUGAAAAAAYABgBZAQAAlg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工期顺延</w:t>
                      </w:r>
                    </w:p>
                  </w:txbxContent>
                </v:textbox>
              </v:shape>
            </w:pict>
          </mc:Fallback>
        </mc:AlternateContent>
      </w:r>
      <w:r>
        <w:rPr>
          <w:rFonts w:hint="eastAsia" w:ascii="宋体" w:hAnsi="宋体" w:cs="宋体"/>
          <w:color w:val="auto"/>
          <w:szCs w:val="21"/>
          <w:highlight w:val="none"/>
        </w:rPr>
        <w:t>合同履行期间，由于下列原因造成工期延误的，承包人有权要求发包人增加由此发生的费用和（或）顺延工期，并支付合理利润。本款发生顺延的工期，由承包人提出，经监理工程师核实后由合同双方当事人协商确定；协商不能达成一致的，由监理工程师暂定，通知承包人并抄报发包人。构成争议的，由合同双方当事人按照第86条规定处理。</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发包人未能按照专用条款的约定提供施工设计图纸及其它开工条件；</w:t>
      </w:r>
    </w:p>
    <w:p>
      <w:pPr>
        <w:adjustRightInd w:val="0"/>
        <w:snapToGrid w:val="0"/>
        <w:spacing w:line="420" w:lineRule="exact"/>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（2）发包人未能按照专用条款约定的时间支付工程预付款、安全文明施工费和进度款；</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（3） 发包人代表或施工现场发包人雇用的其他人员造成的人为因素；</w:t>
      </w:r>
    </w:p>
    <w:p>
      <w:pPr>
        <w:adjustRightInd w:val="0"/>
        <w:snapToGrid w:val="0"/>
        <w:spacing w:line="420" w:lineRule="exact"/>
        <w:ind w:left="2249" w:leftChars="771" w:hanging="630" w:hangingChars="300"/>
        <w:rPr>
          <w:rFonts w:ascii="宋体" w:hAnsi="宋体" w:cs="宋体"/>
          <w:color w:val="auto"/>
          <w:kern w:val="0"/>
          <w:szCs w:val="21"/>
          <w:highlight w:val="none"/>
        </w:rPr>
      </w:pPr>
      <w:r>
        <w:rPr>
          <w:rFonts w:hint="eastAsia" w:ascii="宋体" w:hAnsi="宋体" w:cs="宋体"/>
          <w:color w:val="auto"/>
          <w:kern w:val="0"/>
          <w:szCs w:val="21"/>
          <w:highlight w:val="none"/>
        </w:rPr>
        <w:t>（4） 监理工程师未按照合同约定及时提供所需指令、回复等；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（5） 工程变更（含增加合同工作内容、改变合同的任何一项工作等）；</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（6） 工程量增加；</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（7） 一周内非承包人原因停水、停电、停气造成停工累计超过8小时；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（8） 不可抗力；</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（9） 发包人风险事件；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（10）因发包人的原因导致的暂停施工；</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（11）非承包人失误、违约，以及监理工程师同意的工期顺延。</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（12）发包人造成工期延误的其他原因。</w:t>
      </w:r>
    </w:p>
    <w:p>
      <w:pPr>
        <w:adjustRightInd w:val="0"/>
        <w:snapToGrid w:val="0"/>
        <w:spacing w:line="360" w:lineRule="auto"/>
        <w:ind w:right="-2"/>
        <w:rPr>
          <w:rFonts w:ascii="宋体" w:hAnsi="宋体" w:cs="宋体"/>
          <w:color w:val="auto"/>
          <w:kern w:val="0"/>
          <w:szCs w:val="21"/>
          <w:highlight w:val="none"/>
        </w:rPr>
      </w:pPr>
      <w:r>
        <w:rPr>
          <w:rFonts w:hint="eastAsia" w:ascii="宋体" w:hAnsi="宋体" w:cs="宋体"/>
          <w:b/>
          <w:color w:val="auto"/>
          <w:kern w:val="0"/>
          <w:szCs w:val="21"/>
          <w:highlight w:val="none"/>
        </w:rPr>
        <w:t xml:space="preserve">36.4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2032" behindDoc="0" locked="0" layoutInCell="1" allowOverlap="1">
                <wp:simplePos x="0" y="0"/>
                <wp:positionH relativeFrom="column">
                  <wp:posOffset>-114300</wp:posOffset>
                </wp:positionH>
                <wp:positionV relativeFrom="paragraph">
                  <wp:posOffset>62230</wp:posOffset>
                </wp:positionV>
                <wp:extent cx="914400" cy="396240"/>
                <wp:effectExtent l="0" t="0" r="0" b="0"/>
                <wp:wrapNone/>
                <wp:docPr id="260" name="文本框 26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9pt;height:31.2pt;width:72pt;z-index:251692032;mso-width-relative:page;mso-height-relative:page;" filled="f" stroked="f" coordsize="21600,21600" o:gfxdata="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a5bma1QAAAAgBAAAPAAAAAAAAAAEAIAAAACIAAABkcnMvZG93bnJl&#10;di54bWxQSwECFAAUAAAACACHTuJA3M0C2gACAADYAwAADgAAAAAAAAABACAAAAAkAQAAZHJzL2Uy&#10;b0RvYy54bWxQSwUGAAAAAAYABgBZAQAAlgUAAAAA&#10;">
                <v:fill on="f" focussize="0,0"/>
                <v:stroke on="f"/>
                <v:imagedata o:title=""/>
                <o:lock v:ext="edit" aspectratio="f"/>
                <v:textbox>
                  <w:txbxContent>
                    <w:p>
                      <w:pPr>
                        <w:spacing w:line="220" w:lineRule="exact"/>
                        <w:rPr>
                          <w:rFonts w:ascii="宋体" w:hAnsi="宋体"/>
                          <w:sz w:val="18"/>
                          <w:szCs w:val="18"/>
                        </w:rPr>
                      </w:pPr>
                      <w:r>
                        <w:rPr>
                          <w:rFonts w:hint="eastAsia" w:ascii="楷体_GB2312" w:hAnsi="宋体"/>
                          <w:b/>
                          <w:color w:val="000000"/>
                          <w:sz w:val="18"/>
                          <w:szCs w:val="18"/>
                        </w:rPr>
                        <w:t>提交工期顺延报告</w:t>
                      </w:r>
                    </w:p>
                  </w:txbxContent>
                </v:textbox>
              </v:shape>
            </w:pict>
          </mc:Fallback>
        </mc:AlternateContent>
      </w:r>
      <w:r>
        <w:rPr>
          <w:rFonts w:hint="eastAsia" w:ascii="宋体" w:hAnsi="宋体" w:cs="宋体"/>
          <w:color w:val="auto"/>
          <w:kern w:val="0"/>
          <w:szCs w:val="21"/>
          <w:highlight w:val="none"/>
        </w:rPr>
        <w:t>当第36.3款所述事件首次发生后，承包人应在14天内向监理工程师发出工期顺延意向书，并抄送发包人。承包人应在发出工期顺延意向书后的14天内，向监理工程师提交工期顺延报告和有关详细资料。</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3056" behindDoc="0" locked="0" layoutInCell="1" allowOverlap="1">
                <wp:simplePos x="0" y="0"/>
                <wp:positionH relativeFrom="column">
                  <wp:posOffset>-114300</wp:posOffset>
                </wp:positionH>
                <wp:positionV relativeFrom="paragraph">
                  <wp:posOffset>46990</wp:posOffset>
                </wp:positionV>
                <wp:extent cx="914400" cy="396240"/>
                <wp:effectExtent l="0" t="0" r="0" b="0"/>
                <wp:wrapNone/>
                <wp:docPr id="259" name="文本框 25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7pt;height:31.2pt;width:72pt;z-index:251693056;mso-width-relative:page;mso-height-relative:page;" filled="f" stroked="f" coordsize="21600,21600" o:gfxdata="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P3JBq1QAAAAgBAAAPAAAAAAAAAAEAIAAAACIAAABkcnMvZG93bnJl&#10;di54bWxQSwECFAAUAAAACACHTuJAE/kIHw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工期顺延持续发生的要求</w:t>
                      </w:r>
                    </w:p>
                  </w:txbxContent>
                </v:textbox>
              </v:shape>
            </w:pict>
          </mc:Fallback>
        </mc:AlternateContent>
      </w:r>
      <w:r>
        <w:rPr>
          <w:rFonts w:hint="eastAsia" w:ascii="宋体" w:hAnsi="宋体" w:cs="宋体"/>
          <w:color w:val="auto"/>
          <w:kern w:val="0"/>
          <w:szCs w:val="21"/>
          <w:highlight w:val="none"/>
        </w:rPr>
        <w:t>如果工期顺延事件持续发生时，承包人应每隔7天向监理工程师发出工期顺延意向书，并在工期顺延事件终结后的14天内，向监理工程师提交最终工期顺延报告和详细资料。</w:t>
      </w:r>
    </w:p>
    <w:p>
      <w:pPr>
        <w:adjustRightInd w:val="0"/>
        <w:snapToGrid w:val="0"/>
        <w:spacing w:line="360" w:lineRule="auto"/>
        <w:ind w:right="-2"/>
        <w:rPr>
          <w:rFonts w:ascii="宋体" w:hAnsi="宋体" w:cs="宋体"/>
          <w:b/>
          <w:color w:val="auto"/>
          <w:kern w:val="0"/>
          <w:szCs w:val="21"/>
          <w:highlight w:val="none"/>
        </w:rPr>
      </w:pP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4080"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8" name="文本框 258"/>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694080;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ba8mh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拒绝延期</w:t>
                      </w:r>
                    </w:p>
                  </w:txbxContent>
                </v:textbox>
              </v:shape>
            </w:pict>
          </mc:Fallback>
        </mc:AlternateContent>
      </w:r>
      <w:r>
        <w:rPr>
          <w:rFonts w:hint="eastAsia" w:ascii="宋体" w:hAnsi="宋体" w:cs="宋体"/>
          <w:color w:val="auto"/>
          <w:kern w:val="0"/>
          <w:szCs w:val="21"/>
          <w:highlight w:val="none"/>
        </w:rPr>
        <w:t xml:space="preserve">如果承包人未能在第36.4款和第36.5款（发生时）规定的时间内提交（最终）工期顺延报告和详细资料，则视为该事件不影响施工进度或承包人放弃顺延工期的权利。 </w:t>
      </w:r>
    </w:p>
    <w:p>
      <w:pPr>
        <w:adjustRightInd w:val="0"/>
        <w:snapToGrid w:val="0"/>
        <w:spacing w:line="360" w:lineRule="auto"/>
        <w:ind w:right="-2"/>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ight="-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7792"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7" name="文本框 257"/>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7792;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CniXCbAQIAANgDAAAOAAAAAAAAAAEAIAAAACU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工期顺延的核实与确定</w:t>
                      </w:r>
                    </w:p>
                  </w:txbxContent>
                </v:textbox>
              </v:shape>
            </w:pict>
          </mc:Fallback>
        </mc:AlternateContent>
      </w:r>
      <w:r>
        <w:rPr>
          <w:rFonts w:hint="eastAsia" w:ascii="宋体" w:hAnsi="宋体" w:cs="宋体"/>
          <w:color w:val="auto"/>
          <w:kern w:val="0"/>
          <w:szCs w:val="21"/>
          <w:highlight w:val="none"/>
        </w:rPr>
        <w:t>监理工程师应在收到承包人按照第36.4款和第36.5款（发生时）规定提交（最终）工期顺延报告和详细资料后的28天内，按照第36.3款规定予以核实，或要求承包人进一步补充顺延工期的理由。合同双方当事人一旦协商确定顺延的工期，发包人应承担由此增加的费用，并向承包人支付合理利润。</w:t>
      </w:r>
    </w:p>
    <w:p>
      <w:pPr>
        <w:adjustRightInd w:val="0"/>
        <w:snapToGrid w:val="0"/>
        <w:spacing w:line="360" w:lineRule="auto"/>
        <w:ind w:left="1619" w:leftChars="771" w:right="-2"/>
        <w:rPr>
          <w:rFonts w:ascii="宋体" w:hAnsi="宋体" w:cs="宋体"/>
          <w:color w:val="auto"/>
          <w:kern w:val="0"/>
          <w:szCs w:val="21"/>
          <w:highlight w:val="none"/>
        </w:rPr>
      </w:pPr>
      <w:r>
        <w:rPr>
          <w:rFonts w:hint="eastAsia" w:ascii="宋体" w:hAnsi="宋体" w:cs="宋体"/>
          <w:color w:val="auto"/>
          <w:kern w:val="0"/>
          <w:szCs w:val="21"/>
          <w:highlight w:val="none"/>
        </w:rPr>
        <w:t>如果监理工程师在收到上述报告和资料后的28天内未予核实也未对承包人作出进一步要求，则视为监理工程师已认可承包人上述报告中提出的顺延工期天数。</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36.8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8816" behindDoc="0" locked="0" layoutInCell="1" allowOverlap="1">
                <wp:simplePos x="0" y="0"/>
                <wp:positionH relativeFrom="column">
                  <wp:posOffset>-114300</wp:posOffset>
                </wp:positionH>
                <wp:positionV relativeFrom="paragraph">
                  <wp:posOffset>45720</wp:posOffset>
                </wp:positionV>
                <wp:extent cx="914400" cy="483870"/>
                <wp:effectExtent l="0" t="0" r="0" b="0"/>
                <wp:wrapNone/>
                <wp:docPr id="256" name="文本框 256"/>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8.1pt;width:72pt;z-index:251938816;mso-width-relative:page;mso-height-relative:page;" filled="f" stroked="f" coordsize="21600,21600" o:gfxdata="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qXQ8fWAAAACAEAAA8AAAAAAAAAAQAgAAAAIgAAAGRycy9kb3du&#10;cmV2LnhtbFBLAQIUABQAAAAIAIdO4kAjVsef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承包人误期的赔偿</w:t>
                      </w:r>
                    </w:p>
                  </w:txbxContent>
                </v:textbox>
              </v:shape>
            </w:pict>
          </mc:Fallback>
        </mc:AlternateContent>
      </w:r>
      <w:r>
        <w:rPr>
          <w:rFonts w:hint="eastAsia" w:ascii="宋体" w:hAnsi="宋体" w:cs="宋体"/>
          <w:color w:val="auto"/>
          <w:kern w:val="0"/>
          <w:szCs w:val="21"/>
          <w:highlight w:val="none"/>
        </w:rPr>
        <w:t>承包人未能按照合同进度计划完成工作，或因承包人的原因造成工期延误，发包人可按照本条规定的时限和第66.2款规定要求承包人支付该支付期的误期赔偿费。</w:t>
      </w:r>
    </w:p>
    <w:p>
      <w:pPr>
        <w:tabs>
          <w:tab w:val="left" w:pos="540"/>
        </w:tabs>
        <w:adjustRightInd w:val="0"/>
        <w:snapToGrid w:val="0"/>
        <w:spacing w:beforeLines="100"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37  加快进度</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5104" behindDoc="0" locked="0" layoutInCell="1" allowOverlap="1">
                <wp:simplePos x="0" y="0"/>
                <wp:positionH relativeFrom="column">
                  <wp:posOffset>-114300</wp:posOffset>
                </wp:positionH>
                <wp:positionV relativeFrom="paragraph">
                  <wp:posOffset>160655</wp:posOffset>
                </wp:positionV>
                <wp:extent cx="914400" cy="540385"/>
                <wp:effectExtent l="0" t="0" r="0" b="0"/>
                <wp:wrapNone/>
                <wp:docPr id="255" name="文本框 255"/>
                <wp:cNvGraphicFramePr/>
                <a:graphic xmlns:a="http://schemas.openxmlformats.org/drawingml/2006/main">
                  <a:graphicData uri="http://schemas.microsoft.com/office/word/2010/wordprocessingShape">
                    <wps:wsp>
                      <wps:cNvSpPr txBox="1">
                        <a:spLocks noChangeArrowheads="1"/>
                      </wps:cNvSpPr>
                      <wps:spPr bwMode="auto">
                        <a:xfrm>
                          <a:off x="0" y="0"/>
                          <a:ext cx="914400" cy="540385"/>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承包人原因加快进度的要求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5pt;height:42.55pt;width:72pt;z-index:251695104;mso-width-relative:page;mso-height-relative:page;" filled="f" stroked="f" coordsize="21600,21600" o:gfxdata="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4NFGDXAAAACgEAAA8AAAAAAAAAAQAgAAAAIgAAAGRycy9kb3du&#10;cmV2LnhtbFBLAQIUABQAAAAIAIdO4kCDXvHqAAIAANgDAAAOAAAAAAAAAAEAIAAAACYBAABkcnMv&#10;ZTJvRG9jLnhtbFBLBQYAAAAABgAGAFkBAACYBQ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承包人原因加快进度的要求</w:t>
                      </w:r>
                    </w:p>
                  </w:txbxContent>
                </v:textbox>
              </v:shape>
            </w:pict>
          </mc:Fallback>
        </mc:AlternateContent>
      </w:r>
      <w:r>
        <w:rPr>
          <w:rFonts w:hint="eastAsia" w:ascii="宋体" w:hAnsi="宋体" w:cs="宋体"/>
          <w:b/>
          <w:color w:val="auto"/>
          <w:kern w:val="0"/>
          <w:szCs w:val="21"/>
          <w:highlight w:val="none"/>
        </w:rPr>
        <w:t xml:space="preserve">37.1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在非发包人延误工期的情况下，如果监理工程师书面指出承包人实施合同工程或其任何部分的进度过慢，迟于进度计划或不能按期竣工，则承包人应按照第33.4款规定采取改进措施，加快工程进度。</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 xml:space="preserve">如果承包人在接到监理工程师通知后的14天内，未能采取加快工程进度的措施，致使实际进度进一步延迟；或承包人虽然采取了改进措施，仍无法按期竣工，监理工程师应立即报告发包人，并抄送承包人。发包人可按照第87.3款规定解除合同，也可将合同工程中的一部分工作交由第三方完成，由此增加的一切费用由承包人承担。即使承包人承担增加的费用，也不能免除其按照合同约定应承担的任何责任和应履行的任何义务。 </w:t>
      </w:r>
    </w:p>
    <w:p>
      <w:pPr>
        <w:tabs>
          <w:tab w:val="left" w:pos="132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1696128" behindDoc="0" locked="0" layoutInCell="1" allowOverlap="1">
                <wp:simplePos x="0" y="0"/>
                <wp:positionH relativeFrom="column">
                  <wp:posOffset>-114300</wp:posOffset>
                </wp:positionH>
                <wp:positionV relativeFrom="paragraph">
                  <wp:posOffset>278130</wp:posOffset>
                </wp:positionV>
                <wp:extent cx="914400" cy="494665"/>
                <wp:effectExtent l="0" t="0" r="0" b="0"/>
                <wp:wrapNone/>
                <wp:docPr id="254" name="文本框 254"/>
                <wp:cNvGraphicFramePr/>
                <a:graphic xmlns:a="http://schemas.openxmlformats.org/drawingml/2006/main">
                  <a:graphicData uri="http://schemas.microsoft.com/office/word/2010/wordprocessingShape">
                    <wps:wsp>
                      <wps:cNvSpPr txBox="1">
                        <a:spLocks noChangeArrowheads="1"/>
                      </wps:cNvSpPr>
                      <wps:spPr bwMode="auto">
                        <a:xfrm>
                          <a:off x="0" y="0"/>
                          <a:ext cx="914400" cy="49466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8.95pt;width:72pt;z-index:251696128;mso-width-relative:page;mso-height-relative:page;" filled="f" stroked="f" coordsize="21600,21600" o:gfxdata="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Wfa7zXAAAACgEAAA8AAAAAAAAAAQAgAAAAIgAAAGRycy9kb3du&#10;cmV2LnhtbFBLAQIUABQAAAAIAIdO4kC/MDQhAAIAANgDAAAOAAAAAAAAAAEAIAAAACY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发包人原因加快进度的要求</w:t>
                      </w:r>
                    </w:p>
                  </w:txbxContent>
                </v:textbox>
              </v:shape>
            </w:pict>
          </mc:Fallback>
        </mc:AlternateContent>
      </w:r>
      <w:r>
        <w:rPr>
          <w:rFonts w:hint="eastAsia" w:ascii="宋体" w:hAnsi="宋体" w:cs="宋体"/>
          <w:b/>
          <w:color w:val="auto"/>
          <w:kern w:val="0"/>
          <w:szCs w:val="21"/>
          <w:highlight w:val="none"/>
        </w:rPr>
        <w:t xml:space="preserve">37.2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发包人希望承包人提前竣工，那么发包人可要求承包人提交为加快进度而编制的提前竣工建议书。承包人应在接到发包人要求后的7天内完成编制并向发包人提交提前竣工建议书，该建议书的内容至少应包括：</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加快进度拟采取的措施；</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加快进度后的进度计划,以及与原计划的对比；</w:t>
      </w:r>
    </w:p>
    <w:p>
      <w:pPr>
        <w:numPr>
          <w:ilvl w:val="0"/>
          <w:numId w:val="23"/>
        </w:numPr>
        <w:tabs>
          <w:tab w:val="left" w:pos="198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加快进度所需的合同价款增加额（含第66.1款规定的提前竣工奖）。该增加额按照第72.2款、第72.3款和第72.5款规定计算。</w:t>
      </w:r>
    </w:p>
    <w:p>
      <w:pPr>
        <w:adjustRightInd w:val="0"/>
        <w:snapToGrid w:val="0"/>
        <w:spacing w:line="360" w:lineRule="auto"/>
        <w:ind w:left="1617" w:leftChars="770"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发包人应在接到建议书后的7天内予以答复。如果发包人接受了该建议书，则监理工程师应以书面形式发出变更指令，相应调整工期；造价工程师应核实并相应调整合同价款。</w:t>
      </w:r>
    </w:p>
    <w:p>
      <w:pPr>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38  竣工日期</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7152" behindDoc="0" locked="0" layoutInCell="1" allowOverlap="1">
                <wp:simplePos x="0" y="0"/>
                <wp:positionH relativeFrom="column">
                  <wp:posOffset>-133350</wp:posOffset>
                </wp:positionH>
                <wp:positionV relativeFrom="paragraph">
                  <wp:posOffset>135890</wp:posOffset>
                </wp:positionV>
                <wp:extent cx="977900" cy="396240"/>
                <wp:effectExtent l="0" t="0" r="0" b="0"/>
                <wp:wrapNone/>
                <wp:docPr id="253" name="文本框 25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0.7pt;height:31.2pt;width:77pt;z-index:251697152;mso-width-relative:page;mso-height-relative:page;" filled="f" stroked="f" coordsize="21600,21600" o:gfxdata="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Go4dVfXAAAACQEAAA8AAAAAAAAAAQAgAAAAIgAAAGRycy9k&#10;b3ducmV2LnhtbFBLAQIUABQAAAAIAIdO4kBs4porAwIAANgDAAAOAAAAAAAAAAEAIAAAACY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约定计划竣工日期</w:t>
                      </w:r>
                    </w:p>
                  </w:txbxContent>
                </v:textbox>
              </v:shape>
            </w:pict>
          </mc:Fallback>
        </mc:AlternateContent>
      </w:r>
      <w:r>
        <w:rPr>
          <w:rFonts w:hint="eastAsia" w:ascii="宋体" w:hAnsi="宋体" w:cs="宋体"/>
          <w:b/>
          <w:color w:val="auto"/>
          <w:kern w:val="0"/>
          <w:szCs w:val="21"/>
          <w:highlight w:val="none"/>
        </w:rPr>
        <w:t xml:space="preserve">38.1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合同双方当事人应在协议书和专用条款中约定合同工程的计划竣工日期。</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52" name="文本框 252"/>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698176;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AmaHG1QAAAAcBAAAPAAAAAAAAAAEAIAAAACIAAABkcnMvZG93&#10;bnJldi54bWxQSwECFAAUAAAACACHTuJA6D0tLwMCAADYAwAADgAAAAAAAAABACAAAAAk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实际竣工日期的确定</w:t>
                      </w:r>
                    </w:p>
                  </w:txbxContent>
                </v:textbox>
              </v:shape>
            </w:pict>
          </mc:Fallback>
        </mc:AlternateContent>
      </w:r>
      <w:r>
        <w:rPr>
          <w:rFonts w:hint="eastAsia" w:ascii="宋体" w:hAnsi="宋体" w:cs="宋体"/>
          <w:color w:val="auto"/>
          <w:kern w:val="0"/>
          <w:szCs w:val="21"/>
          <w:highlight w:val="none"/>
        </w:rPr>
        <w:t>除发生不可抗力事件致使发包人不能按时竣工验收外，实际竣工日期按照下列情况分别确定：</w:t>
      </w:r>
    </w:p>
    <w:p>
      <w:pPr>
        <w:numPr>
          <w:ilvl w:val="0"/>
          <w:numId w:val="24"/>
        </w:numPr>
        <w:tabs>
          <w:tab w:val="left" w:pos="198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工程经竣工验收合格的，以承包人提交竣工验收申请报告之日为实际竣工日期；</w:t>
      </w:r>
    </w:p>
    <w:p>
      <w:pPr>
        <w:tabs>
          <w:tab w:val="left" w:pos="1980"/>
          <w:tab w:val="left" w:pos="2160"/>
        </w:tabs>
        <w:adjustRightInd w:val="0"/>
        <w:snapToGrid w:val="0"/>
        <w:spacing w:line="360" w:lineRule="auto"/>
        <w:ind w:left="1613"/>
        <w:rPr>
          <w:rFonts w:ascii="宋体" w:hAnsi="宋体" w:cs="宋体"/>
          <w:color w:val="auto"/>
          <w:kern w:val="0"/>
          <w:szCs w:val="21"/>
          <w:highlight w:val="none"/>
        </w:rPr>
      </w:pPr>
      <w:r>
        <w:rPr>
          <w:rFonts w:hint="eastAsia" w:ascii="宋体" w:hAnsi="宋体" w:cs="宋体"/>
          <w:color w:val="auto"/>
          <w:kern w:val="0"/>
          <w:szCs w:val="21"/>
          <w:highlight w:val="none"/>
        </w:rPr>
        <w:t>(2)承包人已按照第57.2款规定提交竣工验收申请报告，但发包人未按照第58.3款规定完成合同工程验收的，以承包人提交竣工验收申请报告之日为实际竣工日期；</w:t>
      </w:r>
    </w:p>
    <w:p>
      <w:pPr>
        <w:tabs>
          <w:tab w:val="left" w:pos="1980"/>
          <w:tab w:val="left" w:pos="2160"/>
        </w:tabs>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(3)工程未经竣工验收，发包人擅自使用的，以转移占有工程之日为实际竣工日期。</w:t>
      </w:r>
    </w:p>
    <w:p>
      <w:pPr>
        <w:adjustRightInd w:val="0"/>
        <w:snapToGrid w:val="0"/>
        <w:spacing w:line="360" w:lineRule="auto"/>
        <w:ind w:left="1423" w:leftChars="1" w:right="-2" w:hanging="1421" w:hangingChars="674"/>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6576" behindDoc="0" locked="0" layoutInCell="1" allowOverlap="1">
                <wp:simplePos x="0" y="0"/>
                <wp:positionH relativeFrom="column">
                  <wp:posOffset>-114300</wp:posOffset>
                </wp:positionH>
                <wp:positionV relativeFrom="paragraph">
                  <wp:posOffset>268605</wp:posOffset>
                </wp:positionV>
                <wp:extent cx="914400" cy="483870"/>
                <wp:effectExtent l="0" t="0" r="0" b="0"/>
                <wp:wrapNone/>
                <wp:docPr id="251" name="文本框 251"/>
                <wp:cNvGraphicFramePr/>
                <a:graphic xmlns:a="http://schemas.openxmlformats.org/drawingml/2006/main">
                  <a:graphicData uri="http://schemas.microsoft.com/office/word/2010/wordprocessingShape">
                    <wps:wsp>
                      <wps:cNvSpPr txBox="1">
                        <a:spLocks noChangeArrowheads="1"/>
                      </wps:cNvSpPr>
                      <wps:spPr bwMode="auto">
                        <a:xfrm>
                          <a:off x="0" y="0"/>
                          <a:ext cx="914400" cy="4838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15pt;height:38.1pt;width:72pt;z-index:252056576;mso-width-relative:page;mso-height-relative:page;" filled="f" stroked="f" coordsize="21600,21600" o:gfxdata="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vmTJA2AAAAAoBAAAPAAAAAAAAAAEAIAAAACIAAABkcnMvZG93&#10;bnJldi54bWxQSwECFAAUAAAACACHTuJAv0jAgA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延迟竣工的责任</w:t>
                      </w:r>
                    </w:p>
                  </w:txbxContent>
                </v:textbox>
              </v:shape>
            </w:pict>
          </mc:Fallback>
        </mc:AlternateContent>
      </w:r>
      <w:r>
        <w:rPr>
          <w:rFonts w:hint="eastAsia" w:ascii="宋体" w:hAnsi="宋体" w:cs="宋体"/>
          <w:color w:val="auto"/>
          <w:szCs w:val="21"/>
          <w:highlight w:val="none"/>
        </w:rPr>
        <w:t>因发包人的原因导致实际竣工日期迟于计划竣工日期的，发包人应承担由此增加的费用和（或）延误的工期，并向承包人支付合理利润。</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olor w:val="auto"/>
          <w:szCs w:val="21"/>
          <w:highlight w:val="none"/>
        </w:rPr>
        <w:t>因承包人的原因导致实际竣工日期迟于计划竣工日期的，承包人应按照第40条规定</w:t>
      </w:r>
      <w:r>
        <w:rPr>
          <w:rFonts w:hint="eastAsia" w:ascii="宋体" w:hAnsi="宋体" w:cs="宋体"/>
          <w:caps/>
          <w:color w:val="auto"/>
          <w:szCs w:val="21"/>
          <w:highlight w:val="none"/>
        </w:rPr>
        <w:t>赔偿发包人由此造成的损失，并向发包人支付误期赔偿费。</w:t>
      </w:r>
    </w:p>
    <w:p>
      <w:pPr>
        <w:rPr>
          <w:rFonts w:ascii="宋体" w:hAnsi="宋体" w:cs="宋体"/>
          <w:caps/>
          <w:color w:val="auto"/>
          <w:szCs w:val="21"/>
          <w:highlight w:val="none"/>
          <w:u w:val="single"/>
        </w:rPr>
      </w:pPr>
      <w:r>
        <w:rPr>
          <w:rFonts w:hint="eastAsia" w:ascii="宋体" w:hAnsi="宋体" w:cs="宋体"/>
          <w:b/>
          <w:caps/>
          <w:color w:val="auto"/>
          <w:szCs w:val="21"/>
          <w:highlight w:val="none"/>
          <w:u w:val="single"/>
        </w:rPr>
        <w:t xml:space="preserve">                                                                                    </w:t>
      </w:r>
      <w:r>
        <w:rPr>
          <w:rFonts w:hint="eastAsia" w:ascii="宋体" w:hAnsi="宋体" w:cs="宋体"/>
          <w:caps/>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39  提前竣工</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39.1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39840" behindDoc="0" locked="0" layoutInCell="1" allowOverlap="1">
                <wp:simplePos x="0" y="0"/>
                <wp:positionH relativeFrom="column">
                  <wp:posOffset>-66675</wp:posOffset>
                </wp:positionH>
                <wp:positionV relativeFrom="paragraph">
                  <wp:posOffset>30480</wp:posOffset>
                </wp:positionV>
                <wp:extent cx="977900" cy="396240"/>
                <wp:effectExtent l="0" t="0" r="0" b="0"/>
                <wp:wrapNone/>
                <wp:docPr id="250" name="文本框 250"/>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pt;height:31.2pt;width:77pt;z-index:251939840;mso-width-relative:page;mso-height-relative:page;" filled="f" stroked="f" coordsize="21600,21600" o:gfxdata="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YdP4/VAAAACAEAAA8AAAAAAAAAAQAgAAAAIgAAAGRycy9kb3du&#10;cmV2LnhtbFBLAQIUABQAAAAIAIdO4kDggkIm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提前竣工的要求</w:t>
                      </w:r>
                    </w:p>
                  </w:txbxContent>
                </v:textbox>
              </v:shape>
            </w:pict>
          </mc:Fallback>
        </mc:AlternateContent>
      </w:r>
      <w:r>
        <w:rPr>
          <w:rFonts w:hint="eastAsia" w:ascii="宋体" w:hAnsi="宋体" w:cs="宋体"/>
          <w:color w:val="auto"/>
          <w:kern w:val="0"/>
          <w:szCs w:val="21"/>
          <w:highlight w:val="none"/>
        </w:rPr>
        <w:t>发包人要求承包人提前竣工，或承包人按照第37.2款规定提交提前竣工建议书为发包人接受的，监理工程师应与承包人商定采取加快工程进度的措施，并修订合同工程进度计划。</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39.2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0864" behindDoc="0" locked="0" layoutInCell="1" allowOverlap="1">
                <wp:simplePos x="0" y="0"/>
                <wp:positionH relativeFrom="column">
                  <wp:posOffset>-114300</wp:posOffset>
                </wp:positionH>
                <wp:positionV relativeFrom="paragraph">
                  <wp:posOffset>5715</wp:posOffset>
                </wp:positionV>
                <wp:extent cx="977900" cy="396240"/>
                <wp:effectExtent l="0" t="0" r="0" b="0"/>
                <wp:wrapNone/>
                <wp:docPr id="249" name="文本框 249"/>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7pt;z-index:251940864;mso-width-relative:page;mso-height-relative:page;" filled="f" stroked="f" coordsize="21600,21600" o:gfxdata="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CZocbVAAAABwEAAA8AAAAAAAAAAQAgAAAAIgAAAGRycy9kb3du&#10;cmV2LnhtbFBLAQIUABQAAAAIAIdO4kCiUZrt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提前竣工天数的计算</w:t>
                      </w:r>
                    </w:p>
                  </w:txbxContent>
                </v:textbox>
              </v:shape>
            </w:pict>
          </mc:Fallback>
        </mc:AlternateContent>
      </w:r>
      <w:r>
        <w:rPr>
          <w:rFonts w:hint="eastAsia" w:ascii="宋体" w:hAnsi="宋体" w:cs="宋体"/>
          <w:color w:val="auto"/>
          <w:kern w:val="0"/>
          <w:szCs w:val="21"/>
          <w:highlight w:val="none"/>
        </w:rPr>
        <w:t>提前竣工天数按照第38.2款规定确定的计划竣工天数减去实际竣工天数计算，其公式为：</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提前竣工天数=计划竣工天数 — 实际竣工天数</w:t>
      </w:r>
    </w:p>
    <w:p>
      <w:pPr>
        <w:tabs>
          <w:tab w:val="left" w:pos="1980"/>
          <w:tab w:val="left" w:pos="2160"/>
        </w:tabs>
        <w:adjustRightInd w:val="0"/>
        <w:snapToGrid w:val="0"/>
        <w:spacing w:line="360" w:lineRule="auto"/>
        <w:ind w:left="1616"/>
        <w:rPr>
          <w:rFonts w:ascii="宋体" w:hAnsi="宋体" w:cs="宋体"/>
          <w:color w:val="auto"/>
          <w:kern w:val="0"/>
          <w:szCs w:val="21"/>
          <w:highlight w:val="none"/>
        </w:rPr>
      </w:pPr>
      <w:r>
        <w:rPr>
          <w:rFonts w:hint="eastAsia" w:ascii="宋体" w:hAnsi="宋体" w:cs="宋体"/>
          <w:color w:val="auto"/>
          <w:kern w:val="0"/>
          <w:szCs w:val="21"/>
          <w:highlight w:val="none"/>
        </w:rPr>
        <w:t>合同工程提前竣工，发包人应承担承包人由此增加的费用，并按照第66.1款规定向承包人支付提前竣工奖。</w:t>
      </w:r>
    </w:p>
    <w:p>
      <w:pPr>
        <w:tabs>
          <w:tab w:val="left" w:pos="540"/>
        </w:tabs>
        <w:adjustRightInd w:val="0"/>
        <w:snapToGrid w:val="0"/>
        <w:spacing w:beforeLines="100" w:line="240" w:lineRule="exact"/>
        <w:rPr>
          <w:rFonts w:ascii="宋体" w:hAnsi="宋体" w:cs="宋体"/>
          <w:b/>
          <w:caps/>
          <w:color w:val="auto"/>
          <w:kern w:val="0"/>
          <w:szCs w:val="21"/>
          <w:highlight w:val="none"/>
          <w:u w:val="single"/>
        </w:rPr>
      </w:pPr>
      <w:r>
        <w:rPr>
          <w:rFonts w:hint="eastAsia" w:ascii="宋体" w:hAnsi="宋体" w:cs="宋体"/>
          <w:b/>
          <w:caps/>
          <w:color w:val="auto"/>
          <w:kern w:val="0"/>
          <w:szCs w:val="21"/>
          <w:highlight w:val="none"/>
          <w:u w:val="single"/>
        </w:rPr>
        <w:t xml:space="preserve">                                                                                </w:t>
      </w:r>
    </w:p>
    <w:p>
      <w:pPr>
        <w:tabs>
          <w:tab w:val="left" w:pos="540"/>
        </w:tabs>
        <w:adjustRightInd w:val="0"/>
        <w:snapToGrid w:val="0"/>
        <w:spacing w:beforeLines="100" w:line="240" w:lineRule="exact"/>
        <w:ind w:firstLine="480"/>
        <w:rPr>
          <w:rFonts w:ascii="宋体" w:hAnsi="宋体" w:cs="宋体"/>
          <w:caps/>
          <w:color w:val="auto"/>
          <w:kern w:val="0"/>
          <w:szCs w:val="21"/>
          <w:highlight w:val="none"/>
          <w:u w:val="single"/>
        </w:rPr>
      </w:pPr>
    </w:p>
    <w:p>
      <w:pPr>
        <w:tabs>
          <w:tab w:val="left" w:pos="540"/>
        </w:tabs>
        <w:adjustRightInd w:val="0"/>
        <w:snapToGrid w:val="0"/>
        <w:spacing w:beforeLines="100"/>
        <w:rPr>
          <w:rFonts w:ascii="宋体" w:hAnsi="宋体" w:cs="宋体"/>
          <w:b/>
          <w:color w:val="auto"/>
          <w:kern w:val="0"/>
          <w:szCs w:val="21"/>
          <w:highlight w:val="none"/>
        </w:rPr>
      </w:pPr>
      <w:r>
        <w:rPr>
          <w:rFonts w:hint="eastAsia" w:ascii="宋体" w:hAnsi="宋体" w:cs="宋体"/>
          <w:b/>
          <w:color w:val="auto"/>
          <w:kern w:val="0"/>
          <w:szCs w:val="21"/>
          <w:highlight w:val="none"/>
        </w:rPr>
        <w:t>40  误期赔偿</w:t>
      </w:r>
    </w:p>
    <w:p>
      <w:pPr>
        <w:rPr>
          <w:rFonts w:ascii="宋体" w:hAnsi="宋体" w:cs="宋体"/>
          <w:b/>
          <w:caps/>
          <w:color w:val="auto"/>
          <w:szCs w:val="21"/>
          <w:highlight w:val="none"/>
        </w:rPr>
      </w:pPr>
      <w:r>
        <w:rPr>
          <w:rFonts w:hint="eastAsia" w:ascii="宋体" w:hAnsi="宋体" w:cs="宋体"/>
          <w:b/>
          <w:color w:val="auto"/>
          <w:szCs w:val="21"/>
          <w:highlight w:val="none"/>
        </w:rPr>
        <w:t>40.1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699200" behindDoc="0" locked="0" layoutInCell="1" allowOverlap="1">
                <wp:simplePos x="0" y="0"/>
                <wp:positionH relativeFrom="column">
                  <wp:posOffset>-133350</wp:posOffset>
                </wp:positionH>
                <wp:positionV relativeFrom="paragraph">
                  <wp:posOffset>149860</wp:posOffset>
                </wp:positionV>
                <wp:extent cx="977900" cy="335915"/>
                <wp:effectExtent l="0" t="0" r="0" b="0"/>
                <wp:wrapNone/>
                <wp:docPr id="248" name="文本框 248"/>
                <wp:cNvGraphicFramePr/>
                <a:graphic xmlns:a="http://schemas.openxmlformats.org/drawingml/2006/main">
                  <a:graphicData uri="http://schemas.microsoft.com/office/word/2010/wordprocessingShape">
                    <wps:wsp>
                      <wps:cNvSpPr txBox="1">
                        <a:spLocks noChangeArrowheads="1"/>
                      </wps:cNvSpPr>
                      <wps:spPr bwMode="auto">
                        <a:xfrm>
                          <a:off x="0" y="0"/>
                          <a:ext cx="977900" cy="3359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1.8pt;height:26.45pt;width:77pt;z-index:251699200;mso-width-relative:page;mso-height-relative:page;" filled="f" stroked="f" coordsize="21600,21600" o:gfxdata="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HDALNcAAAAJAQAADwAAAAAAAAABACAAAAAiAAAAZHJzL2Rv&#10;d25yZXYueG1sUEsBAhQAFAAAAAgAh07iQA5wNIoCAgAA2AMAAA4AAAAAAAAAAQAgAAAAJg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误期的赔偿</w:t>
                      </w:r>
                    </w:p>
                  </w:txbxContent>
                </v:textbox>
              </v:shape>
            </w:pict>
          </mc:Fallback>
        </mc:AlternateContent>
      </w:r>
      <w:r>
        <w:rPr>
          <w:rFonts w:hint="eastAsia" w:ascii="宋体" w:hAnsi="宋体" w:cs="宋体"/>
          <w:caps/>
          <w:color w:val="auto"/>
          <w:szCs w:val="21"/>
          <w:highlight w:val="none"/>
        </w:rPr>
        <w:t>如果承包人未按照第33.4款规定按计划进度施工，导致实际进度迟于计划进度的，承包人应向发包人支付误期赔偿费，具体金额可另行约定。即使承包人支付误期赔偿费，也不能免除承包人按照合同约定应承担的任何责任和应履行的任何义务。</w:t>
      </w:r>
    </w:p>
    <w:p>
      <w:pPr>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40.2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0224" behindDoc="0" locked="0" layoutInCell="1" allowOverlap="1">
                <wp:simplePos x="0" y="0"/>
                <wp:positionH relativeFrom="column">
                  <wp:posOffset>-114300</wp:posOffset>
                </wp:positionH>
                <wp:positionV relativeFrom="paragraph">
                  <wp:posOffset>31750</wp:posOffset>
                </wp:positionV>
                <wp:extent cx="1071245" cy="791845"/>
                <wp:effectExtent l="0" t="0" r="0" b="0"/>
                <wp:wrapNone/>
                <wp:docPr id="247" name="文本框 247"/>
                <wp:cNvGraphicFramePr/>
                <a:graphic xmlns:a="http://schemas.openxmlformats.org/drawingml/2006/main">
                  <a:graphicData uri="http://schemas.microsoft.com/office/word/2010/wordprocessingShape">
                    <wps:wsp>
                      <wps:cNvSpPr txBox="1">
                        <a:spLocks noChangeArrowheads="1"/>
                      </wps:cNvSpPr>
                      <wps:spPr bwMode="auto">
                        <a:xfrm>
                          <a:off x="0" y="0"/>
                          <a:ext cx="1071245" cy="79184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pt;height:62.35pt;width:84.35pt;z-index:251700224;mso-width-relative:page;mso-height-relative:page;" filled="f" stroked="f" coordsize="21600,21600" o:gfxdata="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5n7idYAAAAJAQAADwAAAAAAAAABACAAAAAiAAAAZHJzL2Rvd25y&#10;ZXYueG1sUEsBAhQAFAAAAAgAh07iQPfeV74AAgAA2Q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实际延误天数</w:t>
                      </w:r>
                    </w:p>
                    <w:p>
                      <w:pPr>
                        <w:spacing w:line="240" w:lineRule="exact"/>
                        <w:rPr>
                          <w:rFonts w:ascii="楷体_GB2312" w:hAnsi="宋体"/>
                          <w:b/>
                          <w:color w:val="000000"/>
                          <w:sz w:val="18"/>
                          <w:szCs w:val="18"/>
                        </w:rPr>
                      </w:pPr>
                      <w:r>
                        <w:rPr>
                          <w:rFonts w:hint="eastAsia" w:ascii="楷体_GB2312" w:hAnsi="宋体"/>
                          <w:b/>
                          <w:color w:val="000000"/>
                          <w:sz w:val="18"/>
                          <w:szCs w:val="18"/>
                        </w:rPr>
                        <w:t>的计算</w:t>
                      </w:r>
                    </w:p>
                  </w:txbxContent>
                </v:textbox>
              </v:shape>
            </w:pict>
          </mc:Fallback>
        </mc:AlternateContent>
      </w:r>
      <w:r>
        <w:rPr>
          <w:rFonts w:hint="eastAsia" w:ascii="宋体" w:hAnsi="宋体" w:cs="宋体"/>
          <w:caps/>
          <w:color w:val="auto"/>
          <w:szCs w:val="21"/>
          <w:highlight w:val="none"/>
        </w:rPr>
        <w:t>误期（实际延误天数）按照实际施工天数减去计划施工天数计算，其公式为：</w:t>
      </w:r>
    </w:p>
    <w:p>
      <w:pPr>
        <w:spacing w:line="360" w:lineRule="auto"/>
        <w:ind w:firstLine="1890" w:firstLineChars="900"/>
        <w:rPr>
          <w:rFonts w:ascii="宋体" w:hAnsi="宋体" w:cs="宋体"/>
          <w:caps/>
          <w:color w:val="auto"/>
          <w:szCs w:val="21"/>
          <w:highlight w:val="none"/>
        </w:rPr>
      </w:pPr>
      <w:r>
        <w:rPr>
          <w:rFonts w:hint="eastAsia" w:ascii="宋体" w:hAnsi="宋体" w:cs="宋体"/>
          <w:caps/>
          <w:color w:val="auto"/>
          <w:szCs w:val="21"/>
          <w:highlight w:val="none"/>
        </w:rPr>
        <w:t>实际延误天数＝实际施工天数 － 计划施工天数</w:t>
      </w:r>
    </w:p>
    <w:p>
      <w:pPr>
        <w:spacing w:line="360" w:lineRule="auto"/>
        <w:ind w:left="1619" w:leftChars="771" w:firstLine="52" w:firstLineChars="25"/>
        <w:rPr>
          <w:rFonts w:ascii="宋体" w:hAnsi="宋体" w:cs="宋体"/>
          <w:caps/>
          <w:color w:val="auto"/>
          <w:szCs w:val="21"/>
          <w:highlight w:val="none"/>
        </w:rPr>
      </w:pPr>
      <w:r>
        <w:rPr>
          <w:rFonts w:hint="eastAsia" w:ascii="宋体" w:hAnsi="宋体" w:cs="宋体"/>
          <w:caps/>
          <w:color w:val="auto"/>
          <w:szCs w:val="21"/>
          <w:highlight w:val="none"/>
        </w:rPr>
        <w:t>合同工程发生误期，承包人应赔偿发包人由此造成的损失，并按照第66.2款规定向发包人支付误期赔偿费。</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jc w:val="center"/>
        <w:outlineLvl w:val="1"/>
        <w:rPr>
          <w:rFonts w:ascii="宋体" w:hAnsi="宋体" w:cs="宋体"/>
          <w:b/>
          <w:color w:val="auto"/>
          <w:kern w:val="0"/>
          <w:sz w:val="32"/>
          <w:szCs w:val="28"/>
          <w:highlight w:val="none"/>
        </w:rPr>
      </w:pPr>
    </w:p>
    <w:p>
      <w:pPr>
        <w:adjustRightInd w:val="0"/>
        <w:snapToGrid w:val="0"/>
        <w:spacing w:line="360" w:lineRule="auto"/>
        <w:ind w:firstLine="3691" w:firstLineChars="1149"/>
        <w:outlineLvl w:val="1"/>
        <w:rPr>
          <w:rFonts w:ascii="宋体" w:hAnsi="宋体" w:cs="宋体"/>
          <w:b/>
          <w:color w:val="auto"/>
          <w:kern w:val="0"/>
          <w:sz w:val="32"/>
          <w:szCs w:val="28"/>
          <w:highlight w:val="none"/>
        </w:rPr>
      </w:pPr>
      <w:r>
        <w:rPr>
          <w:rFonts w:hint="eastAsia" w:ascii="宋体" w:hAnsi="宋体" w:cs="宋体"/>
          <w:b/>
          <w:color w:val="auto"/>
          <w:kern w:val="0"/>
          <w:sz w:val="32"/>
          <w:szCs w:val="28"/>
          <w:highlight w:val="none"/>
        </w:rPr>
        <w:t>五、质量与安全</w:t>
      </w:r>
    </w:p>
    <w:p>
      <w:pPr>
        <w:adjustRightInd w:val="0"/>
        <w:snapToGrid w:val="0"/>
        <w:spacing w:line="360" w:lineRule="auto"/>
        <w:ind w:firstLine="3547" w:firstLineChars="1104"/>
        <w:outlineLvl w:val="1"/>
        <w:rPr>
          <w:rFonts w:ascii="宋体" w:hAnsi="宋体" w:cs="宋体"/>
          <w:b/>
          <w:color w:val="auto"/>
          <w:kern w:val="0"/>
          <w:sz w:val="32"/>
          <w:szCs w:val="28"/>
          <w:highlight w:val="none"/>
        </w:rPr>
      </w:pPr>
    </w:p>
    <w:p>
      <w:pPr>
        <w:adjustRightInd w:val="0"/>
        <w:snapToGrid w:val="0"/>
        <w:spacing w:line="360" w:lineRule="auto"/>
        <w:outlineLvl w:val="1"/>
        <w:rPr>
          <w:rFonts w:ascii="宋体" w:hAnsi="宋体" w:cs="宋体"/>
          <w:b/>
          <w:color w:val="auto"/>
          <w:kern w:val="0"/>
          <w:szCs w:val="21"/>
          <w:highlight w:val="none"/>
        </w:rPr>
      </w:pPr>
      <w:r>
        <w:rPr>
          <w:rFonts w:hint="eastAsia" w:ascii="宋体" w:hAnsi="宋体" w:cs="宋体"/>
          <w:b/>
          <w:color w:val="auto"/>
          <w:kern w:val="0"/>
          <w:szCs w:val="21"/>
          <w:highlight w:val="none"/>
        </w:rPr>
        <w:t>41  质量与安全管理</w:t>
      </w:r>
    </w:p>
    <w:p>
      <w:pPr>
        <w:tabs>
          <w:tab w:val="left" w:pos="78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41.1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9408" behindDoc="0" locked="0" layoutInCell="1" allowOverlap="1">
                <wp:simplePos x="0" y="0"/>
                <wp:positionH relativeFrom="column">
                  <wp:posOffset>-114300</wp:posOffset>
                </wp:positionH>
                <wp:positionV relativeFrom="paragraph">
                  <wp:posOffset>-6350</wp:posOffset>
                </wp:positionV>
                <wp:extent cx="914400" cy="526415"/>
                <wp:effectExtent l="0" t="0" r="0" b="0"/>
                <wp:wrapNone/>
                <wp:docPr id="246" name="文本框 246"/>
                <wp:cNvGraphicFramePr/>
                <a:graphic xmlns:a="http://schemas.openxmlformats.org/drawingml/2006/main">
                  <a:graphicData uri="http://schemas.microsoft.com/office/word/2010/wordprocessingShape">
                    <wps:wsp>
                      <wps:cNvSpPr txBox="1">
                        <a:spLocks noChangeArrowheads="1"/>
                      </wps:cNvSpPr>
                      <wps:spPr bwMode="auto">
                        <a:xfrm>
                          <a:off x="0" y="0"/>
                          <a:ext cx="914400" cy="5264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1.45pt;width:72pt;z-index:252049408;mso-width-relative:page;mso-height-relative:page;" filled="f" stroked="f" coordsize="21600,21600" o:gfxdata="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tZ8091QAAAAkBAAAPAAAAAAAAAAEAIAAAACIAAABkcnMvZG93bnJl&#10;di54bWxQSwECFAAUAAAACACHTuJA+/hOMQ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履行职责和义务</w:t>
                      </w:r>
                    </w:p>
                  </w:txbxContent>
                </v:textbox>
              </v:shape>
            </w:pict>
          </mc:Fallback>
        </mc:AlternateContent>
      </w:r>
      <w:r>
        <w:rPr>
          <w:rFonts w:hint="eastAsia" w:ascii="宋体" w:hAnsi="宋体" w:cs="宋体"/>
          <w:color w:val="auto"/>
          <w:szCs w:val="21"/>
          <w:highlight w:val="none"/>
        </w:rPr>
        <w:t>合同双方当事人应严格遵守国家、省有关工程质量和施工安全的法律、标准与规范等规定，认真履行合同约定的工程质量和施工安全的职责和义务。</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41.2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1248" behindDoc="0" locked="0" layoutInCell="1" allowOverlap="1">
                <wp:simplePos x="0" y="0"/>
                <wp:positionH relativeFrom="column">
                  <wp:posOffset>-114300</wp:posOffset>
                </wp:positionH>
                <wp:positionV relativeFrom="paragraph">
                  <wp:posOffset>35560</wp:posOffset>
                </wp:positionV>
                <wp:extent cx="914400" cy="410210"/>
                <wp:effectExtent l="0" t="0" r="0" b="0"/>
                <wp:wrapNone/>
                <wp:docPr id="245" name="文本框 245"/>
                <wp:cNvGraphicFramePr/>
                <a:graphic xmlns:a="http://schemas.openxmlformats.org/drawingml/2006/main">
                  <a:graphicData uri="http://schemas.microsoft.com/office/word/2010/wordprocessingShape">
                    <wps:wsp>
                      <wps:cNvSpPr txBox="1">
                        <a:spLocks noChangeArrowheads="1"/>
                      </wps:cNvSpPr>
                      <wps:spPr bwMode="auto">
                        <a:xfrm>
                          <a:off x="0" y="0"/>
                          <a:ext cx="914400" cy="4102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pt;height:32.3pt;width:72pt;z-index:251701248;mso-width-relative:page;mso-height-relative:page;" filled="f" stroked="f" coordsize="21600,21600" o:gfxdata="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u4lvVAAAACAEAAA8AAAAAAAAAAQAgAAAAIgAAAGRycy9kb3ducmV2&#10;LnhtbFBLAQIUABQAAAAIAIdO4kDunu/S/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质量与安全的监管</w:t>
                      </w:r>
                    </w:p>
                  </w:txbxContent>
                </v:textbox>
              </v:shape>
            </w:pict>
          </mc:Fallback>
        </mc:AlternateContent>
      </w:r>
      <w:r>
        <w:rPr>
          <w:rFonts w:hint="eastAsia" w:ascii="宋体" w:hAnsi="宋体" w:cs="宋体"/>
          <w:color w:val="auto"/>
          <w:szCs w:val="21"/>
          <w:highlight w:val="none"/>
        </w:rPr>
        <w:t>发包人在领取施工许可证或者开工报告之前，应按照国家有关规定办理合同工程质量和施工安全监督手续。承包人应在施工场地设置专门的工程质量和施工安全管理机构，配备专职管理人员，建立完善的管理制度。</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2272" behindDoc="0" locked="0" layoutInCell="1" allowOverlap="1">
                <wp:simplePos x="0" y="0"/>
                <wp:positionH relativeFrom="column">
                  <wp:posOffset>-114300</wp:posOffset>
                </wp:positionH>
                <wp:positionV relativeFrom="paragraph">
                  <wp:posOffset>277495</wp:posOffset>
                </wp:positionV>
                <wp:extent cx="914400" cy="342900"/>
                <wp:effectExtent l="0" t="0" r="0" b="0"/>
                <wp:wrapNone/>
                <wp:docPr id="244" name="文本框 244"/>
                <wp:cNvGraphicFramePr/>
                <a:graphic xmlns:a="http://schemas.openxmlformats.org/drawingml/2006/main">
                  <a:graphicData uri="http://schemas.microsoft.com/office/word/2010/wordprocessingShape">
                    <wps:wsp>
                      <wps:cNvSpPr txBox="1">
                        <a:spLocks noChangeArrowheads="1"/>
                      </wps:cNvSpPr>
                      <wps:spPr bwMode="auto">
                        <a:xfrm>
                          <a:off x="0" y="0"/>
                          <a:ext cx="914400" cy="3429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5pt;height:27pt;width:72pt;z-index:251702272;mso-width-relative:page;mso-height-relative:page;" filled="f" stroked="f" coordsize="21600,21600" o:gfxdata="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DO71wAAAAkBAAAPAAAAAAAAAAEAIAAAACIAAABkcnMvZG93bnJl&#10;di54bWxQSwECFAAUAAAACACHTuJA4upw/f4BAADYAwAADgAAAAAAAAABACAAAAAm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管理的要求</w:t>
                      </w:r>
                    </w:p>
                  </w:txbxContent>
                </v:textbox>
              </v:shape>
            </w:pict>
          </mc:Fallback>
        </mc:AlternateContent>
      </w:r>
      <w:r>
        <w:rPr>
          <w:rFonts w:hint="eastAsia" w:ascii="宋体" w:hAnsi="宋体" w:cs="宋体"/>
          <w:b/>
          <w:color w:val="auto"/>
          <w:szCs w:val="21"/>
          <w:highlight w:val="none"/>
        </w:rPr>
        <w:t xml:space="preserve">41.3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70912" behindDoc="0" locked="0" layoutInCell="1" allowOverlap="1">
                <wp:simplePos x="0" y="0"/>
                <wp:positionH relativeFrom="column">
                  <wp:posOffset>-115570</wp:posOffset>
                </wp:positionH>
                <wp:positionV relativeFrom="paragraph">
                  <wp:posOffset>279400</wp:posOffset>
                </wp:positionV>
                <wp:extent cx="914400" cy="389890"/>
                <wp:effectExtent l="0" t="0" r="0" b="0"/>
                <wp:wrapNone/>
                <wp:docPr id="243" name="文本框 243"/>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1pt;margin-top:22pt;height:30.7pt;width:72pt;z-index:252070912;mso-width-relative:page;mso-height-relative:page;" filled="f" stroked="f" coordsize="21600,21600" o:gfxdata="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d2EEvWAAAACgEAAA8AAAAAAAAAAQAgAAAAIgAAAGRycy9kb3du&#10;cmV2LnhtbFBLAQIUABQAAAAIAIdO4kDUkkREAQIAANgDAAAOAAAAAAAAAAEAIAAAACU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承包人对质量与安全负责</w:t>
                      </w:r>
                    </w:p>
                  </w:txbxContent>
                </v:textbox>
              </v:shape>
            </w:pict>
          </mc:Fallback>
        </mc:AlternateContent>
      </w:r>
      <w:r>
        <w:rPr>
          <w:rFonts w:hint="eastAsia" w:ascii="宋体" w:hAnsi="宋体" w:cs="宋体"/>
          <w:b/>
          <w:color w:val="auto"/>
          <w:szCs w:val="21"/>
          <w:highlight w:val="none"/>
        </w:rPr>
        <w:t xml:space="preserve">41.4  </w:t>
      </w:r>
      <w:r>
        <w:rPr>
          <w:rFonts w:hint="eastAsia" w:ascii="宋体" w:hAnsi="宋体" w:cs="宋体"/>
          <w:b/>
          <w:color w:val="auto"/>
          <w:szCs w:val="21"/>
          <w:highlight w:val="none"/>
          <w:u w:val="dotted"/>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对合同工程质量和施工安全负责，严格执行国家、省有关工程质量和施工安全的操作规程及管理要求，按照施工设计图纸和施工技术标准施工，不得偷工减料，不得擅自修改施工设计图纸，确保合同工程质量和施工安全。</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adjustRightInd w:val="0"/>
        <w:snapToGrid w:val="0"/>
        <w:spacing w:line="360" w:lineRule="auto"/>
        <w:rPr>
          <w:rFonts w:ascii="宋体" w:hAnsi="宋体" w:cs="宋体"/>
          <w:b/>
          <w:color w:val="auto"/>
          <w:szCs w:val="21"/>
          <w:highlight w:val="none"/>
          <w:u w:val="singl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42  质量标准</w:t>
      </w:r>
    </w:p>
    <w:p>
      <w:pPr>
        <w:adjustRightInd w:val="0"/>
        <w:snapToGrid w:val="0"/>
        <w:spacing w:line="360" w:lineRule="auto"/>
        <w:jc w:val="left"/>
        <w:rPr>
          <w:rFonts w:ascii="宋体" w:hAnsi="宋体" w:cs="宋体"/>
          <w:b/>
          <w:color w:val="auto"/>
          <w:szCs w:val="21"/>
          <w:highlight w:val="none"/>
        </w:rPr>
      </w:pPr>
      <w:r>
        <w:rPr>
          <w:rFonts w:hint="eastAsia" w:ascii="宋体" w:hAnsi="宋体" w:cs="宋体"/>
          <w:b/>
          <w:color w:val="auto"/>
          <w:szCs w:val="21"/>
          <w:highlight w:val="none"/>
        </w:rPr>
        <w:t xml:space="preserve">42.1 </w:t>
      </w:r>
    </w:p>
    <w:p>
      <w:pPr>
        <w:adjustRightInd w:val="0"/>
        <w:snapToGrid w:val="0"/>
        <w:spacing w:line="360" w:lineRule="auto"/>
        <w:ind w:left="1619" w:leftChars="771"/>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3296" behindDoc="0" locked="0" layoutInCell="1" allowOverlap="1">
                <wp:simplePos x="0" y="0"/>
                <wp:positionH relativeFrom="column">
                  <wp:posOffset>-114300</wp:posOffset>
                </wp:positionH>
                <wp:positionV relativeFrom="paragraph">
                  <wp:posOffset>8255</wp:posOffset>
                </wp:positionV>
                <wp:extent cx="914400" cy="389890"/>
                <wp:effectExtent l="0" t="0" r="0" b="0"/>
                <wp:wrapNone/>
                <wp:docPr id="242" name="文本框 242"/>
                <wp:cNvGraphicFramePr/>
                <a:graphic xmlns:a="http://schemas.openxmlformats.org/drawingml/2006/main">
                  <a:graphicData uri="http://schemas.microsoft.com/office/word/2010/wordprocessingShape">
                    <wps:wsp>
                      <wps:cNvSpPr txBox="1">
                        <a:spLocks noChangeArrowheads="1"/>
                      </wps:cNvSpPr>
                      <wps:spPr bwMode="auto">
                        <a:xfrm>
                          <a:off x="0" y="0"/>
                          <a:ext cx="914400" cy="38989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0.7pt;width:72pt;z-index:251703296;mso-width-relative:page;mso-height-relative:page;" filled="f" stroked="f" coordsize="21600,21600" o:gfxdata="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jA/z1QAAAAgBAAAPAAAAAAAAAAEAIAAAACIAAABkcnMvZG93bnJl&#10;di54bWxQSwECFAAUAAAACACHTuJAUE3zQAACAADYAwAADgAAAAAAAAABACAAAAAkAQAAZHJzL2Uy&#10;b0RvYy54bWxQSwUGAAAAAAYABgBZAQAAlgU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约定工程质量标准</w:t>
                      </w:r>
                    </w:p>
                  </w:txbxContent>
                </v:textbox>
              </v:shape>
            </w:pict>
          </mc:Fallback>
        </mc:AlternateContent>
      </w:r>
      <w:r>
        <w:rPr>
          <w:rFonts w:hint="eastAsia" w:ascii="宋体" w:hAnsi="宋体" w:cs="宋体"/>
          <w:color w:val="auto"/>
          <w:szCs w:val="21"/>
          <w:highlight w:val="none"/>
        </w:rPr>
        <w:t>合同双方当事人应在专用条款中约定工程质量标准，但不得低于国家或行业的强制性标准。工程质量应当达到专用条款约定的质量标准。</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工程质量验收，按照合同约定的标准执行；合同没有约定的，按照国家或行业的质量验收标准执行。</w:t>
      </w:r>
    </w:p>
    <w:p>
      <w:pPr>
        <w:adjustRightInd w:val="0"/>
        <w:snapToGrid w:val="0"/>
        <w:spacing w:line="360" w:lineRule="auto"/>
        <w:jc w:val="left"/>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4320" behindDoc="0" locked="0" layoutInCell="1" allowOverlap="1">
                <wp:simplePos x="0" y="0"/>
                <wp:positionH relativeFrom="column">
                  <wp:posOffset>-114300</wp:posOffset>
                </wp:positionH>
                <wp:positionV relativeFrom="paragraph">
                  <wp:posOffset>256540</wp:posOffset>
                </wp:positionV>
                <wp:extent cx="977900" cy="471805"/>
                <wp:effectExtent l="0" t="0" r="0" b="0"/>
                <wp:wrapNone/>
                <wp:docPr id="241" name="文本框 241"/>
                <wp:cNvGraphicFramePr/>
                <a:graphic xmlns:a="http://schemas.openxmlformats.org/drawingml/2006/main">
                  <a:graphicData uri="http://schemas.microsoft.com/office/word/2010/wordprocessingShape">
                    <wps:wsp>
                      <wps:cNvSpPr txBox="1">
                        <a:spLocks noChangeArrowheads="1"/>
                      </wps:cNvSpPr>
                      <wps:spPr bwMode="auto">
                        <a:xfrm>
                          <a:off x="0" y="0"/>
                          <a:ext cx="977900" cy="47180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2pt;height:37.15pt;width:77pt;z-index:251704320;mso-width-relative:page;mso-height-relative:page;" filled="f" stroked="f" coordsize="21600,21600" o:gfxdata="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9WCL9cAAAAKAQAADwAAAAAAAAABACAAAAAiAAAAZHJzL2Rv&#10;d25yZXYueG1sUEsBAhQAFAAAAAgAh07iQMtBoSUCAgAA2AMAAA4AAAAAAAAAAQAgAAAAJg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承包人保证工程质量的职责</w:t>
                      </w:r>
                    </w:p>
                  </w:txbxContent>
                </v:textbox>
              </v:shape>
            </w:pict>
          </mc:Fallback>
        </mc:AlternateContent>
      </w:r>
      <w:r>
        <w:rPr>
          <w:rFonts w:hint="eastAsia" w:ascii="宋体" w:hAnsi="宋体" w:cs="宋体"/>
          <w:b/>
          <w:color w:val="auto"/>
          <w:szCs w:val="21"/>
          <w:highlight w:val="none"/>
        </w:rPr>
        <w:t>42.2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承包人对合同工程的质量向发包人负责，其职责包括但不限于下列内容：</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(1) 编制施工技术方案，确定施工技术措施；</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(2) 提供和组织足够的工程技术人员，检查和控制工程施工质量；</w:t>
      </w:r>
    </w:p>
    <w:p>
      <w:pPr>
        <w:adjustRightInd w:val="0"/>
        <w:snapToGrid w:val="0"/>
        <w:spacing w:line="360" w:lineRule="auto"/>
        <w:ind w:left="1621"/>
        <w:jc w:val="left"/>
        <w:rPr>
          <w:rFonts w:ascii="宋体" w:hAnsi="宋体" w:cs="宋体"/>
          <w:color w:val="auto"/>
          <w:szCs w:val="21"/>
          <w:highlight w:val="none"/>
        </w:rPr>
      </w:pPr>
      <w:r>
        <w:rPr>
          <w:rFonts w:hint="eastAsia" w:ascii="宋体" w:hAnsi="宋体" w:cs="宋体"/>
          <w:color w:val="auto"/>
          <w:szCs w:val="21"/>
          <w:highlight w:val="none"/>
        </w:rPr>
        <w:t>(3) 控制施工所用的材料和工程设备，使其符合标准与规范、设计要求及合同约定的标准；</w:t>
      </w:r>
    </w:p>
    <w:p>
      <w:pPr>
        <w:tabs>
          <w:tab w:val="right" w:pos="9864"/>
        </w:tabs>
        <w:adjustRightInd w:val="0"/>
        <w:snapToGrid w:val="0"/>
        <w:spacing w:line="360" w:lineRule="auto"/>
        <w:ind w:firstLine="1417" w:firstLineChars="675"/>
        <w:jc w:val="left"/>
        <w:rPr>
          <w:rFonts w:ascii="宋体" w:hAnsi="宋体" w:cs="宋体"/>
          <w:color w:val="auto"/>
          <w:szCs w:val="21"/>
          <w:highlight w:val="none"/>
        </w:rPr>
      </w:pPr>
      <w:r>
        <w:rPr>
          <w:rFonts w:hint="eastAsia" w:ascii="宋体" w:hAnsi="宋体" w:cs="宋体"/>
          <w:color w:val="auto"/>
          <w:szCs w:val="21"/>
          <w:highlight w:val="none"/>
        </w:rPr>
        <w:t>(4) 负责合同工程施工中出现质量问题或竣工验收不合格的返修工作；</w:t>
      </w:r>
    </w:p>
    <w:p>
      <w:pPr>
        <w:adjustRightInd w:val="0"/>
        <w:snapToGrid w:val="0"/>
        <w:spacing w:line="360" w:lineRule="auto"/>
        <w:ind w:left="1617"/>
        <w:jc w:val="left"/>
        <w:rPr>
          <w:rFonts w:ascii="宋体" w:hAnsi="宋体" w:cs="宋体"/>
          <w:color w:val="auto"/>
          <w:szCs w:val="21"/>
          <w:highlight w:val="none"/>
        </w:rPr>
      </w:pPr>
      <w:r>
        <w:rPr>
          <w:rFonts w:hint="eastAsia" w:ascii="宋体" w:hAnsi="宋体" w:cs="宋体"/>
          <w:color w:val="auto"/>
          <w:szCs w:val="21"/>
          <w:highlight w:val="none"/>
        </w:rPr>
        <w:t>(5) 参加合同工程的所有验收工作，包括隐蔽验收、中间验收；参加竣工验收，组织分包人参加工程验收工作；</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(6) 承担质量保修期的工程保修责任；</w:t>
      </w:r>
    </w:p>
    <w:p>
      <w:pPr>
        <w:adjustRightInd w:val="0"/>
        <w:snapToGrid w:val="0"/>
        <w:spacing w:line="360" w:lineRule="auto"/>
        <w:ind w:left="1620"/>
        <w:jc w:val="left"/>
        <w:rPr>
          <w:rFonts w:ascii="宋体" w:hAnsi="宋体" w:cs="宋体"/>
          <w:color w:val="auto"/>
          <w:szCs w:val="21"/>
          <w:highlight w:val="none"/>
        </w:rPr>
      </w:pPr>
      <w:r>
        <w:rPr>
          <w:rFonts w:hint="eastAsia" w:ascii="宋体" w:hAnsi="宋体" w:cs="宋体"/>
          <w:color w:val="auto"/>
          <w:szCs w:val="21"/>
          <w:highlight w:val="none"/>
        </w:rPr>
        <w:t>(7) 承担其他工程质量责任。</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5344" behindDoc="0" locked="0" layoutInCell="1" allowOverlap="1">
                <wp:simplePos x="0" y="0"/>
                <wp:positionH relativeFrom="column">
                  <wp:posOffset>-114300</wp:posOffset>
                </wp:positionH>
                <wp:positionV relativeFrom="paragraph">
                  <wp:posOffset>291465</wp:posOffset>
                </wp:positionV>
                <wp:extent cx="1028700" cy="245745"/>
                <wp:effectExtent l="0" t="0" r="0" b="0"/>
                <wp:wrapNone/>
                <wp:docPr id="240" name="文本框 240"/>
                <wp:cNvGraphicFramePr/>
                <a:graphic xmlns:a="http://schemas.openxmlformats.org/drawingml/2006/main">
                  <a:graphicData uri="http://schemas.microsoft.com/office/word/2010/wordprocessingShape">
                    <wps:wsp>
                      <wps:cNvSpPr txBox="1">
                        <a:spLocks noChangeArrowheads="1"/>
                      </wps:cNvSpPr>
                      <wps:spPr bwMode="auto">
                        <a:xfrm>
                          <a:off x="0" y="0"/>
                          <a:ext cx="1028700" cy="24574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95pt;height:19.35pt;width:81pt;z-index:251705344;mso-width-relative:page;mso-height-relative:page;" filled="f" stroked="f" coordsize="21600,21600" o:gfxdata="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gswKw9YAAAAJAQAADwAAAAAAAAABACAAAAAiAAAAZHJzL2Rvd25y&#10;ZXYueG1sUEsBAhQAFAAAAAgAh07iQPDf4d4AAgAA2QMAAA4AAAAAAAAAAQAgAAAAJQ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质量保证体系</w:t>
                      </w:r>
                    </w:p>
                  </w:txbxContent>
                </v:textbox>
              </v:shape>
            </w:pict>
          </mc:Fallback>
        </mc:AlternateContent>
      </w:r>
      <w:r>
        <w:rPr>
          <w:rFonts w:hint="eastAsia" w:ascii="宋体" w:hAnsi="宋体" w:cs="宋体"/>
          <w:b/>
          <w:color w:val="auto"/>
          <w:szCs w:val="21"/>
          <w:highlight w:val="none"/>
        </w:rPr>
        <w:t xml:space="preserve">42.3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建立健全完善的质量保证体系。在合同工程开工前，监理工程师有权要求承包人提交质量保证体系实施程序、施工质量检验制度和施工质量水平评定考核制度等文件、资料。即使承包人遵守质量保证体系，也不能免除其按照合同约定应承担的任何责任和应履行的任何义务。</w:t>
      </w:r>
    </w:p>
    <w:p>
      <w:pPr>
        <w:adjustRightInd w:val="0"/>
        <w:snapToGrid w:val="0"/>
        <w:spacing w:line="360" w:lineRule="auto"/>
        <w:jc w:val="left"/>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0672" behindDoc="0" locked="0" layoutInCell="1" allowOverlap="1">
                <wp:simplePos x="0" y="0"/>
                <wp:positionH relativeFrom="column">
                  <wp:posOffset>-114300</wp:posOffset>
                </wp:positionH>
                <wp:positionV relativeFrom="paragraph">
                  <wp:posOffset>276225</wp:posOffset>
                </wp:positionV>
                <wp:extent cx="967740" cy="449580"/>
                <wp:effectExtent l="0" t="0" r="0" b="0"/>
                <wp:wrapNone/>
                <wp:docPr id="239" name="文本框 239"/>
                <wp:cNvGraphicFramePr/>
                <a:graphic xmlns:a="http://schemas.openxmlformats.org/drawingml/2006/main">
                  <a:graphicData uri="http://schemas.microsoft.com/office/word/2010/wordprocessingShape">
                    <wps:wsp>
                      <wps:cNvSpPr txBox="1">
                        <a:spLocks noChangeArrowheads="1"/>
                      </wps:cNvSpPr>
                      <wps:spPr bwMode="auto">
                        <a:xfrm>
                          <a:off x="0" y="0"/>
                          <a:ext cx="967740" cy="44958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75pt;height:35.4pt;width:76.2pt;z-index:252060672;mso-width-relative:page;mso-height-relative:page;" filled="f" stroked="f" coordsize="21600,21600" o:gfxdata="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MGJKsvYAAAACgEAAA8AAAAAAAAAAQAgAAAAIgAAAGRycy9k&#10;b3ducmV2LnhtbFBLAQIUABQAAAAIAIdO4kBAF/hsAgIAANgDAAAOAAAAAAAAAAEAIAAAACcBAABk&#10;cnMvZTJvRG9jLnhtbFBLBQYAAAAABgAGAFkBAACb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工程质量有争议的处理</w:t>
                      </w:r>
                    </w:p>
                  </w:txbxContent>
                </v:textbox>
              </v:shape>
            </w:pict>
          </mc:Fallback>
        </mc:AlternateContent>
      </w:r>
      <w:r>
        <w:rPr>
          <w:rFonts w:hint="eastAsia" w:ascii="宋体" w:hAnsi="宋体" w:cs="宋体"/>
          <w:b/>
          <w:color w:val="auto"/>
          <w:szCs w:val="21"/>
          <w:highlight w:val="none"/>
        </w:rPr>
        <w:t xml:space="preserve">42.4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jc w:val="left"/>
        <w:rPr>
          <w:rFonts w:ascii="宋体" w:hAnsi="宋体" w:cs="宋体"/>
          <w:color w:val="auto"/>
          <w:szCs w:val="21"/>
          <w:highlight w:val="none"/>
        </w:rPr>
      </w:pPr>
      <w:r>
        <w:rPr>
          <w:rFonts w:hint="eastAsia" w:ascii="宋体" w:hAnsi="宋体" w:cs="宋体"/>
          <w:color w:val="auto"/>
          <w:szCs w:val="21"/>
          <w:highlight w:val="none"/>
        </w:rPr>
        <w:t>合同双方当事人对工程质量有争议的，按照第86.4款规定调解或认定，所需的费用及由此造成的损失，由责任方承担。双方均有责任的，由双方根据其责任划分分别承担。</w:t>
      </w:r>
    </w:p>
    <w:p>
      <w:pPr>
        <w:tabs>
          <w:tab w:val="left" w:pos="1620"/>
        </w:tabs>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adjustRightInd w:val="0"/>
        <w:snapToGrid w:val="0"/>
        <w:spacing w:line="360" w:lineRule="auto"/>
        <w:ind w:firstLine="542"/>
        <w:rPr>
          <w:rFonts w:ascii="宋体" w:hAnsi="宋体" w:cs="宋体"/>
          <w:b/>
          <w:color w:val="auto"/>
          <w:szCs w:val="21"/>
          <w:highlight w:val="none"/>
          <w:u w:val="single"/>
        </w:rPr>
      </w:pP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43  工程质量创优</w:t>
      </w:r>
    </w:p>
    <w:p>
      <w:pPr>
        <w:spacing w:line="360" w:lineRule="auto"/>
        <w:rPr>
          <w:rFonts w:ascii="宋体" w:hAnsi="宋体" w:cs="宋体"/>
          <w:b/>
          <w:caps/>
          <w:color w:val="auto"/>
          <w:szCs w:val="21"/>
          <w:highlight w:val="none"/>
        </w:rPr>
      </w:pPr>
      <w:r>
        <w:rPr>
          <w:rFonts w:hint="eastAsia" w:ascii="宋体" w:hAnsi="宋体" w:cs="宋体"/>
          <w:b/>
          <w:caps/>
          <w:color w:val="auto"/>
          <w:szCs w:val="21"/>
          <w:highlight w:val="none"/>
        </w:rPr>
        <w:t>43.1</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20384" behindDoc="0" locked="0" layoutInCell="1" allowOverlap="1">
                <wp:simplePos x="0" y="0"/>
                <wp:positionH relativeFrom="column">
                  <wp:posOffset>-114300</wp:posOffset>
                </wp:positionH>
                <wp:positionV relativeFrom="paragraph">
                  <wp:posOffset>38100</wp:posOffset>
                </wp:positionV>
                <wp:extent cx="914400" cy="495300"/>
                <wp:effectExtent l="0" t="0" r="0" b="0"/>
                <wp:wrapNone/>
                <wp:docPr id="238" name="文本框 23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pt;height:39pt;width:72pt;z-index:251920384;mso-width-relative:page;mso-height-relative:page;" filled="f" stroked="f" coordsize="21600,21600" o:gfxdata="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ED77VAAAACAEAAA8AAAAAAAAAAQAgAAAAIgAAAGRycy9kb3ducmV2&#10;LnhtbFBLAQIUABQAAAAIAIdO4kCmtRgS/wEAANgDAAAOAAAAAAAAAAEAIAAAACQBAABkcnMvZTJv&#10;RG9jLnhtbFBLBQYAAAAABgAGAFkBAACV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发包人鼓励质量创优</w:t>
                      </w:r>
                    </w:p>
                  </w:txbxContent>
                </v:textbox>
              </v:shape>
            </w:pict>
          </mc:Fallback>
        </mc:AlternateContent>
      </w:r>
      <w:r>
        <w:rPr>
          <w:rFonts w:hint="eastAsia" w:ascii="宋体" w:hAnsi="宋体" w:cs="宋体"/>
          <w:caps/>
          <w:color w:val="auto"/>
          <w:szCs w:val="21"/>
          <w:highlight w:val="none"/>
        </w:rPr>
        <w:t>发包人应配合承包人加强合同工程质量与施工安全管理，鼓励承包人实施合同工程质量创优。对于合同工程质量标准高于国家规定或合同约定的质量验收合格标准的，应按照第67条规定向承包人支付工程优质费。</w:t>
      </w:r>
    </w:p>
    <w:p>
      <w:pPr>
        <w:spacing w:line="360" w:lineRule="auto"/>
        <w:rPr>
          <w:rFonts w:ascii="宋体" w:hAnsi="宋体" w:cs="宋体"/>
          <w:b/>
          <w:caps/>
          <w:color w:val="auto"/>
          <w:szCs w:val="21"/>
          <w:highlight w:val="none"/>
        </w:rPr>
      </w:pPr>
      <w:r>
        <w:rPr>
          <w:rFonts w:hint="eastAsia" w:ascii="宋体" w:hAnsi="宋体" w:cs="宋体"/>
          <w:b/>
          <w:color w:val="auto"/>
          <w:szCs w:val="21"/>
          <w:highlight w:val="none"/>
        </w:rPr>
        <w:t xml:space="preserve">43.2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aps/>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19360" behindDoc="0" locked="0" layoutInCell="1" allowOverlap="1">
                <wp:simplePos x="0" y="0"/>
                <wp:positionH relativeFrom="column">
                  <wp:posOffset>-114300</wp:posOffset>
                </wp:positionH>
                <wp:positionV relativeFrom="paragraph">
                  <wp:posOffset>170815</wp:posOffset>
                </wp:positionV>
                <wp:extent cx="914400" cy="495300"/>
                <wp:effectExtent l="0" t="0" r="0" b="0"/>
                <wp:wrapNone/>
                <wp:docPr id="237" name="文本框 237"/>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45pt;height:39pt;width:72pt;z-index:251919360;mso-width-relative:page;mso-height-relative:page;" filled="f" stroked="f" coordsize="21600,21600" o:gfxdata="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HDXzdcAAAAKAQAADwAAAAAAAAABACAAAAAiAAAAZHJzL2Rvd25y&#10;ZXYueG1sUEsBAhQAFAAAAAgAh07iQBpXoSj/AQAA2AMAAA4AAAAAAAAAAQAgAAAAJgEAAGRycy9l&#10;Mm9Eb2MueG1sUEsFBgAAAAAGAAYAWQEAAJc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承包人争取质量创优</w:t>
                      </w:r>
                    </w:p>
                  </w:txbxContent>
                </v:textbox>
              </v:shape>
            </w:pict>
          </mc:Fallback>
        </mc:AlternateContent>
      </w:r>
      <w:r>
        <w:rPr>
          <w:rFonts w:hint="eastAsia" w:ascii="宋体" w:hAnsi="宋体" w:cs="宋体"/>
          <w:caps/>
          <w:color w:val="auto"/>
          <w:szCs w:val="21"/>
          <w:highlight w:val="none"/>
        </w:rPr>
        <w:t>承包人应采取有效措施确保合同工程质量与施工安全，在保证工程质量、施工安全达到国家或行业的强制性标准的前提下，提高工程质量与施工安全管理水平，争取合同工程质量创优。</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aps/>
          <w:color w:val="auto"/>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44  工程的照管</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6368" behindDoc="0" locked="0" layoutInCell="1" allowOverlap="1">
                <wp:simplePos x="0" y="0"/>
                <wp:positionH relativeFrom="column">
                  <wp:posOffset>-114300</wp:posOffset>
                </wp:positionH>
                <wp:positionV relativeFrom="paragraph">
                  <wp:posOffset>264160</wp:posOffset>
                </wp:positionV>
                <wp:extent cx="800100" cy="256540"/>
                <wp:effectExtent l="0" t="0" r="0" b="0"/>
                <wp:wrapNone/>
                <wp:docPr id="236" name="文本框 236"/>
                <wp:cNvGraphicFramePr/>
                <a:graphic xmlns:a="http://schemas.openxmlformats.org/drawingml/2006/main">
                  <a:graphicData uri="http://schemas.microsoft.com/office/word/2010/wordprocessingShape">
                    <wps:wsp>
                      <wps:cNvSpPr txBox="1">
                        <a:spLocks noChangeArrowheads="1"/>
                      </wps:cNvSpPr>
                      <wps:spPr bwMode="auto">
                        <a:xfrm>
                          <a:off x="0" y="0"/>
                          <a:ext cx="800100" cy="256540"/>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8pt;height:20.2pt;width:63pt;z-index:251706368;mso-width-relative:page;mso-height-relative:page;" filled="f" stroked="f" coordsize="21600,21600" o:gfxdata="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PHgoMTVAAAACQEAAA8AAAAAAAAAAQAgAAAAIgAAAGRycy9kb3du&#10;cmV2LnhtbFBLAQIUABQAAAAIAIdO4kBEadI3AgIAANgDAAAOAAAAAAAAAAEAIAAAACQBAABkcnMv&#10;ZTJvRG9jLnhtbFBLBQYAAAAABgAGAFkBAACYBQ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工程照管</w:t>
                      </w:r>
                    </w:p>
                  </w:txbxContent>
                </v:textbox>
              </v:shape>
            </w:pict>
          </mc:Fallback>
        </mc:AlternateContent>
      </w:r>
      <w:r>
        <w:rPr>
          <w:rFonts w:hint="eastAsia" w:ascii="宋体" w:hAnsi="宋体" w:cs="宋体"/>
          <w:b/>
          <w:color w:val="auto"/>
          <w:szCs w:val="21"/>
          <w:highlight w:val="none"/>
        </w:rPr>
        <w:t xml:space="preserve">44.1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从开工之日起，承包人应全面负责照管合同工程及运至现场将用于和安装在合同工程中的材料和工程设备，直到合同双方当事人确认工程移交之日止。此后，工程的照管即转由发包人负责。</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在整个工程移交前，合同双方当事人已经确认移交或发包人提前使用其中任一单位工程，则从确认移交或提前使用之日起承包人无须对该单位工程负责照管，而转由发包人负责。但是，承包人应继续负责照管尚未完成的工程和将用于或安装在合同工程中的材料和工程设备，直至完成上述工作并经合同双方当事人确认整个工程移交之日止。</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7392" behindDoc="0" locked="0" layoutInCell="1" allowOverlap="1">
                <wp:simplePos x="0" y="0"/>
                <wp:positionH relativeFrom="column">
                  <wp:posOffset>-114300</wp:posOffset>
                </wp:positionH>
                <wp:positionV relativeFrom="paragraph">
                  <wp:posOffset>276860</wp:posOffset>
                </wp:positionV>
                <wp:extent cx="914400" cy="718185"/>
                <wp:effectExtent l="0" t="0" r="0" b="0"/>
                <wp:wrapNone/>
                <wp:docPr id="235" name="文本框 235"/>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8pt;height:56.55pt;width:72pt;z-index:251707392;mso-width-relative:page;mso-height-relative:page;" filled="f" stroked="f" coordsize="21600,21600" o:gfxdata="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QGysXNgAAAAKAQAADwAAAAAAAAABACAAAAAiAAAAZHJzL2Rv&#10;d25yZXYueG1sUEsBAhQAFAAAAAgAh07iQPqNev8BAgAA2AMAAA4AAAAAAAAAAQAgAAAAJwEAAGRy&#10;cy9lMm9Eb2MueG1sUEsFBgAAAAAGAAYAWQEAAJoFAAAAAA==&#10;">
                <v:fill on="f" focussize="0,0"/>
                <v:stroke on="f"/>
                <v:imagedata o:title=""/>
                <o:lock v:ext="edit" aspectratio="f"/>
                <v:textbox>
                  <w:txbxContent>
                    <w:p>
                      <w:pPr>
                        <w:spacing w:line="240" w:lineRule="exact"/>
                        <w:jc w:val="left"/>
                        <w:rPr>
                          <w:rFonts w:ascii="楷体_GB2312" w:hAnsi="宋体"/>
                          <w:b/>
                          <w:color w:val="000000"/>
                          <w:sz w:val="18"/>
                          <w:szCs w:val="18"/>
                        </w:rPr>
                      </w:pPr>
                      <w:r>
                        <w:rPr>
                          <w:rFonts w:hint="eastAsia" w:ascii="楷体_GB2312" w:hAnsi="宋体"/>
                          <w:b/>
                          <w:color w:val="000000"/>
                          <w:sz w:val="18"/>
                          <w:szCs w:val="18"/>
                        </w:rPr>
                        <w:t>照管期间承包人造成损失的责任</w:t>
                      </w:r>
                    </w:p>
                  </w:txbxContent>
                </v:textbox>
              </v:shape>
            </w:pict>
          </mc:Fallback>
        </mc:AlternateContent>
      </w:r>
      <w:r>
        <w:rPr>
          <w:rFonts w:hint="eastAsia" w:ascii="宋体" w:hAnsi="宋体" w:cs="宋体"/>
          <w:b/>
          <w:color w:val="auto"/>
          <w:szCs w:val="21"/>
          <w:highlight w:val="none"/>
        </w:rPr>
        <w:t>44.2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承包人在负责工程照管期间，如因自身原因造成合同工程或其任何部分，以及材料和工程设备或临时工程的损坏，承包人应自费修复上述损坏，保证合同工程质量达到合同约定的标准。</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45  安全文明施工</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6336" behindDoc="0" locked="0" layoutInCell="1" allowOverlap="1">
                <wp:simplePos x="0" y="0"/>
                <wp:positionH relativeFrom="column">
                  <wp:posOffset>-114300</wp:posOffset>
                </wp:positionH>
                <wp:positionV relativeFrom="paragraph">
                  <wp:posOffset>223520</wp:posOffset>
                </wp:positionV>
                <wp:extent cx="977900" cy="688975"/>
                <wp:effectExtent l="0" t="0" r="0" b="0"/>
                <wp:wrapNone/>
                <wp:docPr id="234" name="文本框 234"/>
                <wp:cNvGraphicFramePr/>
                <a:graphic xmlns:a="http://schemas.openxmlformats.org/drawingml/2006/main">
                  <a:graphicData uri="http://schemas.microsoft.com/office/word/2010/wordprocessingShape">
                    <wps:wsp>
                      <wps:cNvSpPr txBox="1">
                        <a:spLocks noChangeArrowheads="1"/>
                      </wps:cNvSpPr>
                      <wps:spPr bwMode="auto">
                        <a:xfrm>
                          <a:off x="0" y="0"/>
                          <a:ext cx="977900" cy="688975"/>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安全文明施工的要求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6pt;height:54.25pt;width:77pt;z-index:252046336;mso-width-relative:page;mso-height-relative:page;" filled="f" stroked="f" coordsize="21600,21600" o:gfxdata="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mvtET2AAAAAoBAAAPAAAAAAAAAAEAIAAAACIAAABkcnMv&#10;ZG93bnJldi54bWxQSwECFAAUAAAACACHTuJAMYlfGAMCAADYAwAADgAAAAAAAAABACAAAAAnAQAA&#10;ZHJzL2Uyb0RvYy54bWxQSwUGAAAAAAYABgBZAQAAnA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安全文明施工的要求</w:t>
                      </w:r>
                    </w:p>
                  </w:txbxContent>
                </v:textbox>
              </v:shape>
            </w:pict>
          </mc:Fallback>
        </mc:AlternateContent>
      </w:r>
      <w:r>
        <w:rPr>
          <w:rFonts w:hint="eastAsia" w:ascii="宋体" w:hAnsi="宋体" w:cs="宋体"/>
          <w:b/>
          <w:color w:val="auto"/>
          <w:szCs w:val="21"/>
          <w:highlight w:val="none"/>
        </w:rPr>
        <w:t xml:space="preserve">45.1 </w:t>
      </w:r>
      <w:r>
        <w:rPr>
          <w:rFonts w:hint="eastAsia" w:ascii="宋体" w:hAnsi="宋体" w:cs="宋体"/>
          <w:b/>
          <w:color w:val="auto"/>
          <w:szCs w:val="21"/>
          <w:highlight w:val="none"/>
        </w:rPr>
        <w:tab/>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发包人应组织承包人和有关单位进行安全检查，授权监理工程师按合同约定的安全文明施工内容监督、检查承包人实施安全文明施工，并按照第 80 条规定及时向承包人支付安全文明施工费。</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承包人应及时执行监理工程师发出的安全文明施工的工作指令，并按合同约定的期限和安全文明施工内容编制安全文明施工措施计划，提交给监理工程师并由其报发包人批准后实施。</w:t>
      </w:r>
    </w:p>
    <w:p>
      <w:pPr>
        <w:adjustRightInd w:val="0"/>
        <w:snapToGrid w:val="0"/>
        <w:ind w:left="1469" w:hanging="1469" w:hangingChars="697"/>
        <w:rPr>
          <w:rFonts w:ascii="宋体" w:hAnsi="宋体" w:cs="宋体"/>
          <w:b/>
          <w:color w:val="auto"/>
          <w:szCs w:val="21"/>
          <w:highlight w:val="none"/>
        </w:rPr>
      </w:pPr>
      <w:r>
        <w:rPr>
          <w:rFonts w:hint="eastAsia" w:ascii="宋体" w:hAnsi="宋体" w:cs="宋体"/>
          <w:b/>
          <w:color w:val="auto"/>
          <w:szCs w:val="21"/>
          <w:highlight w:val="none"/>
        </w:rPr>
        <w:t xml:space="preserve">45.2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8416" behindDoc="0" locked="0" layoutInCell="1" allowOverlap="1">
                <wp:simplePos x="0" y="0"/>
                <wp:positionH relativeFrom="column">
                  <wp:posOffset>-114300</wp:posOffset>
                </wp:positionH>
                <wp:positionV relativeFrom="paragraph">
                  <wp:posOffset>1270</wp:posOffset>
                </wp:positionV>
                <wp:extent cx="977900" cy="396240"/>
                <wp:effectExtent l="0" t="0" r="0" b="0"/>
                <wp:wrapNone/>
                <wp:docPr id="233" name="文本框 233"/>
                <wp:cNvGraphicFramePr/>
                <a:graphic xmlns:a="http://schemas.openxmlformats.org/drawingml/2006/main">
                  <a:graphicData uri="http://schemas.microsoft.com/office/word/2010/wordprocessingShape">
                    <wps:wsp>
                      <wps:cNvSpPr txBox="1">
                        <a:spLocks noChangeArrowheads="1"/>
                      </wps:cNvSpPr>
                      <wps:spPr bwMode="auto">
                        <a:xfrm>
                          <a:off x="0" y="0"/>
                          <a:ext cx="977900" cy="39624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发包人责任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31.2pt;width:77pt;z-index:251708416;mso-width-relative:page;mso-height-relative:page;" filled="f" stroked="f" coordsize="21600,21600" o:gfxdata="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OUMidQAAAAHAQAADwAAAAAAAAABACAAAAAiAAAAZHJzL2Rvd25y&#10;ZXYueG1sUEsBAhQAFAAAAAgAh07iQPvK7TgCAgAA2AMAAA4AAAAAAAAAAQAgAAAAIwEAAGRycy9l&#10;Mm9Eb2MueG1sUEsFBgAAAAAGAAYAWQEAAJc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发包人责任</w:t>
                      </w:r>
                    </w:p>
                  </w:txbxContent>
                </v:textbox>
              </v:shape>
            </w:pict>
          </mc:Fallback>
        </mc:AlternateContent>
      </w:r>
      <w:r>
        <w:rPr>
          <w:rFonts w:hint="eastAsia" w:ascii="宋体" w:hAnsi="宋体" w:cs="宋体"/>
          <w:color w:val="auto"/>
          <w:szCs w:val="21"/>
          <w:highlight w:val="none"/>
        </w:rPr>
        <w:t>在合同工程实施、完成及保修期间，发包人承担下列责任：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（1）发包人应配合承包人做好安全文明施工工作，定期对其现场机构雇佣的全部人员进行安全文明施工教育和培训。</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（2）发包人应对其现场机构雇佣的全部人员的安全事故承担责任，但由于承包人原因造成发包人人员安全事故的，应由承包人承担责任。</w:t>
      </w:r>
    </w:p>
    <w:p>
      <w:pPr>
        <w:adjustRightInd w:val="0"/>
        <w:snapToGrid w:val="0"/>
        <w:spacing w:line="360" w:lineRule="auto"/>
        <w:ind w:left="1572" w:leftChars="743" w:hanging="12" w:hangingChars="6"/>
        <w:rPr>
          <w:rFonts w:ascii="宋体" w:hAnsi="宋体" w:cs="宋体"/>
          <w:color w:val="auto"/>
          <w:szCs w:val="21"/>
          <w:highlight w:val="none"/>
        </w:rPr>
      </w:pPr>
      <w:r>
        <w:rPr>
          <w:rFonts w:hint="eastAsia" w:ascii="宋体" w:hAnsi="宋体" w:cs="宋体"/>
          <w:color w:val="auto"/>
          <w:szCs w:val="21"/>
          <w:highlight w:val="none"/>
        </w:rPr>
        <w:t>（3）发包人有下列行为之一或由于发包人原因造成安全事故的，由发包人  承担责任，由此增加的费用和延误的工期由发包人承担。</w:t>
      </w:r>
    </w:p>
    <w:p>
      <w:pPr>
        <w:tabs>
          <w:tab w:val="left" w:pos="1980"/>
        </w:tabs>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1）要求承包人违反安全文明施工操作规程施工的；</w:t>
      </w:r>
    </w:p>
    <w:p>
      <w:pPr>
        <w:tabs>
          <w:tab w:val="left" w:pos="1980"/>
        </w:tabs>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2）对承包人提出不符合国家、省有关安全文明施工法律和强制性标准规定要求的；</w:t>
      </w:r>
    </w:p>
    <w:p>
      <w:pPr>
        <w:tabs>
          <w:tab w:val="left" w:pos="1980"/>
        </w:tabs>
        <w:adjustRightInd w:val="0"/>
        <w:snapToGrid w:val="0"/>
        <w:spacing w:line="360" w:lineRule="auto"/>
        <w:ind w:left="1676" w:leftChars="798"/>
        <w:rPr>
          <w:rFonts w:ascii="宋体" w:hAnsi="宋体" w:cs="宋体"/>
          <w:color w:val="auto"/>
          <w:szCs w:val="21"/>
          <w:highlight w:val="none"/>
        </w:rPr>
      </w:pPr>
      <w:r>
        <w:rPr>
          <w:rFonts w:hint="eastAsia" w:ascii="宋体" w:hAnsi="宋体" w:cs="宋体"/>
          <w:color w:val="auto"/>
          <w:szCs w:val="21"/>
          <w:highlight w:val="none"/>
        </w:rPr>
        <w:t>3）明示或暗示承包人购买、租赁、使用不符合安全施工要求的安全防护用具、机械设备、施工机具及配件、消防设施和器材的。</w:t>
      </w:r>
    </w:p>
    <w:p>
      <w:pPr>
        <w:adjustRightInd w:val="0"/>
        <w:snapToGrid w:val="0"/>
        <w:spacing w:line="360" w:lineRule="auto"/>
        <w:ind w:firstLine="1365" w:firstLineChars="650"/>
        <w:rPr>
          <w:rFonts w:ascii="宋体" w:hAnsi="宋体" w:cs="宋体"/>
          <w:color w:val="auto"/>
          <w:szCs w:val="21"/>
          <w:highlight w:val="none"/>
        </w:rPr>
      </w:pPr>
      <w:r>
        <w:rPr>
          <w:rFonts w:hint="eastAsia" w:ascii="宋体" w:hAnsi="宋体" w:cs="宋体"/>
          <w:color w:val="auto"/>
          <w:szCs w:val="21"/>
          <w:highlight w:val="none"/>
        </w:rPr>
        <w:t>（4）发包人应负责赔偿下列情形造成的第三者人身伤亡和财产损失。</w:t>
      </w:r>
    </w:p>
    <w:p>
      <w:pPr>
        <w:adjustRightInd w:val="0"/>
        <w:snapToGrid w:val="0"/>
        <w:spacing w:line="360" w:lineRule="auto"/>
        <w:ind w:firstLine="1470" w:firstLineChars="700"/>
        <w:rPr>
          <w:rFonts w:ascii="宋体" w:hAnsi="宋体" w:cs="宋体"/>
          <w:color w:val="auto"/>
          <w:szCs w:val="21"/>
          <w:highlight w:val="none"/>
        </w:rPr>
      </w:pPr>
      <w:r>
        <w:rPr>
          <w:rFonts w:hint="eastAsia" w:ascii="宋体" w:hAnsi="宋体" w:cs="宋体"/>
          <w:color w:val="auto"/>
          <w:szCs w:val="21"/>
          <w:highlight w:val="none"/>
        </w:rPr>
        <w:t>1）工程或工程的任何部分对土地的占用所造成的第三者财产损失；</w:t>
      </w:r>
    </w:p>
    <w:p>
      <w:pPr>
        <w:adjustRightInd w:val="0"/>
        <w:snapToGrid w:val="0"/>
        <w:spacing w:line="360" w:lineRule="auto"/>
        <w:ind w:left="1781" w:leftChars="798" w:hanging="105" w:hangingChars="50"/>
        <w:rPr>
          <w:rFonts w:ascii="宋体" w:hAnsi="宋体" w:cs="宋体"/>
          <w:color w:val="auto"/>
          <w:szCs w:val="21"/>
          <w:highlight w:val="none"/>
        </w:rPr>
      </w:pPr>
      <w:r>
        <w:rPr>
          <w:rFonts w:hint="eastAsia" w:ascii="宋体" w:hAnsi="宋体" w:cs="宋体"/>
          <w:color w:val="auto"/>
          <w:szCs w:val="21"/>
          <w:highlight w:val="none"/>
        </w:rPr>
        <w:t>2）由于发包人原因在施工场地及其毗邻造成的第三者人身伤亡和财产损失。</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09440" behindDoc="0" locked="0" layoutInCell="1" allowOverlap="1">
                <wp:simplePos x="0" y="0"/>
                <wp:positionH relativeFrom="column">
                  <wp:posOffset>-114300</wp:posOffset>
                </wp:positionH>
                <wp:positionV relativeFrom="paragraph">
                  <wp:posOffset>208280</wp:posOffset>
                </wp:positionV>
                <wp:extent cx="1028700" cy="302260"/>
                <wp:effectExtent l="0" t="0" r="0" b="0"/>
                <wp:wrapNone/>
                <wp:docPr id="232" name="文本框 232"/>
                <wp:cNvGraphicFramePr/>
                <a:graphic xmlns:a="http://schemas.openxmlformats.org/drawingml/2006/main">
                  <a:graphicData uri="http://schemas.microsoft.com/office/word/2010/wordprocessingShape">
                    <wps:wsp>
                      <wps:cNvSpPr txBox="1">
                        <a:spLocks noChangeArrowheads="1"/>
                      </wps:cNvSpPr>
                      <wps:spPr bwMode="auto">
                        <a:xfrm>
                          <a:off x="0" y="0"/>
                          <a:ext cx="1028700" cy="30226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承包人责任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pt;height:23.8pt;width:81pt;z-index:251709440;mso-width-relative:page;mso-height-relative:page;" filled="f" stroked="f" coordsize="21600,21600" o:gfxdata="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xhSU7VAAAACQEAAA8AAAAAAAAAAQAgAAAAIgAAAGRycy9kb3du&#10;cmV2LnhtbFBLAQIUABQAAAAIAIdO4kC03hEnAgIAANkDAAAOAAAAAAAAAAEAIAAAACQBAABkcnMv&#10;ZTJvRG9jLnhtbFBLBQYAAAAABgAGAFkBAACYBQ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承包人责任</w:t>
                      </w:r>
                    </w:p>
                  </w:txbxContent>
                </v:textbox>
              </v:shape>
            </w:pict>
          </mc:Fallback>
        </mc:AlternateContent>
      </w:r>
      <w:r>
        <w:rPr>
          <w:rFonts w:hint="eastAsia" w:ascii="宋体" w:hAnsi="宋体" w:cs="宋体"/>
          <w:b/>
          <w:color w:val="auto"/>
          <w:szCs w:val="21"/>
          <w:highlight w:val="none"/>
        </w:rPr>
        <w:t xml:space="preserve">45.3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在合同工程实施、完成及保修期间，承包人承担下列责任：</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（1）承包人应严格按照国家有关安全文明施工的标准与规范制定安全文明施工操作规程，配备必要的安全生产和劳动保护设施，加强对承包人人员的施工安全教育和培训。</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（2）承包人应对合同工程的安全文明施工负责，采取有效的安全措施消除安全事故隐患，并接受和配合依法实施的监督检查。</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承包人应加强施工作业安全管理，特别应加强经监理工程师同意并由其报发包人批准的输送电线路工程，使用易燃、易爆材料、火工器材、有毒与腐蚀性材料等危险品工程，以及爆破作业和地下工程施工等危险作业的安全管理，尽量避免人员伤亡和财产损失。</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（4）承包人应按监理工程师的指令制定应对灾害的紧急预案，并按预案做好安全检查，配置必要的救助物资和器材，切实保护好有关人员的人身和财产安全。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（5）承包人违反本条规定或由于承包人原因造成安全事故的，由承包人承担责任，由此增加的费用和延误的工期由承包人承担。</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（6）承包人应对其履行合同所雇佣的全部人员，包括分包人人员的安全事故承担责任，但由于发包人原因造成承包人人员安全事故的，应由发包人承担责任。</w:t>
      </w:r>
    </w:p>
    <w:p>
      <w:pPr>
        <w:adjustRightInd w:val="0"/>
        <w:snapToGrid w:val="0"/>
        <w:spacing w:line="360" w:lineRule="auto"/>
        <w:ind w:left="1619" w:leftChars="771" w:firstLine="52" w:firstLineChars="25"/>
        <w:rPr>
          <w:rFonts w:ascii="宋体" w:hAnsi="宋体" w:cs="宋体"/>
          <w:color w:val="auto"/>
          <w:szCs w:val="21"/>
          <w:highlight w:val="none"/>
        </w:rPr>
      </w:pPr>
      <w:r>
        <w:rPr>
          <w:rFonts w:hint="eastAsia" w:ascii="宋体" w:hAnsi="宋体" w:cs="宋体"/>
          <w:color w:val="auto"/>
          <w:szCs w:val="21"/>
          <w:highlight w:val="none"/>
        </w:rPr>
        <w:t>（7）由于承包人原因在施工场地内及其毗邻造成的第三者人身伤亡和财产损失，由承包人负责赔偿。</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0464" behindDoc="0" locked="0" layoutInCell="1" allowOverlap="1">
                <wp:simplePos x="0" y="0"/>
                <wp:positionH relativeFrom="column">
                  <wp:posOffset>-114300</wp:posOffset>
                </wp:positionH>
                <wp:positionV relativeFrom="paragraph">
                  <wp:posOffset>203200</wp:posOffset>
                </wp:positionV>
                <wp:extent cx="954405" cy="693420"/>
                <wp:effectExtent l="0" t="0" r="0" b="0"/>
                <wp:wrapNone/>
                <wp:docPr id="231" name="文本框 231"/>
                <wp:cNvGraphicFramePr/>
                <a:graphic xmlns:a="http://schemas.openxmlformats.org/drawingml/2006/main">
                  <a:graphicData uri="http://schemas.microsoft.com/office/word/2010/wordprocessingShape">
                    <wps:wsp>
                      <wps:cNvSpPr txBox="1">
                        <a:spLocks noChangeArrowheads="1"/>
                      </wps:cNvSpPr>
                      <wps:spPr bwMode="auto">
                        <a:xfrm>
                          <a:off x="0" y="0"/>
                          <a:ext cx="954405" cy="69342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54.6pt;width:75.15pt;z-index:251710464;mso-width-relative:page;mso-height-relative:page;" filled="f" stroked="f" coordsize="21600,21600" o:gfxdata="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19ex+2AAAAAoBAAAPAAAAAAAAAAEAIAAAACIAAABkcnMv&#10;ZG93bnJldi54bWxQSwECFAAUAAAACACHTuJA8Cf2rgMCAADYAwAADgAAAAAAAAABACAAAAAnAQAA&#10;ZHJzL2Uyb0RvYy54bWxQSwUGAAAAAAYABgBZAQAAnA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施工措施的审查与整改</w:t>
                      </w:r>
                    </w:p>
                  </w:txbxContent>
                </v:textbox>
              </v:shape>
            </w:pict>
          </mc:Fallback>
        </mc:AlternateContent>
      </w:r>
      <w:r>
        <w:rPr>
          <w:rFonts w:hint="eastAsia" w:ascii="宋体" w:hAnsi="宋体" w:cs="宋体"/>
          <w:b/>
          <w:color w:val="auto"/>
          <w:szCs w:val="21"/>
          <w:highlight w:val="none"/>
        </w:rPr>
        <w:t xml:space="preserve">45.4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当审查施工组织设计中的安全技术措施或者专项施工方案是否符合建设行政主管部门的有关规定。监理工程师发现承包人未遵守安全生产和文明施工规定或施工现场存在安全事故隐患的，应以书面形式通知承包人整改；情况严重的，应要求承包人暂停施工，并及时报告发包人。承包人在收到监理工程师发出书面通知后的48小时内仍未整改的，监理工程师可在报经发包人批准后委托第三方采取措施。该款项经造价工程师核实后，由发包人从应付或将付给承包人的款项中扣除。</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45.5</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7360" behindDoc="0" locked="0" layoutInCell="1" allowOverlap="1">
                <wp:simplePos x="0" y="0"/>
                <wp:positionH relativeFrom="column">
                  <wp:posOffset>-83820</wp:posOffset>
                </wp:positionH>
                <wp:positionV relativeFrom="paragraph">
                  <wp:posOffset>11430</wp:posOffset>
                </wp:positionV>
                <wp:extent cx="800100" cy="720090"/>
                <wp:effectExtent l="0" t="0" r="0" b="0"/>
                <wp:wrapNone/>
                <wp:docPr id="230" name="文本框 230"/>
                <wp:cNvGraphicFramePr/>
                <a:graphic xmlns:a="http://schemas.openxmlformats.org/drawingml/2006/main">
                  <a:graphicData uri="http://schemas.microsoft.com/office/word/2010/wordprocessingShape">
                    <wps:wsp>
                      <wps:cNvSpPr txBox="1">
                        <a:spLocks noChangeArrowheads="1"/>
                      </wps:cNvSpPr>
                      <wps:spPr bwMode="auto">
                        <a:xfrm>
                          <a:off x="0" y="0"/>
                          <a:ext cx="800100" cy="72009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治安管理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9pt;height:56.7pt;width:63pt;z-index:252047360;mso-width-relative:page;mso-height-relative:page;" filled="f" stroked="f" coordsize="21600,21600" o:gfxdata="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YEY0dQAAAAJAQAADwAAAAAAAAABACAAAAAiAAAAZHJzL2Rvd25yZXYu&#10;eG1sUEsBAhQAFAAAAAgAh07iQMm8LFz/AQAA2AMAAA4AAAAAAAAAAQAgAAAAIwEAAGRycy9lMm9E&#10;b2MueG1sUEsFBgAAAAAGAAYAWQEAAJQ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治安管理</w:t>
                      </w:r>
                    </w:p>
                  </w:txbxContent>
                </v:textbox>
              </v:shape>
            </w:pict>
          </mc:Fallback>
        </mc:AlternateContent>
      </w:r>
      <w:r>
        <w:rPr>
          <w:rFonts w:hint="eastAsia" w:ascii="宋体" w:hAnsi="宋体" w:cs="宋体"/>
          <w:color w:val="auto"/>
          <w:szCs w:val="21"/>
          <w:highlight w:val="none"/>
        </w:rPr>
        <w:t>合同双方当事人不仅应协助现场治安管理机构或联防组织维护施工场地的社会治安，而且应做好包括有关人员现场生活、居住场所在内的施工场地内的治安保卫工作。</w:t>
      </w:r>
    </w:p>
    <w:p>
      <w:pPr>
        <w:adjustRightInd w:val="0"/>
        <w:snapToGrid w:val="0"/>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除专用条款另有约定外，合同双方当事人应在工程开工后，共同编制施工场地治安管理计划，并制定应对突发治安事件的紧急预案。在施工过程中，发生暴乱、爆炸等恐怖事件，以及群殴、械斗等群体性突发治安事件的，应立即向当地政府有关部门报告，积极协助当地政府有关部门采取措施平息事件，防止事态扩大，尽量减少财产损失和避免人员伤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45.6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48384" behindDoc="0" locked="0" layoutInCell="1" allowOverlap="1">
                <wp:simplePos x="0" y="0"/>
                <wp:positionH relativeFrom="column">
                  <wp:posOffset>-73660</wp:posOffset>
                </wp:positionH>
                <wp:positionV relativeFrom="paragraph">
                  <wp:posOffset>15875</wp:posOffset>
                </wp:positionV>
                <wp:extent cx="873760" cy="650875"/>
                <wp:effectExtent l="0" t="0" r="0" b="0"/>
                <wp:wrapNone/>
                <wp:docPr id="229" name="文本框 229"/>
                <wp:cNvGraphicFramePr/>
                <a:graphic xmlns:a="http://schemas.openxmlformats.org/drawingml/2006/main">
                  <a:graphicData uri="http://schemas.microsoft.com/office/word/2010/wordprocessingShape">
                    <wps:wsp>
                      <wps:cNvSpPr txBox="1">
                        <a:spLocks noChangeArrowheads="1"/>
                      </wps:cNvSpPr>
                      <wps:spPr bwMode="auto">
                        <a:xfrm>
                          <a:off x="0" y="0"/>
                          <a:ext cx="873760" cy="650875"/>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5pt;height:51.25pt;width:68.8pt;z-index:252048384;mso-width-relative:page;mso-height-relative:page;" filled="f" stroked="f" coordsize="21600,21600" o:gfxdata="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r8AZv1gAAAAkBAAAPAAAAAAAAAAEAIAAAACIAAABkcnMvZG93&#10;bnJldi54bWxQSwECFAAUAAAACACHTuJA96z43QICAADYAwAADgAAAAAAAAABACAAAAAlAQAAZHJz&#10;L2Uyb0RvYy54bWxQSwUGAAAAAAYABgBZAQAAmQU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施工场地的环保、卫生要求</w:t>
                      </w:r>
                    </w:p>
                  </w:txbxContent>
                </v:textbox>
              </v:shape>
            </w:pict>
          </mc:Fallback>
        </mc:AlternateContent>
      </w:r>
      <w:r>
        <w:rPr>
          <w:rFonts w:hint="eastAsia" w:ascii="宋体" w:hAnsi="宋体" w:cs="宋体"/>
          <w:color w:val="auto"/>
          <w:szCs w:val="21"/>
          <w:highlight w:val="none"/>
        </w:rPr>
        <w:t>承包人应遵守国家有关环境保护、卫生监督的法律，按照合同约定采取有效措施，保证施工场地达到环境保护、卫生部门的管理要求，为现场所有人员提供并维护干净卫生的生活设施，并在颁发合同工程接收证书后的28天内，清理现场，运走全部施工设备、剩余材料和垃圾，保持施工场地和合同工程的清洁整齐。否则，发包人可自行处理或委托第三方处理留下的物品，所得金额在扣除由此发生的费用之后，将余额退还给承包人。</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46  测量放线</w:t>
      </w:r>
    </w:p>
    <w:p>
      <w:pPr>
        <w:tabs>
          <w:tab w:val="left" w:pos="1202"/>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1488" behindDoc="0" locked="0" layoutInCell="1" allowOverlap="1">
                <wp:simplePos x="0" y="0"/>
                <wp:positionH relativeFrom="column">
                  <wp:posOffset>-114300</wp:posOffset>
                </wp:positionH>
                <wp:positionV relativeFrom="paragraph">
                  <wp:posOffset>286385</wp:posOffset>
                </wp:positionV>
                <wp:extent cx="914400" cy="546100"/>
                <wp:effectExtent l="0" t="0" r="0" b="0"/>
                <wp:wrapNone/>
                <wp:docPr id="228" name="文本框 228"/>
                <wp:cNvGraphicFramePr/>
                <a:graphic xmlns:a="http://schemas.openxmlformats.org/drawingml/2006/main">
                  <a:graphicData uri="http://schemas.microsoft.com/office/word/2010/wordprocessingShape">
                    <wps:wsp>
                      <wps:cNvSpPr txBox="1">
                        <a:spLocks noChangeArrowheads="1"/>
                      </wps:cNvSpPr>
                      <wps:spPr bwMode="auto">
                        <a:xfrm>
                          <a:off x="0" y="0"/>
                          <a:ext cx="914400" cy="546100"/>
                        </a:xfrm>
                        <a:prstGeom prst="rect">
                          <a:avLst/>
                        </a:prstGeom>
                        <a:noFill/>
                        <a:ln>
                          <a:noFill/>
                        </a:ln>
                        <a:effectLst/>
                      </wps:spPr>
                      <wps:txbx>
                        <w:txbxContent>
                          <w:p>
                            <w:pPr>
                              <w:rPr>
                                <w:rFonts w:ascii="宋体" w:hAnsi="宋体"/>
                                <w:sz w:val="18"/>
                                <w:szCs w:val="18"/>
                              </w:rPr>
                            </w:pPr>
                            <w:r>
                              <w:rPr>
                                <w:rFonts w:hint="eastAsia" w:ascii="楷体_GB2312" w:hAnsi="宋体"/>
                                <w:b/>
                                <w:color w:val="000000"/>
                                <w:sz w:val="18"/>
                                <w:szCs w:val="18"/>
                              </w:rPr>
                              <w:t>测设施工控制网</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55pt;height:43pt;width:72pt;z-index:251711488;mso-width-relative:page;mso-height-relative:page;" filled="f" stroked="f" coordsize="21600,21600" o:gfxdata="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Xret51wAAAAoBAAAPAAAAAAAAAAEAIAAAACIAAABkcnMvZG93bnJl&#10;di54bWxQSwECFAAUAAAACACHTuJA/kBaGv4BAADYAwAADgAAAAAAAAABACAAAAAmAQAAZHJzL2Uy&#10;b0RvYy54bWxQSwUGAAAAAAYABgBZAQAAlgUAAAAA&#10;">
                <v:fill on="f" focussize="0,0"/>
                <v:stroke on="f"/>
                <v:imagedata o:title=""/>
                <o:lock v:ext="edit" aspectratio="f"/>
                <v:textbox>
                  <w:txbxContent>
                    <w:p>
                      <w:pPr>
                        <w:rPr>
                          <w:rFonts w:ascii="宋体" w:hAnsi="宋体"/>
                          <w:sz w:val="18"/>
                          <w:szCs w:val="18"/>
                        </w:rPr>
                      </w:pPr>
                      <w:r>
                        <w:rPr>
                          <w:rFonts w:hint="eastAsia" w:ascii="楷体_GB2312" w:hAnsi="宋体"/>
                          <w:b/>
                          <w:color w:val="000000"/>
                          <w:sz w:val="18"/>
                          <w:szCs w:val="18"/>
                        </w:rPr>
                        <w:t>测设施工控制网</w:t>
                      </w:r>
                    </w:p>
                  </w:txbxContent>
                </v:textbox>
              </v:shape>
            </w:pict>
          </mc:Fallback>
        </mc:AlternateContent>
      </w:r>
      <w:r>
        <w:rPr>
          <w:rFonts w:hint="eastAsia" w:ascii="宋体" w:hAnsi="宋体" w:cs="宋体"/>
          <w:b/>
          <w:color w:val="auto"/>
          <w:szCs w:val="21"/>
          <w:highlight w:val="none"/>
        </w:rPr>
        <w:t>46.1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应在发出开工令后的7天内，向承包人提供原始基准点、基准线、基准高程等书面资料。承包人应根据国家测绘基准、测绘系统和工程测量技术规范，按照上述资料以及合同工程精度要求，测绘施工控制网，并在专用条款约定的期限内，将施工控制网资料提交监理工程师确认。</w:t>
      </w:r>
    </w:p>
    <w:p>
      <w:pPr>
        <w:adjustRightInd w:val="0"/>
        <w:snapToGrid w:val="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1888" behindDoc="0" locked="0" layoutInCell="1" allowOverlap="1">
                <wp:simplePos x="0" y="0"/>
                <wp:positionH relativeFrom="column">
                  <wp:posOffset>-114300</wp:posOffset>
                </wp:positionH>
                <wp:positionV relativeFrom="paragraph">
                  <wp:posOffset>290195</wp:posOffset>
                </wp:positionV>
                <wp:extent cx="914400" cy="799465"/>
                <wp:effectExtent l="0" t="0" r="0" b="0"/>
                <wp:wrapNone/>
                <wp:docPr id="227" name="文本框 227"/>
                <wp:cNvGraphicFramePr/>
                <a:graphic xmlns:a="http://schemas.openxmlformats.org/drawingml/2006/main">
                  <a:graphicData uri="http://schemas.microsoft.com/office/word/2010/wordprocessingShape">
                    <wps:wsp>
                      <wps:cNvSpPr txBox="1">
                        <a:spLocks noChangeArrowheads="1"/>
                      </wps:cNvSpPr>
                      <wps:spPr bwMode="auto">
                        <a:xfrm>
                          <a:off x="0" y="0"/>
                          <a:ext cx="914400" cy="7994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85pt;height:62.95pt;width:72pt;z-index:251941888;mso-width-relative:page;mso-height-relative:page;" filled="f" stroked="f" coordsize="21600,21600" o:gfxdata="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nXO6V2AAAAAoBAAAPAAAAAAAAAAEAIAAAACIAAABkcnMvZG93&#10;bnJldi54bWxQSwECFAAUAAAACACHTuJAXeUcbAACAADYAwAADgAAAAAAAAABACAAAAAnAQAAZHJz&#10;L2Uyb0RvYy54bWxQSwUGAAAAAAYABgBZAQAAmQ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施工控制网（点）管理与使用</w:t>
                      </w:r>
                    </w:p>
                  </w:txbxContent>
                </v:textbox>
              </v:shape>
            </w:pict>
          </mc:Fallback>
        </mc:AlternateContent>
      </w:r>
      <w:r>
        <w:rPr>
          <w:rFonts w:hint="eastAsia" w:ascii="宋体" w:hAnsi="宋体" w:cs="宋体"/>
          <w:b/>
          <w:color w:val="auto"/>
          <w:szCs w:val="21"/>
          <w:highlight w:val="none"/>
        </w:rPr>
        <w:t xml:space="preserve">46.2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承包人应负责施工控制网点的管理。施工控制网点丢失或损坏的，承包人应及时修复。承包人应承担施工控制网点的管理与修复费用，并在工程竣工后将施工控制网点移交发包人。</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监理工程师需要使用施工控制网的，承包人应提供必要的协助，发包人无需为此支付任何费用。</w:t>
      </w:r>
    </w:p>
    <w:p>
      <w:pPr>
        <w:adjustRightInd w:val="0"/>
        <w:snapToGrid w:val="0"/>
        <w:rPr>
          <w:rFonts w:ascii="宋体" w:hAnsi="宋体" w:cs="宋体"/>
          <w:color w:val="auto"/>
          <w:szCs w:val="21"/>
          <w:highlight w:val="none"/>
        </w:rPr>
      </w:pPr>
      <w:r>
        <w:rPr>
          <w:rFonts w:hint="eastAsia" w:ascii="宋体" w:hAnsi="宋体" w:cs="宋体"/>
          <w:b/>
          <w:color w:val="auto"/>
          <w:szCs w:val="21"/>
          <w:highlight w:val="none"/>
        </w:rPr>
        <w:t xml:space="preserve">46.3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2512" behindDoc="0" locked="0" layoutInCell="1" allowOverlap="1">
                <wp:simplePos x="0" y="0"/>
                <wp:positionH relativeFrom="column">
                  <wp:posOffset>-114300</wp:posOffset>
                </wp:positionH>
                <wp:positionV relativeFrom="paragraph">
                  <wp:posOffset>-6350</wp:posOffset>
                </wp:positionV>
                <wp:extent cx="914400" cy="541020"/>
                <wp:effectExtent l="0" t="0" r="0" b="0"/>
                <wp:wrapNone/>
                <wp:docPr id="226" name="文本框 226"/>
                <wp:cNvGraphicFramePr/>
                <a:graphic xmlns:a="http://schemas.openxmlformats.org/drawingml/2006/main">
                  <a:graphicData uri="http://schemas.microsoft.com/office/word/2010/wordprocessingShape">
                    <wps:wsp>
                      <wps:cNvSpPr txBox="1">
                        <a:spLocks noChangeArrowheads="1"/>
                      </wps:cNvSpPr>
                      <wps:spPr bwMode="auto">
                        <a:xfrm>
                          <a:off x="0" y="0"/>
                          <a:ext cx="914400" cy="541020"/>
                        </a:xfrm>
                        <a:prstGeom prst="rect">
                          <a:avLst/>
                        </a:prstGeom>
                        <a:noFill/>
                        <a:ln>
                          <a:noFill/>
                        </a:ln>
                        <a:effectLst/>
                      </wps:spPr>
                      <wps:txbx>
                        <w:txbxContent>
                          <w:p>
                            <w:pPr>
                              <w:spacing w:line="200" w:lineRule="exact"/>
                              <w:rPr>
                                <w:sz w:val="18"/>
                                <w:szCs w:val="18"/>
                              </w:rPr>
                            </w:pPr>
                            <w:r>
                              <w:rPr>
                                <w:rFonts w:hint="eastAsia" w:ascii="楷体_GB2312" w:hAnsi="宋体"/>
                                <w:b/>
                                <w:color w:val="000000"/>
                                <w:sz w:val="18"/>
                                <w:szCs w:val="18"/>
                              </w:rPr>
                              <w:t>承包人测量放线的责任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2.6pt;width:72pt;z-index:251712512;mso-width-relative:page;mso-height-relative:page;" filled="f" stroked="f" coordsize="21600,21600" o:gfxdata="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ssLzVAAAACQEAAA8AAAAAAAAAAQAgAAAAIgAAAGRycy9kb3ducmV2&#10;LnhtbFBLAQIUABQAAAAIAIdO4kAHh0CJ/wEAANgDAAAOAAAAAAAAAAEAIAAAACQBAABkcnMvZTJv&#10;RG9jLnhtbFBLBQYAAAAABgAGAFkBAACVBQAAAAA=&#10;">
                <v:fill on="f" focussize="0,0"/>
                <v:stroke on="f"/>
                <v:imagedata o:title=""/>
                <o:lock v:ext="edit" aspectratio="f"/>
                <v:textbox>
                  <w:txbxContent>
                    <w:p>
                      <w:pPr>
                        <w:spacing w:line="200" w:lineRule="exact"/>
                        <w:rPr>
                          <w:sz w:val="18"/>
                          <w:szCs w:val="18"/>
                        </w:rPr>
                      </w:pPr>
                      <w:r>
                        <w:rPr>
                          <w:rFonts w:hint="eastAsia" w:ascii="楷体_GB2312" w:hAnsi="宋体"/>
                          <w:b/>
                          <w:color w:val="000000"/>
                          <w:sz w:val="18"/>
                          <w:szCs w:val="18"/>
                        </w:rPr>
                        <w:t>承包人测量放线的责任</w:t>
                      </w:r>
                    </w:p>
                  </w:txbxContent>
                </v:textbox>
              </v:shape>
            </w:pict>
          </mc:Fallback>
        </mc:AlternateContent>
      </w:r>
      <w:r>
        <w:rPr>
          <w:rFonts w:hint="eastAsia" w:ascii="宋体" w:hAnsi="宋体" w:cs="宋体"/>
          <w:color w:val="auto"/>
          <w:szCs w:val="21"/>
          <w:highlight w:val="none"/>
        </w:rPr>
        <w:t>承包人应配置合格的人员、仪器、设备和其他物品，根据监理工程师书面确定的原始基准点、基准线、基准高程等资料，准确完成对合同工程的全部施工测量放线工作，并对工程各部分的位置、标高、尺寸或定线的正确性负责。</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3536" behindDoc="0" locked="0" layoutInCell="1" allowOverlap="1">
                <wp:simplePos x="0" y="0"/>
                <wp:positionH relativeFrom="column">
                  <wp:posOffset>-66675</wp:posOffset>
                </wp:positionH>
                <wp:positionV relativeFrom="paragraph">
                  <wp:posOffset>8255</wp:posOffset>
                </wp:positionV>
                <wp:extent cx="914400" cy="375920"/>
                <wp:effectExtent l="0" t="0" r="0" b="0"/>
                <wp:wrapNone/>
                <wp:docPr id="225" name="文本框 225"/>
                <wp:cNvGraphicFramePr/>
                <a:graphic xmlns:a="http://schemas.openxmlformats.org/drawingml/2006/main">
                  <a:graphicData uri="http://schemas.microsoft.com/office/word/2010/wordprocessingShape">
                    <wps:wsp>
                      <wps:cNvSpPr txBox="1">
                        <a:spLocks noChangeArrowheads="1"/>
                      </wps:cNvSpPr>
                      <wps:spPr bwMode="auto">
                        <a:xfrm>
                          <a:off x="0" y="0"/>
                          <a:ext cx="914400" cy="375920"/>
                        </a:xfrm>
                        <a:prstGeom prst="rect">
                          <a:avLst/>
                        </a:prstGeom>
                        <a:noFill/>
                        <a:ln>
                          <a:noFill/>
                        </a:ln>
                        <a:effectLst/>
                      </wps:spPr>
                      <wps:txb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65pt;height:29.6pt;width:72pt;z-index:251713536;mso-width-relative:page;mso-height-relative:page;" filled="f" stroked="f" coordsize="21600,21600" o:gfxdata="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47LALNMAAAAIAQAADwAAAAAAAAABACAAAAAiAAAAZHJzL2Rvd25yZXYu&#10;eG1sUEsBAhQAFAAAAAgAh07iQIr1GwQAAgAA2AMAAA4AAAAAAAAAAQAgAAAAIgEAAGRycy9lMm9E&#10;b2MueG1sUEsFBgAAAAAGAAYAWQEAAJQFAAAAAA==&#10;">
                <v:fill on="f" focussize="0,0"/>
                <v:stroke on="f"/>
                <v:imagedata o:title=""/>
                <o:lock v:ext="edit" aspectratio="f"/>
                <v:textbox>
                  <w:txbxContent>
                    <w:p>
                      <w:pPr>
                        <w:spacing w:line="200" w:lineRule="exact"/>
                        <w:rPr>
                          <w:rFonts w:ascii="楷体_GB2312" w:hAnsi="宋体"/>
                          <w:sz w:val="18"/>
                          <w:szCs w:val="18"/>
                        </w:rPr>
                      </w:pPr>
                      <w:r>
                        <w:rPr>
                          <w:rFonts w:hint="eastAsia" w:ascii="楷体_GB2312" w:hAnsi="宋体"/>
                          <w:b/>
                          <w:color w:val="000000"/>
                          <w:sz w:val="18"/>
                          <w:szCs w:val="18"/>
                        </w:rPr>
                        <w:t>测量放线误差的处理</w:t>
                      </w:r>
                    </w:p>
                  </w:txbxContent>
                </v:textbox>
              </v:shape>
            </w:pict>
          </mc:Fallback>
        </mc:AlternateContent>
      </w:r>
      <w:r>
        <w:rPr>
          <w:rFonts w:hint="eastAsia" w:ascii="宋体" w:hAnsi="宋体" w:cs="宋体"/>
          <w:color w:val="auto"/>
          <w:szCs w:val="21"/>
          <w:highlight w:val="none"/>
        </w:rPr>
        <w:t>监理工程师有权对承包人施工测量放线工作进行检查验收。如果发现永久工程任何部分的位置、标高、尺寸或定线超过合同约定误差的，承包人应自费纠正，直到监理工程师认为符合合同约定为止。如果这些误差是由于监理工程师书面提供的数据错误导致的，发包人应当承担由此增加的费用和（或）工期延误，并向承包人支付合理利润。</w:t>
      </w:r>
    </w:p>
    <w:p>
      <w:pPr>
        <w:tabs>
          <w:tab w:val="left" w:pos="720"/>
          <w:tab w:val="left" w:pos="1080"/>
        </w:tabs>
        <w:adjustRightInd w:val="0"/>
        <w:snapToGrid w:val="0"/>
        <w:rPr>
          <w:rFonts w:ascii="宋体" w:hAnsi="宋体" w:cs="宋体"/>
          <w:b/>
          <w:color w:val="auto"/>
          <w:szCs w:val="21"/>
          <w:highlight w:val="none"/>
        </w:rPr>
      </w:pPr>
      <w:r>
        <w:rPr>
          <w:rFonts w:hint="eastAsia" w:ascii="宋体" w:hAnsi="宋体" w:cs="宋体"/>
          <w:b/>
          <w:color w:val="auto"/>
          <w:szCs w:val="21"/>
          <w:highlight w:val="none"/>
        </w:rPr>
        <w:t xml:space="preserve">46.5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67840" behindDoc="0" locked="0" layoutInCell="1" allowOverlap="1">
                <wp:simplePos x="0" y="0"/>
                <wp:positionH relativeFrom="column">
                  <wp:posOffset>-114300</wp:posOffset>
                </wp:positionH>
                <wp:positionV relativeFrom="paragraph">
                  <wp:posOffset>278130</wp:posOffset>
                </wp:positionV>
                <wp:extent cx="914400" cy="448310"/>
                <wp:effectExtent l="0" t="0" r="0" b="0"/>
                <wp:wrapNone/>
                <wp:docPr id="224" name="文本框 224"/>
                <wp:cNvGraphicFramePr/>
                <a:graphic xmlns:a="http://schemas.openxmlformats.org/drawingml/2006/main">
                  <a:graphicData uri="http://schemas.microsoft.com/office/word/2010/wordprocessingShape">
                    <wps:wsp>
                      <wps:cNvSpPr txBox="1">
                        <a:spLocks noChangeArrowheads="1"/>
                      </wps:cNvSpPr>
                      <wps:spPr bwMode="auto">
                        <a:xfrm>
                          <a:off x="0" y="0"/>
                          <a:ext cx="914400" cy="4483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pt;height:35.3pt;width:72pt;z-index:252067840;mso-width-relative:page;mso-height-relative:page;" filled="f" stroked="f" coordsize="21600,21600" o:gfxdata="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BLqU/XAAAACgEAAA8AAAAAAAAAAQAgAAAAIgAAAGRycy9kb3du&#10;cmV2LnhtbFBLAQIUABQAAAAIAIdO4kCIwrfa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保护基准点或线等标志</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对工程位置、标高、尺寸、定线的检查，不能免除承包人测量放线工作准确性应承担的任何责任和应履行的任何义务。承包人应有效地保护一切基准点、基准线和其他有关的标志，直到永久工程竣工验收合格为止。</w:t>
      </w:r>
    </w:p>
    <w:p>
      <w:pPr>
        <w:tabs>
          <w:tab w:val="left" w:pos="2070"/>
        </w:tabs>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47  钻孔与勘探性开挖</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4560" behindDoc="0" locked="0" layoutInCell="1" allowOverlap="1">
                <wp:simplePos x="0" y="0"/>
                <wp:positionH relativeFrom="column">
                  <wp:posOffset>-133350</wp:posOffset>
                </wp:positionH>
                <wp:positionV relativeFrom="paragraph">
                  <wp:posOffset>285115</wp:posOffset>
                </wp:positionV>
                <wp:extent cx="914400" cy="648335"/>
                <wp:effectExtent l="0" t="0" r="0" b="0"/>
                <wp:wrapNone/>
                <wp:docPr id="223" name="文本框 223"/>
                <wp:cNvGraphicFramePr/>
                <a:graphic xmlns:a="http://schemas.openxmlformats.org/drawingml/2006/main">
                  <a:graphicData uri="http://schemas.microsoft.com/office/word/2010/wordprocessingShape">
                    <wps:wsp>
                      <wps:cNvSpPr txBox="1">
                        <a:spLocks noChangeArrowheads="1"/>
                      </wps:cNvSpPr>
                      <wps:spPr bwMode="auto">
                        <a:xfrm>
                          <a:off x="0" y="0"/>
                          <a:ext cx="914400" cy="6483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2.45pt;height:51.05pt;width:72pt;z-index:251714560;mso-width-relative:page;mso-height-relative:page;" filled="f" stroked="f" coordsize="21600,21600" o:gfxdata="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2LZqrXAAAACgEAAA8AAAAAAAAAAQAgAAAAIgAAAGRycy9kb3du&#10;cmV2LnhtbFBLAQIUABQAAAAIAIdO4kBjCm83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发出钻孔和勘探性开挖工作指令</w:t>
                      </w:r>
                    </w:p>
                  </w:txbxContent>
                </v:textbox>
              </v:shape>
            </w:pict>
          </mc:Fallback>
        </mc:AlternateContent>
      </w:r>
      <w:r>
        <w:rPr>
          <w:rFonts w:hint="eastAsia" w:ascii="宋体" w:hAnsi="宋体" w:cs="宋体"/>
          <w:b/>
          <w:color w:val="auto"/>
          <w:szCs w:val="21"/>
          <w:highlight w:val="none"/>
        </w:rPr>
        <w:t>47.1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在施工过程中，如果需要承包人进行钻孔或勘探性开挖（含疏浚工作在内）工作的，监理工程师应就此项工作按照第56条规定书面发出专项指令。承包人在接到监理工程师指令后，应及时实施相关工作。</w:t>
      </w:r>
    </w:p>
    <w:p>
      <w:pPr>
        <w:tabs>
          <w:tab w:val="left" w:pos="720"/>
          <w:tab w:val="left" w:pos="108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1456" behindDoc="0" locked="0" layoutInCell="1" allowOverlap="1">
                <wp:simplePos x="0" y="0"/>
                <wp:positionH relativeFrom="column">
                  <wp:posOffset>-133350</wp:posOffset>
                </wp:positionH>
                <wp:positionV relativeFrom="paragraph">
                  <wp:posOffset>199390</wp:posOffset>
                </wp:positionV>
                <wp:extent cx="914400" cy="699135"/>
                <wp:effectExtent l="0" t="0" r="0" b="0"/>
                <wp:wrapNone/>
                <wp:docPr id="222" name="文本框 222"/>
                <wp:cNvGraphicFramePr/>
                <a:graphic xmlns:a="http://schemas.openxmlformats.org/drawingml/2006/main">
                  <a:graphicData uri="http://schemas.microsoft.com/office/word/2010/wordprocessingShape">
                    <wps:wsp>
                      <wps:cNvSpPr txBox="1">
                        <a:spLocks noChangeArrowheads="1"/>
                      </wps:cNvSpPr>
                      <wps:spPr bwMode="auto">
                        <a:xfrm>
                          <a:off x="0" y="0"/>
                          <a:ext cx="914400" cy="6991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5.7pt;height:55.05pt;width:72pt;z-index:252051456;mso-width-relative:page;mso-height-relative:page;" filled="f" stroked="f" coordsize="21600,21600" o:gfxdata="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ItDPMbXAAAACgEAAA8AAAAAAAAAAQAgAAAAIgAAAGRycy9kb3du&#10;cmV2LnhtbFBLAQIUABQAAAAIAIdO4kDzhx9U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钻孔和勘探性开挖工作的费用</w:t>
                      </w:r>
                    </w:p>
                    <w:p>
                      <w:pPr>
                        <w:spacing w:line="200" w:lineRule="exact"/>
                        <w:rPr>
                          <w:sz w:val="18"/>
                          <w:szCs w:val="18"/>
                        </w:rPr>
                      </w:pPr>
                    </w:p>
                  </w:txbxContent>
                </v:textbox>
              </v:shape>
            </w:pict>
          </mc:Fallback>
        </mc:AlternateContent>
      </w:r>
      <w:r>
        <w:rPr>
          <w:rFonts w:hint="eastAsia" w:ascii="宋体" w:hAnsi="宋体" w:cs="宋体"/>
          <w:b/>
          <w:color w:val="auto"/>
          <w:szCs w:val="21"/>
          <w:highlight w:val="none"/>
        </w:rPr>
        <w:t xml:space="preserve">47.2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除工程量清单中已列有此类工作的支付项目和额度外，此项工作所发生的一切费用，经造价工程师核实后，由合同双方当事人按照第72条规定办理。</w:t>
      </w:r>
    </w:p>
    <w:p>
      <w:pPr>
        <w:tabs>
          <w:tab w:val="left" w:pos="540"/>
        </w:tabs>
        <w:adjustRightInd w:val="0"/>
        <w:snapToGrid w:val="0"/>
        <w:spacing w:beforeLines="100" w:line="240" w:lineRule="exact"/>
        <w:ind w:right="-238"/>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48  发包人供应材料和工程设备</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5584" behindDoc="0" locked="0" layoutInCell="1" allowOverlap="1">
                <wp:simplePos x="0" y="0"/>
                <wp:positionH relativeFrom="column">
                  <wp:posOffset>-114300</wp:posOffset>
                </wp:positionH>
                <wp:positionV relativeFrom="paragraph">
                  <wp:posOffset>278765</wp:posOffset>
                </wp:positionV>
                <wp:extent cx="914400" cy="514985"/>
                <wp:effectExtent l="0" t="0" r="0" b="0"/>
                <wp:wrapNone/>
                <wp:docPr id="221" name="文本框 221"/>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95pt;height:40.55pt;width:72pt;z-index:251715584;mso-width-relative:page;mso-height-relative:page;" filled="f" stroked="f" coordsize="21600,21600" o:gfxdata="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joSDjXAAAACgEAAA8AAAAAAAAAAQAgAAAAIgAAAGRycy9kb3du&#10;cmV2LnhtbFBLAQIUABQAAAAIAIdO4kDcV4q8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约定供应的材料和工程设备</w:t>
                      </w:r>
                    </w:p>
                  </w:txbxContent>
                </v:textbox>
              </v:shape>
            </w:pict>
          </mc:Fallback>
        </mc:AlternateContent>
      </w:r>
      <w:r>
        <w:rPr>
          <w:rFonts w:hint="eastAsia" w:ascii="宋体" w:hAnsi="宋体" w:cs="宋体"/>
          <w:b/>
          <w:color w:val="auto"/>
          <w:szCs w:val="21"/>
          <w:highlight w:val="none"/>
        </w:rPr>
        <w:t>48.1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供应材料和工程设备的，应在供应材料和工程设备前，与承包人确认“发包人供应材料和工程设备一览表”，并作为本合同的附件。一览表应包括发包人供应材料和工程设备的品种、规格、型号、数量、单价、质量标准、交货计划和地点等内容。</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575" w:leftChars="750"/>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2912" behindDoc="0" locked="0" layoutInCell="1" allowOverlap="1">
                <wp:simplePos x="0" y="0"/>
                <wp:positionH relativeFrom="column">
                  <wp:posOffset>-66675</wp:posOffset>
                </wp:positionH>
                <wp:positionV relativeFrom="paragraph">
                  <wp:posOffset>47625</wp:posOffset>
                </wp:positionV>
                <wp:extent cx="914400" cy="514985"/>
                <wp:effectExtent l="0" t="0" r="0" b="0"/>
                <wp:wrapNone/>
                <wp:docPr id="220" name="文本框 220"/>
                <wp:cNvGraphicFramePr/>
                <a:graphic xmlns:a="http://schemas.openxmlformats.org/drawingml/2006/main">
                  <a:graphicData uri="http://schemas.microsoft.com/office/word/2010/wordprocessingShape">
                    <wps:wsp>
                      <wps:cNvSpPr txBox="1">
                        <a:spLocks noChangeArrowheads="1"/>
                      </wps:cNvSpPr>
                      <wps:spPr bwMode="auto">
                        <a:xfrm>
                          <a:off x="0" y="0"/>
                          <a:ext cx="914400" cy="5149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3.75pt;height:40.55pt;width:72pt;z-index:251942912;mso-width-relative:page;mso-height-relative:page;" filled="f" stroked="f" coordsize="21600,21600" o:gfxdata="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RngLzVAAAACAEAAA8AAAAAAAAAAQAgAAAAIgAAAGRycy9kb3ducmV2&#10;LnhtbFBLAQIUABQAAAAIAIdO4kBYiD24/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发包人交货日期的要求</w:t>
                      </w:r>
                    </w:p>
                  </w:txbxContent>
                </v:textbox>
              </v:shape>
            </w:pict>
          </mc:Fallback>
        </mc:AlternateContent>
      </w:r>
      <w:r>
        <w:rPr>
          <w:rFonts w:hint="eastAsia" w:ascii="宋体" w:hAnsi="宋体" w:cs="宋体"/>
          <w:color w:val="auto"/>
          <w:szCs w:val="21"/>
          <w:highlight w:val="none"/>
        </w:rPr>
        <w:t>发包人供应材料和工程设备的，承包人应根据合同工程进度计划向监理工程师提交发包人交货的日期计划。经合同双方当事人商定交货日期后，发包人应准时向承包人供应材料和工程设备；否则，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6608" behindDoc="0" locked="0" layoutInCell="1" allowOverlap="1">
                <wp:simplePos x="0" y="0"/>
                <wp:positionH relativeFrom="column">
                  <wp:posOffset>-114300</wp:posOffset>
                </wp:positionH>
                <wp:positionV relativeFrom="paragraph">
                  <wp:posOffset>2540</wp:posOffset>
                </wp:positionV>
                <wp:extent cx="967740" cy="452755"/>
                <wp:effectExtent l="0" t="0" r="0" b="0"/>
                <wp:wrapNone/>
                <wp:docPr id="219" name="文本框 219"/>
                <wp:cNvGraphicFramePr/>
                <a:graphic xmlns:a="http://schemas.openxmlformats.org/drawingml/2006/main">
                  <a:graphicData uri="http://schemas.microsoft.com/office/word/2010/wordprocessingShape">
                    <wps:wsp>
                      <wps:cNvSpPr txBox="1">
                        <a:spLocks noChangeArrowheads="1"/>
                      </wps:cNvSpPr>
                      <wps:spPr bwMode="auto">
                        <a:xfrm>
                          <a:off x="0" y="0"/>
                          <a:ext cx="967740" cy="45275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pt;height:35.65pt;width:76.2pt;z-index:251716608;mso-width-relative:page;mso-height-relative:page;" filled="f" stroked="f" coordsize="21600,21600" o:gfxdata="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813xdUAAAAHAQAADwAAAAAAAAABACAAAAAiAAAAZHJzL2Rvd25y&#10;ZXYueG1sUEsBAhQAFAAAAAgAh07iQIw6NT4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w:t>
                      </w:r>
                    </w:p>
                  </w:txbxContent>
                </v:textbox>
              </v:shape>
            </w:pict>
          </mc:Fallback>
        </mc:AlternateContent>
      </w:r>
      <w:r>
        <w:rPr>
          <w:rFonts w:hint="eastAsia" w:ascii="宋体" w:hAnsi="宋体" w:cs="宋体"/>
          <w:color w:val="auto"/>
          <w:szCs w:val="21"/>
          <w:highlight w:val="none"/>
        </w:rPr>
        <w:t>发包人应按照一览表内容和第48.2款交货日期向承包人供应材料和工程设备，并提供产品质量合格证明文件，对材料和工程设备质量负责。发包人应在材料和工程设备到货前至少提前24小时，以书面形式通知承包人和监理工程师，并在监理工程师的见证下与承包人共同清点，同时在施工现场内合理堆放。</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3936" behindDoc="0" locked="0" layoutInCell="1" allowOverlap="1">
                <wp:simplePos x="0" y="0"/>
                <wp:positionH relativeFrom="column">
                  <wp:posOffset>-114300</wp:posOffset>
                </wp:positionH>
                <wp:positionV relativeFrom="paragraph">
                  <wp:posOffset>8890</wp:posOffset>
                </wp:positionV>
                <wp:extent cx="914400" cy="1019175"/>
                <wp:effectExtent l="0" t="0" r="0" b="0"/>
                <wp:wrapNone/>
                <wp:docPr id="218" name="文本框 218"/>
                <wp:cNvGraphicFramePr/>
                <a:graphic xmlns:a="http://schemas.openxmlformats.org/drawingml/2006/main">
                  <a:graphicData uri="http://schemas.microsoft.com/office/word/2010/wordprocessingShape">
                    <wps:wsp>
                      <wps:cNvSpPr txBox="1">
                        <a:spLocks noChangeArrowheads="1"/>
                      </wps:cNvSpPr>
                      <wps:spPr bwMode="auto">
                        <a:xfrm>
                          <a:off x="0" y="0"/>
                          <a:ext cx="914400" cy="101917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80.25pt;width:72pt;z-index:251943936;mso-width-relative:page;mso-height-relative:page;" filled="f" stroked="f" coordsize="21600,21600" o:gfxdata="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2fA2H1QAAAAkBAAAPAAAAAAAAAAEAIAAAACIAAABkcnMvZG93bnJl&#10;di54bWxQSwECFAAUAAAACACHTuJAP4PHIwACAADZ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发包人供应材料和工程设备的责任</w:t>
                      </w:r>
                    </w:p>
                  </w:txbxContent>
                </v:textbox>
              </v:shape>
            </w:pict>
          </mc:Fallback>
        </mc:AlternateContent>
      </w:r>
      <w:r>
        <w:rPr>
          <w:rFonts w:hint="eastAsia" w:ascii="宋体" w:hAnsi="宋体" w:cs="宋体"/>
          <w:color w:val="auto"/>
          <w:szCs w:val="21"/>
          <w:highlight w:val="none"/>
        </w:rPr>
        <w:t>发包人应保证供应的材料和工程设备符合标准与规范、设计要求和合同约定的要求。如不符合要求，承包人有权拒绝，并要求发包人将其运出施工现场，重新供应符合要求的产品，发包人应承担由此增加的费用和（或）延误的工期，并向承包人支付合理利润。</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48.5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7632" behindDoc="0" locked="0" layoutInCell="1" allowOverlap="1">
                <wp:simplePos x="0" y="0"/>
                <wp:positionH relativeFrom="column">
                  <wp:posOffset>-114300</wp:posOffset>
                </wp:positionH>
                <wp:positionV relativeFrom="paragraph">
                  <wp:posOffset>8890</wp:posOffset>
                </wp:positionV>
                <wp:extent cx="914400" cy="594360"/>
                <wp:effectExtent l="0" t="0" r="0" b="0"/>
                <wp:wrapNone/>
                <wp:docPr id="217" name="文本框 217"/>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46.8pt;width:72pt;z-index:251717632;mso-width-relative:page;mso-height-relative:page;" filled="f" stroked="f" coordsize="21600,21600" o:gfxdata="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8N0EjUAAAACAEAAA8AAAAAAAAAAQAgAAAAIgAAAGRycy9kb3ducmV2&#10;LnhtbFBLAQIUABQAAAAIAIdO4kDPISK5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承包人保管发包人供应的材料和工程设备</w:t>
                      </w:r>
                    </w:p>
                  </w:txbxContent>
                </v:textbox>
              </v:shape>
            </w:pict>
          </mc:Fallback>
        </mc:AlternateContent>
      </w:r>
      <w:r>
        <w:rPr>
          <w:rFonts w:hint="eastAsia" w:ascii="宋体" w:hAnsi="宋体" w:cs="宋体"/>
          <w:color w:val="auto"/>
          <w:szCs w:val="21"/>
          <w:highlight w:val="none"/>
        </w:rPr>
        <w:t>发包人供应材料和工程设备的，经合同双方当事人共同清点后由承包人妥善保管，保管费由发包人承担；因承包人保管不善或承包人其它原因导致丢失或损害的，承包人应予赔偿。除工程量清单中已列有此类工作的支付项目和额度外，造价工程师应与合同双方当事人协商确定保管费，并增加到合同价款中；协商不能达成一致的，由造价工程师暂定，通知承包人并抄报发包人。</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48.6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8656" behindDoc="0" locked="0" layoutInCell="1" allowOverlap="1">
                <wp:simplePos x="0" y="0"/>
                <wp:positionH relativeFrom="column">
                  <wp:posOffset>-114300</wp:posOffset>
                </wp:positionH>
                <wp:positionV relativeFrom="paragraph">
                  <wp:posOffset>18415</wp:posOffset>
                </wp:positionV>
                <wp:extent cx="914400" cy="908685"/>
                <wp:effectExtent l="0" t="0" r="0" b="0"/>
                <wp:wrapNone/>
                <wp:docPr id="216" name="文本框 216"/>
                <wp:cNvGraphicFramePr/>
                <a:graphic xmlns:a="http://schemas.openxmlformats.org/drawingml/2006/main">
                  <a:graphicData uri="http://schemas.microsoft.com/office/word/2010/wordprocessingShape">
                    <wps:wsp>
                      <wps:cNvSpPr txBox="1">
                        <a:spLocks noChangeArrowheads="1"/>
                      </wps:cNvSpPr>
                      <wps:spPr bwMode="auto">
                        <a:xfrm>
                          <a:off x="0" y="0"/>
                          <a:ext cx="914400" cy="90868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71.55pt;width:72pt;z-index:251718656;mso-width-relative:page;mso-height-relative:page;" filled="f" stroked="f" coordsize="21600,21600" o:gfxdata="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KojI9UAAAAJAQAADwAAAAAAAAABACAAAAAiAAAAZHJzL2Rvd25y&#10;ZXYueG1sUEsBAhQAFAAAAAgAh07iQAN3rus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供应材料和工程设备与约定不符时发包人的责任</w:t>
                      </w:r>
                    </w:p>
                  </w:txbxContent>
                </v:textbox>
              </v:shape>
            </w:pict>
          </mc:Fallback>
        </mc:AlternateContent>
      </w:r>
      <w:r>
        <w:rPr>
          <w:rFonts w:hint="eastAsia" w:ascii="宋体" w:hAnsi="宋体" w:cs="宋体"/>
          <w:color w:val="auto"/>
          <w:szCs w:val="21"/>
          <w:highlight w:val="none"/>
        </w:rPr>
        <w:t>发包人供应的材料和工程设备与一览表不符时，发包人应按照下列规定承担相应责任：</w:t>
      </w:r>
    </w:p>
    <w:p>
      <w:pPr>
        <w:numPr>
          <w:ilvl w:val="0"/>
          <w:numId w:val="25"/>
        </w:numPr>
        <w:tabs>
          <w:tab w:val="left" w:pos="1080"/>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材料和工程设备的单价与一览表不符，由发包人承担所有价差；</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材料和工程设备的品种、规格、型号、质量标准与一览表不符，承包人可以拒绝接受保管，由发包人运出施工场地并重新采购；</w:t>
      </w:r>
    </w:p>
    <w:p>
      <w:pPr>
        <w:numPr>
          <w:ilvl w:val="0"/>
          <w:numId w:val="25"/>
        </w:numPr>
        <w:tabs>
          <w:tab w:val="left" w:pos="1080"/>
          <w:tab w:val="left" w:pos="1620"/>
        </w:tabs>
        <w:adjustRightInd w:val="0"/>
        <w:snapToGrid w:val="0"/>
        <w:spacing w:line="360" w:lineRule="auto"/>
        <w:ind w:left="1617" w:leftChars="769" w:hanging="2" w:hangingChars="1"/>
        <w:rPr>
          <w:rFonts w:ascii="宋体" w:hAnsi="宋体" w:cs="宋体"/>
          <w:color w:val="auto"/>
          <w:szCs w:val="21"/>
          <w:highlight w:val="none"/>
        </w:rPr>
      </w:pPr>
      <w:r>
        <w:rPr>
          <w:rFonts w:hint="eastAsia" w:ascii="宋体" w:hAnsi="宋体" w:cs="宋体"/>
          <w:color w:val="auto"/>
          <w:szCs w:val="21"/>
          <w:highlight w:val="none"/>
        </w:rPr>
        <w:t>材料和工程设备的品种、规格、型号、质量标准与一览表不符，经发包人同意，承包人可代为调剂替换，由发包人承担相应费用；</w:t>
      </w:r>
    </w:p>
    <w:p>
      <w:pPr>
        <w:numPr>
          <w:ilvl w:val="0"/>
          <w:numId w:val="25"/>
        </w:numPr>
        <w:tabs>
          <w:tab w:val="left" w:pos="1620"/>
        </w:tabs>
        <w:adjustRightInd w:val="0"/>
        <w:snapToGrid w:val="0"/>
        <w:spacing w:line="360" w:lineRule="auto"/>
        <w:ind w:left="1618" w:leftChars="770" w:hanging="1"/>
        <w:rPr>
          <w:rFonts w:ascii="宋体" w:hAnsi="宋体" w:cs="宋体"/>
          <w:color w:val="auto"/>
          <w:szCs w:val="21"/>
          <w:highlight w:val="none"/>
        </w:rPr>
      </w:pPr>
      <w:r>
        <w:rPr>
          <w:rFonts w:hint="eastAsia" w:ascii="宋体" w:hAnsi="宋体" w:cs="宋体"/>
          <w:color w:val="auto"/>
          <w:szCs w:val="21"/>
          <w:highlight w:val="none"/>
        </w:rPr>
        <w:t>交货地点与一览表不符，除合同双方当事人协商确定外，由发包人重新运至一览表指定地点，并承担由此增加的费用和（或）延误的工期；</w:t>
      </w:r>
    </w:p>
    <w:p>
      <w:pPr>
        <w:tabs>
          <w:tab w:val="left" w:pos="2160"/>
        </w:tabs>
        <w:adjustRightInd w:val="0"/>
        <w:snapToGrid w:val="0"/>
        <w:spacing w:line="360" w:lineRule="auto"/>
        <w:ind w:left="1665" w:leftChars="750" w:hanging="90" w:hangingChars="43"/>
        <w:rPr>
          <w:rFonts w:ascii="宋体" w:hAnsi="宋体" w:cs="宋体"/>
          <w:color w:val="auto"/>
          <w:szCs w:val="21"/>
          <w:highlight w:val="none"/>
        </w:rPr>
      </w:pPr>
      <w:r>
        <w:rPr>
          <w:rFonts w:hint="eastAsia" w:ascii="宋体" w:hAnsi="宋体" w:cs="宋体"/>
          <w:color w:val="auto"/>
          <w:szCs w:val="21"/>
          <w:highlight w:val="none"/>
        </w:rPr>
        <w:t>(5)供应数量少于一览表约定的数量时，由发包人补齐；多于一览表约定的数量时，发包人应将多出的部分运出施工场地；</w:t>
      </w:r>
    </w:p>
    <w:p>
      <w:pPr>
        <w:tabs>
          <w:tab w:val="left" w:pos="1980"/>
        </w:tabs>
        <w:adjustRightInd w:val="0"/>
        <w:snapToGrid w:val="0"/>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(6)交货时间早于一览表约定计划和第48.2款交货日期，由发包人承担由此发生的保管费；交货时间迟于一览表约定计划和第48.2款交货日期，由发包人承担由此增加的费用和（或）延误的工期。</w:t>
      </w:r>
    </w:p>
    <w:p>
      <w:pPr>
        <w:tabs>
          <w:tab w:val="left" w:pos="216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19680" behindDoc="0" locked="0" layoutInCell="1" allowOverlap="1">
                <wp:simplePos x="0" y="0"/>
                <wp:positionH relativeFrom="column">
                  <wp:posOffset>-114300</wp:posOffset>
                </wp:positionH>
                <wp:positionV relativeFrom="paragraph">
                  <wp:posOffset>17145</wp:posOffset>
                </wp:positionV>
                <wp:extent cx="914400" cy="611505"/>
                <wp:effectExtent l="0" t="0" r="0" b="0"/>
                <wp:wrapNone/>
                <wp:docPr id="215" name="文本框 215"/>
                <wp:cNvGraphicFramePr/>
                <a:graphic xmlns:a="http://schemas.openxmlformats.org/drawingml/2006/main">
                  <a:graphicData uri="http://schemas.microsoft.com/office/word/2010/wordprocessingShape">
                    <wps:wsp>
                      <wps:cNvSpPr txBox="1">
                        <a:spLocks noChangeArrowheads="1"/>
                      </wps:cNvSpPr>
                      <wps:spPr bwMode="auto">
                        <a:xfrm>
                          <a:off x="0" y="0"/>
                          <a:ext cx="914400" cy="6115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48.15pt;width:72pt;z-index:251719680;mso-width-relative:page;mso-height-relative:page;" filled="f" stroked="f" coordsize="21600,21600" o:gfxdata="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0Z6XVAAAACAEAAA8AAAAAAAAAAQAgAAAAIgAAAGRycy9kb3ducmV2&#10;LnhtbFBLAQIUABQAAAAIAIdO4kD0kdcu/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供应材料和工程设备使用前的检验</w:t>
                      </w:r>
                    </w:p>
                  </w:txbxContent>
                </v:textbox>
              </v:shape>
            </w:pict>
          </mc:Fallback>
        </mc:AlternateContent>
      </w:r>
      <w:r>
        <w:rPr>
          <w:rFonts w:hint="eastAsia" w:ascii="宋体" w:hAnsi="宋体" w:cs="宋体"/>
          <w:color w:val="auto"/>
          <w:szCs w:val="21"/>
          <w:highlight w:val="none"/>
        </w:rPr>
        <w:t>发包人供应的材料和工程设备使用前，由监理工程师会同承包人进行检验试验，查验材料合格证明和产品合格证书。合同双方当事人应做好检验书面记录，并要求指定人选及时办理签认手续。不合格的，禁止在合同工程中使用。</w:t>
      </w:r>
    </w:p>
    <w:p>
      <w:pPr>
        <w:adjustRightInd w:val="0"/>
        <w:snapToGrid w:val="0"/>
        <w:spacing w:beforeLines="50"/>
        <w:rPr>
          <w:rFonts w:ascii="宋体" w:hAnsi="宋体" w:cs="宋体"/>
          <w:b/>
          <w:color w:val="auto"/>
          <w:szCs w:val="21"/>
          <w:highlight w:val="none"/>
        </w:rPr>
      </w:pPr>
      <w:r>
        <w:rPr>
          <w:rFonts w:hint="eastAsia" w:ascii="宋体" w:hAnsi="宋体" w:cs="宋体"/>
          <w:b/>
          <w:color w:val="auto"/>
          <w:szCs w:val="21"/>
          <w:highlight w:val="none"/>
        </w:rPr>
        <w:t xml:space="preserve">48.8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0704" behindDoc="0" locked="0" layoutInCell="1" allowOverlap="1">
                <wp:simplePos x="0" y="0"/>
                <wp:positionH relativeFrom="column">
                  <wp:posOffset>-114300</wp:posOffset>
                </wp:positionH>
                <wp:positionV relativeFrom="paragraph">
                  <wp:posOffset>7620</wp:posOffset>
                </wp:positionV>
                <wp:extent cx="1028700" cy="297180"/>
                <wp:effectExtent l="0" t="0" r="0" b="0"/>
                <wp:wrapNone/>
                <wp:docPr id="214" name="文本框 214"/>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23.4pt;width:81pt;z-index:251720704;mso-width-relative:page;mso-height-relative:page;" filled="f" stroked="f" coordsize="21600,21600" o:gfxdata="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WJoN1AAAAAgBAAAPAAAAAAAAAAEAIAAAACIAAABkcnMvZG93bnJl&#10;di54bWxQSwECFAAUAAAACACHTuJAOK7dnwECAADZAwAADgAAAAAAAAABACAAAAAj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约定结算方式</w:t>
                      </w:r>
                    </w:p>
                  </w:txbxContent>
                </v:textbox>
              </v:shape>
            </w:pict>
          </mc:Fallback>
        </mc:AlternateContent>
      </w:r>
      <w:r>
        <w:rPr>
          <w:rFonts w:hint="eastAsia" w:ascii="宋体" w:hAnsi="宋体" w:cs="宋体"/>
          <w:color w:val="auto"/>
          <w:szCs w:val="21"/>
          <w:highlight w:val="none"/>
        </w:rPr>
        <w:t>发包人供应材料和工程设备的结算方式，由合同双方当事人在专用条款中约定。除工程量清单中已列有规费、税金项目的计算方法和额度，可由承包人代收代缴外，该结算方式发包人应按照政府有关部门和税务部门规定缴纳合同工程的规费、税金。</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49  承包人采购材料和工程设备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1728"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3" name="文本框 213"/>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721728;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AJcj4s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w:t>
                      </w:r>
                    </w:p>
                  </w:txbxContent>
                </v:textbox>
              </v:shape>
            </w:pict>
          </mc:Fallback>
        </mc:AlternateContent>
      </w:r>
      <w:r>
        <w:rPr>
          <w:rFonts w:hint="eastAsia" w:ascii="宋体" w:hAnsi="宋体" w:cs="宋体"/>
          <w:color w:val="auto"/>
          <w:szCs w:val="21"/>
          <w:highlight w:val="none"/>
        </w:rPr>
        <w:t>承包人负责采购材料和工程设备的，应按照标准与规范、设计要求和合同约定的要求采购，并提供产品质量合格证明文件，对材料和工程设备质量负责。承包人采购招标工程的材料和工程设备，应与其提交的响应文件相应内容一致。除专用条款另有约定外，上述材料和工程设备均由承包人负责运输和保管。</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4960" behindDoc="0" locked="0" layoutInCell="1" allowOverlap="1">
                <wp:simplePos x="0" y="0"/>
                <wp:positionH relativeFrom="column">
                  <wp:posOffset>-114300</wp:posOffset>
                </wp:positionH>
                <wp:positionV relativeFrom="paragraph">
                  <wp:posOffset>17145</wp:posOffset>
                </wp:positionV>
                <wp:extent cx="914400" cy="486410"/>
                <wp:effectExtent l="0" t="0" r="0" b="0"/>
                <wp:wrapNone/>
                <wp:docPr id="212" name="文本框 212"/>
                <wp:cNvGraphicFramePr/>
                <a:graphic xmlns:a="http://schemas.openxmlformats.org/drawingml/2006/main">
                  <a:graphicData uri="http://schemas.microsoft.com/office/word/2010/wordprocessingShape">
                    <wps:wsp>
                      <wps:cNvSpPr txBox="1">
                        <a:spLocks noChangeArrowheads="1"/>
                      </wps:cNvSpPr>
                      <wps:spPr bwMode="auto">
                        <a:xfrm>
                          <a:off x="0" y="0"/>
                          <a:ext cx="914400" cy="4864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5pt;height:38.3pt;width:72pt;z-index:251944960;mso-width-relative:page;mso-height-relative:page;" filled="f" stroked="f" coordsize="21600,21600" o:gfxdata="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I/7+1dYAAAAIAQAADwAAAAAAAAABACAAAAAiAAAAZHJzL2Rvd25y&#10;ZXYueG1sUEsBAhQAFAAAAAgAh07iQIaDOI8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承包人供货与清点要求</w:t>
                      </w:r>
                    </w:p>
                  </w:txbxContent>
                </v:textbox>
              </v:shape>
            </w:pict>
          </mc:Fallback>
        </mc:AlternateContent>
      </w:r>
      <w:r>
        <w:rPr>
          <w:rFonts w:hint="eastAsia" w:ascii="宋体" w:hAnsi="宋体" w:cs="宋体"/>
          <w:color w:val="auto"/>
          <w:szCs w:val="21"/>
          <w:highlight w:val="none"/>
        </w:rPr>
        <w:t>承包人应按照专用条款的约定，将各项材料和工程设备的供货人及品种、规格、数量和供货时间等情况以书面形式提交监理工程师确认，并由其报发包人批准后实施供货。承包人应在材料和工程设备到货前至少提前24小时，以书面形式通知发包人和监理工程师，并在监理工程师的见证下与发包人共同清点。</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2752" behindDoc="0" locked="0" layoutInCell="1" allowOverlap="1">
                <wp:simplePos x="0" y="0"/>
                <wp:positionH relativeFrom="column">
                  <wp:posOffset>-114300</wp:posOffset>
                </wp:positionH>
                <wp:positionV relativeFrom="paragraph">
                  <wp:posOffset>1270</wp:posOffset>
                </wp:positionV>
                <wp:extent cx="914400" cy="792480"/>
                <wp:effectExtent l="0" t="0" r="0" b="0"/>
                <wp:wrapNone/>
                <wp:docPr id="211" name="文本框 211"/>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62.4pt;width:72pt;z-index:251722752;mso-width-relative:page;mso-height-relative:page;" filled="f" stroked="f" coordsize="21600,21600" o:gfxdata="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ZDwqrUAAAACAEAAA8AAAAAAAAAAQAgAAAAIgAAAGRycy9kb3ducmV2&#10;LnhtbFBLAQIUABQAAAAIAIdO4kDp7CwF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承包人采购材料和工程设备的责任</w:t>
                      </w:r>
                    </w:p>
                  </w:txbxContent>
                </v:textbox>
              </v:shape>
            </w:pict>
          </mc:Fallback>
        </mc:AlternateContent>
      </w:r>
      <w:r>
        <w:rPr>
          <w:rFonts w:hint="eastAsia" w:ascii="宋体" w:hAnsi="宋体" w:cs="宋体"/>
          <w:color w:val="auto"/>
          <w:szCs w:val="21"/>
          <w:highlight w:val="none"/>
        </w:rPr>
        <w:t>承包人采购的材料和工程设备不符合标准与规范、设计要求和合同约定的要求时，应按照监理工程师的指令将其运出施工场地，重新采购符合要求的产品，由此增加的费用和（或）延误的工期由承包人承担。</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3776" behindDoc="0" locked="0" layoutInCell="1" allowOverlap="1">
                <wp:simplePos x="0" y="0"/>
                <wp:positionH relativeFrom="column">
                  <wp:posOffset>-114300</wp:posOffset>
                </wp:positionH>
                <wp:positionV relativeFrom="paragraph">
                  <wp:posOffset>-5080</wp:posOffset>
                </wp:positionV>
                <wp:extent cx="914400" cy="792480"/>
                <wp:effectExtent l="0" t="0" r="0" b="0"/>
                <wp:wrapNone/>
                <wp:docPr id="210" name="文本框 210"/>
                <wp:cNvGraphicFramePr/>
                <a:graphic xmlns:a="http://schemas.openxmlformats.org/drawingml/2006/main">
                  <a:graphicData uri="http://schemas.microsoft.com/office/word/2010/wordprocessingShape">
                    <wps:wsp>
                      <wps:cNvSpPr txBox="1">
                        <a:spLocks noChangeArrowheads="1"/>
                      </wps:cNvSpPr>
                      <wps:spPr bwMode="auto">
                        <a:xfrm>
                          <a:off x="0" y="0"/>
                          <a:ext cx="914400" cy="79248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62.4pt;width:72pt;z-index:251723776;mso-width-relative:page;mso-height-relative:page;" filled="f" stroked="f" coordsize="21600,21600" o:gfxdata="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46q4vUAAAACQEAAA8AAAAAAAAAAQAgAAAAIgAAAGRycy9kb3ducmV2&#10;LnhtbFBLAQIUABQAAAAIAIdO4kBtM5sB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承包人使用采购的材料和工程设备的责任</w:t>
                      </w:r>
                    </w:p>
                  </w:txbxContent>
                </v:textbox>
              </v:shape>
            </w:pict>
          </mc:Fallback>
        </mc:AlternateContent>
      </w:r>
      <w:r>
        <w:rPr>
          <w:rFonts w:hint="eastAsia" w:ascii="宋体" w:hAnsi="宋体" w:cs="宋体"/>
          <w:color w:val="auto"/>
          <w:szCs w:val="21"/>
          <w:highlight w:val="none"/>
        </w:rPr>
        <w:t>监理工程师发现承包人使用不符合标准与规范、设计要求和合同约定要求的材料和工程设备时，应迅速发出指令要求承包人立即停止使用，并拆除、修复或重新采购，由此增加的费用和（或）延误的工期由承包人承担。</w:t>
      </w:r>
    </w:p>
    <w:p>
      <w:pPr>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4800" behindDoc="0" locked="0" layoutInCell="1" allowOverlap="1">
                <wp:simplePos x="0" y="0"/>
                <wp:positionH relativeFrom="column">
                  <wp:posOffset>-114300</wp:posOffset>
                </wp:positionH>
                <wp:positionV relativeFrom="paragraph">
                  <wp:posOffset>242570</wp:posOffset>
                </wp:positionV>
                <wp:extent cx="914400" cy="441960"/>
                <wp:effectExtent l="0" t="0" r="0" b="0"/>
                <wp:wrapNone/>
                <wp:docPr id="209" name="文本框 209"/>
                <wp:cNvGraphicFramePr/>
                <a:graphic xmlns:a="http://schemas.openxmlformats.org/drawingml/2006/main">
                  <a:graphicData uri="http://schemas.microsoft.com/office/word/2010/wordprocessingShape">
                    <wps:wsp>
                      <wps:cNvSpPr txBox="1">
                        <a:spLocks noChangeArrowheads="1"/>
                      </wps:cNvSpPr>
                      <wps:spPr bwMode="auto">
                        <a:xfrm>
                          <a:off x="0" y="0"/>
                          <a:ext cx="914400" cy="44196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1pt;height:34.8pt;width:72pt;z-index:251724800;mso-width-relative:page;mso-height-relative:page;" filled="f" stroked="f" coordsize="21600,21600" o:gfxdata="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3eY1HXAAAACgEAAA8AAAAAAAAAAQAgAAAAIgAAAGRycy9kb3du&#10;cmV2LnhtbFBLAQIUABQAAAAIAIdO4kAUIr0b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承包人不执行指令的责任</w:t>
                      </w:r>
                    </w:p>
                  </w:txbxContent>
                </v:textbox>
              </v:shape>
            </w:pict>
          </mc:Fallback>
        </mc:AlternateContent>
      </w:r>
      <w:r>
        <w:rPr>
          <w:rFonts w:hint="eastAsia" w:ascii="宋体" w:hAnsi="宋体" w:cs="宋体"/>
          <w:b/>
          <w:color w:val="auto"/>
          <w:szCs w:val="21"/>
          <w:highlight w:val="none"/>
        </w:rPr>
        <w:t xml:space="preserve">49.5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承包人不执行监理工程师依据第49.3款和第49.4款规定发出的指令,则发包人可自行或委托第三方执行该指令，由此发生的费用由承包人承担。该笔款项经造价工程师核实后，由发包人从应付或将付给或将付给承包人的工程款中扣除。</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49.6  </w:t>
      </w:r>
      <w:r>
        <w:rPr>
          <w:rFonts w:hint="eastAsia" w:ascii="宋体" w:hAnsi="宋体" w:cs="宋体"/>
          <w:b/>
          <w:color w:val="auto"/>
          <w:szCs w:val="21"/>
          <w:highlight w:val="none"/>
          <w:u w:val="dotted"/>
        </w:rPr>
        <w:t xml:space="preserve">                                                                                                       </w:t>
      </w:r>
      <w:r>
        <w:rPr>
          <w:rFonts w:hint="eastAsia" w:ascii="宋体" w:hAnsi="宋体" w:cs="宋体"/>
          <w:b/>
          <w:color w:val="auto"/>
          <w:szCs w:val="21"/>
          <w:highlight w:val="none"/>
        </w:rPr>
        <w:t xml:space="preserve"> </w:t>
      </w:r>
    </w:p>
    <w:p>
      <w:pPr>
        <w:tabs>
          <w:tab w:val="left" w:pos="12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5824" behindDoc="0" locked="0" layoutInCell="1" allowOverlap="1">
                <wp:simplePos x="0" y="0"/>
                <wp:positionH relativeFrom="column">
                  <wp:posOffset>-114300</wp:posOffset>
                </wp:positionH>
                <wp:positionV relativeFrom="paragraph">
                  <wp:posOffset>45720</wp:posOffset>
                </wp:positionV>
                <wp:extent cx="914400" cy="410845"/>
                <wp:effectExtent l="0" t="0" r="0" b="0"/>
                <wp:wrapNone/>
                <wp:docPr id="208" name="文本框 208"/>
                <wp:cNvGraphicFramePr/>
                <a:graphic xmlns:a="http://schemas.openxmlformats.org/drawingml/2006/main">
                  <a:graphicData uri="http://schemas.microsoft.com/office/word/2010/wordprocessingShape">
                    <wps:wsp>
                      <wps:cNvSpPr txBox="1">
                        <a:spLocks noChangeArrowheads="1"/>
                      </wps:cNvSpPr>
                      <wps:spPr bwMode="auto">
                        <a:xfrm>
                          <a:off x="0" y="0"/>
                          <a:ext cx="914400" cy="4108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2.35pt;width:72pt;z-index:251725824;mso-width-relative:page;mso-height-relative:page;" filled="f" stroked="f" coordsize="21600,21600" o:gfxdata="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6zdtQAAAAIAQAADwAAAAAAAAABACAAAAAiAAAAZHJzL2Rvd25yZXYu&#10;eG1sUEsBAhQAFAAAAAgAh07iQOIQ4uv/AQAA2AMAAA4AAAAAAAAAAQAgAAAAIwEAAGRycy9lMm9E&#10;b2MueG1sUEsFBgAAAAAGAAYAWQEAAJQ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使用替换材料的申请与批准</w:t>
                      </w:r>
                    </w:p>
                  </w:txbxContent>
                </v:textbox>
              </v:shape>
            </w:pict>
          </mc:Fallback>
        </mc:AlternateContent>
      </w:r>
      <w:r>
        <w:rPr>
          <w:rFonts w:hint="eastAsia" w:ascii="宋体" w:hAnsi="宋体" w:cs="宋体"/>
          <w:color w:val="auto"/>
          <w:szCs w:val="21"/>
          <w:highlight w:val="none"/>
        </w:rPr>
        <w:t>承包人需要使用替换材料的，应经监理工程师同意并由其报发包人批准后方可实施，由此引起合同价款的增减由造价工程师与合同双方当事人协商确定；协商不能达成一致的，由造价工程师暂定，通知承包人并抄报发包人。</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49.7  </w:t>
      </w:r>
      <w:r>
        <w:rPr>
          <w:rFonts w:hint="eastAsia" w:ascii="宋体" w:hAnsi="宋体" w:cs="宋体"/>
          <w:b/>
          <w:color w:val="auto"/>
          <w:szCs w:val="21"/>
          <w:highlight w:val="none"/>
          <w:u w:val="dotted"/>
        </w:rPr>
        <w:t xml:space="preserve">                                                                                                       </w:t>
      </w:r>
    </w:p>
    <w:p>
      <w:pPr>
        <w:tabs>
          <w:tab w:val="left" w:pos="1800"/>
        </w:tabs>
        <w:adjustRightInd w:val="0"/>
        <w:snapToGrid w:val="0"/>
        <w:spacing w:beforeLines="50"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6848" behindDoc="0" locked="0" layoutInCell="1" allowOverlap="1">
                <wp:simplePos x="0" y="0"/>
                <wp:positionH relativeFrom="column">
                  <wp:posOffset>-114300</wp:posOffset>
                </wp:positionH>
                <wp:positionV relativeFrom="paragraph">
                  <wp:posOffset>30480</wp:posOffset>
                </wp:positionV>
                <wp:extent cx="914400" cy="819150"/>
                <wp:effectExtent l="0" t="0" r="0" b="0"/>
                <wp:wrapNone/>
                <wp:docPr id="207" name="文本框 207"/>
                <wp:cNvGraphicFramePr/>
                <a:graphic xmlns:a="http://schemas.openxmlformats.org/drawingml/2006/main">
                  <a:graphicData uri="http://schemas.microsoft.com/office/word/2010/wordprocessingShape">
                    <wps:wsp>
                      <wps:cNvSpPr txBox="1">
                        <a:spLocks noChangeArrowheads="1"/>
                      </wps:cNvSpPr>
                      <wps:spPr bwMode="auto">
                        <a:xfrm>
                          <a:off x="0" y="0"/>
                          <a:ext cx="914400" cy="81915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64.5pt;width:72pt;z-index:251726848;mso-width-relative:page;mso-height-relative:page;" filled="f" stroked="f" coordsize="21600,21600" o:gfxdata="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b/bPc9YAAAAJAQAADwAAAAAAAAABACAAAAAiAAAAZHJzL2Rvd25y&#10;ZXYueG1sUEsBAhQAFAAAAAgAh07iQH3dzBcAAgAA2AMAAA4AAAAAAAAAAQAgAAAAJQ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采购材料和工程设备使用前的检验</w:t>
                      </w:r>
                    </w:p>
                  </w:txbxContent>
                </v:textbox>
              </v:shape>
            </w:pict>
          </mc:Fallback>
        </mc:AlternateContent>
      </w:r>
      <w:r>
        <w:rPr>
          <w:rFonts w:hint="eastAsia" w:ascii="宋体" w:hAnsi="宋体" w:cs="宋体"/>
          <w:color w:val="auto"/>
          <w:szCs w:val="21"/>
          <w:highlight w:val="none"/>
        </w:rPr>
        <w:t>承包人采购的材料和工程设备在使用前，应会同监理工程师进行检验试验，查验材料合格证明和产品合格证书。合同双方当事人应做好检验书面记录，并要求指定人选及时办理签认手续。不合格的，禁止在合同工程中使用。</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7872" behindDoc="0" locked="0" layoutInCell="1" allowOverlap="1">
                <wp:simplePos x="0" y="0"/>
                <wp:positionH relativeFrom="column">
                  <wp:posOffset>-114300</wp:posOffset>
                </wp:positionH>
                <wp:positionV relativeFrom="paragraph">
                  <wp:posOffset>207010</wp:posOffset>
                </wp:positionV>
                <wp:extent cx="914400" cy="711835"/>
                <wp:effectExtent l="0" t="0" r="0" b="0"/>
                <wp:wrapNone/>
                <wp:docPr id="206" name="文本框 206"/>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3pt;height:56.05pt;width:72pt;z-index:251727872;mso-width-relative:page;mso-height-relative:page;" filled="f" stroked="f" coordsize="21600,21600" o:gfxdata="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5Q/rbXAAAACgEAAA8AAAAAAAAAAQAgAAAAIgAAAGRycy9kb3du&#10;cmV2LnhtbFBLAQIUABQAAAAIAIdO4kDA3uUy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禁止指定采购材料和工程设备</w:t>
                      </w:r>
                    </w:p>
                  </w:txbxContent>
                </v:textbox>
              </v:shape>
            </w:pict>
          </mc:Fallback>
        </mc:AlternateContent>
      </w:r>
      <w:r>
        <w:rPr>
          <w:rFonts w:hint="eastAsia" w:ascii="宋体" w:hAnsi="宋体" w:cs="宋体"/>
          <w:b/>
          <w:color w:val="auto"/>
          <w:szCs w:val="21"/>
          <w:highlight w:val="none"/>
        </w:rPr>
        <w:t xml:space="preserve">49.8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承包人采购材料和工程设备的，除专用条款另有约定外，发包人不得指定生产厂家或供应商。</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50  材料和工程设备的检验试验</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50.1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28896" behindDoc="0" locked="0" layoutInCell="1" allowOverlap="1">
                <wp:simplePos x="0" y="0"/>
                <wp:positionH relativeFrom="column">
                  <wp:posOffset>-114300</wp:posOffset>
                </wp:positionH>
                <wp:positionV relativeFrom="paragraph">
                  <wp:posOffset>635</wp:posOffset>
                </wp:positionV>
                <wp:extent cx="914400" cy="506095"/>
                <wp:effectExtent l="0" t="0" r="0" b="0"/>
                <wp:wrapNone/>
                <wp:docPr id="205" name="文本框 205"/>
                <wp:cNvGraphicFramePr/>
                <a:graphic xmlns:a="http://schemas.openxmlformats.org/drawingml/2006/main">
                  <a:graphicData uri="http://schemas.microsoft.com/office/word/2010/wordprocessingShape">
                    <wps:wsp>
                      <wps:cNvSpPr txBox="1">
                        <a:spLocks noChangeArrowheads="1"/>
                      </wps:cNvSpPr>
                      <wps:spPr bwMode="auto">
                        <a:xfrm>
                          <a:off x="0" y="0"/>
                          <a:ext cx="914400" cy="50609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9.85pt;width:72pt;z-index:251728896;mso-width-relative:page;mso-height-relative:page;" filled="f" stroked="f" coordsize="21600,21600" o:gfxdata="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ZJPrfUAAAABwEAAA8AAAAAAAAAAQAgAAAAIgAAAGRycy9kb3ducmV2&#10;LnhtbFBLAQIUABQAAAAIAIdO4kBVUfct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进入现场检验试验</w:t>
                      </w:r>
                    </w:p>
                  </w:txbxContent>
                </v:textbox>
              </v:shape>
            </w:pict>
          </mc:Fallback>
        </mc:AlternateContent>
      </w:r>
      <w:r>
        <w:rPr>
          <w:rFonts w:hint="eastAsia" w:ascii="宋体" w:hAnsi="宋体" w:cs="宋体"/>
          <w:color w:val="auto"/>
          <w:szCs w:val="21"/>
          <w:highlight w:val="none"/>
        </w:rPr>
        <w:t>监理工程师及其委派的代表可进入施工场地、材料和工程设备的制造、加工或制配车间等场所参加材料和工程设备等产品的检验试验。承包人应为他们进入上述场所及开展相关工作提供便利和协助。</w:t>
      </w:r>
    </w:p>
    <w:p>
      <w:pPr>
        <w:tabs>
          <w:tab w:val="left" w:pos="360"/>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50.2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1729920" behindDoc="0" locked="0" layoutInCell="1" allowOverlap="1">
                <wp:simplePos x="0" y="0"/>
                <wp:positionH relativeFrom="column">
                  <wp:posOffset>-114300</wp:posOffset>
                </wp:positionH>
                <wp:positionV relativeFrom="paragraph">
                  <wp:posOffset>245110</wp:posOffset>
                </wp:positionV>
                <wp:extent cx="914400" cy="778510"/>
                <wp:effectExtent l="0" t="0" r="0" b="0"/>
                <wp:wrapNone/>
                <wp:docPr id="204" name="文本框 204"/>
                <wp:cNvGraphicFramePr/>
                <a:graphic xmlns:a="http://schemas.openxmlformats.org/drawingml/2006/main">
                  <a:graphicData uri="http://schemas.microsoft.com/office/word/2010/wordprocessingShape">
                    <wps:wsp>
                      <wps:cNvSpPr txBox="1">
                        <a:spLocks noChangeArrowheads="1"/>
                      </wps:cNvSpPr>
                      <wps:spPr bwMode="auto">
                        <a:xfrm>
                          <a:off x="0" y="0"/>
                          <a:ext cx="914400" cy="7785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61.3pt;width:72pt;z-index:251729920;mso-width-relative:page;mso-height-relative:page;" filled="f" stroked="f" coordsize="21600,21600" o:gfxdata="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ULOzDXAAAACgEAAA8AAAAAAAAAAQAgAAAAIgAAAGRycy9kb3du&#10;cmV2LnhtbFBLAQIUABQAAAAIAIdO4kB6U0W+AAIAANgDAAAOAAAAAAAAAAEAIAAAACY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材料和工程设备的见证取样与不见证取样检验试验</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材料和工程设备等产品的检验试验，包括见证取样和不见证取样两种情形：</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标准与规范、涉及结构安全有要求或合同有约定进行见证取样检验试验的材料和工程设备等产品，承包人应在取样前至少提前24小时通知监理工程师参加，并在监理工程师的见证下现场取样，同时送至具有相应资质等级的质量检测机构进行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标准与规范没要求或合同没约定进行见证取样检验试验的材料和工程设备等产品，承包人和监理工程师应按照合同约定进行材料和工程设备等产品的检验试验。承包人和监理工程师应事先协商确定检验试验的时间和地点，并按时到场参加检验试验。如果监理工程师或其委派的代表不能按时到场参加的，监理工程师应至少提前24小时发出延期检验试验指令并书面说明理由，延期不得超过48小时。如果监理工程师或其委派的代表未发出延期指令也未能按时到场检验试验，承包人可自行检验试验，并认为该检验试验是经监理工程师同意下完成的；检验试验完成后，承包人应立即向监理工程师提交检验试验结果的有效证据，监理工程师应予认可。</w:t>
      </w:r>
    </w:p>
    <w:p>
      <w:pPr>
        <w:adjustRightInd w:val="0"/>
        <w:snapToGrid w:val="0"/>
        <w:spacing w:line="360" w:lineRule="auto"/>
        <w:ind w:left="1417" w:leftChars="1" w:hanging="1415" w:hangingChars="671"/>
        <w:rPr>
          <w:rFonts w:ascii="宋体" w:hAnsi="宋体" w:cs="宋体"/>
          <w:color w:val="auto"/>
          <w:szCs w:val="21"/>
          <w:highlight w:val="none"/>
        </w:rPr>
      </w:pPr>
      <w:r>
        <w:rPr>
          <w:rFonts w:hint="eastAsia" w:ascii="宋体" w:hAnsi="宋体" w:cs="宋体"/>
          <w:b/>
          <w:color w:val="auto"/>
          <w:szCs w:val="21"/>
          <w:highlight w:val="none"/>
        </w:rPr>
        <w:t xml:space="preserve">50.3 </w:t>
      </w:r>
      <w:r>
        <w:rPr>
          <w:rFonts w:hint="eastAsia" w:ascii="宋体" w:hAnsi="宋体" w:cs="宋体"/>
          <w:b/>
          <w:color w:val="auto"/>
          <w:szCs w:val="21"/>
          <w:highlight w:val="none"/>
          <w:u w:val="dotted"/>
        </w:rPr>
        <w:t xml:space="preserve">                                                                        </w:t>
      </w:r>
    </w:p>
    <w:p>
      <w:pPr>
        <w:adjustRightInd w:val="0"/>
        <w:snapToGrid w:val="0"/>
        <w:spacing w:line="360" w:lineRule="auto"/>
        <w:ind w:left="1575" w:leftChars="75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8864" behindDoc="0" locked="0" layoutInCell="1" allowOverlap="1">
                <wp:simplePos x="0" y="0"/>
                <wp:positionH relativeFrom="column">
                  <wp:posOffset>-66675</wp:posOffset>
                </wp:positionH>
                <wp:positionV relativeFrom="paragraph">
                  <wp:posOffset>11430</wp:posOffset>
                </wp:positionV>
                <wp:extent cx="914400" cy="557530"/>
                <wp:effectExtent l="0" t="0" r="0" b="0"/>
                <wp:wrapNone/>
                <wp:docPr id="203" name="文本框 203"/>
                <wp:cNvGraphicFramePr/>
                <a:graphic xmlns:a="http://schemas.openxmlformats.org/drawingml/2006/main">
                  <a:graphicData uri="http://schemas.microsoft.com/office/word/2010/wordprocessingShape">
                    <wps:wsp>
                      <wps:cNvSpPr txBox="1">
                        <a:spLocks noChangeArrowheads="1"/>
                      </wps:cNvSpPr>
                      <wps:spPr bwMode="auto">
                        <a:xfrm>
                          <a:off x="0" y="0"/>
                          <a:ext cx="914400" cy="5575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pt;height:43.9pt;width:72pt;z-index:252068864;mso-width-relative:page;mso-height-relative:page;" filled="f" stroked="f" coordsize="21600,21600" o:gfxdata="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4fpbDUAAAACAEAAA8AAAAAAAAAAQAgAAAAIgAAAGRycy9kb3ducmV2&#10;LnhtbFBLAQIUABQAAAAIAIdO4kBF9vY9AAIAANgDAAAOAAAAAAAAAAEAIAAAACM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材料和工程设备的使用</w:t>
                      </w:r>
                    </w:p>
                  </w:txbxContent>
                </v:textbox>
              </v:shape>
            </w:pict>
          </mc:Fallback>
        </mc:AlternateContent>
      </w:r>
      <w:r>
        <w:rPr>
          <w:rFonts w:hint="eastAsia" w:ascii="宋体" w:hAnsi="宋体" w:cs="宋体"/>
          <w:color w:val="auto"/>
          <w:szCs w:val="21"/>
          <w:highlight w:val="none"/>
        </w:rPr>
        <w:t>材料和工程设备等产品检验试验合格的，可在合同工程中使用。材料和工程设备等产品检验试验不合格的，禁止在合同工程中使用，并及时清出施工场地。</w:t>
      </w:r>
    </w:p>
    <w:p>
      <w:pPr>
        <w:tabs>
          <w:tab w:val="left" w:pos="540"/>
        </w:tabs>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50.4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0944" behindDoc="0" locked="0" layoutInCell="1" allowOverlap="1">
                <wp:simplePos x="0" y="0"/>
                <wp:positionH relativeFrom="column">
                  <wp:posOffset>-114300</wp:posOffset>
                </wp:positionH>
                <wp:positionV relativeFrom="paragraph">
                  <wp:posOffset>15240</wp:posOffset>
                </wp:positionV>
                <wp:extent cx="914400" cy="555625"/>
                <wp:effectExtent l="0" t="0" r="0" b="0"/>
                <wp:wrapNone/>
                <wp:docPr id="202" name="文本框 202"/>
                <wp:cNvGraphicFramePr/>
                <a:graphic xmlns:a="http://schemas.openxmlformats.org/drawingml/2006/main">
                  <a:graphicData uri="http://schemas.microsoft.com/office/word/2010/wordprocessingShape">
                    <wps:wsp>
                      <wps:cNvSpPr txBox="1">
                        <a:spLocks noChangeArrowheads="1"/>
                      </wps:cNvSpPr>
                      <wps:spPr bwMode="auto">
                        <a:xfrm>
                          <a:off x="0" y="0"/>
                          <a:ext cx="914400" cy="55562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3.75pt;width:72pt;z-index:251730944;mso-width-relative:page;mso-height-relative:page;" filled="f" stroked="f" coordsize="21600,21600" o:gfxdata="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HER6A1QAAAAgBAAAPAAAAAAAAAAEAIAAAACIAAABkcnMvZG93bnJl&#10;di54bWxQSwECFAAUAAAACACHTuJA68L9DQ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材料和工程设备的检验试验费用</w:t>
                      </w:r>
                    </w:p>
                  </w:txbxContent>
                </v:textbox>
              </v:shape>
            </w:pict>
          </mc:Fallback>
        </mc:AlternateContent>
      </w:r>
      <w:r>
        <w:rPr>
          <w:rFonts w:hint="eastAsia" w:ascii="宋体" w:hAnsi="宋体" w:cs="宋体"/>
          <w:color w:val="auto"/>
          <w:szCs w:val="21"/>
          <w:highlight w:val="none"/>
        </w:rPr>
        <w:t>除合同价款已包括外，材料和工程设备等产品的检验试验费，按照实际发生的费用计算。</w:t>
      </w:r>
    </w:p>
    <w:p>
      <w:pPr>
        <w:tabs>
          <w:tab w:val="left" w:pos="1620"/>
          <w:tab w:val="left" w:pos="1980"/>
          <w:tab w:val="left" w:pos="2160"/>
        </w:tabs>
        <w:adjustRightInd w:val="0"/>
        <w:snapToGrid w:val="0"/>
        <w:spacing w:line="360" w:lineRule="auto"/>
        <w:ind w:left="1617"/>
        <w:rPr>
          <w:rFonts w:ascii="宋体" w:hAnsi="宋体" w:cs="宋体"/>
          <w:color w:val="auto"/>
          <w:szCs w:val="21"/>
          <w:highlight w:val="none"/>
        </w:rPr>
      </w:pPr>
      <w:r>
        <w:rPr>
          <w:rFonts w:hint="eastAsia" w:ascii="宋体" w:hAnsi="宋体" w:cs="宋体"/>
          <w:color w:val="auto"/>
          <w:szCs w:val="21"/>
          <w:highlight w:val="none"/>
        </w:rPr>
        <w:t>（1）现场使用前材料和工程设备等产品的检验试验，发包人供应的，检验试验费由发包人承担；承包人采购的，检验试验费由承包人承担。</w:t>
      </w:r>
    </w:p>
    <w:p>
      <w:pPr>
        <w:tabs>
          <w:tab w:val="left" w:pos="1620"/>
          <w:tab w:val="left" w:pos="2160"/>
          <w:tab w:val="left" w:pos="2520"/>
        </w:tabs>
        <w:adjustRightInd w:val="0"/>
        <w:snapToGrid w:val="0"/>
        <w:spacing w:line="360" w:lineRule="auto"/>
        <w:ind w:left="1619"/>
        <w:rPr>
          <w:rFonts w:ascii="宋体" w:hAnsi="宋体" w:cs="宋体"/>
          <w:b/>
          <w:color w:val="auto"/>
          <w:szCs w:val="21"/>
          <w:highlight w:val="none"/>
        </w:rPr>
      </w:pPr>
      <w:r>
        <w:rPr>
          <w:rFonts w:hint="eastAsia" w:ascii="宋体" w:hAnsi="宋体" w:cs="宋体"/>
          <w:color w:val="auto"/>
          <w:szCs w:val="21"/>
          <w:highlight w:val="none"/>
        </w:rPr>
        <w:t>（2）施工过程中材料和工程设备等产品的检验试验，合格的，检验试验费由发包人承担。不合格的，发包人供应的，检验试验费由发包人承担；承包人采购的，检验试验费由承包人承担。</w:t>
      </w:r>
    </w:p>
    <w:p>
      <w:pPr>
        <w:tabs>
          <w:tab w:val="left" w:pos="1620"/>
          <w:tab w:val="left" w:pos="1980"/>
          <w:tab w:val="left" w:pos="2520"/>
          <w:tab w:val="left" w:pos="270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50.5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1968"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201" name="文本框 2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731968;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zzrCz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POsLN/wEAANgDAAAOAAAAAAAAAAEAIAAAACQBAABkcnMvZTJv&#10;RG9jLnhtbFBLBQYAAAAABgAGAFkBAACV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再次检验试验及其费用承担</w:t>
                      </w:r>
                    </w:p>
                  </w:txbxContent>
                </v:textbox>
              </v:shape>
            </w:pict>
          </mc:Fallback>
        </mc:AlternateContent>
      </w:r>
      <w:r>
        <w:rPr>
          <w:rFonts w:hint="eastAsia" w:ascii="宋体" w:hAnsi="宋体" w:cs="宋体"/>
          <w:color w:val="auto"/>
          <w:szCs w:val="21"/>
          <w:highlight w:val="none"/>
        </w:rPr>
        <w:t>监理工程师对承包人自行检验试验结果有疑问的，或重新查验检验试验结果的，可要求承包人共同对材料和工程设备等产品再次检验试验。</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（1）合格的，再次检验试验费和（或）延误的工期由发包人承担，并向承包人支付合理利润。</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（2）不合格的，发包人供应的，再次检验试验费和（或）延误的工期由发包人承担，并向承包人支付合理利润；承包人采购的，再次检验试验费和（或）延误的工期由承包人承担。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50.6 </w:t>
      </w:r>
      <w:r>
        <w:rPr>
          <w:rFonts w:hint="eastAsia" w:ascii="宋体" w:hAnsi="宋体" w:cs="宋体"/>
          <w:b/>
          <w:color w:val="auto"/>
          <w:szCs w:val="21"/>
          <w:highlight w:val="none"/>
          <w:u w:val="dotted"/>
        </w:rPr>
        <w:t xml:space="preserve">                                                                           </w:t>
      </w:r>
      <w:r>
        <w:rPr>
          <w:rFonts w:ascii="宋体" w:hAnsi="宋体" w:cs="宋体"/>
          <w:color w:val="auto"/>
          <w:szCs w:val="21"/>
          <w:highlight w:val="none"/>
        </w:rPr>
        <mc:AlternateContent>
          <mc:Choice Requires="wps">
            <w:drawing>
              <wp:anchor distT="0" distB="0" distL="114300" distR="114300" simplePos="0" relativeHeight="252052480" behindDoc="0" locked="0" layoutInCell="1" allowOverlap="1">
                <wp:simplePos x="0" y="0"/>
                <wp:positionH relativeFrom="column">
                  <wp:posOffset>-114300</wp:posOffset>
                </wp:positionH>
                <wp:positionV relativeFrom="paragraph">
                  <wp:posOffset>245110</wp:posOffset>
                </wp:positionV>
                <wp:extent cx="914400" cy="690245"/>
                <wp:effectExtent l="0" t="0" r="0" b="0"/>
                <wp:wrapNone/>
                <wp:docPr id="200" name="文本框 200"/>
                <wp:cNvGraphicFramePr/>
                <a:graphic xmlns:a="http://schemas.openxmlformats.org/drawingml/2006/main">
                  <a:graphicData uri="http://schemas.microsoft.com/office/word/2010/wordprocessingShape">
                    <wps:wsp>
                      <wps:cNvSpPr txBox="1">
                        <a:spLocks noChangeArrowheads="1"/>
                      </wps:cNvSpPr>
                      <wps:spPr bwMode="auto">
                        <a:xfrm>
                          <a:off x="0" y="0"/>
                          <a:ext cx="914400" cy="69024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54.35pt;width:72pt;z-index:252052480;mso-width-relative:page;mso-height-relative:page;" filled="f" stroked="f" coordsize="21600,21600" o:gfxdata="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Rc+h9gAAAAKAQAADwAAAAAAAAABACAAAAAiAAAAZHJzL2Rvd25y&#10;ZXYueG1sUEsBAhQAFAAAAAgAh07iQAcJl5/+AQAA2AMAAA4AAAAAAAAAAQAgAAAAJw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材料和工程设备质量有争议的处理</w:t>
                      </w:r>
                    </w:p>
                  </w:txbxContent>
                </v:textbox>
              </v:shape>
            </w:pict>
          </mc:Fallback>
        </mc:AlternateConten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合同双方当事人对材料和工程设备等产品质量有争议的，所需的检验试验费由责任方承担。双方均有责任的，由双方根据其责任划分分别承担。</w:t>
      </w:r>
    </w:p>
    <w:p>
      <w:pPr>
        <w:adjustRightInd w:val="0"/>
        <w:snapToGrid w:val="0"/>
        <w:spacing w:line="360" w:lineRule="auto"/>
        <w:rPr>
          <w:rFonts w:ascii="宋体" w:hAnsi="宋体" w:cs="宋体"/>
          <w:color w:val="auto"/>
          <w:szCs w:val="21"/>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p>
    <w:p>
      <w:pPr>
        <w:tabs>
          <w:tab w:val="left" w:pos="1620"/>
        </w:tabs>
        <w:spacing w:line="360" w:lineRule="auto"/>
        <w:rPr>
          <w:rFonts w:ascii="宋体" w:hAnsi="宋体" w:cs="宋体"/>
          <w:color w:val="auto"/>
          <w:szCs w:val="21"/>
          <w:highlight w:val="none"/>
        </w:rPr>
      </w:pP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51  施工设备和临时设施</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59296" behindDoc="0" locked="0" layoutInCell="1" allowOverlap="1">
                <wp:simplePos x="0" y="0"/>
                <wp:positionH relativeFrom="column">
                  <wp:posOffset>-73660</wp:posOffset>
                </wp:positionH>
                <wp:positionV relativeFrom="paragraph">
                  <wp:posOffset>5715</wp:posOffset>
                </wp:positionV>
                <wp:extent cx="988060" cy="753110"/>
                <wp:effectExtent l="0" t="0" r="0" b="0"/>
                <wp:wrapNone/>
                <wp:docPr id="199" name="文本框 199"/>
                <wp:cNvGraphicFramePr/>
                <a:graphic xmlns:a="http://schemas.openxmlformats.org/drawingml/2006/main">
                  <a:graphicData uri="http://schemas.microsoft.com/office/word/2010/wordprocessingShape">
                    <wps:wsp>
                      <wps:cNvSpPr txBox="1">
                        <a:spLocks noChangeArrowheads="1"/>
                      </wps:cNvSpPr>
                      <wps:spPr bwMode="auto">
                        <a:xfrm>
                          <a:off x="0" y="0"/>
                          <a:ext cx="988060" cy="75311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59.3pt;width:77.8pt;z-index:251959296;mso-width-relative:page;mso-height-relative:page;" filled="f" stroked="f" coordsize="21600,21600" o:gfxdata="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rW6xzVAAAACAEAAA8AAAAAAAAAAQAgAAAAIgAAAGRycy9kb3du&#10;cmV2LnhtbFBLAQIUABQAAAAIAIdO4kBzqAp6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承包人配置的施工设备和临时设施</w:t>
                      </w:r>
                    </w:p>
                  </w:txbxContent>
                </v:textbox>
              </v:shape>
            </w:pict>
          </mc:Fallback>
        </mc:AlternateContent>
      </w:r>
      <w:r>
        <w:rPr>
          <w:rFonts w:hint="eastAsia" w:ascii="宋体" w:hAnsi="宋体" w:cs="宋体"/>
          <w:color w:val="auto"/>
          <w:szCs w:val="21"/>
          <w:highlight w:val="none"/>
        </w:rPr>
        <w:t>承包人应按合同工程进度计划的要求，及时配置施工设备和修建临时设施。除专用条款另有约定外，承包人应自行承担修建临时设施的费用。需要临时占地的，发包人应办理其申请手续并承担相应费用。</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进入施工场地的承包人施工设备，需经监理工程师核查后才能投入使用。承包人更换合同约定自身施工设备的，应经监理工程师同意并由其报发包人批准后方可实施。</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1344" behindDoc="0" locked="0" layoutInCell="1" allowOverlap="1">
                <wp:simplePos x="0" y="0"/>
                <wp:positionH relativeFrom="column">
                  <wp:posOffset>-66675</wp:posOffset>
                </wp:positionH>
                <wp:positionV relativeFrom="paragraph">
                  <wp:posOffset>215900</wp:posOffset>
                </wp:positionV>
                <wp:extent cx="873760" cy="685800"/>
                <wp:effectExtent l="0" t="0" r="0" b="0"/>
                <wp:wrapNone/>
                <wp:docPr id="198" name="文本框 198"/>
                <wp:cNvGraphicFramePr/>
                <a:graphic xmlns:a="http://schemas.openxmlformats.org/drawingml/2006/main">
                  <a:graphicData uri="http://schemas.microsoft.com/office/word/2010/wordprocessingShape">
                    <wps:wsp>
                      <wps:cNvSpPr txBox="1">
                        <a:spLocks noChangeArrowheads="1"/>
                      </wps:cNvSpPr>
                      <wps:spPr bwMode="auto">
                        <a:xfrm>
                          <a:off x="0" y="0"/>
                          <a:ext cx="873760" cy="68580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7pt;height:54pt;width:68.8pt;z-index:251961344;mso-width-relative:page;mso-height-relative:page;" filled="f" stroked="f" coordsize="21600,21600" o:gfxdata="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k+wPdcAAAAKAQAADwAAAAAAAAABACAAAAAiAAAAZHJzL2Rv&#10;d25yZXYueG1sUEsBAhQAFAAAAAgAh07iQFN2lwcCAgAA2AMAAA4AAAAAAAAAAQAgAAAAJgEAAGRy&#10;cy9lMm9Eb2MueG1sUEsFBgAAAAAGAAYAWQEAAJo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发包人提供的施工设备和临时设施</w:t>
                      </w:r>
                    </w:p>
                    <w:p>
                      <w:pPr>
                        <w:spacing w:line="240" w:lineRule="exact"/>
                        <w:rPr>
                          <w:sz w:val="18"/>
                          <w:szCs w:val="18"/>
                        </w:rPr>
                      </w:pPr>
                    </w:p>
                  </w:txbxContent>
                </v:textbox>
              </v:shape>
            </w:pict>
          </mc:Fallback>
        </mc:AlternateContent>
      </w:r>
      <w:r>
        <w:rPr>
          <w:rFonts w:hint="eastAsia" w:ascii="宋体" w:hAnsi="宋体" w:cs="宋体"/>
          <w:b/>
          <w:color w:val="auto"/>
          <w:szCs w:val="21"/>
          <w:highlight w:val="none"/>
        </w:rPr>
        <w:t xml:space="preserve">51.2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如果发包人提供施工设备或临时设施的，合同双方当事人应在专用条款中约定施工设备或临时设施的品种、规格、型号和提供的时间、地点等内容。</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0320"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7" name="文本框 197"/>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960320;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kAAxuAgIAANgDAAAOAAAAAAAAAAEAIAAAACQBAABkcnMv&#10;ZTJvRG9jLnhtbFBLBQYAAAAABgAGAFkBAACYBQ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承包人增加或更换施工设备</w:t>
                      </w:r>
                    </w:p>
                  </w:txbxContent>
                </v:textbox>
              </v:shape>
            </w:pict>
          </mc:Fallback>
        </mc:AlternateContent>
      </w:r>
      <w:r>
        <w:rPr>
          <w:rFonts w:hint="eastAsia" w:ascii="宋体" w:hAnsi="宋体" w:cs="宋体"/>
          <w:color w:val="auto"/>
          <w:szCs w:val="21"/>
          <w:highlight w:val="none"/>
        </w:rPr>
        <w:t>如果承包人使用的施工设备不能满足合同工程进度计划和（或）质量要求的，监理工程师有权要求承包人增加或更换施工设备，承包人应及时增加或更换，由此增加的费用和（或）延误的工期由承包人承担。</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51.4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运至施工现场的施工设备和在施工现场修建的临时设施，均应视为专门用于实施合同工程。除经监理工程师同意并由其报发包人批准，承包人可根据合同工程进度计划撤走闲置的施工设备</w:t>
      </w:r>
      <w:r>
        <w:rPr>
          <w:rFonts w:ascii="宋体" w:hAnsi="宋体" w:cs="宋体"/>
          <w:color w:val="auto"/>
          <w:szCs w:val="21"/>
          <w:highlight w:val="none"/>
        </w:rPr>
        <mc:AlternateContent>
          <mc:Choice Requires="wps">
            <w:drawing>
              <wp:anchor distT="0" distB="0" distL="114300" distR="114300" simplePos="0" relativeHeight="252034048" behindDoc="0" locked="0" layoutInCell="1" allowOverlap="1">
                <wp:simplePos x="0" y="0"/>
                <wp:positionH relativeFrom="column">
                  <wp:posOffset>-114300</wp:posOffset>
                </wp:positionH>
                <wp:positionV relativeFrom="paragraph">
                  <wp:posOffset>46355</wp:posOffset>
                </wp:positionV>
                <wp:extent cx="914400" cy="659130"/>
                <wp:effectExtent l="0" t="0" r="0" b="0"/>
                <wp:wrapNone/>
                <wp:docPr id="196" name="文本框 196"/>
                <wp:cNvGraphicFramePr/>
                <a:graphic xmlns:a="http://schemas.openxmlformats.org/drawingml/2006/main">
                  <a:graphicData uri="http://schemas.microsoft.com/office/word/2010/wordprocessingShape">
                    <wps:wsp>
                      <wps:cNvSpPr txBox="1">
                        <a:spLocks noChangeArrowheads="1"/>
                      </wps:cNvSpPr>
                      <wps:spPr bwMode="auto">
                        <a:xfrm>
                          <a:off x="0" y="0"/>
                          <a:ext cx="914400" cy="659130"/>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51.9pt;width:72pt;z-index:252034048;mso-width-relative:page;mso-height-relative:page;" filled="f" stroked="f" coordsize="21600,21600" o:gfxdata="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6jqlI1QAAAAkBAAAPAAAAAAAAAAEAIAAAACIAAABkcnMvZG93bnJl&#10;di54bWxQSwECFAAUAAAACACHTuJA1T2udgACAADYAwAADgAAAAAAAAABACAAAAAkAQAAZHJzL2Uy&#10;b0RvYy54bWxQSwUGAAAAAAYABgBZAQAAlgU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施工设备和临时设施的使用要求</w:t>
                      </w:r>
                    </w:p>
                  </w:txbxContent>
                </v:textbox>
              </v:shape>
            </w:pict>
          </mc:Fallback>
        </mc:AlternateContent>
      </w:r>
      <w:r>
        <w:rPr>
          <w:rFonts w:hint="eastAsia" w:ascii="宋体" w:hAnsi="宋体" w:cs="宋体"/>
          <w:color w:val="auto"/>
          <w:szCs w:val="21"/>
          <w:highlight w:val="none"/>
        </w:rPr>
        <w:t>外，承包人不得将上述施工设备和临时设施中的任何部分运出施工场地或挪作他用。</w:t>
      </w:r>
    </w:p>
    <w:p>
      <w:pPr>
        <w:tabs>
          <w:tab w:val="left" w:pos="540"/>
        </w:tabs>
        <w:adjustRightInd w:val="0"/>
        <w:snapToGrid w:val="0"/>
        <w:spacing w:beforeLines="100"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52  工程质量检查</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52.1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2992" behindDoc="0" locked="0" layoutInCell="1" allowOverlap="1">
                <wp:simplePos x="0" y="0"/>
                <wp:positionH relativeFrom="column">
                  <wp:posOffset>-73660</wp:posOffset>
                </wp:positionH>
                <wp:positionV relativeFrom="paragraph">
                  <wp:posOffset>5715</wp:posOffset>
                </wp:positionV>
                <wp:extent cx="988060" cy="522605"/>
                <wp:effectExtent l="0" t="0" r="0" b="0"/>
                <wp:wrapNone/>
                <wp:docPr id="195" name="文本框 195"/>
                <wp:cNvGraphicFramePr/>
                <a:graphic xmlns:a="http://schemas.openxmlformats.org/drawingml/2006/main">
                  <a:graphicData uri="http://schemas.microsoft.com/office/word/2010/wordprocessingShape">
                    <wps:wsp>
                      <wps:cNvSpPr txBox="1">
                        <a:spLocks noChangeArrowheads="1"/>
                      </wps:cNvSpPr>
                      <wps:spPr bwMode="auto">
                        <a:xfrm>
                          <a:off x="0" y="0"/>
                          <a:ext cx="988060" cy="522605"/>
                        </a:xfrm>
                        <a:prstGeom prst="rect">
                          <a:avLst/>
                        </a:prstGeom>
                        <a:noFill/>
                        <a:ln>
                          <a:noFill/>
                        </a:ln>
                        <a:effectLst/>
                      </wps:spPr>
                      <wps:txb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45pt;height:41.15pt;width:77.8pt;z-index:251732992;mso-width-relative:page;mso-height-relative:page;" filled="f" stroked="f" coordsize="21600,21600" o:gfxdata="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KbvpUdUAAAAHAQAADwAAAAAAAAABACAAAAAiAAAAZHJzL2Rvd25y&#10;ZXYueG1sUEsBAhQAFAAAAAgAh07iQINNPvABAgAA2AMAAA4AAAAAAAAAAQAgAAAAJAEAAGRycy9l&#10;Mm9Eb2MueG1sUEsFBgAAAAAGAAYAWQEAAJcFAAAAAA==&#10;">
                <v:fill on="f" focussize="0,0"/>
                <v:stroke on="f"/>
                <v:imagedata o:title=""/>
                <o:lock v:ext="edit" aspectratio="f"/>
                <v:textbox>
                  <w:txbxContent>
                    <w:p>
                      <w:pPr>
                        <w:spacing w:line="200" w:lineRule="exact"/>
                        <w:rPr>
                          <w:rFonts w:ascii="楷体_GB2312" w:hAnsi="宋体"/>
                          <w:b/>
                          <w:color w:val="000000"/>
                          <w:sz w:val="18"/>
                          <w:szCs w:val="18"/>
                        </w:rPr>
                      </w:pPr>
                      <w:r>
                        <w:rPr>
                          <w:rFonts w:hint="eastAsia" w:ascii="楷体_GB2312" w:hAnsi="宋体"/>
                          <w:b/>
                          <w:color w:val="000000"/>
                          <w:sz w:val="18"/>
                          <w:szCs w:val="18"/>
                        </w:rPr>
                        <w:t>承包人对工程</w:t>
                      </w:r>
                    </w:p>
                    <w:p>
                      <w:pPr>
                        <w:spacing w:line="200" w:lineRule="exact"/>
                        <w:rPr>
                          <w:rFonts w:ascii="楷体_GB2312" w:hAnsi="宋体"/>
                          <w:b/>
                          <w:color w:val="000000"/>
                          <w:sz w:val="18"/>
                          <w:szCs w:val="18"/>
                        </w:rPr>
                      </w:pPr>
                      <w:r>
                        <w:rPr>
                          <w:rFonts w:hint="eastAsia" w:ascii="楷体_GB2312" w:hAnsi="宋体"/>
                          <w:b/>
                          <w:color w:val="000000"/>
                          <w:sz w:val="18"/>
                          <w:szCs w:val="18"/>
                        </w:rPr>
                        <w:t>质量检查的义</w:t>
                      </w:r>
                    </w:p>
                    <w:p>
                      <w:pPr>
                        <w:spacing w:line="200" w:lineRule="exact"/>
                        <w:rPr>
                          <w:rFonts w:ascii="楷体_GB2312" w:hAnsi="宋体"/>
                          <w:b/>
                          <w:color w:val="000000"/>
                          <w:sz w:val="18"/>
                          <w:szCs w:val="18"/>
                        </w:rPr>
                      </w:pPr>
                      <w:r>
                        <w:rPr>
                          <w:rFonts w:hint="eastAsia" w:ascii="楷体_GB2312" w:hAnsi="宋体"/>
                          <w:b/>
                          <w:color w:val="000000"/>
                          <w:sz w:val="18"/>
                          <w:szCs w:val="18"/>
                        </w:rPr>
                        <w:t>务</w:t>
                      </w:r>
                    </w:p>
                  </w:txbxContent>
                </v:textbox>
              </v:shape>
            </w:pict>
          </mc:Fallback>
        </mc:AlternateContent>
      </w:r>
      <w:r>
        <w:rPr>
          <w:rFonts w:hint="eastAsia" w:ascii="宋体" w:hAnsi="宋体" w:cs="宋体"/>
          <w:color w:val="auto"/>
          <w:szCs w:val="21"/>
          <w:highlight w:val="none"/>
        </w:rPr>
        <w:t>承包人应按照标准与规范、设计要求以及监理工程师依据合同约定发出的指令施工，确保工程质量，随时接受监理工程师的检查，并为监理工程师的检查（包括监理工程师到施工场地，或合同约定的其他地方察看和查阅施工原始记录等）提供便利和协助。</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5984" behindDoc="0" locked="0" layoutInCell="1" allowOverlap="1">
                <wp:simplePos x="0" y="0"/>
                <wp:positionH relativeFrom="column">
                  <wp:posOffset>-73660</wp:posOffset>
                </wp:positionH>
                <wp:positionV relativeFrom="paragraph">
                  <wp:posOffset>8890</wp:posOffset>
                </wp:positionV>
                <wp:extent cx="873760" cy="448310"/>
                <wp:effectExtent l="0" t="0" r="0" b="0"/>
                <wp:wrapNone/>
                <wp:docPr id="194" name="文本框 194"/>
                <wp:cNvGraphicFramePr/>
                <a:graphic xmlns:a="http://schemas.openxmlformats.org/drawingml/2006/main">
                  <a:graphicData uri="http://schemas.microsoft.com/office/word/2010/wordprocessingShape">
                    <wps:wsp>
                      <wps:cNvSpPr txBox="1">
                        <a:spLocks noChangeArrowheads="1"/>
                      </wps:cNvSpPr>
                      <wps:spPr bwMode="auto">
                        <a:xfrm>
                          <a:off x="0" y="0"/>
                          <a:ext cx="873760" cy="44831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35.3pt;width:68.8pt;z-index:251945984;mso-width-relative:page;mso-height-relative:page;" filled="f" stroked="f" coordsize="21600,21600" o:gfxdata="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RqWpPVAAAACAEAAA8AAAAAAAAAAQAgAAAAIgAAAGRycy9kb3du&#10;cmV2LnhtbFBLAQIUABQAAAAIAIdO4kAsspS8AgIAANgDAAAOAAAAAAAAAAEAIAAAACQ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工程质量检查的要求</w:t>
                      </w:r>
                    </w:p>
                  </w:txbxContent>
                </v:textbox>
              </v:shape>
            </w:pict>
          </mc:Fallback>
        </mc:AlternateContent>
      </w:r>
      <w:r>
        <w:rPr>
          <w:rFonts w:hint="eastAsia" w:ascii="宋体" w:hAnsi="宋体" w:cs="宋体"/>
          <w:color w:val="auto"/>
          <w:szCs w:val="21"/>
          <w:highlight w:val="none"/>
        </w:rPr>
        <w:t>承包人应按照合同约定对合同工程的所有部位及其施工工艺进行全过程的质量检查，并做好详细记录，编制工程质量报表，提交监理工程师核实并由其报发包人审批。发包人应通知监理工程师及时对合同工程的所有部位及其施工工艺进行检查；发现质量不合格的，监理工程师应迅速向承包人发出书面指令，通知承包人立即拆除和重新施工。即使经监理工程师检查，也不能免除承包人按照合同约定应承担的任何责任和应履行的任何义务。</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4016" behindDoc="0" locked="0" layoutInCell="1" allowOverlap="1">
                <wp:simplePos x="0" y="0"/>
                <wp:positionH relativeFrom="column">
                  <wp:posOffset>-73660</wp:posOffset>
                </wp:positionH>
                <wp:positionV relativeFrom="paragraph">
                  <wp:posOffset>8890</wp:posOffset>
                </wp:positionV>
                <wp:extent cx="873760" cy="659765"/>
                <wp:effectExtent l="0" t="0" r="0" b="0"/>
                <wp:wrapNone/>
                <wp:docPr id="193" name="文本框 193"/>
                <wp:cNvGraphicFramePr/>
                <a:graphic xmlns:a="http://schemas.openxmlformats.org/drawingml/2006/main">
                  <a:graphicData uri="http://schemas.microsoft.com/office/word/2010/wordprocessingShape">
                    <wps:wsp>
                      <wps:cNvSpPr txBox="1">
                        <a:spLocks noChangeArrowheads="1"/>
                      </wps:cNvSpPr>
                      <wps:spPr bwMode="auto">
                        <a:xfrm>
                          <a:off x="0" y="0"/>
                          <a:ext cx="873760" cy="65976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7pt;height:51.95pt;width:68.8pt;z-index:251734016;mso-width-relative:page;mso-height-relative:page;" filled="f" stroked="f" coordsize="21600,21600" o:gfxdata="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phSAHVAAAACQEAAA8AAAAAAAAAAQAgAAAAIgAAAGRycy9kb3du&#10;cmV2LnhtbFBLAQIUABQAAAAIAIdO4kC0ftN8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工程质量不达标准的处理和责任</w:t>
                      </w:r>
                    </w:p>
                  </w:txbxContent>
                </v:textbox>
              </v:shape>
            </w:pict>
          </mc:Fallback>
        </mc:AlternateContent>
      </w:r>
      <w:r>
        <w:rPr>
          <w:rFonts w:hint="eastAsia" w:ascii="宋体" w:hAnsi="宋体" w:cs="宋体"/>
          <w:color w:val="auto"/>
          <w:szCs w:val="21"/>
          <w:highlight w:val="none"/>
        </w:rPr>
        <w:t>发现工程质量达不到合同约定验收标准，承包人应拆除和重新施工，直到符合合同约定验收标准为止。因承包人的原因达不到合同约定验收标准的，由此增加的费用和（或）延误的工期由承包人承担；因发包人的原因达不到合同约定验收标准的，包括承包人拆除和重新施工费用在内的由此增加的费用和（或）延误的工期由发包人承担，并向承包人支付合理利润。</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5040"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2" name="文本框 192"/>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735040;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BFVgeQ/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质量检查不得影响施工</w:t>
                      </w:r>
                    </w:p>
                  </w:txbxContent>
                </v:textbox>
              </v:shape>
            </w:pict>
          </mc:Fallback>
        </mc:AlternateContent>
      </w:r>
      <w:r>
        <w:rPr>
          <w:rFonts w:hint="eastAsia" w:ascii="宋体" w:hAnsi="宋体" w:cs="宋体"/>
          <w:color w:val="auto"/>
          <w:szCs w:val="21"/>
          <w:highlight w:val="none"/>
        </w:rPr>
        <w:t>监理工程师对合同工程质量的检查，不得影响承包人的正常施工。如影响施工正常进行，承包人应向发包人、监理工程师发出书面改正通知；监理工程师应及时予以改正，否则承包人有权提出并得到补偿。</w:t>
      </w:r>
    </w:p>
    <w:p>
      <w:pPr>
        <w:tabs>
          <w:tab w:val="left" w:pos="54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52.5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7008" behindDoc="0" locked="0" layoutInCell="1" allowOverlap="1">
                <wp:simplePos x="0" y="0"/>
                <wp:positionH relativeFrom="column">
                  <wp:posOffset>-114300</wp:posOffset>
                </wp:positionH>
                <wp:positionV relativeFrom="paragraph">
                  <wp:posOffset>46355</wp:posOffset>
                </wp:positionV>
                <wp:extent cx="914400" cy="440055"/>
                <wp:effectExtent l="0" t="0" r="0" b="0"/>
                <wp:wrapNone/>
                <wp:docPr id="191" name="文本框 191"/>
                <wp:cNvGraphicFramePr/>
                <a:graphic xmlns:a="http://schemas.openxmlformats.org/drawingml/2006/main">
                  <a:graphicData uri="http://schemas.microsoft.com/office/word/2010/wordprocessingShape">
                    <wps:wsp>
                      <wps:cNvSpPr txBox="1">
                        <a:spLocks noChangeArrowheads="1"/>
                      </wps:cNvSpPr>
                      <wps:spPr bwMode="auto">
                        <a:xfrm>
                          <a:off x="0" y="0"/>
                          <a:ext cx="914400" cy="4400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34.65pt;width:72pt;z-index:251947008;mso-width-relative:page;mso-height-relative:page;" filled="f" stroked="f" coordsize="21600,21600" o:gfxdata="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I8aGEHUAAAACAEAAA8AAAAAAAAAAQAgAAAAIgAAAGRycy9kb3ducmV2Lnht&#10;bFBLAQIUABQAAAAIAIdO4kDJNt+d/QEAANgDAAAOAAAAAAAAAAEAIAAAACMBAABkcnMvZTJvRG9j&#10;LnhtbFBLBQYAAAAABgAGAFkBAACS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现场工艺试验</w:t>
                      </w:r>
                    </w:p>
                  </w:txbxContent>
                </v:textbox>
              </v:shape>
            </w:pict>
          </mc:Fallback>
        </mc:AlternateContent>
      </w:r>
      <w:r>
        <w:rPr>
          <w:rFonts w:hint="eastAsia" w:ascii="宋体" w:hAnsi="宋体" w:cs="宋体"/>
          <w:color w:val="auto"/>
          <w:szCs w:val="21"/>
          <w:highlight w:val="none"/>
        </w:rPr>
        <w:t>如合同有约定或监理工程师发出书面指令，承包人应进行现场工艺试验。监理工程师报发包人批准后，认为有必要进行大型现场工艺试验的，承包人应根据监理工程师提出的书面要求，编制工艺试验措施计划，提交监理工程师确认并由其报发包人审批。除工程量清单中已经列有此类工作的支付项目和额度外，由此增加的费用和（或）延误的工期由发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53  隐蔽工程和中间验收</w:t>
      </w:r>
    </w:p>
    <w:p>
      <w:pPr>
        <w:tabs>
          <w:tab w:val="left" w:pos="13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53.1</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6064" behindDoc="0" locked="0" layoutInCell="1" allowOverlap="1">
                <wp:simplePos x="0" y="0"/>
                <wp:positionH relativeFrom="column">
                  <wp:posOffset>-73660</wp:posOffset>
                </wp:positionH>
                <wp:positionV relativeFrom="paragraph">
                  <wp:posOffset>17780</wp:posOffset>
                </wp:positionV>
                <wp:extent cx="873760" cy="454660"/>
                <wp:effectExtent l="0" t="0" r="0" b="0"/>
                <wp:wrapNone/>
                <wp:docPr id="190" name="文本框 190"/>
                <wp:cNvGraphicFramePr/>
                <a:graphic xmlns:a="http://schemas.openxmlformats.org/drawingml/2006/main">
                  <a:graphicData uri="http://schemas.microsoft.com/office/word/2010/wordprocessingShape">
                    <wps:wsp>
                      <wps:cNvSpPr txBox="1">
                        <a:spLocks noChangeArrowheads="1"/>
                      </wps:cNvSpPr>
                      <wps:spPr bwMode="auto">
                        <a:xfrm>
                          <a:off x="0" y="0"/>
                          <a:ext cx="873760" cy="45466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4pt;height:35.8pt;width:68.8pt;z-index:251736064;mso-width-relative:page;mso-height-relative:page;" filled="f" stroked="f" coordsize="21600,21600" o:gfxdata="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osgOzUAAAACAEAAA8AAAAAAAAAAQAgAAAAIgAAAGRycy9kb3ducmV2&#10;LnhtbFBLAQIUABQAAAAIAIdO4kDUEMy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隐蔽工程和中间验收的通知</w:t>
                      </w:r>
                    </w:p>
                  </w:txbxContent>
                </v:textbox>
              </v:shape>
            </w:pict>
          </mc:Fallback>
        </mc:AlternateContent>
      </w:r>
      <w:r>
        <w:rPr>
          <w:rFonts w:hint="eastAsia" w:ascii="宋体" w:hAnsi="宋体" w:cs="宋体"/>
          <w:color w:val="auto"/>
          <w:szCs w:val="21"/>
          <w:highlight w:val="none"/>
        </w:rPr>
        <w:t>没有经监理工程师验收同意，任何工程均不得覆盖或隐蔽。隐蔽工程覆盖前或中间验收部位具备专用条款约定的验收条件时，承包人应进行自检，并在隐蔽或中间验收前48小时向监理工程师提出隐蔽工程或中间验收申请，通知监理工程师验收。通知的内容包括工程隐蔽或中间验收的内容、时间、地点，以及自检记录和必要的验收资料。承包人应准备验收记录，并提供必要的资料和协助。</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7088" behindDoc="0" locked="0" layoutInCell="1" allowOverlap="1">
                <wp:simplePos x="0" y="0"/>
                <wp:positionH relativeFrom="column">
                  <wp:posOffset>-114300</wp:posOffset>
                </wp:positionH>
                <wp:positionV relativeFrom="paragraph">
                  <wp:posOffset>52070</wp:posOffset>
                </wp:positionV>
                <wp:extent cx="914400" cy="466725"/>
                <wp:effectExtent l="0" t="0" r="0" b="0"/>
                <wp:wrapNone/>
                <wp:docPr id="189" name="文本框 189"/>
                <wp:cNvGraphicFramePr/>
                <a:graphic xmlns:a="http://schemas.openxmlformats.org/drawingml/2006/main">
                  <a:graphicData uri="http://schemas.microsoft.com/office/word/2010/wordprocessingShape">
                    <wps:wsp>
                      <wps:cNvSpPr txBox="1">
                        <a:spLocks noChangeArrowheads="1"/>
                      </wps:cNvSpPr>
                      <wps:spPr bwMode="auto">
                        <a:xfrm>
                          <a:off x="0" y="0"/>
                          <a:ext cx="914400" cy="46672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1pt;height:36.75pt;width:72pt;z-index:251737088;mso-width-relative:page;mso-height-relative:page;" filled="f" stroked="f" coordsize="21600,21600" o:gfxdata="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eo09G1QAAAAgBAAAPAAAAAAAAAAEAIAAAACIAAABkcnMvZG93bnJl&#10;di54bWxQSwECFAAUAAAACACHTuJArTvBE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参加验收的限制</w:t>
                      </w:r>
                    </w:p>
                  </w:txbxContent>
                </v:textbox>
              </v:shape>
            </w:pict>
          </mc:Fallback>
        </mc:AlternateContent>
      </w:r>
      <w:r>
        <w:rPr>
          <w:rFonts w:hint="eastAsia" w:ascii="宋体" w:hAnsi="宋体" w:cs="宋体"/>
          <w:color w:val="auto"/>
          <w:szCs w:val="21"/>
          <w:highlight w:val="none"/>
        </w:rPr>
        <w:t>如果监理工程师不能按时参加验收，应至少提前24小时发出延期验收指令并书面说明理由，延期不得超过48小时。如果监理工程师或其委派的代表未发出延期验收指令也未到场验收，承包人可自行验收，并认为该验收是经监理工程师同意下完成的；由此增加的费用和（或）延误的工期由发包人承担，并向承包人支付合理利润。验收完成后，承包人应立即向监理工程师提交验收记录，监理工程师应予认可。监理工程师事后对验收记录有疑问的，可按照第54.1款规定重新验收。</w:t>
      </w:r>
    </w:p>
    <w:p>
      <w:pPr>
        <w:tabs>
          <w:tab w:val="left" w:pos="7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53.3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tabs>
          <w:tab w:val="left" w:pos="2160"/>
        </w:tabs>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8112" behindDoc="0" locked="0" layoutInCell="1" allowOverlap="1">
                <wp:simplePos x="0" y="0"/>
                <wp:positionH relativeFrom="column">
                  <wp:posOffset>-114300</wp:posOffset>
                </wp:positionH>
                <wp:positionV relativeFrom="paragraph">
                  <wp:posOffset>3810</wp:posOffset>
                </wp:positionV>
                <wp:extent cx="914400" cy="476250"/>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37.5pt;width:72pt;z-index:251738112;mso-width-relative:page;mso-height-relative:page;" filled="f" stroked="f" coordsize="21600,21600" o:gfxdata="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kHFrNQAAAAHAQAADwAAAAAAAAABACAAAAAiAAAAZHJzL2Rvd25yZXYu&#10;eG1sUEsBAhQAFAAAAAgAh07iQEzXhYj/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验收结果的确认</w:t>
                      </w:r>
                    </w:p>
                  </w:txbxContent>
                </v:textbox>
              </v:shape>
            </w:pict>
          </mc:Fallback>
        </mc:AlternateContent>
      </w:r>
      <w:r>
        <w:rPr>
          <w:rFonts w:hint="eastAsia" w:ascii="宋体" w:hAnsi="宋体" w:cs="宋体"/>
          <w:color w:val="auto"/>
          <w:szCs w:val="21"/>
          <w:highlight w:val="none"/>
        </w:rPr>
        <w:t>验收合格的，监理工程师应在验收记录上签字，并形成验收文件，承包人可进行隐蔽或继续施工。验收合格24小时后，监理工程师仍不在验收记录上签字，视为监理工程师已认可验收记录。</w:t>
      </w:r>
    </w:p>
    <w:p>
      <w:pPr>
        <w:tabs>
          <w:tab w:val="left" w:pos="216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验收不合格的，承包人应按照监理工程师的指令修改后重新验收，由此增加的费用和（或）延误的工期由承包人承担。</w:t>
      </w:r>
    </w:p>
    <w:p>
      <w:pPr>
        <w:tabs>
          <w:tab w:val="left" w:pos="540"/>
        </w:tabs>
        <w:adjustRightInd w:val="0"/>
        <w:snapToGrid w:val="0"/>
        <w:spacing w:line="36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39136"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7" name="文本框 18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739136;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Ak3r03AAIAANgDAAAOAAAAAAAAAAEAIAAAACY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隐蔽工程的拍摄或照相</w:t>
                      </w:r>
                    </w:p>
                  </w:txbxContent>
                </v:textbox>
              </v:shape>
            </w:pict>
          </mc:Fallback>
        </mc:AlternateContent>
      </w:r>
      <w:r>
        <w:rPr>
          <w:rFonts w:hint="eastAsia" w:ascii="宋体" w:hAnsi="宋体" w:cs="宋体"/>
          <w:b/>
          <w:color w:val="auto"/>
          <w:szCs w:val="21"/>
          <w:highlight w:val="none"/>
        </w:rPr>
        <w:t xml:space="preserve">53.4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如监理工程师有指令，承包人应对隐蔽工程进行拍摄或照相，保证监理工程师能充分检查和测量隐蔽的工程。</w:t>
      </w:r>
    </w:p>
    <w:p>
      <w:pPr>
        <w:tabs>
          <w:tab w:val="left" w:pos="54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48032" behindDoc="0" locked="0" layoutInCell="1" allowOverlap="1">
                <wp:simplePos x="0" y="0"/>
                <wp:positionH relativeFrom="column">
                  <wp:posOffset>-114300</wp:posOffset>
                </wp:positionH>
                <wp:positionV relativeFrom="paragraph">
                  <wp:posOffset>245110</wp:posOffset>
                </wp:positionV>
                <wp:extent cx="914400" cy="396240"/>
                <wp:effectExtent l="0" t="0" r="0" b="0"/>
                <wp:wrapNone/>
                <wp:docPr id="186" name="文本框 18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3pt;height:31.2pt;width:72pt;z-index:251948032;mso-width-relative:page;mso-height-relative:page;" filled="f" stroked="f" coordsize="21600,21600" o:gfxdata="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IIsrLXAAAACgEAAA8AAAAAAAAAAQAgAAAAIgAAAGRycy9kb3du&#10;cmV2LnhtbFBLAQIUABQAAAAIAIdO4kCgAQozAAIAANgDAAAOAAAAAAAAAAEAIAAAACYBAABkcnMv&#10;ZTJvRG9jLnhtbFBLBQYAAAAABgAGAFkBAACY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承包人私自隐蔽</w:t>
                      </w:r>
                    </w:p>
                  </w:txbxContent>
                </v:textbox>
              </v:shape>
            </w:pict>
          </mc:Fallback>
        </mc:AlternateContent>
      </w:r>
      <w:r>
        <w:rPr>
          <w:rFonts w:hint="eastAsia" w:ascii="宋体" w:hAnsi="宋体" w:cs="宋体"/>
          <w:b/>
          <w:color w:val="auto"/>
          <w:szCs w:val="21"/>
          <w:highlight w:val="none"/>
        </w:rPr>
        <w:t xml:space="preserve">53.5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u w:val="single"/>
        </w:rPr>
      </w:pPr>
      <w:r>
        <w:rPr>
          <w:rFonts w:hint="eastAsia" w:ascii="宋体" w:hAnsi="宋体" w:cs="宋体"/>
          <w:color w:val="auto"/>
          <w:szCs w:val="21"/>
          <w:highlight w:val="none"/>
        </w:rPr>
        <w:t>承包人未通知监理工程师到场验收，私自将隐蔽工程覆盖的，监理工程师有权指令承包人进行钻孔探测或剥露验收，由此增加的费用和（或）延误的工期由承包人承担。</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54  重新验收和额外检查检验</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0160" behindDoc="0" locked="0" layoutInCell="1" allowOverlap="1">
                <wp:simplePos x="0" y="0"/>
                <wp:positionH relativeFrom="column">
                  <wp:posOffset>-114300</wp:posOffset>
                </wp:positionH>
                <wp:positionV relativeFrom="paragraph">
                  <wp:posOffset>246380</wp:posOffset>
                </wp:positionV>
                <wp:extent cx="800100" cy="285750"/>
                <wp:effectExtent l="0" t="0" r="0" b="0"/>
                <wp:wrapNone/>
                <wp:docPr id="185" name="文本框 185"/>
                <wp:cNvGraphicFramePr/>
                <a:graphic xmlns:a="http://schemas.openxmlformats.org/drawingml/2006/main">
                  <a:graphicData uri="http://schemas.microsoft.com/office/word/2010/wordprocessingShape">
                    <wps:wsp>
                      <wps:cNvSpPr txBox="1">
                        <a:spLocks noChangeArrowheads="1"/>
                      </wps:cNvSpPr>
                      <wps:spPr bwMode="auto">
                        <a:xfrm>
                          <a:off x="0" y="0"/>
                          <a:ext cx="800100" cy="2857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4pt;height:22.5pt;width:63pt;z-index:251740160;mso-width-relative:page;mso-height-relative:page;" filled="f" stroked="f" coordsize="21600,21600" o:gfxdata="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txwhb1QAAAAkBAAAPAAAAAAAAAAEAIAAAACIAAABkcnMvZG93bnJl&#10;di54bWxQSwECFAAUAAAACACHTuJAJbyEnA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重新验收</w:t>
                      </w:r>
                    </w:p>
                  </w:txbxContent>
                </v:textbox>
              </v:shape>
            </w:pict>
          </mc:Fallback>
        </mc:AlternateContent>
      </w:r>
      <w:r>
        <w:rPr>
          <w:rFonts w:hint="eastAsia" w:ascii="宋体" w:hAnsi="宋体" w:cs="宋体"/>
          <w:b/>
          <w:color w:val="auto"/>
          <w:szCs w:val="21"/>
          <w:highlight w:val="none"/>
        </w:rPr>
        <w:t>54.1</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当监理工程师对已经覆盖的隐蔽工程有疑问，要求重新验收时，承包人应按照要求对已覆盖的部位进行钻孔探测或剥露，并在验收后重新覆盖恢复原状。验收合格的，由此增加的费用和（或）延误的工期由发包人承担，并向承包人支付合理利润；验收不合格的，承包人应按照监理工程师的指令重新返工，直到验收合格为止，由此增加的费用和（或）延误的工期由承包人承担。</w:t>
      </w:r>
    </w:p>
    <w:p>
      <w:pPr>
        <w:tabs>
          <w:tab w:val="left" w:pos="540"/>
          <w:tab w:val="left" w:pos="7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54.2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741184" behindDoc="0" locked="0" layoutInCell="1" allowOverlap="1">
                <wp:simplePos x="0" y="0"/>
                <wp:positionH relativeFrom="column">
                  <wp:posOffset>-114300</wp:posOffset>
                </wp:positionH>
                <wp:positionV relativeFrom="paragraph">
                  <wp:posOffset>7620</wp:posOffset>
                </wp:positionV>
                <wp:extent cx="970280" cy="627380"/>
                <wp:effectExtent l="0" t="0" r="0" b="0"/>
                <wp:wrapNone/>
                <wp:docPr id="184" name="文本框 184"/>
                <wp:cNvGraphicFramePr/>
                <a:graphic xmlns:a="http://schemas.openxmlformats.org/drawingml/2006/main">
                  <a:graphicData uri="http://schemas.microsoft.com/office/word/2010/wordprocessingShape">
                    <wps:wsp>
                      <wps:cNvSpPr txBox="1">
                        <a:spLocks noChangeArrowheads="1"/>
                      </wps:cNvSpPr>
                      <wps:spPr bwMode="auto">
                        <a:xfrm>
                          <a:off x="0" y="0"/>
                          <a:ext cx="970280" cy="6273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49.4pt;width:76.4pt;z-index:251741184;mso-width-relative:page;mso-height-relative:page;" filled="f" stroked="f" coordsize="21600,21600" o:gfxdata="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YFonVAAAACQEAAA8AAAAAAAAAAQAgAAAAIgAAAGRycy9kb3ducmV2&#10;LnhtbFBLAQIUABQAAAAIAIdO4kATN9fY/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额外检查检验</w:t>
                      </w:r>
                    </w:p>
                  </w:txbxContent>
                </v:textbox>
              </v:shape>
            </w:pict>
          </mc:Fallback>
        </mc:AlternateContent>
      </w:r>
      <w:r>
        <w:rPr>
          <w:rFonts w:hint="eastAsia" w:ascii="宋体" w:hAnsi="宋体" w:cs="宋体"/>
          <w:color w:val="auto"/>
          <w:szCs w:val="21"/>
          <w:highlight w:val="none"/>
        </w:rPr>
        <w:t>当监理工程师指令承包人进行合同中没有约定的检查检验，以核实合同工程某一部位或某种材料和工程设备等产品是否有缺陷时，承包人应按照要求进行检查检验。存在缺陷的，分别按照第50.5款、第52.3款规定处理；没有缺陷的，检查检验的费用和（或）延误的工期由发包人承担，并向承包人支付合理利润。</w:t>
      </w:r>
    </w:p>
    <w:p>
      <w:pPr>
        <w:adjustRightInd w:val="0"/>
        <w:snapToGrid w:val="0"/>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55  工程试车</w:t>
      </w:r>
    </w:p>
    <w:p>
      <w:pPr>
        <w:adjustRightInd w:val="0"/>
        <w:snapToGrid w:val="0"/>
        <w:spacing w:line="360" w:lineRule="auto"/>
        <w:ind w:left="-2" w:leftChars="-1" w:firstLine="1"/>
        <w:rPr>
          <w:rFonts w:ascii="宋体" w:hAnsi="宋体" w:cs="宋体"/>
          <w:b/>
          <w:color w:val="auto"/>
          <w:szCs w:val="21"/>
          <w:highlight w:val="none"/>
        </w:rPr>
      </w:pPr>
      <w:r>
        <w:rPr>
          <w:rFonts w:hint="eastAsia" w:ascii="宋体" w:hAnsi="宋体" w:cs="宋体"/>
          <w:b/>
          <w:color w:val="auto"/>
          <w:szCs w:val="21"/>
          <w:highlight w:val="none"/>
        </w:rPr>
        <w:t xml:space="preserve">55.1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5696" behindDoc="0" locked="0" layoutInCell="1" allowOverlap="1">
                <wp:simplePos x="0" y="0"/>
                <wp:positionH relativeFrom="column">
                  <wp:posOffset>-114300</wp:posOffset>
                </wp:positionH>
                <wp:positionV relativeFrom="paragraph">
                  <wp:posOffset>16510</wp:posOffset>
                </wp:positionV>
                <wp:extent cx="800100" cy="297180"/>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试车内容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3.4pt;width:63pt;z-index:251805696;mso-width-relative:page;mso-height-relative:page;" filled="f" stroked="f" coordsize="21600,21600" o:gfxdata="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wd7K/1AAAAAgBAAAPAAAAAAAAAAEAIAAAACIAAABkcnMvZG93bnJl&#10;di54bWxQSwECFAAUAAAACACHTuJAOiCKugECAADYAwAADgAAAAAAAAABACAAAAAjAQAAZHJzL2Uy&#10;b0RvYy54bWxQSwUGAAAAAAYABgBZAQAAlgU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试车内容</w:t>
                      </w:r>
                    </w:p>
                  </w:txbxContent>
                </v:textbox>
              </v:shape>
            </w:pict>
          </mc:Fallback>
        </mc:AlternateContent>
      </w:r>
      <w:r>
        <w:rPr>
          <w:rFonts w:hint="eastAsia" w:ascii="宋体" w:hAnsi="宋体" w:cs="宋体"/>
          <w:color w:val="auto"/>
          <w:szCs w:val="21"/>
          <w:highlight w:val="none"/>
        </w:rPr>
        <w:t>按照合同约定需要试车的，试车的内容应与承包人承包的安装范围相一致。</w:t>
      </w:r>
    </w:p>
    <w:p>
      <w:pPr>
        <w:tabs>
          <w:tab w:val="left" w:pos="540"/>
        </w:tabs>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55.2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6720" behindDoc="0" locked="0" layoutInCell="1" allowOverlap="1">
                <wp:simplePos x="0" y="0"/>
                <wp:positionH relativeFrom="column">
                  <wp:posOffset>-114300</wp:posOffset>
                </wp:positionH>
                <wp:positionV relativeFrom="paragraph">
                  <wp:posOffset>3175</wp:posOffset>
                </wp:positionV>
                <wp:extent cx="914400" cy="46926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914400" cy="46926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36.95pt;width:72pt;z-index:251806720;mso-width-relative:page;mso-height-relative:page;" filled="f" stroked="f" coordsize="21600,21600" o:gfxdata="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sH9tnUAAAABwEAAA8AAAAAAAAAAQAgAAAAIgAAAGRycy9kb3ducmV2&#10;LnhtbFBLAQIUABQAAAAIAIdO4kCH1Ze7AAIAANgDAAAOAAAAAAAAAAEAIAAAACM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单机试车的通知和限制</w:t>
                      </w:r>
                    </w:p>
                  </w:txbxContent>
                </v:textbox>
              </v:shape>
            </w:pict>
          </mc:Fallback>
        </mc:AlternateContent>
      </w:r>
      <w:r>
        <w:rPr>
          <w:rFonts w:hint="eastAsia" w:ascii="宋体" w:hAnsi="宋体" w:cs="宋体"/>
          <w:color w:val="auto"/>
          <w:szCs w:val="21"/>
          <w:highlight w:val="none"/>
        </w:rPr>
        <w:t>设备安装工程具备单机无负荷试车条件时，承包人应组织试车，并在试车前48小时以书面形式通知监理工程师。通知包括试车内容、时间和地点。承包人应自行准备试车记录，发包人应为承包人试车提供便利和协助。</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监理工程师不能按时参加试车的，应在开始试车前至少提前24小时发出延期试车指令并书面说明理由，延期不能超过48小时。监理工程师未发出延期试车指令也未能按时参加试车的，承包人可自行试车，并认为试车是经监理工程师同意下完成的。试车完成后，承包人应立即向监理工程师提交试车记录，监理工程师应予认可。</w:t>
      </w:r>
    </w:p>
    <w:p>
      <w:pPr>
        <w:adjustRightInd w:val="0"/>
        <w:snapToGrid w:val="0"/>
        <w:spacing w:line="360" w:lineRule="auto"/>
        <w:rPr>
          <w:rFonts w:ascii="宋体" w:hAnsi="宋体" w:cs="宋体"/>
          <w:color w:val="auto"/>
          <w:szCs w:val="21"/>
          <w:highlight w:val="none"/>
          <w:u w:val="dotted"/>
        </w:rPr>
      </w:pPr>
      <w:r>
        <w:rPr>
          <w:rFonts w:hint="eastAsia" w:ascii="宋体" w:hAnsi="宋体" w:cs="宋体"/>
          <w:b/>
          <w:color w:val="auto"/>
          <w:szCs w:val="21"/>
          <w:highlight w:val="none"/>
        </w:rPr>
        <w:t xml:space="preserve">55.3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7744" behindDoc="0" locked="0" layoutInCell="1" allowOverlap="1">
                <wp:simplePos x="0" y="0"/>
                <wp:positionH relativeFrom="column">
                  <wp:posOffset>-73660</wp:posOffset>
                </wp:positionH>
                <wp:positionV relativeFrom="paragraph">
                  <wp:posOffset>635</wp:posOffset>
                </wp:positionV>
                <wp:extent cx="873760" cy="471805"/>
                <wp:effectExtent l="0" t="0" r="0" b="0"/>
                <wp:wrapNone/>
                <wp:docPr id="181" name="文本框 181"/>
                <wp:cNvGraphicFramePr/>
                <a:graphic xmlns:a="http://schemas.openxmlformats.org/drawingml/2006/main">
                  <a:graphicData uri="http://schemas.microsoft.com/office/word/2010/wordprocessingShape">
                    <wps:wsp>
                      <wps:cNvSpPr txBox="1">
                        <a:spLocks noChangeArrowheads="1"/>
                      </wps:cNvSpPr>
                      <wps:spPr bwMode="auto">
                        <a:xfrm>
                          <a:off x="0" y="0"/>
                          <a:ext cx="873760" cy="471805"/>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05pt;height:37.15pt;width:68.8pt;z-index:251807744;mso-width-relative:page;mso-height-relative:page;" filled="f" stroked="f" coordsize="21600,21600" o:gfxdata="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KAs6D1AAAAAcBAAAPAAAAAAAAAAEAIAAAACIAAABkcnMvZG93bnJl&#10;di54bWxQSwECFAAUAAAACACHTuJASbFnogECAADYAwAADgAAAAAAAAABACAAAAAjAQAAZHJzL2Uy&#10;b0RvYy54bWxQSwUGAAAAAAYABgBZAQAAlgU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单机试车结果的确认</w:t>
                      </w:r>
                    </w:p>
                  </w:txbxContent>
                </v:textbox>
              </v:shape>
            </w:pict>
          </mc:Fallback>
        </mc:AlternateContent>
      </w:r>
      <w:r>
        <w:rPr>
          <w:rFonts w:hint="eastAsia" w:ascii="宋体" w:hAnsi="宋体" w:cs="宋体"/>
          <w:color w:val="auto"/>
          <w:szCs w:val="21"/>
          <w:highlight w:val="none"/>
        </w:rPr>
        <w:t>单机试车合格，监理工程师应在试车记录上签字，承包人可继续施工或申请办理竣工验收手续。单机试车合格24小时后，监理工程师仍不在试车记录上签字的，视为监理工程师已认可试车记录。</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55.4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8768" behindDoc="0" locked="0" layoutInCell="1" allowOverlap="1">
                <wp:simplePos x="0" y="0"/>
                <wp:positionH relativeFrom="column">
                  <wp:posOffset>-73660</wp:posOffset>
                </wp:positionH>
                <wp:positionV relativeFrom="paragraph">
                  <wp:posOffset>11430</wp:posOffset>
                </wp:positionV>
                <wp:extent cx="873760" cy="492760"/>
                <wp:effectExtent l="0" t="0" r="0" b="0"/>
                <wp:wrapNone/>
                <wp:docPr id="180" name="文本框 180"/>
                <wp:cNvGraphicFramePr/>
                <a:graphic xmlns:a="http://schemas.openxmlformats.org/drawingml/2006/main">
                  <a:graphicData uri="http://schemas.microsoft.com/office/word/2010/wordprocessingShape">
                    <wps:wsp>
                      <wps:cNvSpPr txBox="1">
                        <a:spLocks noChangeArrowheads="1"/>
                      </wps:cNvSpPr>
                      <wps:spPr bwMode="auto">
                        <a:xfrm>
                          <a:off x="0" y="0"/>
                          <a:ext cx="873760" cy="492760"/>
                        </a:xfrm>
                        <a:prstGeom prst="rect">
                          <a:avLst/>
                        </a:prstGeom>
                        <a:noFill/>
                        <a:ln>
                          <a:noFill/>
                        </a:ln>
                        <a:effectLst/>
                      </wps:spPr>
                      <wps:txb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0.9pt;height:38.8pt;width:68.8pt;z-index:251808768;mso-width-relative:page;mso-height-relative:page;" filled="f" stroked="f" coordsize="21600,21600" o:gfxdata="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cVsADVAAAACAEAAA8AAAAAAAAAAQAgAAAAIgAAAGRycy9kb3ducmV2&#10;LnhtbFBLAQIUABQAAAAIAIdO4kASgiuT/wEAANgDAAAOAAAAAAAAAAEAIAAAACQBAABkcnMvZTJv&#10;RG9jLnhtbFBLBQYAAAAABgAGAFkBAACVBQAAAAA=&#10;">
                <v:fill on="f" focussize="0,0"/>
                <v:stroke on="f"/>
                <v:imagedata o:title=""/>
                <o:lock v:ext="edit" aspectratio="f"/>
                <v:textbox>
                  <w:txbxContent>
                    <w:p>
                      <w:pPr>
                        <w:jc w:val="left"/>
                        <w:rPr>
                          <w:rFonts w:ascii="楷体_GB2312" w:hAnsi="宋体"/>
                          <w:b/>
                          <w:color w:val="000000"/>
                          <w:sz w:val="18"/>
                          <w:szCs w:val="18"/>
                        </w:rPr>
                      </w:pPr>
                      <w:r>
                        <w:rPr>
                          <w:rFonts w:hint="eastAsia" w:ascii="楷体_GB2312" w:hAnsi="宋体"/>
                          <w:b/>
                          <w:color w:val="000000"/>
                          <w:sz w:val="18"/>
                          <w:szCs w:val="18"/>
                        </w:rPr>
                        <w:t>联动试车通知和结果的确认</w:t>
                      </w:r>
                    </w:p>
                  </w:txbxContent>
                </v:textbox>
              </v:shape>
            </w:pict>
          </mc:Fallback>
        </mc:AlternateContent>
      </w:r>
      <w:r>
        <w:rPr>
          <w:rFonts w:hint="eastAsia" w:ascii="宋体" w:hAnsi="宋体" w:cs="宋体"/>
          <w:color w:val="auto"/>
          <w:szCs w:val="21"/>
          <w:highlight w:val="none"/>
        </w:rPr>
        <w:t>设备安装工程具备联动无负荷试车条件时，发包人应组织试车，并在试车前48小时以书面形式通知承包人。通知包括试车内容、时间、地点和对承包人的要求，承包人应按照要求做好准备工作。试车合格，合同双方当事人均应在试车记录上签字。</w:t>
      </w:r>
    </w:p>
    <w:p>
      <w:pPr>
        <w:adjustRightInd w:val="0"/>
        <w:snapToGrid w:val="0"/>
        <w:spacing w:line="36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55.5  </w:t>
      </w:r>
      <w:r>
        <w:rPr>
          <w:rFonts w:hint="eastAsia" w:ascii="宋体" w:hAnsi="宋体" w:cs="宋体"/>
          <w:b/>
          <w:color w:val="auto"/>
          <w:szCs w:val="21"/>
          <w:highlight w:val="none"/>
          <w:u w:val="dotted"/>
        </w:rPr>
        <w:t xml:space="preserve">                                                                                                        </w:t>
      </w:r>
    </w:p>
    <w:p>
      <w:pPr>
        <w:adjustRightInd w:val="0"/>
        <w:snapToGrid w:val="0"/>
        <w:spacing w:line="360" w:lineRule="auto"/>
        <w:ind w:left="1620"/>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09792" behindDoc="0" locked="0" layoutInCell="1" allowOverlap="1">
                <wp:simplePos x="0" y="0"/>
                <wp:positionH relativeFrom="column">
                  <wp:posOffset>-114300</wp:posOffset>
                </wp:positionH>
                <wp:positionV relativeFrom="paragraph">
                  <wp:posOffset>-6350</wp:posOffset>
                </wp:positionV>
                <wp:extent cx="883920" cy="427990"/>
                <wp:effectExtent l="0" t="0" r="0" b="0"/>
                <wp:wrapNone/>
                <wp:docPr id="179" name="文本框 179"/>
                <wp:cNvGraphicFramePr/>
                <a:graphic xmlns:a="http://schemas.openxmlformats.org/drawingml/2006/main">
                  <a:graphicData uri="http://schemas.microsoft.com/office/word/2010/wordprocessingShape">
                    <wps:wsp>
                      <wps:cNvSpPr txBox="1">
                        <a:spLocks noChangeArrowheads="1"/>
                      </wps:cNvSpPr>
                      <wps:spPr bwMode="auto">
                        <a:xfrm>
                          <a:off x="0" y="0"/>
                          <a:ext cx="883920" cy="42799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33.7pt;width:69.6pt;z-index:251809792;mso-width-relative:page;mso-height-relative:page;" filled="f" stroked="f" coordsize="21600,21600" o:gfxdata="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CYfOHWAAAACQEAAA8AAAAAAAAAAQAgAAAAIgAAAGRycy9kb3du&#10;cmV2LnhtbFBLAQIUABQAAAAIAIdO4kAD9jLlAQIAANgDAAAOAAAAAAAAAAEAIAAAACUBAABkcnMv&#10;ZTJvRG9jLnhtbFBLBQYAAAAABgAGAFkBAACYBQ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试车费用和不达要求处理</w:t>
                      </w:r>
                    </w:p>
                  </w:txbxContent>
                </v:textbox>
              </v:shape>
            </w:pict>
          </mc:Fallback>
        </mc:AlternateContent>
      </w:r>
      <w:r>
        <w:rPr>
          <w:rFonts w:hint="eastAsia" w:ascii="宋体" w:hAnsi="宋体" w:cs="宋体"/>
          <w:color w:val="auto"/>
          <w:szCs w:val="21"/>
          <w:highlight w:val="none"/>
        </w:rPr>
        <w:t xml:space="preserve">试车费用，除已含在合同价款外，由发包人承担。试车达不到验收要求的，按照下列规定处理： </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由于设计原因试车达不到验收要求，发包人应要求设计人修改设计，承包人按照修改后的设计重新安装。发包人承担修改设计、拆除及重新安装的全部费用和延误的工期。</w:t>
      </w:r>
    </w:p>
    <w:p>
      <w:pPr>
        <w:numPr>
          <w:ilvl w:val="0"/>
          <w:numId w:val="26"/>
        </w:numPr>
        <w:tabs>
          <w:tab w:val="left" w:pos="1080"/>
          <w:tab w:val="left" w:pos="1620"/>
        </w:tabs>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设备制造质量原因试车达不到验收要求，由该责任方重新购置或修理，承包人负责拆除和重新安装。设备由承包人采购的，由承包人承担修理或重新采购、拆除及重新安装的费用和延误的工期；设备由发包人供应的，发包人承担上述各项费用和延误的工期。</w:t>
      </w:r>
    </w:p>
    <w:p>
      <w:pPr>
        <w:numPr>
          <w:ilvl w:val="0"/>
          <w:numId w:val="26"/>
        </w:numPr>
        <w:tabs>
          <w:tab w:val="left" w:pos="1080"/>
          <w:tab w:val="left" w:pos="1980"/>
        </w:tabs>
        <w:adjustRightInd w:val="0"/>
        <w:snapToGrid w:val="0"/>
        <w:spacing w:line="360" w:lineRule="auto"/>
        <w:ind w:left="1617" w:leftChars="770"/>
        <w:rPr>
          <w:rFonts w:ascii="宋体" w:hAnsi="宋体" w:cs="宋体"/>
          <w:color w:val="auto"/>
          <w:szCs w:val="21"/>
          <w:highlight w:val="none"/>
        </w:rPr>
      </w:pPr>
      <w:r>
        <w:rPr>
          <w:rFonts w:hint="eastAsia" w:ascii="宋体" w:hAnsi="宋体" w:cs="宋体"/>
          <w:color w:val="auto"/>
          <w:szCs w:val="21"/>
          <w:highlight w:val="none"/>
        </w:rPr>
        <w:t>由于承包人施工原因试车达不到验收要求，承包人应按照监理工程师要求重新安装和试车，并承担拆除、重新安装和重新试车的费用和延误的工期。</w:t>
      </w:r>
    </w:p>
    <w:p>
      <w:pPr>
        <w:adjustRightInd w:val="0"/>
        <w:snapToGrid w:val="0"/>
        <w:rPr>
          <w:rFonts w:ascii="宋体" w:hAnsi="宋体" w:cs="宋体"/>
          <w:b/>
          <w:color w:val="auto"/>
          <w:szCs w:val="21"/>
          <w:highlight w:val="none"/>
          <w:u w:val="dotted"/>
        </w:rPr>
      </w:pPr>
      <w:r>
        <w:rPr>
          <w:rFonts w:hint="eastAsia" w:ascii="宋体" w:hAnsi="宋体" w:cs="宋体"/>
          <w:b/>
          <w:color w:val="auto"/>
          <w:szCs w:val="21"/>
          <w:highlight w:val="none"/>
        </w:rPr>
        <w:t xml:space="preserve">55.6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0816" behindDoc="0" locked="0" layoutInCell="1" allowOverlap="1">
                <wp:simplePos x="0" y="0"/>
                <wp:positionH relativeFrom="column">
                  <wp:posOffset>-114300</wp:posOffset>
                </wp:positionH>
                <wp:positionV relativeFrom="paragraph">
                  <wp:posOffset>10160</wp:posOffset>
                </wp:positionV>
                <wp:extent cx="800100" cy="297180"/>
                <wp:effectExtent l="0" t="0" r="0" b="0"/>
                <wp:wrapNone/>
                <wp:docPr id="178" name="文本框 178"/>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pt;height:23.4pt;width:63pt;z-index:251810816;mso-width-relative:page;mso-height-relative:page;" filled="f" stroked="f" coordsize="21600,21600" o:gfxdata="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ZztIDUAAAACAEAAA8AAAAAAAAAAQAgAAAAIgAAAGRycy9kb3ducmV2&#10;LnhtbFBLAQIUABQAAAAIAIdO4kDT+gFQ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投料试车</w:t>
                      </w:r>
                    </w:p>
                  </w:txbxContent>
                </v:textbox>
              </v:shape>
            </w:pict>
          </mc:Fallback>
        </mc:AlternateContent>
      </w:r>
      <w:r>
        <w:rPr>
          <w:rFonts w:hint="eastAsia" w:ascii="宋体" w:hAnsi="宋体" w:cs="宋体"/>
          <w:color w:val="auto"/>
          <w:kern w:val="0"/>
          <w:szCs w:val="21"/>
          <w:highlight w:val="none"/>
        </w:rPr>
        <w:t>投料试车应在永久工程竣工验收后，由发包人负责。如果发包人要求在永久工程竣工验收前进行试车或需要承包人配合时，应事先取得承包人同意，并另行签订补充协议。</w:t>
      </w:r>
    </w:p>
    <w:p>
      <w:pPr>
        <w:adjustRightInd w:val="0"/>
        <w:snapToGrid w:val="0"/>
        <w:spacing w:line="240" w:lineRule="exact"/>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56  工程变更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56.1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1104" behindDoc="0" locked="0" layoutInCell="1" allowOverlap="1">
                <wp:simplePos x="0" y="0"/>
                <wp:positionH relativeFrom="column">
                  <wp:posOffset>-114300</wp:posOffset>
                </wp:positionH>
                <wp:positionV relativeFrom="paragraph">
                  <wp:posOffset>1270</wp:posOffset>
                </wp:positionV>
                <wp:extent cx="1028700" cy="297180"/>
                <wp:effectExtent l="0" t="0" r="0" b="0"/>
                <wp:wrapNone/>
                <wp:docPr id="177" name="文本框 177"/>
                <wp:cNvGraphicFramePr/>
                <a:graphic xmlns:a="http://schemas.openxmlformats.org/drawingml/2006/main">
                  <a:graphicData uri="http://schemas.microsoft.com/office/word/2010/wordprocessingShape">
                    <wps:wsp>
                      <wps:cNvSpPr txBox="1">
                        <a:spLocks noChangeArrowheads="1"/>
                      </wps:cNvSpPr>
                      <wps:spPr bwMode="auto">
                        <a:xfrm>
                          <a:off x="0" y="0"/>
                          <a:ext cx="1028700" cy="29718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pt;height:23.4pt;width:81pt;z-index:251951104;mso-width-relative:page;mso-height-relative:page;" filled="f" stroked="f" coordsize="21600,21600" o:gfxdata="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rMkyrTAAAABwEAAA8AAAAAAAAAAQAgAAAAIgAAAGRycy9kb3ducmV2&#10;LnhtbFBLAQIUABQAAAAIAIdO4kA0G3wQAQIAANkDAAAOAAAAAAAAAAEAIAAAACI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工程变更权限</w:t>
                      </w:r>
                    </w:p>
                  </w:txbxContent>
                </v:textbox>
              </v:shape>
            </w:pict>
          </mc:Fallback>
        </mc:AlternateContent>
      </w:r>
      <w:r>
        <w:rPr>
          <w:rFonts w:hint="eastAsia" w:ascii="宋体" w:hAnsi="宋体" w:cs="宋体"/>
          <w:color w:val="auto"/>
          <w:kern w:val="0"/>
          <w:szCs w:val="21"/>
          <w:highlight w:val="none"/>
        </w:rPr>
        <w:t>合同履行期间，经发包人批准，监理工程师可按照第56.3款约定的变更程序向承包人发出变更指令，承包人应按照合同约定实施变更工作。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没有经发包人批准也没有监理工程师的工程变更指令，承包人应按照合同约定施工，无权对合同工程作出任何变更。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工程量偏差不属于工程变更，该项工程量增减不需要任何指令。</w:t>
      </w:r>
    </w:p>
    <w:p>
      <w:pPr>
        <w:adjustRightInd w:val="0"/>
        <w:snapToGrid w:val="0"/>
        <w:rPr>
          <w:rFonts w:ascii="宋体" w:hAnsi="宋体" w:cs="宋体"/>
          <w:color w:val="auto"/>
          <w:kern w:val="0"/>
          <w:szCs w:val="21"/>
          <w:highlight w:val="none"/>
        </w:rPr>
      </w:pPr>
      <w:r>
        <w:rPr>
          <w:rFonts w:hint="eastAsia" w:ascii="宋体" w:hAnsi="宋体" w:cs="宋体"/>
          <w:b/>
          <w:color w:val="auto"/>
          <w:kern w:val="0"/>
          <w:szCs w:val="21"/>
          <w:highlight w:val="none"/>
        </w:rPr>
        <w:t xml:space="preserve">56.2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2128" behindDoc="0" locked="0" layoutInCell="1" allowOverlap="1">
                <wp:simplePos x="0" y="0"/>
                <wp:positionH relativeFrom="column">
                  <wp:posOffset>-114300</wp:posOffset>
                </wp:positionH>
                <wp:positionV relativeFrom="paragraph">
                  <wp:posOffset>69850</wp:posOffset>
                </wp:positionV>
                <wp:extent cx="914400" cy="396240"/>
                <wp:effectExtent l="0" t="0" r="0" b="0"/>
                <wp:wrapNone/>
                <wp:docPr id="176" name="文本框 176"/>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5pt;height:31.2pt;width:72pt;z-index:251952128;mso-width-relative:page;mso-height-relative:page;" filled="f" stroked="f" coordsize="21600,21600" o:gfxdata="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Ppe1dYAAAAJAQAADwAAAAAAAAABACAAAAAiAAAAZHJzL2Rvd25y&#10;ZXYueG1sUEsBAhQAFAAAAAgAh07iQOVH5/EAAgAA2AMAAA4AAAAAAAAAAQAgAAAAJQ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工程变更内容</w:t>
                      </w:r>
                    </w:p>
                  </w:txbxContent>
                </v:textbox>
              </v:shape>
            </w:pict>
          </mc:Fallback>
        </mc:AlternateContent>
      </w:r>
      <w:r>
        <w:rPr>
          <w:rFonts w:hint="eastAsia" w:ascii="宋体" w:hAnsi="宋体" w:cs="宋体"/>
          <w:color w:val="auto"/>
          <w:kern w:val="0"/>
          <w:szCs w:val="21"/>
          <w:highlight w:val="none"/>
        </w:rPr>
        <w:t>合同履行期间，发包人可对合同工程或其任何部分的形式、质量或数量作出变更。发生下列情形之一，应按照本条规定进行变更。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 改变合同工程中任何工程数量（不含工程量的偏差）；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(2) 删减任何工作，但删减的工作不能转由发包人或其他人实施；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 改变任何工作内容的性质、质量或其他特征；</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(4) 改变工程任何部分的标高、基线、位置和(或)尺寸；</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(5) 为完成永久工程所必须的任何额外工作；</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(6) 改变合同工程的施工时间和已批准的施工工艺或顺序。</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但对合同工程工期、质量标准等实质性变更的，应在作出变更前，与承包人签订补充协议书，作为本合同的补充文件。</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0080" behindDoc="0" locked="0" layoutInCell="1" allowOverlap="1">
                <wp:simplePos x="0" y="0"/>
                <wp:positionH relativeFrom="column">
                  <wp:posOffset>-114300</wp:posOffset>
                </wp:positionH>
                <wp:positionV relativeFrom="paragraph">
                  <wp:posOffset>15875</wp:posOffset>
                </wp:positionV>
                <wp:extent cx="914400" cy="556895"/>
                <wp:effectExtent l="0" t="0" r="0" b="0"/>
                <wp:wrapNone/>
                <wp:docPr id="175" name="文本框 175"/>
                <wp:cNvGraphicFramePr/>
                <a:graphic xmlns:a="http://schemas.openxmlformats.org/drawingml/2006/main">
                  <a:graphicData uri="http://schemas.microsoft.com/office/word/2010/wordprocessingShape">
                    <wps:wsp>
                      <wps:cNvSpPr txBox="1">
                        <a:spLocks noChangeArrowheads="1"/>
                      </wps:cNvSpPr>
                      <wps:spPr bwMode="auto">
                        <a:xfrm>
                          <a:off x="0" y="0"/>
                          <a:ext cx="914400" cy="556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3.85pt;width:72pt;z-index:251950080;mso-width-relative:page;mso-height-relative:page;" filled="f" stroked="f" coordsize="21600,21600" o:gfxdata="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MP/Y1QAAAAgBAAAPAAAAAAAAAAEAIAAAACIAAABkcnMvZG93bnJl&#10;di54bWxQSwECFAAUAAAACACHTuJACj2Gs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工程变更程序</w:t>
                      </w:r>
                    </w:p>
                  </w:txbxContent>
                </v:textbox>
              </v:shape>
            </w:pict>
          </mc:Fallback>
        </mc:AlternateContent>
      </w:r>
      <w:bookmarkStart w:id="303" w:name="OLE_LINK1"/>
      <w:r>
        <w:rPr>
          <w:rFonts w:hint="eastAsia" w:ascii="宋体" w:hAnsi="宋体" w:cs="宋体"/>
          <w:color w:val="auto"/>
          <w:kern w:val="0"/>
          <w:szCs w:val="21"/>
          <w:highlight w:val="none"/>
        </w:rPr>
        <w:t>合同工程发生变更</w:t>
      </w:r>
      <w:bookmarkEnd w:id="303"/>
      <w:r>
        <w:rPr>
          <w:rFonts w:hint="eastAsia" w:ascii="宋体" w:hAnsi="宋体" w:cs="宋体"/>
          <w:color w:val="auto"/>
          <w:kern w:val="0"/>
          <w:szCs w:val="21"/>
          <w:highlight w:val="none"/>
        </w:rPr>
        <w:t>，合同双方当事人以及监理工程师、造价工程师应遵循下列程序实施工程变更的相关工作。</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(1)合同工程可能发生或发生工程变更时，监理工程师或承包人可依据下列情况及时提出。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合同工程可能发生第56.2款所列情形的，监理工程师可向承包人发出变更意向书，并附必要的施工设计图纸及其说明等资料。承包人应在收到变更意向书后的7天内，向监理工程师书面提交包括拟实施变更工作的计划、措施、竣工时间、修改内容和所需金额等在内的实施方案。发包人应在收到实施方案后的7天内予以答复；同意承包人提交的实施方案的，监理工程师应在收到实施方案后的14天内发出变更指令。</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2）合同工程发生第56.2款所列情形的，监理工程师应至少提前14天以书面形式向承包人发出变更指令，并提供变更的施工设计图纸及其说明等资料。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承包人收到发包人为实施合同工程所提供的施工设计图纸和文件，经检查认为存在第56.2款所列情形的，可向监理工程师提出书面建议。监理工程师收到承包人书面建议后，应提出确认意见并报发包人审批；确认存在变更的，监理工程师应在收到承包人书面建议后的14天内发出变更指令。不同意作为变更的，应由监理工程师书面答复承包人。</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4）若承包人收到监理工程师的变更意向书后认为难以实施此项变更的，应立即通知监理工程师，说明原因并附详细依据。监理工程师与合同双方当事人协商后确定撤销、改变或不改变原变更意向书。</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承包人应在收到监理工程师发出变更指令或变更意向书后的14天内，向发包人提交工程变更报告，并抄送监理工程师、造价工程师。报告内容应包括变更原因、根据第72条约定详细开列变更工作的价格组成和依据，并附变更的施工设计图纸及其相关说明。</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变更工作影响工期的，承包人应提出调整工期的要求。发包人认为有必要时，可要求承包人提交提前或者延长工期的施工进度计划或相应施工措施等资料。</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发包人在收到承包人工程变更报告后，应通知监理工程师、造价工程师及时对报告内容予以核实，并在收到报告后的14天内予以确定或提出修改意见。发包人在收到承包人工程变更报告后的14天内未确定也未提出修改意见的，视为承包人提交的工程变更报告已被认可。</w:t>
      </w:r>
    </w:p>
    <w:p>
      <w:pPr>
        <w:adjustRightInd w:val="0"/>
        <w:snapToGrid w:val="0"/>
        <w:spacing w:line="360" w:lineRule="auto"/>
        <w:ind w:left="1575" w:leftChars="750"/>
        <w:rPr>
          <w:rFonts w:ascii="宋体" w:hAnsi="宋体" w:cs="宋体"/>
          <w:b/>
          <w:color w:val="auto"/>
          <w:kern w:val="0"/>
          <w:szCs w:val="21"/>
          <w:highlight w:val="none"/>
        </w:rPr>
      </w:pPr>
      <w:r>
        <w:rPr>
          <w:rFonts w:hint="eastAsia" w:ascii="宋体" w:hAnsi="宋体" w:cs="宋体"/>
          <w:color w:val="auto"/>
          <w:kern w:val="0"/>
          <w:szCs w:val="21"/>
          <w:highlight w:val="none"/>
        </w:rPr>
        <w:t>(4)承包人应在发包人确定工程变更报告后的7天内，按照监理工程师发出的变更指令及时组织实施变更工作。否则，由此引起的损失和（或）延误的工期由承包人承担。</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53152" behindDoc="0" locked="0" layoutInCell="1" allowOverlap="1">
                <wp:simplePos x="0" y="0"/>
                <wp:positionH relativeFrom="column">
                  <wp:posOffset>-114300</wp:posOffset>
                </wp:positionH>
                <wp:positionV relativeFrom="paragraph">
                  <wp:posOffset>7620</wp:posOffset>
                </wp:positionV>
                <wp:extent cx="914400" cy="41211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914400" cy="41211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pt;height:32.45pt;width:72pt;z-index:251953152;mso-width-relative:page;mso-height-relative:page;" filled="f" stroked="f" coordsize="21600,21600" o:gfxdata="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7hOtdQAAAAIAQAADwAAAAAAAAABACAAAAAiAAAAZHJzL2Rvd25yZXYu&#10;eG1sUEsBAhQAFAAAAAgAh07iQJ/ZGjz/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承包人提出工程变更建议</w:t>
                      </w:r>
                    </w:p>
                  </w:txbxContent>
                </v:textbox>
              </v:shape>
            </w:pict>
          </mc:Fallback>
        </mc:AlternateContent>
      </w:r>
      <w:r>
        <w:rPr>
          <w:rFonts w:hint="eastAsia" w:ascii="宋体" w:hAnsi="宋体" w:cs="宋体"/>
          <w:color w:val="auto"/>
          <w:kern w:val="0"/>
          <w:szCs w:val="21"/>
          <w:highlight w:val="none"/>
        </w:rPr>
        <w:t>合同履行期间，承包人可提出工程变更建议。变更建议应以书面形式向监理工程师提出，同时抄送发包人，详细说明变更的原因、变更方案及合同价格的增减情况，并附必要的施工设计图纸及其说明等资料。变更建议被采纳的，监理工程师应按照第56.3款规定向承包人发出变更指令。</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发包人采纳承包人的建议，给发包人带来降低合同价款、缩短工期或提交工程经济效益等利益的，发包人应按照国家有关规定并在专用条款中约定的计算方法予以奖励。</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56.5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49056" behindDoc="0" locked="0" layoutInCell="1" allowOverlap="1">
                <wp:simplePos x="0" y="0"/>
                <wp:positionH relativeFrom="column">
                  <wp:posOffset>-114300</wp:posOffset>
                </wp:positionH>
                <wp:positionV relativeFrom="paragraph">
                  <wp:posOffset>15240</wp:posOffset>
                </wp:positionV>
                <wp:extent cx="914400" cy="588010"/>
                <wp:effectExtent l="0" t="0" r="0" b="0"/>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914400" cy="5880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pt;height:46.3pt;width:72pt;z-index:251949056;mso-width-relative:page;mso-height-relative:page;" filled="f" stroked="f" coordsize="21600,21600" o:gfxdata="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8ysRLVAAAACAEAAA8AAAAAAAAAAQAgAAAAIgAAAGRycy9kb3ducmV2&#10;LnhtbFBLAQIUABQAAAAIAIdO4kByzXOM/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工程变更导致合同价款和工期的调整</w:t>
                      </w:r>
                    </w:p>
                  </w:txbxContent>
                </v:textbox>
              </v:shape>
            </w:pict>
          </mc:Fallback>
        </mc:AlternateContent>
      </w:r>
      <w:r>
        <w:rPr>
          <w:rFonts w:hint="eastAsia" w:ascii="宋体" w:hAnsi="宋体" w:cs="宋体"/>
          <w:color w:val="auto"/>
          <w:kern w:val="0"/>
          <w:szCs w:val="21"/>
          <w:highlight w:val="none"/>
        </w:rPr>
        <w:t>工程变更不应使合同作废或无效。工程变更应按照第72条规定确定变更的工程款；影响工期的，工期应相应调整。但由于下列原因引起的变更，承包人无权要求任何额外或附加的费用，工期不予顺延：</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为了便于组织施工而采取的技术措施变更或临时工程变更；</w:t>
      </w:r>
    </w:p>
    <w:p>
      <w:pPr>
        <w:numPr>
          <w:ilvl w:val="0"/>
          <w:numId w:val="27"/>
        </w:numPr>
        <w:adjustRightInd w:val="0"/>
        <w:snapToGrid w:val="0"/>
        <w:spacing w:line="360" w:lineRule="auto"/>
        <w:ind w:left="2459" w:leftChars="771" w:hanging="840" w:hangingChars="400"/>
        <w:rPr>
          <w:rFonts w:ascii="宋体" w:hAnsi="宋体" w:cs="宋体"/>
          <w:color w:val="auto"/>
          <w:kern w:val="0"/>
          <w:szCs w:val="21"/>
          <w:highlight w:val="none"/>
        </w:rPr>
      </w:pPr>
      <w:r>
        <w:rPr>
          <w:rFonts w:hint="eastAsia" w:ascii="宋体" w:hAnsi="宋体" w:cs="宋体"/>
          <w:color w:val="auto"/>
          <w:kern w:val="0"/>
          <w:szCs w:val="21"/>
          <w:highlight w:val="none"/>
        </w:rPr>
        <w:t>为了施工安全、避免干扰等原因而采取的技术措施变更或临时工程变</w:t>
      </w:r>
    </w:p>
    <w:p>
      <w:pPr>
        <w:adjustRightInd w:val="0"/>
        <w:snapToGrid w:val="0"/>
        <w:spacing w:line="360" w:lineRule="auto"/>
        <w:ind w:left="1619" w:firstLine="1"/>
        <w:rPr>
          <w:rFonts w:ascii="宋体" w:hAnsi="宋体" w:cs="宋体"/>
          <w:color w:val="auto"/>
          <w:kern w:val="0"/>
          <w:szCs w:val="21"/>
          <w:highlight w:val="none"/>
        </w:rPr>
      </w:pPr>
      <w:r>
        <w:rPr>
          <w:rFonts w:hint="eastAsia" w:ascii="宋体" w:hAnsi="宋体" w:cs="宋体"/>
          <w:color w:val="auto"/>
          <w:kern w:val="0"/>
          <w:szCs w:val="21"/>
          <w:highlight w:val="none"/>
        </w:rPr>
        <w:t>更；</w:t>
      </w:r>
    </w:p>
    <w:p>
      <w:pPr>
        <w:numPr>
          <w:ilvl w:val="0"/>
          <w:numId w:val="27"/>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因承包人违约、过错或承包人引起的其他变更。</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57  竣工验收条件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57.1</w:t>
      </w:r>
    </w:p>
    <w:p>
      <w:pPr>
        <w:spacing w:line="360" w:lineRule="auto"/>
        <w:ind w:left="1618"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3504"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2" name="文本框 172"/>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2053504;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AIVVIl/wEAANgDAAAOAAAAAAAAAAEAIAAAACQ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w:t>
                      </w:r>
                    </w:p>
                  </w:txbxContent>
                </v:textbox>
              </v:shape>
            </w:pict>
          </mc:Fallback>
        </mc:AlternateContent>
      </w:r>
      <w:r>
        <w:rPr>
          <w:rFonts w:hint="eastAsia" w:ascii="宋体" w:hAnsi="宋体" w:cs="宋体"/>
          <w:color w:val="auto"/>
          <w:szCs w:val="21"/>
          <w:highlight w:val="none"/>
        </w:rPr>
        <w:t>承包人实施、完成合同工程的全部工作内容，经自检评定并符合下列条件的，则认为合同工程已具备竣工验收条件。</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(1）除监理工程师同意列入缺陷责任期内完成的尾工（甩项）工程和缺陷修补工作外，包括合同约定的试验、检验和验收等工作在内的合同范围内全部工作均已完成，并符合施工设计图纸和合同约定的要求；</w:t>
      </w:r>
    </w:p>
    <w:p>
      <w:pPr>
        <w:spacing w:line="360" w:lineRule="auto"/>
        <w:ind w:left="1680" w:leftChars="800"/>
        <w:rPr>
          <w:rFonts w:ascii="宋体" w:hAnsi="宋体" w:cs="宋体"/>
          <w:color w:val="auto"/>
          <w:szCs w:val="21"/>
          <w:highlight w:val="none"/>
        </w:rPr>
      </w:pPr>
      <w:r>
        <w:rPr>
          <w:rFonts w:hint="eastAsia" w:ascii="宋体" w:hAnsi="宋体" w:cs="宋体"/>
          <w:color w:val="auto"/>
          <w:szCs w:val="21"/>
          <w:highlight w:val="none"/>
        </w:rPr>
        <w:t>(2）已按照合同约定的内容和份数备齐了符合国家或行业、省要求的竣工资料（质量控制资料、竣工结算文件等）；</w:t>
      </w:r>
    </w:p>
    <w:p>
      <w:pPr>
        <w:spacing w:line="360" w:lineRule="auto"/>
        <w:ind w:left="1618" w:hanging="1"/>
        <w:rPr>
          <w:rFonts w:ascii="宋体" w:hAnsi="宋体" w:cs="宋体"/>
          <w:color w:val="auto"/>
          <w:szCs w:val="21"/>
          <w:highlight w:val="none"/>
        </w:rPr>
      </w:pPr>
      <w:r>
        <w:rPr>
          <w:rFonts w:hint="eastAsia" w:ascii="宋体" w:hAnsi="宋体" w:cs="宋体"/>
          <w:color w:val="auto"/>
          <w:szCs w:val="21"/>
          <w:highlight w:val="none"/>
        </w:rPr>
        <w:t>(3）已按照监理工程师的指令编制了在缺陷责任期内完成的尾工（甩项）工程和缺陷修补工作清单，以及相应的实施计划；</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(4）监理工程师要求在竣工验收前应完成的其他工作：</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(5）监理工程师要求提交的竣工验收资料清单。</w:t>
      </w:r>
    </w:p>
    <w:p>
      <w:pPr>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 xml:space="preserve">57.2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承包人</w:t>
      </w:r>
      <w:r>
        <w:rPr>
          <w:rFonts w:ascii="宋体" w:hAnsi="宋体" w:cs="宋体"/>
          <w:color w:val="auto"/>
          <w:szCs w:val="21"/>
          <w:highlight w:val="none"/>
        </w:rPr>
        <mc:AlternateContent>
          <mc:Choice Requires="wps">
            <w:drawing>
              <wp:anchor distT="0" distB="0" distL="114300" distR="114300" simplePos="0" relativeHeight="251811840" behindDoc="0" locked="0" layoutInCell="1" allowOverlap="1">
                <wp:simplePos x="0" y="0"/>
                <wp:positionH relativeFrom="column">
                  <wp:posOffset>-114300</wp:posOffset>
                </wp:positionH>
                <wp:positionV relativeFrom="paragraph">
                  <wp:posOffset>12700</wp:posOffset>
                </wp:positionV>
                <wp:extent cx="914400" cy="422910"/>
                <wp:effectExtent l="0" t="0" r="0" b="0"/>
                <wp:wrapNone/>
                <wp:docPr id="171" name="文本框 171"/>
                <wp:cNvGraphicFramePr/>
                <a:graphic xmlns:a="http://schemas.openxmlformats.org/drawingml/2006/main">
                  <a:graphicData uri="http://schemas.microsoft.com/office/word/2010/wordprocessingShape">
                    <wps:wsp>
                      <wps:cNvSpPr txBox="1">
                        <a:spLocks noChangeArrowheads="1"/>
                      </wps:cNvSpPr>
                      <wps:spPr bwMode="auto">
                        <a:xfrm>
                          <a:off x="0" y="0"/>
                          <a:ext cx="914400" cy="422910"/>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3.3pt;width:72pt;z-index:251811840;mso-width-relative:page;mso-height-relative:page;" filled="f" stroked="f" coordsize="21600,21600" o:gfxdata="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joeU3VAAAACAEAAA8AAAAAAAAAAQAgAAAAIgAAAGRycy9kb3ducmV2&#10;LnhtbFBLAQIUABQAAAAIAIdO4kCENYoo/wEAANgDAAAOAAAAAAAAAAEAIAAAACQ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提交竣工验收申请报告</w:t>
                      </w:r>
                    </w:p>
                  </w:txbxContent>
                </v:textbox>
              </v:shape>
            </w:pict>
          </mc:Fallback>
        </mc:AlternateContent>
      </w:r>
      <w:r>
        <w:rPr>
          <w:rFonts w:hint="eastAsia" w:ascii="宋体" w:hAnsi="宋体" w:cs="宋体"/>
          <w:color w:val="auto"/>
          <w:szCs w:val="21"/>
          <w:highlight w:val="none"/>
        </w:rPr>
        <w:t>认为合同工程具备竣工验收条件的，应按照国家或行业、省规定的工程竣工验收技术资料格式和要求，及时向发包人提交竣工验收申请报告和符合要求的完整竣工资料，合同双方当事人应按照第58条规定进行验收。</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57.3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2864" behindDoc="0" locked="0" layoutInCell="1" allowOverlap="1">
                <wp:simplePos x="0" y="0"/>
                <wp:positionH relativeFrom="column">
                  <wp:posOffset>-114300</wp:posOffset>
                </wp:positionH>
                <wp:positionV relativeFrom="paragraph">
                  <wp:posOffset>38735</wp:posOffset>
                </wp:positionV>
                <wp:extent cx="873760" cy="407035"/>
                <wp:effectExtent l="0" t="0" r="0" b="0"/>
                <wp:wrapNone/>
                <wp:docPr id="170" name="文本框 170"/>
                <wp:cNvGraphicFramePr/>
                <a:graphic xmlns:a="http://schemas.openxmlformats.org/drawingml/2006/main">
                  <a:graphicData uri="http://schemas.microsoft.com/office/word/2010/wordprocessingShape">
                    <wps:wsp>
                      <wps:cNvSpPr txBox="1">
                        <a:spLocks noChangeArrowheads="1"/>
                      </wps:cNvSpPr>
                      <wps:spPr bwMode="auto">
                        <a:xfrm>
                          <a:off x="0" y="0"/>
                          <a:ext cx="873760" cy="40703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05pt;width:68.8pt;z-index:251812864;mso-width-relative:page;mso-height-relative:page;" filled="f" stroked="f" coordsize="21600,21600" o:gfxdata="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wfxE3VAAAACAEAAA8AAAAAAAAAAQAgAAAAIgAAAGRycy9kb3du&#10;cmV2LnhtbFBLAQIUABQAAAAIAIdO4kDB0wy9AgIAANgDAAAOAAAAAAAAAAEAIAAAACQ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竣工验收条件的限制</w:t>
                      </w:r>
                    </w:p>
                  </w:txbxContent>
                </v:textbox>
              </v:shape>
            </w:pict>
          </mc:Fallback>
        </mc:AlternateContent>
      </w:r>
      <w:r>
        <w:rPr>
          <w:rFonts w:hint="eastAsia" w:ascii="宋体" w:hAnsi="宋体" w:cs="宋体"/>
          <w:color w:val="auto"/>
          <w:szCs w:val="21"/>
          <w:highlight w:val="none"/>
        </w:rPr>
        <w:t>如果承包人不按照规定提交竣工资料或提交的资料不符合要求，则认为合同工程尚未具备竣工验收条件。</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58  竣工验收</w:t>
      </w:r>
    </w:p>
    <w:p>
      <w:pPr>
        <w:tabs>
          <w:tab w:val="left" w:pos="1620"/>
        </w:tabs>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236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9" name="文本框 169"/>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236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OX9X6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竣工验收标准</w:t>
                      </w:r>
                    </w:p>
                  </w:txbxContent>
                </v:textbox>
              </v:shape>
            </w:pict>
          </mc:Fallback>
        </mc:AlternateContent>
      </w:r>
      <w:r>
        <w:rPr>
          <w:rFonts w:hint="eastAsia" w:ascii="宋体" w:hAnsi="宋体" w:cs="宋体"/>
          <w:b/>
          <w:color w:val="auto"/>
          <w:szCs w:val="21"/>
          <w:highlight w:val="none"/>
        </w:rPr>
        <w:t>58.1</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合同双方当事人应在专用条款中约定合同工程竣工验收标准，但约定的竣工验收标准应符合国家或行业、省的有关规定。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合同工程需要进行国家验收的，竣工验收是国家验收的一部分。</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3392"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8" name="文本框 168"/>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963392;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J7JEI1gAAAAoBAAAPAAAAAAAAAAEAIAAAACIAAABkcnMvZG93&#10;bnJldi54bWxQSwECFAAUAAAACACHTuJAvaDg7QICAADYAwAADgAAAAAAAAABACAAAAAl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核查竣工验收条件</w:t>
                      </w:r>
                    </w:p>
                  </w:txbxContent>
                </v:textbox>
              </v:shape>
            </w:pict>
          </mc:Fallback>
        </mc:AlternateContent>
      </w:r>
      <w:r>
        <w:rPr>
          <w:rFonts w:hint="eastAsia" w:ascii="宋体" w:hAnsi="宋体" w:cs="宋体"/>
          <w:b/>
          <w:color w:val="auto"/>
          <w:szCs w:val="21"/>
          <w:highlight w:val="none"/>
        </w:rPr>
        <w:t>58.2</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发包人收到承包人按照第57.2 款规定提交的竣工验收申请报告后，应及时通知监理工程师核查合同工程是否具备竣工验收条件。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经核查未具备竣工验收条件的，监理工程师应在收到竣工验收申请报告后的14天内通知承包人，指出在颁发接收证书前承包人应进一步完成的工作内容。承包人完成监理工程师通知的全部工作内容后，应再次提交竣工验收申请报告，直至监理工程师同意为止。</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(2）经核查已具备竣工验收条件的，监理工程师应在收到竣工验收申请报告后的14天内书面提请发包人组织合同工程验收。</w:t>
      </w:r>
    </w:p>
    <w:p>
      <w:pPr>
        <w:tabs>
          <w:tab w:val="left" w:pos="1620"/>
        </w:tabs>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3888" behindDoc="0" locked="0" layoutInCell="1" allowOverlap="1">
                <wp:simplePos x="0" y="0"/>
                <wp:positionH relativeFrom="column">
                  <wp:posOffset>-114300</wp:posOffset>
                </wp:positionH>
                <wp:positionV relativeFrom="paragraph">
                  <wp:posOffset>257810</wp:posOffset>
                </wp:positionV>
                <wp:extent cx="873760" cy="407670"/>
                <wp:effectExtent l="0" t="0" r="0" b="0"/>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873760" cy="40767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0.3pt;height:32.1pt;width:68.8pt;z-index:251813888;mso-width-relative:page;mso-height-relative:page;" filled="f" stroked="f" coordsize="21600,21600" o:gfxdata="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nskQjWAAAACgEAAA8AAAAAAAAAAQAgAAAAIgAAAGRycy9kb3du&#10;cmV2LnhtbFBLAQIUABQAAAAIAIdO4kABQlnX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完成验收和确认</w:t>
                      </w:r>
                    </w:p>
                  </w:txbxContent>
                </v:textbox>
              </v:shape>
            </w:pict>
          </mc:Fallback>
        </mc:AlternateContent>
      </w:r>
      <w:r>
        <w:rPr>
          <w:rFonts w:hint="eastAsia" w:ascii="宋体" w:hAnsi="宋体" w:cs="宋体"/>
          <w:b/>
          <w:color w:val="auto"/>
          <w:szCs w:val="21"/>
          <w:highlight w:val="none"/>
        </w:rPr>
        <w:t xml:space="preserve">58.3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经监理工程师按照第58.2 款规定核查合同工程已具备竣工验收条件的，发包人应在收到监理工程师书面提请后的28天内，根据合同约定的竣工验收标准和施工设计图纸等文件，按照第19.5款规定组织参加验收各方完成合同工程验收，并在竣工验收后14天内予以确认或提出修改意见。</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竣工验收完成后，承包人应及时向发包人提交竣工验收记录。竣工验收合格的，发包人及参加验收各方应及时在竣工验收记录上签字，并由监理工程师会同参加验收各方形成合同工程竣工验收报告。</w:t>
      </w:r>
    </w:p>
    <w:p>
      <w:pPr>
        <w:adjustRightInd w:val="0"/>
        <w:snapToGrid w:val="0"/>
        <w:spacing w:line="480" w:lineRule="auto"/>
        <w:ind w:left="1423" w:leftChars="1" w:hanging="1421" w:hangingChars="674"/>
        <w:rPr>
          <w:rFonts w:ascii="宋体" w:hAnsi="宋体" w:cs="宋体"/>
          <w:color w:val="auto"/>
          <w:szCs w:val="21"/>
          <w:highlight w:val="none"/>
        </w:rPr>
      </w:pPr>
      <w:r>
        <w:rPr>
          <w:rFonts w:hint="eastAsia" w:ascii="宋体" w:hAnsi="宋体" w:cs="宋体"/>
          <w:b/>
          <w:color w:val="auto"/>
          <w:szCs w:val="21"/>
          <w:highlight w:val="none"/>
        </w:rPr>
        <w:t>58.4</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4912" behindDoc="0" locked="0" layoutInCell="1" allowOverlap="1">
                <wp:simplePos x="0" y="0"/>
                <wp:positionH relativeFrom="column">
                  <wp:posOffset>-114300</wp:posOffset>
                </wp:positionH>
                <wp:positionV relativeFrom="paragraph">
                  <wp:posOffset>19685</wp:posOffset>
                </wp:positionV>
                <wp:extent cx="873760" cy="451485"/>
                <wp:effectExtent l="0" t="0" r="0" b="0"/>
                <wp:wrapNone/>
                <wp:docPr id="166" name="文本框 166"/>
                <wp:cNvGraphicFramePr/>
                <a:graphic xmlns:a="http://schemas.openxmlformats.org/drawingml/2006/main">
                  <a:graphicData uri="http://schemas.microsoft.com/office/word/2010/wordprocessingShape">
                    <wps:wsp>
                      <wps:cNvSpPr txBox="1">
                        <a:spLocks noChangeArrowheads="1"/>
                      </wps:cNvSpPr>
                      <wps:spPr bwMode="auto">
                        <a:xfrm>
                          <a:off x="0" y="0"/>
                          <a:ext cx="873760" cy="4514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5.55pt;width:68.8pt;z-index:251814912;mso-width-relative:page;mso-height-relative:page;" filled="f" stroked="f" coordsize="21600,21600" o:gfxdata="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W1iu3WAAAACAEAAA8AAAAAAAAAAQAgAAAAIgAAAGRycy9kb3du&#10;cmV2LnhtbFBLAQIUABQAAAAIAIdO4kDDyk9gAQIAANgDAAAOAAAAAAAAAAEAIAAAACUBAABkcnMv&#10;ZTJvRG9jLnhtbFBLBQYAAAAABgAGAFkBAACY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组织验收的限制</w:t>
                      </w:r>
                    </w:p>
                  </w:txbxContent>
                </v:textbox>
              </v:shape>
            </w:pict>
          </mc:Fallback>
        </mc:AlternateContent>
      </w:r>
      <w:r>
        <w:rPr>
          <w:rFonts w:hint="eastAsia" w:ascii="宋体" w:hAnsi="宋体" w:cs="宋体"/>
          <w:color w:val="auto"/>
          <w:szCs w:val="21"/>
          <w:highlight w:val="none"/>
        </w:rPr>
        <w:t>发包人未按照第58.3款规定完成合同工程验收，或验收后14天内未予确认也未提出修改意见，视为承包人提交的竣工验收申请报告已被认可。</w:t>
      </w:r>
    </w:p>
    <w:p>
      <w:pPr>
        <w:adjustRightInd w:val="0"/>
        <w:snapToGrid w:val="0"/>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竣工验收申请报告被认可，则表明已完成合同工程，视为竣工验收合格，但由于不可抗力事件致使发包人不能完成验收的除外。</w:t>
      </w: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58.5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5936" behindDoc="0" locked="0" layoutInCell="1" allowOverlap="1">
                <wp:simplePos x="0" y="0"/>
                <wp:positionH relativeFrom="column">
                  <wp:posOffset>-114300</wp:posOffset>
                </wp:positionH>
                <wp:positionV relativeFrom="paragraph">
                  <wp:posOffset>19685</wp:posOffset>
                </wp:positionV>
                <wp:extent cx="914400" cy="396240"/>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31.2pt;width:72pt;z-index:251815936;mso-width-relative:page;mso-height-relative:page;" filled="f" stroked="f" coordsize="21600,21600" o:gfxdata="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mq/5N1QAAAAgBAAAPAAAAAAAAAAEAIAAAACIAAABkcnMvZG93bnJl&#10;di54bWxQSwECFAAUAAAACACHTuJAj9fuFgACAADY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不组织验收的责任</w:t>
                      </w:r>
                    </w:p>
                  </w:txbxContent>
                </v:textbox>
              </v:shape>
            </w:pict>
          </mc:Fallback>
        </mc:AlternateContent>
      </w:r>
      <w:r>
        <w:rPr>
          <w:rFonts w:hint="eastAsia" w:ascii="宋体" w:hAnsi="宋体" w:cs="宋体"/>
          <w:color w:val="auto"/>
          <w:szCs w:val="21"/>
          <w:highlight w:val="none"/>
        </w:rPr>
        <w:t>发包人未按照第58.3款规定完成合同工程验收，从收到监理工程师书面提请后的第29天起承担合同工程照管责任和其他一切意外责任。</w:t>
      </w:r>
    </w:p>
    <w:p>
      <w:pPr>
        <w:tabs>
          <w:tab w:val="left" w:pos="1620"/>
        </w:tabs>
        <w:adjustRightInd w:val="0"/>
        <w:snapToGrid w:val="0"/>
        <w:spacing w:line="360" w:lineRule="auto"/>
        <w:rPr>
          <w:rFonts w:ascii="宋体" w:hAnsi="宋体" w:cs="宋体"/>
          <w:color w:val="auto"/>
          <w:szCs w:val="21"/>
          <w:highlight w:val="none"/>
        </w:rPr>
      </w:pPr>
      <w:r>
        <w:rPr>
          <w:rFonts w:hint="eastAsia" w:ascii="宋体" w:hAnsi="宋体" w:cs="宋体"/>
          <w:b/>
          <w:color w:val="auto"/>
          <w:szCs w:val="21"/>
          <w:highlight w:val="none"/>
        </w:rPr>
        <w:t>58.6</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w:t>
      </w:r>
      <w:r>
        <w:rPr>
          <w:rFonts w:ascii="宋体" w:hAnsi="宋体" w:cs="宋体"/>
          <w:color w:val="auto"/>
          <w:szCs w:val="21"/>
          <w:highlight w:val="none"/>
        </w:rPr>
        <mc:AlternateContent>
          <mc:Choice Requires="wps">
            <w:drawing>
              <wp:anchor distT="0" distB="0" distL="114300" distR="114300" simplePos="0" relativeHeight="251964416"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4" name="文本框 164"/>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4416;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BZzPHzAAIAANgDAAAOAAAAAAAAAAEAIAAAACMBAABkcnMvZTJv&#10;RG9jLnhtbFBLBQYAAAAABgAGAFkBAACV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接收工程</w:t>
                      </w:r>
                    </w:p>
                  </w:txbxContent>
                </v:textbox>
              </v:shape>
            </w:pict>
          </mc:Fallback>
        </mc:AlternateContent>
      </w:r>
      <w:r>
        <w:rPr>
          <w:rFonts w:hint="eastAsia" w:ascii="宋体" w:hAnsi="宋体" w:cs="宋体"/>
          <w:color w:val="auto"/>
          <w:szCs w:val="21"/>
          <w:highlight w:val="none"/>
        </w:rPr>
        <w:t>验收合格的，发包人应接收工程，并在收到承包人提交的竣工验收申请报告后的56天内向承包人颁发工程接收证书。</w:t>
      </w:r>
    </w:p>
    <w:p>
      <w:pPr>
        <w:spacing w:line="360" w:lineRule="auto"/>
        <w:ind w:left="1620" w:leftChars="771" w:hanging="1"/>
        <w:rPr>
          <w:rFonts w:ascii="宋体" w:hAnsi="宋体" w:cs="宋体"/>
          <w:color w:val="auto"/>
          <w:szCs w:val="21"/>
          <w:highlight w:val="none"/>
        </w:rPr>
      </w:pPr>
      <w:r>
        <w:rPr>
          <w:rFonts w:hint="eastAsia" w:ascii="宋体" w:hAnsi="宋体" w:cs="宋体"/>
          <w:color w:val="auto"/>
          <w:szCs w:val="21"/>
          <w:highlight w:val="none"/>
        </w:rPr>
        <w:t>竣工验收后，发包人同意接收工程但提出限期整修和完善要求的，发包人应缓发工程接收证书。承包人整修和完善工作完成后，监理工程师核查达到要求的，发包人应向承包人颁发工程接收证书。</w:t>
      </w:r>
    </w:p>
    <w:p>
      <w:pPr>
        <w:spacing w:line="360" w:lineRule="auto"/>
        <w:ind w:left="1619" w:leftChars="771" w:firstLine="1"/>
        <w:rPr>
          <w:rFonts w:ascii="宋体" w:hAnsi="宋体" w:cs="宋体"/>
          <w:color w:val="auto"/>
          <w:szCs w:val="21"/>
          <w:highlight w:val="none"/>
        </w:rPr>
      </w:pPr>
      <w:r>
        <w:rPr>
          <w:rFonts w:hint="eastAsia" w:ascii="宋体" w:hAnsi="宋体" w:cs="宋体"/>
          <w:color w:val="auto"/>
          <w:szCs w:val="21"/>
          <w:highlight w:val="none"/>
        </w:rPr>
        <w:t>竣工验收后，发包人不同意接收工程的，监理工程师应按照竣工验收提出的修改意见发出指令，要求承包人对合同工程不合格部分返工重做或补救处理，并承担由此产生的费用。承包人在完成合同工程不合格部分的返工重做或补救处理后，应再次提交竣工验收申请报告。</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5440" behindDoc="0" locked="0" layoutInCell="1" allowOverlap="1">
                <wp:simplePos x="0" y="0"/>
                <wp:positionH relativeFrom="column">
                  <wp:posOffset>-114300</wp:posOffset>
                </wp:positionH>
                <wp:positionV relativeFrom="paragraph">
                  <wp:posOffset>4445</wp:posOffset>
                </wp:positionV>
                <wp:extent cx="914400" cy="395605"/>
                <wp:effectExtent l="0" t="0" r="0" b="0"/>
                <wp:wrapNone/>
                <wp:docPr id="163" name="文本框 163"/>
                <wp:cNvGraphicFramePr/>
                <a:graphic xmlns:a="http://schemas.openxmlformats.org/drawingml/2006/main">
                  <a:graphicData uri="http://schemas.microsoft.com/office/word/2010/wordprocessingShape">
                    <wps:wsp>
                      <wps:cNvSpPr txBox="1">
                        <a:spLocks noChangeArrowheads="1"/>
                      </wps:cNvSpPr>
                      <wps:spPr bwMode="auto">
                        <a:xfrm>
                          <a:off x="0" y="0"/>
                          <a:ext cx="914400" cy="395605"/>
                        </a:xfrm>
                        <a:prstGeom prst="rect">
                          <a:avLst/>
                        </a:prstGeom>
                        <a:noFill/>
                        <a:ln>
                          <a:noFill/>
                        </a:ln>
                        <a:effectLst/>
                      </wps:spPr>
                      <wps:txb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1.15pt;width:72pt;z-index:251965440;mso-width-relative:page;mso-height-relative:page;" filled="f" stroked="f" coordsize="21600,21600" o:gfxdata="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AkL/UAAAABwEAAA8AAAAAAAAAAQAgAAAAIgAAAGRycy9kb3ducmV2&#10;LnhtbFBLAQIUABQAAAAIAIdO4kDF0vbsAAIAANgDAAAOAAAAAAAAAAEAIAAAACMBAABkcnMvZTJv&#10;RG9jLnhtbFBLBQYAAAAABgAGAFkBAACVBQAAAAA=&#10;">
                <v:fill on="f" focussize="0,0"/>
                <v:stroke on="f"/>
                <v:imagedata o:title=""/>
                <o:lock v:ext="edit" aspectratio="f"/>
                <v:textbox>
                  <w:txbxContent>
                    <w:p>
                      <w:pPr>
                        <w:spacing w:line="240" w:lineRule="exact"/>
                        <w:rPr>
                          <w:rFonts w:ascii="宋体" w:hAnsi="宋体"/>
                          <w:sz w:val="18"/>
                          <w:szCs w:val="18"/>
                        </w:rPr>
                      </w:pPr>
                      <w:r>
                        <w:rPr>
                          <w:rFonts w:hint="eastAsia" w:ascii="楷体_GB2312" w:hAnsi="宋体"/>
                          <w:b/>
                          <w:color w:val="000000"/>
                          <w:sz w:val="18"/>
                          <w:szCs w:val="18"/>
                        </w:rPr>
                        <w:t>竣工日期的写明</w:t>
                      </w:r>
                    </w:p>
                  </w:txbxContent>
                </v:textbox>
              </v:shape>
            </w:pict>
          </mc:Fallback>
        </mc:AlternateContent>
      </w:r>
      <w:r>
        <w:rPr>
          <w:rFonts w:hint="eastAsia" w:ascii="宋体" w:hAnsi="宋体" w:cs="宋体"/>
          <w:color w:val="auto"/>
          <w:szCs w:val="21"/>
          <w:highlight w:val="none"/>
        </w:rPr>
        <w:t>竣工验收合格的合同工程，发包人应按照第38.2款规定在工程接收证书上写明合同工程的实际竣工日期。</w:t>
      </w:r>
    </w:p>
    <w:p>
      <w:pPr>
        <w:tabs>
          <w:tab w:val="left" w:pos="1620"/>
        </w:tabs>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58.8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6464" behindDoc="0" locked="0" layoutInCell="1" allowOverlap="1">
                <wp:simplePos x="0" y="0"/>
                <wp:positionH relativeFrom="column">
                  <wp:posOffset>-114300</wp:posOffset>
                </wp:positionH>
                <wp:positionV relativeFrom="paragraph">
                  <wp:posOffset>4445</wp:posOffset>
                </wp:positionV>
                <wp:extent cx="914400" cy="12528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914400" cy="125285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98.65pt;width:72pt;z-index:251966464;mso-width-relative:page;mso-height-relative:page;" filled="f" stroked="f" coordsize="21600,21600" o:gfxdata="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j9ys1QAAAAgBAAAPAAAAAAAAAAEAIAAAACIAAABkcnMvZG93bnJl&#10;di54bWxQSwECFAAUAAAACACHTuJAiHzfHgACAADZAwAADgAAAAAAAAABACAAAAAkAQAAZHJzL2Uy&#10;b0RvYy54bWxQSwUGAAAAAAYABgBZAQAAlg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单位工程或工程部位验收</w:t>
                      </w:r>
                    </w:p>
                  </w:txbxContent>
                </v:textbox>
              </v:shape>
            </w:pict>
          </mc:Fallback>
        </mc:AlternateContent>
      </w:r>
      <w:r>
        <w:rPr>
          <w:rFonts w:hint="eastAsia" w:ascii="宋体" w:hAnsi="宋体" w:cs="宋体"/>
          <w:color w:val="auto"/>
          <w:szCs w:val="21"/>
          <w:highlight w:val="none"/>
        </w:rPr>
        <w:t>发包人要求某一单位工程或任一工程部位提前办理竣工验收的，应与承包人签订单位工程或工程部位竣工验收协议，作为本合同的附件。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1）发包人根据合同进度计划安排，在全部工程竣工前需要使用已经竣工的单位工程或工程部位时，或承包人提出经发包人同意时，可进行单位工程或工程部位验收。验收的程序可参照第57条和本条上述相关条款规定进行。验收合格后，发包人应向承包人颁发单位工程或工程部位接收证书，并负责照管。单位工程或工程部位的验收成果和结论，作为全部工程竣工验收申请报告的附件。</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（2）发包人在全部工程竣工前，使用已接收的单位工程或工程部位导致承包人费用增加的，发包人应承担由此增加的费用和（或）延误的工期，并向承包人支付合理利润。</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 xml:space="preserve">58.9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7488"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1" name="文本框 161"/>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7488;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IQtSer/AQAA2AMAAA4AAAAAAAAAAQAgAAAAIwEAAGRycy9lMm9E&#10;b2MueG1sUEsFBgAAAAAGAAYAWQEAAJQFAAAAAA==&#10;">
                <v:fill on="f" focussize="0,0"/>
                <v:stroke on="f"/>
                <v:imagedata o:title=""/>
                <o:lock v:ext="edit" aspectratio="f"/>
                <v:textbox>
                  <w:txbxContent>
                    <w:p>
                      <w:pPr>
                        <w:spacing w:line="240" w:lineRule="exact"/>
                        <w:rPr>
                          <w:rFonts w:ascii="楷体_GB2312" w:hAnsi="宋体"/>
                          <w:sz w:val="18"/>
                          <w:szCs w:val="18"/>
                        </w:rPr>
                      </w:pPr>
                      <w:r>
                        <w:rPr>
                          <w:rFonts w:hint="eastAsia" w:ascii="楷体_GB2312" w:hAnsi="宋体"/>
                          <w:b/>
                          <w:color w:val="000000"/>
                          <w:sz w:val="18"/>
                          <w:szCs w:val="18"/>
                        </w:rPr>
                        <w:t>施工期运行</w:t>
                      </w:r>
                    </w:p>
                  </w:txbxContent>
                </v:textbox>
              </v:shape>
            </w:pict>
          </mc:Fallback>
        </mc:AlternateContent>
      </w:r>
      <w:r>
        <w:rPr>
          <w:rFonts w:hint="eastAsia" w:ascii="宋体" w:hAnsi="宋体" w:cs="宋体"/>
          <w:color w:val="auto"/>
          <w:szCs w:val="21"/>
          <w:highlight w:val="none"/>
        </w:rPr>
        <w:t>合同工程尚未全部竣工（其中某项或某几项单位工程或工程部位已竣工），根据合同约定需要在施工期运行的，应由发包人按照第58.8款规定验收合格，并确保安全后，才能投入施工期运行。</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在施工期运行中，发现单位工程或工程部位存在缺陷或损坏的，由承包人按照第59.3款规定进行修复。</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58.10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8512"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60" name="文本框 160"/>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8512;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ADy/u7/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竣工清场</w:t>
                      </w:r>
                    </w:p>
                  </w:txbxContent>
                </v:textbox>
              </v:shape>
            </w:pict>
          </mc:Fallback>
        </mc:AlternateContent>
      </w:r>
      <w:r>
        <w:rPr>
          <w:rFonts w:hint="eastAsia" w:ascii="宋体" w:hAnsi="宋体" w:cs="宋体"/>
          <w:color w:val="auto"/>
          <w:szCs w:val="21"/>
          <w:highlight w:val="none"/>
        </w:rPr>
        <w:t>专用条款没有约定的，工程接收证书颁发后，承包人应按照下列要求对施工场地进行清理，直至监理工程师检验合格为止。竣工清场费用由承包人承担。</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（1）施工场地内残留的垃圾已全部清除出场；</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（2）临时设施已拆除，场地已按照合同要求进行清理、平整或复原；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（3）按照合同约定应撤离的承包人设备和剩余的材料，包括废弃的施工设备和材料，已按照计划撤离施工场地；</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（4）建筑物周边及其附近道路、河道的施工堆积物，已按照监理工程师指令全部清理；</w:t>
      </w:r>
    </w:p>
    <w:p>
      <w:pPr>
        <w:spacing w:line="360" w:lineRule="auto"/>
        <w:ind w:firstLine="1417" w:firstLineChars="675"/>
        <w:rPr>
          <w:rFonts w:ascii="宋体" w:hAnsi="宋体" w:cs="宋体"/>
          <w:color w:val="auto"/>
          <w:szCs w:val="21"/>
          <w:highlight w:val="none"/>
        </w:rPr>
      </w:pPr>
      <w:r>
        <w:rPr>
          <w:rFonts w:hint="eastAsia" w:ascii="宋体" w:hAnsi="宋体" w:cs="宋体"/>
          <w:color w:val="auto"/>
          <w:szCs w:val="21"/>
          <w:highlight w:val="none"/>
        </w:rPr>
        <w:t>（5）监理工程师指令的其他场地清理工作已全部完成。</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如承包人未按照监理工程师的要求恢复临时占地，或者场地清理未达到合同约定的，发包人可自行或委托第三方恢复或清理，所发生的费用从应支付或将支付给承包人的款项中扣除。</w:t>
      </w:r>
    </w:p>
    <w:p>
      <w:pPr>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58.11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69536" behindDoc="0" locked="0" layoutInCell="1" allowOverlap="1">
                <wp:simplePos x="0" y="0"/>
                <wp:positionH relativeFrom="column">
                  <wp:posOffset>-114300</wp:posOffset>
                </wp:positionH>
                <wp:positionV relativeFrom="paragraph">
                  <wp:posOffset>3810</wp:posOffset>
                </wp:positionV>
                <wp:extent cx="914400" cy="590550"/>
                <wp:effectExtent l="0" t="0" r="0" b="0"/>
                <wp:wrapNone/>
                <wp:docPr id="159" name="文本框 159"/>
                <wp:cNvGraphicFramePr/>
                <a:graphic xmlns:a="http://schemas.openxmlformats.org/drawingml/2006/main">
                  <a:graphicData uri="http://schemas.microsoft.com/office/word/2010/wordprocessingShape">
                    <wps:wsp>
                      <wps:cNvSpPr txBox="1">
                        <a:spLocks noChangeArrowheads="1"/>
                      </wps:cNvSpPr>
                      <wps:spPr bwMode="auto">
                        <a:xfrm>
                          <a:off x="0" y="0"/>
                          <a:ext cx="914400" cy="59055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46.5pt;width:72pt;z-index:251969536;mso-width-relative:page;mso-height-relative:page;" filled="f" stroked="f" coordsize="21600,21600" o:gfxdata="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9Ap+9QAAAAHAQAADwAAAAAAAAABACAAAAAiAAAAZHJzL2Rvd25yZXYu&#10;eG1sUEsBAhQAFAAAAAgAh07iQM/G9Cv/AQAA2AMAAA4AAAAAAAAAAQAgAAAAIwEAAGRycy9lMm9E&#10;b2MueG1sUEsFBgAAAAAGAAYAWQEAAJQ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施工队伍的撤离</w:t>
                      </w:r>
                    </w:p>
                  </w:txbxContent>
                </v:textbox>
              </v:shape>
            </w:pict>
          </mc:Fallback>
        </mc:AlternateContent>
      </w:r>
      <w:r>
        <w:rPr>
          <w:rFonts w:hint="eastAsia" w:ascii="宋体" w:hAnsi="宋体" w:cs="宋体"/>
          <w:color w:val="auto"/>
          <w:szCs w:val="21"/>
          <w:highlight w:val="none"/>
        </w:rPr>
        <w:t>工程接收证书颁发后的56天内，除经监理工程师同意需在缺陷责任期内继续工作的人员、使用的施工设备和临时设施外，其余的人员、施工设备和临时设备均应撤离施工场地或拆除。除专用条款另有约定外，缺陷责任期满时，承包人的人员和施工设备应全部撤离施工场地。</w:t>
      </w:r>
    </w:p>
    <w:p>
      <w:pPr>
        <w:tabs>
          <w:tab w:val="left" w:pos="1620"/>
        </w:tabs>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6960" behindDoc="0" locked="0" layoutInCell="1" allowOverlap="1">
                <wp:simplePos x="0" y="0"/>
                <wp:positionH relativeFrom="column">
                  <wp:posOffset>-66675</wp:posOffset>
                </wp:positionH>
                <wp:positionV relativeFrom="paragraph">
                  <wp:posOffset>299085</wp:posOffset>
                </wp:positionV>
                <wp:extent cx="914400" cy="591185"/>
                <wp:effectExtent l="0" t="0" r="0" b="0"/>
                <wp:wrapNone/>
                <wp:docPr id="158" name="文本框 158"/>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3.55pt;height:46.55pt;width:72pt;z-index:251816960;mso-width-relative:page;mso-height-relative:page;" filled="f" stroked="f" coordsize="21600,21600" o:gfxdata="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FGnFEdcAAAAKAQAADwAAAAAAAAABACAAAAAiAAAAZHJzL2Rvd25y&#10;ZXYueG1sUEsBAhQAFAAAAAgAh07iQOTqZGT/AQAA2AMAAA4AAAAAAAAAAQAgAAAAJgEAAGRycy9l&#10;Mm9Eb2MueG1sUEsFBgAAAAAGAAYAWQEAAJc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使用未验收或验收未通过工程的责任</w:t>
                      </w:r>
                    </w:p>
                  </w:txbxContent>
                </v:textbox>
              </v:shape>
            </w:pict>
          </mc:Fallback>
        </mc:AlternateContent>
      </w:r>
      <w:r>
        <w:rPr>
          <w:rFonts w:hint="eastAsia" w:ascii="宋体" w:hAnsi="宋体" w:cs="宋体"/>
          <w:b/>
          <w:color w:val="auto"/>
          <w:szCs w:val="21"/>
          <w:highlight w:val="none"/>
        </w:rPr>
        <w:t>58.12</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r>
        <w:rPr>
          <w:rFonts w:hint="eastAsia" w:ascii="宋体" w:hAnsi="宋体" w:cs="宋体"/>
          <w:color w:val="auto"/>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合同工程未经竣工验收或竣工验收不合格的，发包人不得使用。发包人强行使用的，由此发生的质量问题及其他问题，由发包人承担责任。</w:t>
      </w:r>
    </w:p>
    <w:p>
      <w:pPr>
        <w:tabs>
          <w:tab w:val="left" w:pos="1620"/>
        </w:tabs>
        <w:adjustRightInd w:val="0"/>
        <w:snapToGrid w:val="0"/>
        <w:spacing w:line="480" w:lineRule="auto"/>
        <w:rPr>
          <w:rFonts w:ascii="宋体" w:hAnsi="宋体" w:cs="宋体"/>
          <w:b/>
          <w:color w:val="auto"/>
          <w:szCs w:val="21"/>
          <w:highlight w:val="none"/>
        </w:rPr>
      </w:pPr>
    </w:p>
    <w:p>
      <w:pPr>
        <w:tabs>
          <w:tab w:val="left" w:pos="1620"/>
        </w:tabs>
        <w:adjustRightInd w:val="0"/>
        <w:snapToGrid w:val="0"/>
        <w:spacing w:line="480" w:lineRule="auto"/>
        <w:rPr>
          <w:rFonts w:ascii="宋体" w:hAnsi="宋体" w:cs="宋体"/>
          <w:b/>
          <w:color w:val="auto"/>
          <w:szCs w:val="21"/>
          <w:highlight w:val="none"/>
        </w:rPr>
      </w:pPr>
      <w:r>
        <w:rPr>
          <w:rFonts w:hint="eastAsia" w:ascii="宋体" w:hAnsi="宋体" w:cs="宋体"/>
          <w:b/>
          <w:color w:val="auto"/>
          <w:szCs w:val="21"/>
          <w:highlight w:val="none"/>
        </w:rPr>
        <w:t xml:space="preserve">58.13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17984" behindDoc="0" locked="0" layoutInCell="1" allowOverlap="1">
                <wp:simplePos x="0" y="0"/>
                <wp:positionH relativeFrom="column">
                  <wp:posOffset>-114300</wp:posOffset>
                </wp:positionH>
                <wp:positionV relativeFrom="paragraph">
                  <wp:posOffset>13335</wp:posOffset>
                </wp:positionV>
                <wp:extent cx="914400" cy="406400"/>
                <wp:effectExtent l="0" t="0" r="0" b="0"/>
                <wp:wrapNone/>
                <wp:docPr id="157" name="文本框 157"/>
                <wp:cNvGraphicFramePr/>
                <a:graphic xmlns:a="http://schemas.openxmlformats.org/drawingml/2006/main">
                  <a:graphicData uri="http://schemas.microsoft.com/office/word/2010/wordprocessingShape">
                    <wps:wsp>
                      <wps:cNvSpPr txBox="1">
                        <a:spLocks noChangeArrowheads="1"/>
                      </wps:cNvSpPr>
                      <wps:spPr bwMode="auto">
                        <a:xfrm>
                          <a:off x="0" y="0"/>
                          <a:ext cx="914400" cy="406400"/>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pt;width:72pt;z-index:251817984;mso-width-relative:page;mso-height-relative:page;" filled="f" stroked="f" coordsize="21600,21600" o:gfxdata="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R/M+L1QAAAAgBAAAPAAAAAAAAAAEAIAAAACIAAABkcnMvZG93bnJldi54&#10;bWxQSwECFAAUAAAACACHTuJANrCcxv0BAADYAwAADgAAAAAAAAABACAAAAAkAQAAZHJzL2Uyb0Rv&#10;Yy54bWxQSwUGAAAAAAYABgBZAQAAkw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工程竣工质量争议的责任</w:t>
                      </w:r>
                    </w:p>
                  </w:txbxContent>
                </v:textbox>
              </v:shape>
            </w:pict>
          </mc:Fallback>
        </mc:AlternateContent>
      </w:r>
      <w:r>
        <w:rPr>
          <w:rFonts w:hint="eastAsia" w:ascii="宋体" w:hAnsi="宋体" w:cs="宋体"/>
          <w:color w:val="auto"/>
          <w:kern w:val="0"/>
          <w:szCs w:val="21"/>
          <w:highlight w:val="none"/>
        </w:rPr>
        <w:t>合同工程竣工验收时发生工程质量争议，经第86.4款规定调解或认定工程质量符合合同要求的，由发包人承担由此增加的费用和（或）延误的工期。</w:t>
      </w:r>
    </w:p>
    <w:p>
      <w:pPr>
        <w:adjustRightInd w:val="0"/>
        <w:snapToGrid w:val="0"/>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5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59  缺陷责任与质量保修</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056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6" name="文本框 156"/>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056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seCG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宋体" w:hAnsi="宋体"/>
                          <w:sz w:val="18"/>
                          <w:szCs w:val="18"/>
                        </w:rPr>
                      </w:pPr>
                      <w:r>
                        <w:rPr>
                          <w:rFonts w:hint="eastAsia" w:ascii="楷体_GB2312" w:hAnsi="宋体"/>
                          <w:b/>
                          <w:color w:val="000000"/>
                          <w:sz w:val="18"/>
                          <w:szCs w:val="18"/>
                        </w:rPr>
                        <w:t>计算</w:t>
                      </w:r>
                    </w:p>
                  </w:txbxContent>
                </v:textbox>
              </v:shape>
            </w:pict>
          </mc:Fallback>
        </mc:AlternateContent>
      </w:r>
      <w:r>
        <w:rPr>
          <w:rFonts w:hint="eastAsia" w:ascii="宋体" w:hAnsi="宋体" w:cs="宋体"/>
          <w:b/>
          <w:color w:val="auto"/>
          <w:szCs w:val="21"/>
          <w:highlight w:val="none"/>
        </w:rPr>
        <w:t xml:space="preserve">59.1  </w:t>
      </w:r>
    </w:p>
    <w:p>
      <w:pPr>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合同双方当事人应在专用条款中约定缺陷责任期。</w:t>
      </w:r>
    </w:p>
    <w:p>
      <w:pPr>
        <w:adjustRightInd w:val="0"/>
        <w:snapToGrid w:val="0"/>
        <w:spacing w:line="360" w:lineRule="auto"/>
        <w:ind w:left="1575" w:leftChars="750"/>
        <w:rPr>
          <w:rFonts w:ascii="宋体" w:hAnsi="宋体" w:cs="宋体"/>
          <w:b/>
          <w:color w:val="auto"/>
          <w:szCs w:val="21"/>
          <w:highlight w:val="none"/>
        </w:rPr>
      </w:pPr>
      <w:r>
        <w:rPr>
          <w:rFonts w:hint="eastAsia" w:ascii="宋体" w:hAnsi="宋体" w:cs="宋体"/>
          <w:color w:val="auto"/>
          <w:szCs w:val="21"/>
          <w:highlight w:val="none"/>
        </w:rPr>
        <w:t>缺陷责任期自实际竣工之日起计算。在全部工程竣工验收前，已经发包人提前验收的单位工程，其缺陷责任期的起算日期相应提前。</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158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5" name="文本框 155"/>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158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Ad+0G0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缺陷责任期</w:t>
                      </w:r>
                    </w:p>
                    <w:p>
                      <w:pPr>
                        <w:spacing w:line="240" w:lineRule="exact"/>
                        <w:rPr>
                          <w:rFonts w:ascii="楷体_GB2312" w:hAnsi="宋体"/>
                          <w:b/>
                          <w:color w:val="000000"/>
                          <w:sz w:val="18"/>
                          <w:szCs w:val="18"/>
                        </w:rPr>
                      </w:pPr>
                      <w:r>
                        <w:rPr>
                          <w:rFonts w:hint="eastAsia" w:ascii="楷体_GB2312" w:hAnsi="宋体"/>
                          <w:b/>
                          <w:color w:val="000000"/>
                          <w:sz w:val="18"/>
                          <w:szCs w:val="18"/>
                        </w:rPr>
                        <w:t>延长</w:t>
                      </w:r>
                    </w:p>
                  </w:txbxContent>
                </v:textbox>
              </v:shape>
            </w:pict>
          </mc:Fallback>
        </mc:AlternateContent>
      </w:r>
      <w:r>
        <w:rPr>
          <w:rFonts w:hint="eastAsia" w:ascii="宋体" w:hAnsi="宋体" w:cs="宋体"/>
          <w:b/>
          <w:color w:val="auto"/>
          <w:szCs w:val="21"/>
          <w:highlight w:val="none"/>
        </w:rPr>
        <w:t xml:space="preserve">59.2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由于承包人原因造成某项缺陷或损坏使某项工程或工程设备不能按照原定目标使用而需要再次检查、检验和修复的，发包人有权要求承包人相应延长缺陷责任期，但缺陷责任期最长不超过2年。</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26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4" name="文本框 154"/>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26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g6FnaQ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654M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IOhZ2k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缺陷责任</w:t>
                      </w:r>
                    </w:p>
                  </w:txbxContent>
                </v:textbox>
              </v:shape>
            </w:pict>
          </mc:Fallback>
        </mc:AlternateContent>
      </w:r>
      <w:r>
        <w:rPr>
          <w:rFonts w:hint="eastAsia" w:ascii="宋体" w:hAnsi="宋体" w:cs="宋体"/>
          <w:b/>
          <w:color w:val="auto"/>
          <w:szCs w:val="21"/>
          <w:highlight w:val="none"/>
        </w:rPr>
        <w:t xml:space="preserve">59.3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合同工程存在某项缺陷或损坏的，合同双方当事人应按照下列规定承担缺陷责任以及由此产生的费用。</w:t>
      </w:r>
    </w:p>
    <w:p>
      <w:pPr>
        <w:adjustRightInd w:val="0"/>
        <w:snapToGrid w:val="0"/>
        <w:spacing w:line="360" w:lineRule="auto"/>
        <w:ind w:firstLine="1377" w:firstLineChars="656"/>
        <w:rPr>
          <w:rFonts w:ascii="宋体" w:hAnsi="宋体" w:cs="宋体"/>
          <w:color w:val="auto"/>
          <w:kern w:val="0"/>
          <w:szCs w:val="21"/>
          <w:highlight w:val="none"/>
        </w:rPr>
      </w:pPr>
      <w:r>
        <w:rPr>
          <w:rFonts w:hint="eastAsia" w:ascii="宋体" w:hAnsi="宋体" w:cs="宋体"/>
          <w:color w:val="auto"/>
          <w:kern w:val="0"/>
          <w:szCs w:val="21"/>
          <w:highlight w:val="none"/>
        </w:rPr>
        <w:t>（1）承包人应在缺陷责任期内对已交付使用的工程承担缺陷责任。</w:t>
      </w:r>
    </w:p>
    <w:p>
      <w:pPr>
        <w:spacing w:line="360" w:lineRule="auto"/>
        <w:ind w:left="1575" w:leftChars="750"/>
        <w:rPr>
          <w:rFonts w:ascii="宋体" w:hAnsi="宋体" w:cs="宋体"/>
          <w:color w:val="auto"/>
          <w:szCs w:val="21"/>
          <w:highlight w:val="none"/>
        </w:rPr>
      </w:pPr>
      <w:r>
        <w:rPr>
          <w:rFonts w:hint="eastAsia" w:ascii="宋体" w:hAnsi="宋体" w:cs="宋体"/>
          <w:color w:val="auto"/>
          <w:szCs w:val="21"/>
          <w:highlight w:val="none"/>
        </w:rPr>
        <w:t>（2）缺陷责任期内，发包人对已接收使用的工程负责日常维护工作。发包人在使用过程中，发现已接收的工程存在新的缺陷或已修复的缺陷部位或部件又遭损坏的，应及时通知承包人修复，承包人应在收到通知后的7天内派人修复，直至检验合格为止。承包人未能在规定时间内修复的，发包人可自行或委托第三方修复，所需费用和利润按照本款第（3）点规定办理。</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3）监理工程师应会同承包人共同查清缺陷和（或）损坏的原因，并由造价工程师提出或核实由此发生的费用。经查明，因承包人原因造成的，由承包人承担修复和查验的费用；因发包人的原因造成的，发包人承担修复和查验的费用，并向承包人支付合理利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3632"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3" name="文本框 153"/>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3632;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HFm/p3YAAAACgEAAA8AAAAAAAAAAQAgAAAAIgAAAGRycy9k&#10;b3ducmV2LnhtbFBLAQIUABQAAAAIAIdO4kAfv2B2AgIAANgDAAAOAAAAAAAAAAEAIAAAACcBAABk&#10;cnMvZTJvRG9jLnhtbFBLBQYAAAAABgAGAFkBAACbBQ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重新检（试）验</w:t>
                      </w:r>
                    </w:p>
                  </w:txbxContent>
                </v:textbox>
              </v:shape>
            </w:pict>
          </mc:Fallback>
        </mc:AlternateContent>
      </w:r>
      <w:r>
        <w:rPr>
          <w:rFonts w:hint="eastAsia" w:ascii="宋体" w:hAnsi="宋体" w:cs="宋体"/>
          <w:b/>
          <w:color w:val="auto"/>
          <w:szCs w:val="21"/>
          <w:highlight w:val="none"/>
        </w:rPr>
        <w:t xml:space="preserve">59.4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任何一项缺陷或损坏修复后，经检查证明其影响了工程或工程设备的使用性能，承包人应按照第54条规定重新检（试）验，重新检（试）验的费用由责任方承担。</w:t>
      </w:r>
    </w:p>
    <w:p>
      <w:pPr>
        <w:adjustRightInd w:val="0"/>
        <w:snapToGrid w:val="0"/>
        <w:spacing w:line="48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4656"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4656;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m2DXcgE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Jtg13I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承包人的进入权</w:t>
                      </w:r>
                    </w:p>
                  </w:txbxContent>
                </v:textbox>
              </v:shape>
            </w:pict>
          </mc:Fallback>
        </mc:AlternateContent>
      </w:r>
      <w:r>
        <w:rPr>
          <w:rFonts w:hint="eastAsia" w:ascii="宋体" w:hAnsi="宋体" w:cs="宋体"/>
          <w:b/>
          <w:color w:val="auto"/>
          <w:szCs w:val="21"/>
          <w:highlight w:val="none"/>
        </w:rPr>
        <w:t xml:space="preserve">59.5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缺陷责任期内承包人为缺陷修复工作需要，有权进入工程现场，但应遵守发包人的保安和保密等规定。</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5680"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5680;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FwAPf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颁发缺陷责任期终止证书</w:t>
                      </w:r>
                    </w:p>
                  </w:txbxContent>
                </v:textbox>
              </v:shape>
            </w:pict>
          </mc:Fallback>
        </mc:AlternateContent>
      </w:r>
      <w:r>
        <w:rPr>
          <w:rFonts w:hint="eastAsia" w:ascii="宋体" w:hAnsi="宋体" w:cs="宋体"/>
          <w:b/>
          <w:color w:val="auto"/>
          <w:szCs w:val="21"/>
          <w:highlight w:val="none"/>
        </w:rPr>
        <w:t xml:space="preserve">59.6  </w:t>
      </w:r>
      <w:r>
        <w:rPr>
          <w:rFonts w:hint="eastAsia" w:ascii="宋体" w:hAnsi="宋体" w:cs="宋体"/>
          <w:b/>
          <w:color w:val="auto"/>
          <w:szCs w:val="21"/>
          <w:highlight w:val="none"/>
          <w:u w:val="dotted"/>
        </w:rPr>
        <w:t xml:space="preserve">                                                                            </w:t>
      </w:r>
    </w:p>
    <w:p>
      <w:pPr>
        <w:spacing w:line="360" w:lineRule="auto"/>
        <w:ind w:left="1619" w:leftChars="771"/>
        <w:rPr>
          <w:rFonts w:ascii="宋体" w:hAnsi="宋体" w:cs="宋体"/>
          <w:b/>
          <w:color w:val="auto"/>
          <w:szCs w:val="21"/>
          <w:highlight w:val="none"/>
        </w:rPr>
      </w:pPr>
      <w:r>
        <w:rPr>
          <w:rFonts w:hint="eastAsia" w:ascii="宋体" w:hAnsi="宋体" w:cs="宋体"/>
          <w:color w:val="auto"/>
          <w:szCs w:val="21"/>
          <w:highlight w:val="none"/>
        </w:rPr>
        <w:t>在专用条款约定的缺陷责任期（包括第59.2款延长的期限）终止后的14天内，发包人应向承包人颁发缺陷责任期终止证书。</w:t>
      </w:r>
    </w:p>
    <w:p>
      <w:pPr>
        <w:adjustRightInd w:val="0"/>
        <w:snapToGrid w:val="0"/>
        <w:spacing w:line="360" w:lineRule="auto"/>
        <w:rPr>
          <w:rFonts w:ascii="宋体" w:hAnsi="宋体" w:cs="宋体"/>
          <w:b/>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19008"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819008;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xZv6d2AAAAAoBAAAPAAAAAAAAAAEAIAAAACIAAABkcnMvZG93&#10;bnJldi54bWxQSwECFAAUAAAACACHTuJAk9+4ewACAADYAwAADgAAAAAAAAABACAAAAAnAQAAZHJz&#10;L2Uyb0RvYy54bWxQSwUGAAAAAAYABgBZAQAAmQU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签订工程质量保修书</w:t>
                      </w:r>
                    </w:p>
                  </w:txbxContent>
                </v:textbox>
              </v:shape>
            </w:pict>
          </mc:Fallback>
        </mc:AlternateContent>
      </w:r>
      <w:r>
        <w:rPr>
          <w:rFonts w:hint="eastAsia" w:ascii="宋体" w:hAnsi="宋体" w:cs="宋体"/>
          <w:b/>
          <w:color w:val="auto"/>
          <w:szCs w:val="21"/>
          <w:highlight w:val="none"/>
        </w:rPr>
        <w:t xml:space="preserve">59.7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合同双方当事人应根据法律的有关规定，在承包人向发包人提交竣工验收申请报告前，共同签署合同工程质量保修书，作为本合同的附件。工程质量保修书应具体明确质量保修范围、期限、责任和费用等事项。</w:t>
      </w:r>
    </w:p>
    <w:p>
      <w:pPr>
        <w:adjustRightInd w:val="0"/>
        <w:snapToGrid w:val="0"/>
        <w:spacing w:line="480" w:lineRule="auto"/>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6704" behindDoc="0" locked="0" layoutInCell="1" allowOverlap="1">
                <wp:simplePos x="0" y="0"/>
                <wp:positionH relativeFrom="column">
                  <wp:posOffset>-114300</wp:posOffset>
                </wp:positionH>
                <wp:positionV relativeFrom="paragraph">
                  <wp:posOffset>287020</wp:posOffset>
                </wp:positionV>
                <wp:extent cx="967740" cy="429895"/>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967740" cy="429895"/>
                        </a:xfrm>
                        <a:prstGeom prst="rect">
                          <a:avLst/>
                        </a:prstGeom>
                        <a:noFill/>
                        <a:ln>
                          <a:noFill/>
                        </a:ln>
                        <a:effectLst/>
                      </wps:spPr>
                      <wps:txb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6pt;height:33.85pt;width:76.2pt;z-index:251976704;mso-width-relative:page;mso-height-relative:page;" filled="f" stroked="f" coordsize="21600,21600" o:gfxdata="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cWb+ndgAAAAKAQAADwAAAAAAAAABACAAAAAiAAAAZHJzL2Rv&#10;d25yZXYueG1sUEsBAhQAFAAAAAgAh07iQNEMYLABAgAA2AMAAA4AAAAAAAAAAQAgAAAAJwEAAGRy&#10;cy9lMm9Eb2MueG1sUEsFBgAAAAAGAAYAWQEAAJoFAAAAAA==&#10;">
                <v:fill on="f" focussize="0,0"/>
                <v:stroke on="f"/>
                <v:imagedata o:title=""/>
                <o:lock v:ext="edit" aspectratio="f"/>
                <v:textbox>
                  <w:txbxContent>
                    <w:p>
                      <w:pPr>
                        <w:spacing w:line="240" w:lineRule="exact"/>
                        <w:rPr>
                          <w:rFonts w:ascii="楷体_GB2312" w:hAnsi="宋体"/>
                          <w:b/>
                          <w:color w:val="000000"/>
                          <w:sz w:val="18"/>
                          <w:szCs w:val="18"/>
                        </w:rPr>
                      </w:pPr>
                      <w:r>
                        <w:rPr>
                          <w:rFonts w:hint="eastAsia" w:ascii="楷体_GB2312" w:hAnsi="宋体"/>
                          <w:b/>
                          <w:color w:val="000000"/>
                          <w:sz w:val="18"/>
                          <w:szCs w:val="18"/>
                        </w:rPr>
                        <w:t>质量保修期计算</w:t>
                      </w:r>
                    </w:p>
                  </w:txbxContent>
                </v:textbox>
              </v:shape>
            </w:pict>
          </mc:Fallback>
        </mc:AlternateContent>
      </w:r>
      <w:r>
        <w:rPr>
          <w:rFonts w:hint="eastAsia" w:ascii="宋体" w:hAnsi="宋体" w:cs="宋体"/>
          <w:b/>
          <w:color w:val="auto"/>
          <w:szCs w:val="21"/>
          <w:highlight w:val="none"/>
        </w:rPr>
        <w:t xml:space="preserve">59.8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合同双方当事人应在专用条款和合同工程质量保修书中约定质量保修期。</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质量保修期自实际竣工之日起计算。在全部工程竣工验收前，已经发包人提前验收的单位工程，其质量保修期的起算日期相应提前。</w:t>
      </w:r>
    </w:p>
    <w:p>
      <w:pPr>
        <w:tabs>
          <w:tab w:val="left" w:pos="360"/>
          <w:tab w:val="left" w:pos="900"/>
        </w:tabs>
        <w:adjustRightInd w:val="0"/>
        <w:snapToGrid w:val="0"/>
        <w:spacing w:line="480" w:lineRule="auto"/>
        <w:rPr>
          <w:rFonts w:ascii="宋体" w:hAnsi="宋体" w:cs="宋体"/>
          <w:b/>
          <w:color w:val="auto"/>
          <w:szCs w:val="21"/>
          <w:highlight w:val="none"/>
          <w:u w:val="dotted"/>
        </w:rPr>
      </w:pPr>
      <w:r>
        <w:rPr>
          <w:rFonts w:hint="eastAsia" w:ascii="宋体" w:hAnsi="宋体" w:cs="宋体"/>
          <w:b/>
          <w:color w:val="auto"/>
          <w:szCs w:val="21"/>
          <w:highlight w:val="none"/>
        </w:rPr>
        <w:t xml:space="preserve">59.9  </w:t>
      </w:r>
      <w:r>
        <w:rPr>
          <w:rFonts w:hint="eastAsia" w:ascii="宋体" w:hAnsi="宋体" w:cs="宋体"/>
          <w:b/>
          <w:color w:val="auto"/>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20032" behindDoc="0" locked="0" layoutInCell="1" allowOverlap="1">
                <wp:simplePos x="0" y="0"/>
                <wp:positionH relativeFrom="column">
                  <wp:posOffset>-73660</wp:posOffset>
                </wp:positionH>
                <wp:positionV relativeFrom="paragraph">
                  <wp:posOffset>15240</wp:posOffset>
                </wp:positionV>
                <wp:extent cx="988060" cy="365760"/>
                <wp:effectExtent l="0" t="0" r="0" b="0"/>
                <wp:wrapNone/>
                <wp:docPr id="148" name="文本框 148"/>
                <wp:cNvGraphicFramePr/>
                <a:graphic xmlns:a="http://schemas.openxmlformats.org/drawingml/2006/main">
                  <a:graphicData uri="http://schemas.microsoft.com/office/word/2010/wordprocessingShape">
                    <wps:wsp>
                      <wps:cNvSpPr txBox="1">
                        <a:spLocks noChangeArrowheads="1"/>
                      </wps:cNvSpPr>
                      <wps:spPr bwMode="auto">
                        <a:xfrm>
                          <a:off x="0" y="0"/>
                          <a:ext cx="988060" cy="365760"/>
                        </a:xfrm>
                        <a:prstGeom prst="rect">
                          <a:avLst/>
                        </a:prstGeom>
                        <a:noFill/>
                        <a:ln>
                          <a:noFill/>
                        </a:ln>
                        <a:effectLst/>
                      </wps:spPr>
                      <wps:txbx>
                        <w:txbxContent>
                          <w:p>
                            <w:pPr>
                              <w:rPr>
                                <w:rFonts w:ascii="楷体_GB2312" w:hAnsi="宋体"/>
                                <w:sz w:val="18"/>
                                <w:szCs w:val="18"/>
                              </w:rPr>
                            </w:pPr>
                            <w:r>
                              <w:rPr>
                                <w:rFonts w:hint="eastAsia" w:ascii="楷体_GB2312" w:hAnsi="宋体"/>
                                <w:b/>
                                <w:color w:val="000000"/>
                                <w:sz w:val="18"/>
                                <w:szCs w:val="18"/>
                              </w:rPr>
                              <w:t>工程质量保修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8pt;margin-top:1.2pt;height:28.8pt;width:77.8pt;z-index:251820032;mso-width-relative:page;mso-height-relative:page;" filled="f" stroked="f" coordsize="21600,21600" o:gfxdata="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WKJQ7VAAAACAEAAA8AAAAAAAAAAQAgAAAAIgAAAGRycy9kb3ducmV2&#10;LnhtbFBLAQIUABQAAAAIAIdO4kBGNOOr/wEAANgDAAAOAAAAAAAAAAEAIAAAACQBAABkcnMvZTJv&#10;RG9jLnhtbFBLBQYAAAAABgAGAFkBAACVBQAAAAA=&#10;">
                <v:fill on="f" focussize="0,0"/>
                <v:stroke on="f"/>
                <v:imagedata o:title=""/>
                <o:lock v:ext="edit" aspectratio="f"/>
                <v:textbox>
                  <w:txbxContent>
                    <w:p>
                      <w:pPr>
                        <w:rPr>
                          <w:rFonts w:ascii="楷体_GB2312" w:hAnsi="宋体"/>
                          <w:sz w:val="18"/>
                          <w:szCs w:val="18"/>
                        </w:rPr>
                      </w:pPr>
                      <w:r>
                        <w:rPr>
                          <w:rFonts w:hint="eastAsia" w:ascii="楷体_GB2312" w:hAnsi="宋体"/>
                          <w:b/>
                          <w:color w:val="000000"/>
                          <w:sz w:val="18"/>
                          <w:szCs w:val="18"/>
                        </w:rPr>
                        <w:t>工程质量保修</w:t>
                      </w:r>
                    </w:p>
                  </w:txbxContent>
                </v:textbox>
              </v:shape>
            </w:pict>
          </mc:Fallback>
        </mc:AlternateContent>
      </w:r>
      <w:r>
        <w:rPr>
          <w:rFonts w:hint="eastAsia" w:ascii="宋体" w:hAnsi="宋体" w:cs="宋体"/>
          <w:color w:val="auto"/>
          <w:szCs w:val="21"/>
          <w:highlight w:val="none"/>
        </w:rPr>
        <w:t>承包人应在质量保修期内对交付发包人使用的合同工程承担质量保修责任。合同工程出现质量问题的，承包人应立即实施保修；承包人保修工作完成后，发包人应及时组织验收。发生紧急抢修事故的，承包人应在接到通知后立即到达事故现场抢修。</w:t>
      </w:r>
    </w:p>
    <w:p>
      <w:pPr>
        <w:adjustRightInd w:val="0"/>
        <w:snapToGrid w:val="0"/>
        <w:spacing w:line="480" w:lineRule="auto"/>
        <w:rPr>
          <w:rFonts w:ascii="宋体" w:hAnsi="宋体" w:cs="宋体"/>
          <w:color w:val="auto"/>
          <w:szCs w:val="21"/>
          <w:highlight w:val="none"/>
          <w:u w:val="dotted"/>
        </w:rPr>
      </w:pPr>
      <w:r>
        <w:rPr>
          <w:rFonts w:ascii="宋体" w:hAnsi="宋体" w:cs="宋体"/>
          <w:color w:val="auto"/>
          <w:szCs w:val="21"/>
          <w:highlight w:val="none"/>
        </w:rPr>
        <mc:AlternateContent>
          <mc:Choice Requires="wps">
            <w:drawing>
              <wp:anchor distT="0" distB="0" distL="114300" distR="114300" simplePos="0" relativeHeight="251821056" behindDoc="0" locked="0" layoutInCell="1" allowOverlap="1">
                <wp:simplePos x="0" y="0"/>
                <wp:positionH relativeFrom="column">
                  <wp:posOffset>-66675</wp:posOffset>
                </wp:positionH>
                <wp:positionV relativeFrom="paragraph">
                  <wp:posOffset>198120</wp:posOffset>
                </wp:positionV>
                <wp:extent cx="959485" cy="513080"/>
                <wp:effectExtent l="0" t="0" r="0" b="0"/>
                <wp:wrapNone/>
                <wp:docPr id="147" name="文本框 147"/>
                <wp:cNvGraphicFramePr/>
                <a:graphic xmlns:a="http://schemas.openxmlformats.org/drawingml/2006/main">
                  <a:graphicData uri="http://schemas.microsoft.com/office/word/2010/wordprocessingShape">
                    <wps:wsp>
                      <wps:cNvSpPr txBox="1">
                        <a:spLocks noChangeArrowheads="1"/>
                      </wps:cNvSpPr>
                      <wps:spPr bwMode="auto">
                        <a:xfrm>
                          <a:off x="0" y="0"/>
                          <a:ext cx="959485" cy="513080"/>
                        </a:xfrm>
                        <a:prstGeom prst="rect">
                          <a:avLst/>
                        </a:prstGeom>
                        <a:noFill/>
                        <a:ln>
                          <a:noFill/>
                        </a:ln>
                        <a:effectLst/>
                      </wps:spPr>
                      <wps:txb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5.6pt;height:40.4pt;width:75.55pt;z-index:251821056;mso-width-relative:page;mso-height-relative:page;" filled="f" stroked="f" coordsize="21600,21600" o:gfxdata="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j1AXw9cAAAAKAQAADwAAAAAAAAABACAAAAAiAAAAZHJzL2Rv&#10;d25yZXYueG1sUEsBAhQAFAAAAAgAh07iQIpKM70CAgAA2AMAAA4AAAAAAAAAAQAgAAAAJgEAAGRy&#10;cy9lMm9Eb2MueG1sUEsFBgAAAAAGAAYAWQEAAJoFAAAAAA==&#10;">
                <v:fill on="f" focussize="0,0"/>
                <v:stroke on="f"/>
                <v:imagedata o:title=""/>
                <o:lock v:ext="edit" aspectratio="f"/>
                <v:textbox>
                  <w:txbxContent>
                    <w:p>
                      <w:pPr>
                        <w:rPr>
                          <w:rFonts w:ascii="楷体_GB2312" w:hAnsi="宋体"/>
                          <w:b/>
                          <w:color w:val="000000"/>
                          <w:sz w:val="18"/>
                          <w:szCs w:val="18"/>
                        </w:rPr>
                      </w:pPr>
                      <w:r>
                        <w:rPr>
                          <w:rFonts w:hint="eastAsia" w:ascii="楷体_GB2312" w:hAnsi="宋体"/>
                          <w:b/>
                          <w:color w:val="000000"/>
                          <w:sz w:val="18"/>
                          <w:szCs w:val="18"/>
                        </w:rPr>
                        <w:t>修复质量缺陷以外的费用</w:t>
                      </w:r>
                    </w:p>
                  </w:txbxContent>
                </v:textbox>
              </v:shape>
            </w:pict>
          </mc:Fallback>
        </mc:AlternateContent>
      </w:r>
      <w:r>
        <w:rPr>
          <w:rFonts w:hint="eastAsia" w:ascii="宋体" w:hAnsi="宋体" w:cs="宋体"/>
          <w:b/>
          <w:color w:val="auto"/>
          <w:szCs w:val="21"/>
          <w:highlight w:val="none"/>
        </w:rPr>
        <w:t xml:space="preserve">59.10 </w:t>
      </w:r>
      <w:r>
        <w:rPr>
          <w:rFonts w:hint="eastAsia" w:ascii="宋体" w:hAnsi="宋体" w:cs="宋体"/>
          <w:color w:val="auto"/>
          <w:szCs w:val="21"/>
          <w:highlight w:val="none"/>
        </w:rPr>
        <w:t xml:space="preserve"> </w:t>
      </w:r>
      <w:r>
        <w:rPr>
          <w:rFonts w:hint="eastAsia" w:ascii="宋体" w:hAnsi="宋体" w:cs="宋体"/>
          <w:color w:val="auto"/>
          <w:szCs w:val="21"/>
          <w:highlight w:val="none"/>
          <w:u w:val="dotted"/>
        </w:rPr>
        <w:t xml:space="preserve">                                                                                                        </w:t>
      </w:r>
    </w:p>
    <w:p>
      <w:pPr>
        <w:adjustRightInd w:val="0"/>
        <w:snapToGrid w:val="0"/>
        <w:spacing w:line="360" w:lineRule="auto"/>
        <w:ind w:firstLine="1377" w:firstLineChars="656"/>
        <w:rPr>
          <w:rFonts w:ascii="宋体" w:hAnsi="宋体" w:cs="宋体"/>
          <w:color w:val="auto"/>
          <w:szCs w:val="21"/>
          <w:highlight w:val="none"/>
        </w:rPr>
      </w:pPr>
      <w:r>
        <w:rPr>
          <w:rFonts w:hint="eastAsia" w:ascii="宋体" w:hAnsi="宋体" w:cs="宋体"/>
          <w:color w:val="auto"/>
          <w:szCs w:val="21"/>
          <w:highlight w:val="none"/>
        </w:rPr>
        <w:t>承包人修复属于质量缺陷以外的费用，由责任方承担。</w:t>
      </w:r>
    </w:p>
    <w:p>
      <w:pPr>
        <w:adjustRightInd w:val="0"/>
        <w:snapToGrid w:val="0"/>
        <w:spacing w:line="360" w:lineRule="auto"/>
        <w:rPr>
          <w:rFonts w:ascii="宋体" w:hAnsi="宋体" w:cs="宋体"/>
          <w:color w:val="auto"/>
          <w:sz w:val="24"/>
          <w:szCs w:val="18"/>
          <w:highlight w:val="none"/>
          <w:u w:val="single"/>
        </w:rPr>
      </w:pPr>
      <w:r>
        <w:rPr>
          <w:rFonts w:hint="eastAsia" w:ascii="宋体" w:hAnsi="宋体" w:cs="宋体"/>
          <w:b/>
          <w:color w:val="auto"/>
          <w:szCs w:val="21"/>
          <w:highlight w:val="none"/>
          <w:u w:val="single"/>
        </w:rPr>
        <w:t xml:space="preserve">                                                                                 </w:t>
      </w:r>
      <w:r>
        <w:rPr>
          <w:rFonts w:hint="eastAsia" w:ascii="宋体" w:hAnsi="宋体" w:cs="宋体"/>
          <w:color w:val="auto"/>
          <w:szCs w:val="21"/>
          <w:highlight w:val="none"/>
          <w:u w:val="single"/>
        </w:rPr>
        <w:t xml:space="preserve">   </w:t>
      </w:r>
      <w:r>
        <w:rPr>
          <w:rFonts w:hint="eastAsia" w:ascii="宋体" w:hAnsi="宋体" w:cs="宋体"/>
          <w:color w:val="auto"/>
          <w:sz w:val="24"/>
          <w:szCs w:val="18"/>
          <w:highlight w:val="none"/>
          <w:u w:val="single"/>
        </w:rPr>
        <w:t xml:space="preserve">  </w:t>
      </w:r>
    </w:p>
    <w:p>
      <w:pPr>
        <w:tabs>
          <w:tab w:val="left" w:pos="1620"/>
        </w:tabs>
        <w:adjustRightInd w:val="0"/>
        <w:snapToGrid w:val="0"/>
        <w:spacing w:line="360" w:lineRule="auto"/>
        <w:outlineLvl w:val="1"/>
        <w:rPr>
          <w:rFonts w:ascii="宋体" w:hAnsi="宋体" w:cs="宋体"/>
          <w:b/>
          <w:color w:val="auto"/>
          <w:sz w:val="32"/>
          <w:szCs w:val="28"/>
          <w:highlight w:val="none"/>
        </w:rPr>
      </w:pPr>
      <w:r>
        <w:rPr>
          <w:rFonts w:hint="eastAsia" w:ascii="宋体" w:hAnsi="宋体" w:cs="宋体"/>
          <w:color w:val="auto"/>
          <w:sz w:val="24"/>
          <w:szCs w:val="28"/>
          <w:highlight w:val="none"/>
        </w:rPr>
        <w:t xml:space="preserve">                                 </w:t>
      </w:r>
      <w:r>
        <w:rPr>
          <w:rFonts w:hint="eastAsia" w:ascii="宋体" w:hAnsi="宋体" w:cs="宋体"/>
          <w:b/>
          <w:color w:val="auto"/>
          <w:sz w:val="32"/>
          <w:szCs w:val="28"/>
          <w:highlight w:val="none"/>
        </w:rPr>
        <w:t>六、造  价</w:t>
      </w:r>
    </w:p>
    <w:p>
      <w:pPr>
        <w:tabs>
          <w:tab w:val="left" w:pos="1620"/>
        </w:tabs>
        <w:adjustRightInd w:val="0"/>
        <w:snapToGrid w:val="0"/>
        <w:spacing w:line="360" w:lineRule="auto"/>
        <w:ind w:firstLine="4006" w:firstLineChars="1247"/>
        <w:outlineLvl w:val="1"/>
        <w:rPr>
          <w:rFonts w:ascii="宋体" w:hAnsi="宋体" w:cs="宋体"/>
          <w:b/>
          <w:color w:val="auto"/>
          <w:sz w:val="32"/>
          <w:szCs w:val="28"/>
          <w:highlight w:val="none"/>
        </w:rPr>
      </w:pPr>
    </w:p>
    <w:p>
      <w:pPr>
        <w:tabs>
          <w:tab w:val="left" w:pos="1620"/>
        </w:tabs>
        <w:adjustRightInd w:val="0"/>
        <w:snapToGrid w:val="0"/>
        <w:spacing w:line="360" w:lineRule="auto"/>
        <w:outlineLvl w:val="1"/>
        <w:rPr>
          <w:rFonts w:ascii="宋体" w:hAnsi="宋体" w:cs="宋体"/>
          <w:b/>
          <w:color w:val="auto"/>
          <w:szCs w:val="21"/>
          <w:highlight w:val="none"/>
        </w:rPr>
      </w:pPr>
      <w:r>
        <w:rPr>
          <w:rFonts w:hint="eastAsia" w:ascii="宋体" w:hAnsi="宋体" w:cs="宋体"/>
          <w:b/>
          <w:color w:val="auto"/>
          <w:szCs w:val="21"/>
          <w:highlight w:val="none"/>
        </w:rPr>
        <w:t>60  资金计划和安排</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60.1</w:t>
      </w:r>
    </w:p>
    <w:p>
      <w:pPr>
        <w:adjustRightInd w:val="0"/>
        <w:snapToGrid w:val="0"/>
        <w:spacing w:line="360" w:lineRule="auto"/>
        <w:ind w:left="1579" w:leftChars="752"/>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2080" behindDoc="0" locked="0" layoutInCell="1" allowOverlap="1">
                <wp:simplePos x="0" y="0"/>
                <wp:positionH relativeFrom="column">
                  <wp:posOffset>-133350</wp:posOffset>
                </wp:positionH>
                <wp:positionV relativeFrom="paragraph">
                  <wp:posOffset>68580</wp:posOffset>
                </wp:positionV>
                <wp:extent cx="914400" cy="431800"/>
                <wp:effectExtent l="0" t="0" r="0" b="0"/>
                <wp:wrapNone/>
                <wp:docPr id="146" name="文本框 146"/>
                <wp:cNvGraphicFramePr/>
                <a:graphic xmlns:a="http://schemas.openxmlformats.org/drawingml/2006/main">
                  <a:graphicData uri="http://schemas.microsoft.com/office/word/2010/wordprocessingShape">
                    <wps:wsp>
                      <wps:cNvSpPr txBox="1">
                        <a:spLocks noChangeArrowheads="1"/>
                      </wps:cNvSpPr>
                      <wps:spPr bwMode="auto">
                        <a:xfrm>
                          <a:off x="0" y="0"/>
                          <a:ext cx="914400" cy="43180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5.4pt;height:34pt;width:72pt;z-index:251822080;mso-width-relative:page;mso-height-relative:page;" filled="f" stroked="f" coordsize="21600,21600" o:gfxdata="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kL/c/WAAAACQEAAA8AAAAAAAAAAQAgAAAAIgAAAGRycy9kb3ducmV2&#10;LnhtbFBLAQIUABQAAAAIAIdO4kDjc1e1/gEAANgDAAAOAAAAAAAAAAEAIAAAACU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承包人提交资金需求计划书</w:t>
                      </w:r>
                    </w:p>
                  </w:txbxContent>
                </v:textbox>
              </v:shape>
            </w:pict>
          </mc:Fallback>
        </mc:AlternateContent>
      </w:r>
      <w:r>
        <w:rPr>
          <w:rFonts w:hint="eastAsia" w:ascii="宋体" w:hAnsi="宋体" w:cs="宋体"/>
          <w:color w:val="auto"/>
          <w:kern w:val="0"/>
          <w:szCs w:val="21"/>
          <w:highlight w:val="none"/>
        </w:rPr>
        <w:t>工程进度计划被批准后，承包人应向发包人提交一份合同工程资金需求计划书；工程进度计划更新后，承包人应及时向发包人提交一份更新后的工程资金需求计划书。</w:t>
      </w:r>
    </w:p>
    <w:p>
      <w:pPr>
        <w:adjustRightInd w:val="0"/>
        <w:snapToGrid w:val="0"/>
        <w:ind w:left="1417" w:leftChars="1" w:hanging="1415" w:hangingChars="671"/>
        <w:rPr>
          <w:rFonts w:ascii="宋体" w:hAnsi="宋体" w:cs="宋体"/>
          <w:b/>
          <w:color w:val="auto"/>
          <w:kern w:val="0"/>
          <w:szCs w:val="21"/>
          <w:highlight w:val="none"/>
        </w:rPr>
      </w:pPr>
      <w:r>
        <w:rPr>
          <w:rFonts w:hint="eastAsia" w:ascii="宋体" w:hAnsi="宋体" w:cs="宋体"/>
          <w:b/>
          <w:color w:val="auto"/>
          <w:kern w:val="0"/>
          <w:szCs w:val="21"/>
          <w:highlight w:val="none"/>
        </w:rPr>
        <w:t xml:space="preserve">60.2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3104" behindDoc="0" locked="0" layoutInCell="1" allowOverlap="1">
                <wp:simplePos x="0" y="0"/>
                <wp:positionH relativeFrom="column">
                  <wp:posOffset>-114300</wp:posOffset>
                </wp:positionH>
                <wp:positionV relativeFrom="paragraph">
                  <wp:posOffset>34290</wp:posOffset>
                </wp:positionV>
                <wp:extent cx="914400" cy="464820"/>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6.6pt;width:72pt;z-index:251823104;mso-width-relative:page;mso-height-relative:page;" filled="f" stroked="f" coordsize="21600,21600" o:gfxdata="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5awd7VAAAACAEAAA8AAAAAAAAAAQAgAAAAIgAAAGRycy9kb3ducmV2&#10;LnhtbFBLAQIUABQAAAAIAIdO4kCBYA+9/wEAANgDAAAOAAAAAAAAAAEAIAAAACQBAABkcnMvZTJv&#10;RG9jLnhtbFBLBQYAAAAABgAGAFkBAACVBQ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发包人提供资金安排证据</w:t>
                      </w:r>
                    </w:p>
                  </w:txbxContent>
                </v:textbox>
              </v:shape>
            </w:pict>
          </mc:Fallback>
        </mc:AlternateContent>
      </w:r>
      <w:r>
        <w:rPr>
          <w:rFonts w:hint="eastAsia" w:ascii="宋体" w:hAnsi="宋体" w:cs="宋体"/>
          <w:color w:val="auto"/>
          <w:kern w:val="0"/>
          <w:szCs w:val="21"/>
          <w:highlight w:val="none"/>
        </w:rPr>
        <w:t>发包人在收到承包人提交的工程资金需求计划书后28天内，应根据合同约定提供已做出资金安排的合理证据，表明自己有能力按照第78条规定支付合同价款。如果发包人对资金安排作出任何变更时，应及时将变更的详情通知承包人。</w:t>
      </w:r>
    </w:p>
    <w:p>
      <w:pPr>
        <w:tabs>
          <w:tab w:val="left" w:pos="180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61  工程量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61.1</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w:t>
      </w:r>
      <w:r>
        <w:rPr>
          <w:rFonts w:ascii="宋体" w:hAnsi="宋体" w:cs="宋体"/>
          <w:color w:val="auto"/>
          <w:kern w:val="0"/>
          <w:szCs w:val="21"/>
          <w:highlight w:val="none"/>
        </w:rPr>
        <mc:AlternateContent>
          <mc:Choice Requires="wps">
            <w:drawing>
              <wp:anchor distT="0" distB="0" distL="114300" distR="114300" simplePos="0" relativeHeight="251824128" behindDoc="0" locked="0" layoutInCell="1" allowOverlap="1">
                <wp:simplePos x="0" y="0"/>
                <wp:positionH relativeFrom="column">
                  <wp:posOffset>-114300</wp:posOffset>
                </wp:positionH>
                <wp:positionV relativeFrom="paragraph">
                  <wp:posOffset>11430</wp:posOffset>
                </wp:positionV>
                <wp:extent cx="914400" cy="476250"/>
                <wp:effectExtent l="0" t="0" r="0" b="0"/>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914400" cy="4762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37.5pt;width:72pt;z-index:251824128;mso-width-relative:page;mso-height-relative:page;" filled="f" stroked="f" coordsize="21600,21600" o:gfxdata="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bjnddQAAAAIAQAADwAAAAAAAAABACAAAAAiAAAAZHJzL2Rvd25yZXYu&#10;eG1sUEsBAhQAFAAAAAgAh07iQFIECpn/AQAA2AMAAA4AAAAAAAAAAQAgAAAAIwEAAGRycy9lMm9E&#10;b2MueG1sUEsFBgAAAAAGAAYAWQEAAJQ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清单工程量包括的工作内容</w:t>
                      </w:r>
                    </w:p>
                  </w:txbxContent>
                </v:textbox>
              </v:shape>
            </w:pict>
          </mc:Fallback>
        </mc:AlternateContent>
      </w:r>
      <w:r>
        <w:rPr>
          <w:rFonts w:hint="eastAsia" w:ascii="宋体" w:hAnsi="宋体" w:cs="宋体"/>
          <w:color w:val="auto"/>
          <w:kern w:val="0"/>
          <w:szCs w:val="21"/>
          <w:highlight w:val="none"/>
        </w:rPr>
        <w:t>工程量清单中开列的工程量应包括由承包人完成合同工程的施工、安装等工作内容。其任何遗漏或错误，既不能使合同无效，也不能免除承包人按照施工设计图纸、标准与规范实施合同工程的任何责任。对于依据施工设计图纸、标准与规范应在工程量清单中计量但未计量的工作，应根据第72条规定确定合同价款的增加额。</w:t>
      </w:r>
    </w:p>
    <w:p>
      <w:pPr>
        <w:adjustRightInd w:val="0"/>
        <w:snapToGrid w:val="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5152" behindDoc="0" locked="0" layoutInCell="1" allowOverlap="1">
                <wp:simplePos x="0" y="0"/>
                <wp:positionH relativeFrom="column">
                  <wp:posOffset>-114300</wp:posOffset>
                </wp:positionH>
                <wp:positionV relativeFrom="paragraph">
                  <wp:posOffset>11430</wp:posOffset>
                </wp:positionV>
                <wp:extent cx="1028700" cy="361950"/>
                <wp:effectExtent l="0" t="0" r="0" b="0"/>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1028700" cy="361950"/>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8.5pt;width:81pt;z-index:251825152;mso-width-relative:page;mso-height-relative:page;" filled="f" stroked="f" coordsize="21600,21600" o:gfxdata="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sNjRGtQAAAAIAQAADwAAAAAAAAABACAAAAAiAAAAZHJzL2Rvd25y&#10;ZXYueG1sUEsBAhQAFAAAAAgAh07iQOfb3ZUCAgAA2QMAAA4AAAAAAAAAAQAgAAAAIwEAAGRycy9l&#10;Mm9Eb2MueG1sUEsFBgAAAAAGAAYAWQEAAJcFA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清单的工程量</w:t>
                      </w:r>
                    </w:p>
                  </w:txbxContent>
                </v:textbox>
              </v:shape>
            </w:pict>
          </mc:Fallback>
        </mc:AlternateContent>
      </w:r>
      <w:r>
        <w:rPr>
          <w:rFonts w:hint="eastAsia" w:ascii="宋体" w:hAnsi="宋体" w:cs="宋体"/>
          <w:color w:val="auto"/>
          <w:kern w:val="0"/>
          <w:szCs w:val="21"/>
          <w:highlight w:val="none"/>
        </w:rPr>
        <w:t>工程量清单中开列的工程量是根据合同工程施工设计图纸提供的预计工程量，不能作为承包人履行合同义务中应予完成合同工程的实际和准确工程量。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发包人应按照承包人实际完成的应予计量的工程量与其在工程量清单中填报的单价或合价的乘积向承包人支付工程款。</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62  工程计量和计价</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62.1</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6176" behindDoc="0" locked="0" layoutInCell="1" allowOverlap="1">
                <wp:simplePos x="0" y="0"/>
                <wp:positionH relativeFrom="column">
                  <wp:posOffset>-114300</wp:posOffset>
                </wp:positionH>
                <wp:positionV relativeFrom="paragraph">
                  <wp:posOffset>12700</wp:posOffset>
                </wp:positionV>
                <wp:extent cx="914400" cy="41592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pt;height:32.75pt;width:72pt;z-index:251826176;mso-width-relative:page;mso-height-relative:page;" filled="f" stroked="f" coordsize="21600,21600" o:gfxdata="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gHrCS1gAAAAgBAAAPAAAAAAAAAAEAIAAAACIAAABkcnMvZG93bnJl&#10;di54bWxQSwECFAAUAAAACACHTuJAiqb/vv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工程计量和计价的依据</w:t>
                      </w:r>
                    </w:p>
                  </w:txbxContent>
                </v:textbox>
              </v:shape>
            </w:pict>
          </mc:Fallback>
        </mc:AlternateContent>
      </w:r>
      <w:r>
        <w:rPr>
          <w:rFonts w:hint="eastAsia" w:ascii="宋体" w:hAnsi="宋体" w:cs="宋体"/>
          <w:color w:val="auto"/>
          <w:kern w:val="0"/>
          <w:szCs w:val="21"/>
          <w:highlight w:val="none"/>
        </w:rPr>
        <w:t>工程的计量规则和计价办法，以国家标准《建设工程工程量清单计价规范》为准；《建设工程工程量清单计价规范》没有规定的，以广东省统一工程计价依据为准；广东省统一工程计价依据没有规定的，可参照专业部门颁发的工程计价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13216" behindDoc="0" locked="0" layoutInCell="1" allowOverlap="1">
                <wp:simplePos x="0" y="0"/>
                <wp:positionH relativeFrom="column">
                  <wp:posOffset>-114300</wp:posOffset>
                </wp:positionH>
                <wp:positionV relativeFrom="paragraph">
                  <wp:posOffset>50800</wp:posOffset>
                </wp:positionV>
                <wp:extent cx="914400" cy="415925"/>
                <wp:effectExtent l="0" t="0" r="0" b="0"/>
                <wp:wrapNone/>
                <wp:docPr id="141" name="文本框 141"/>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pt;height:32.75pt;width:72pt;z-index:251913216;mso-width-relative:page;mso-height-relative:page;" filled="f" stroked="f" coordsize="21600,21600" o:gfxdata="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m87BF1gAAAAgBAAAPAAAAAAAAAAEAIAAAACIAAABkcnMvZG93bnJl&#10;di54bWxQSwECFAAUAAAACACHTuJABsYns/8BAADYAwAADgAAAAAAAAABACAAAAAlAQAAZHJzL2Uy&#10;b0RvYy54bWxQSwUGAAAAAAYABgBZAQAAlgUAAAAA&#10;">
                <v:fill on="f" focussize="0,0"/>
                <v:stroke on="f"/>
                <v:imagedata o:title=""/>
                <o:lock v:ext="edit" aspectratio="f"/>
                <v:textbox>
                  <w:txbxContent>
                    <w:p>
                      <w:pPr>
                        <w:pStyle w:val="35"/>
                        <w:spacing w:line="220" w:lineRule="exact"/>
                        <w:rPr>
                          <w:rFonts w:ascii="楷体_GB2312" w:hAnsi="宋体"/>
                          <w:b/>
                          <w:bCs/>
                          <w:sz w:val="18"/>
                          <w:szCs w:val="18"/>
                        </w:rPr>
                      </w:pPr>
                      <w:r>
                        <w:rPr>
                          <w:rFonts w:hint="eastAsia" w:ascii="楷体_GB2312" w:hAnsi="宋体"/>
                          <w:b/>
                          <w:bCs/>
                          <w:sz w:val="18"/>
                          <w:szCs w:val="18"/>
                        </w:rPr>
                        <w:t>工程计量和计价的要求</w:t>
                      </w:r>
                    </w:p>
                  </w:txbxContent>
                </v:textbox>
              </v:shape>
            </w:pict>
          </mc:Fallback>
        </mc:AlternateContent>
      </w:r>
      <w:r>
        <w:rPr>
          <w:rFonts w:hint="eastAsia" w:ascii="宋体" w:hAnsi="宋体" w:cs="宋体"/>
          <w:color w:val="auto"/>
          <w:kern w:val="0"/>
          <w:szCs w:val="21"/>
          <w:highlight w:val="none"/>
        </w:rPr>
        <w:t>合同双方当事人应按照合同约定，依据国家标准《建设工程工程量清单计价规范》、广东省统一工程计价依据或专业部门的工程计价依据以及工程造价管理机构制订的有关计价规定进行工程计量和计价。</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造价工程师负责工程计量和计价的核实工作。</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7200" behindDoc="0" locked="0" layoutInCell="1" allowOverlap="1">
                <wp:simplePos x="0" y="0"/>
                <wp:positionH relativeFrom="column">
                  <wp:posOffset>-114300</wp:posOffset>
                </wp:positionH>
                <wp:positionV relativeFrom="paragraph">
                  <wp:posOffset>-1905</wp:posOffset>
                </wp:positionV>
                <wp:extent cx="914400" cy="54800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914400" cy="5480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43.15pt;width:72pt;z-index:251827200;mso-width-relative:page;mso-height-relative:page;" filled="f" stroked="f" coordsize="21600,21600" o:gfxdata="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OR9r01AAAAAgBAAAPAAAAAAAAAAEAIAAAACIAAABkcnMvZG93bnJldi54&#10;bWxQSwECFAAUAAAACACHTuJASJNzsP4BAADYAwAADgAAAAAAAAABACAAAAAj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已完工程款额报告的提交和核实</w:t>
                      </w:r>
                    </w:p>
                  </w:txbxContent>
                </v:textbox>
              </v:shape>
            </w:pict>
          </mc:Fallback>
        </mc:AlternateContent>
      </w:r>
      <w:r>
        <w:rPr>
          <w:rFonts w:hint="eastAsia" w:ascii="宋体" w:hAnsi="宋体" w:cs="宋体"/>
          <w:color w:val="auto"/>
          <w:kern w:val="0"/>
          <w:szCs w:val="21"/>
          <w:highlight w:val="none"/>
        </w:rPr>
        <w:t>承包人应按照第81.1款规定向造价工程师提交已完工程款额报告。造价工程师应在收到报告后的14天内核实工程量，并将核实结果通知承包人、抄报发包人，作为工程计价和工程款支付的依据。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8224" behindDoc="0" locked="0" layoutInCell="1" allowOverlap="1">
                <wp:simplePos x="0" y="0"/>
                <wp:positionH relativeFrom="column">
                  <wp:posOffset>-114300</wp:posOffset>
                </wp:positionH>
                <wp:positionV relativeFrom="paragraph">
                  <wp:posOffset>50165</wp:posOffset>
                </wp:positionV>
                <wp:extent cx="800100" cy="354330"/>
                <wp:effectExtent l="0" t="0" r="0" b="0"/>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800100" cy="354330"/>
                        </a:xfrm>
                        <a:prstGeom prst="rect">
                          <a:avLst/>
                        </a:prstGeom>
                        <a:noFill/>
                        <a:ln>
                          <a:noFill/>
                        </a:ln>
                        <a:effectLst/>
                      </wps:spPr>
                      <wps:txbx>
                        <w:txbxContent>
                          <w:p>
                            <w:pPr>
                              <w:rPr>
                                <w:rFonts w:ascii="宋体" w:hAnsi="宋体"/>
                                <w:sz w:val="18"/>
                                <w:szCs w:val="18"/>
                              </w:rPr>
                            </w:pPr>
                            <w:r>
                              <w:rPr>
                                <w:rFonts w:hint="eastAsia" w:ascii="宋体" w:hAnsi="宋体"/>
                                <w:b/>
                                <w:color w:val="000000"/>
                                <w:sz w:val="18"/>
                                <w:szCs w:val="18"/>
                              </w:rPr>
                              <w:t>现场计量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5pt;height:27.9pt;width:63pt;z-index:251828224;mso-width-relative:page;mso-height-relative:page;" filled="f" stroked="f" coordsize="21600,21600" o:gfxdata="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9g4Zt1QAAAAgBAAAPAAAAAAAAAAEAIAAAACIAAABkcnMvZG93bnJl&#10;di54bWxQSwECFAAUAAAACACHTuJAGqy/RwACAADYAwAADgAAAAAAAAABACAAAAAkAQAAZHJzL2Uy&#10;b0RvYy54bWxQSwUGAAAAAAYABgBZAQAAlgUAAAAA&#10;">
                <v:fill on="f" focussize="0,0"/>
                <v:stroke on="f"/>
                <v:imagedata o:title=""/>
                <o:lock v:ext="edit" aspectratio="f"/>
                <v:textbox>
                  <w:txbxContent>
                    <w:p>
                      <w:pPr>
                        <w:rPr>
                          <w:rFonts w:ascii="宋体" w:hAnsi="宋体"/>
                          <w:sz w:val="18"/>
                          <w:szCs w:val="18"/>
                        </w:rPr>
                      </w:pPr>
                      <w:r>
                        <w:rPr>
                          <w:rFonts w:hint="eastAsia" w:ascii="宋体" w:hAnsi="宋体"/>
                          <w:b/>
                          <w:color w:val="000000"/>
                          <w:sz w:val="18"/>
                          <w:szCs w:val="18"/>
                        </w:rPr>
                        <w:t>现场计量</w:t>
                      </w:r>
                    </w:p>
                  </w:txbxContent>
                </v:textbox>
              </v:shape>
            </w:pict>
          </mc:Fallback>
        </mc:AlternateContent>
      </w:r>
      <w:r>
        <w:rPr>
          <w:rFonts w:hint="eastAsia" w:ascii="宋体" w:hAnsi="宋体" w:cs="宋体"/>
          <w:color w:val="auto"/>
          <w:kern w:val="0"/>
          <w:szCs w:val="21"/>
          <w:highlight w:val="none"/>
        </w:rPr>
        <w:t>当造价工程师进行现场计量时，应在计量前24小时通知承包人，承包人应为计量提供便利条件并派人参加。承包人收到通知后不派人参加计量，视为认可计量结果。造价工程师不按照约定时间通知承包人，致使承包人未能派人参加计量，计量结果无效。</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29248" behindDoc="0" locked="0" layoutInCell="1" allowOverlap="1">
                <wp:simplePos x="0" y="0"/>
                <wp:positionH relativeFrom="column">
                  <wp:posOffset>-114300</wp:posOffset>
                </wp:positionH>
                <wp:positionV relativeFrom="paragraph">
                  <wp:posOffset>44450</wp:posOffset>
                </wp:positionV>
                <wp:extent cx="914400" cy="603250"/>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914400" cy="6032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5pt;height:47.5pt;width:72pt;z-index:251829248;mso-width-relative:page;mso-height-relative:page;" filled="f" stroked="f" coordsize="21600,21600" o:gfxdata="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W/1n11QAAAAkBAAAPAAAAAAAAAAEAIAAAACIAAABkcnMvZG93bnJl&#10;di54bWxQSwECFAAUAAAACACHTuJAKaVzI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收到已完工程款额报告的限制</w:t>
                      </w:r>
                    </w:p>
                  </w:txbxContent>
                </v:textbox>
              </v:shape>
            </w:pict>
          </mc:Fallback>
        </mc:AlternateContent>
      </w:r>
      <w:r>
        <w:rPr>
          <w:rFonts w:hint="eastAsia" w:ascii="宋体" w:hAnsi="宋体" w:cs="宋体"/>
          <w:color w:val="auto"/>
          <w:kern w:val="0"/>
          <w:szCs w:val="21"/>
          <w:highlight w:val="none"/>
        </w:rPr>
        <w:t>造价工程师收到承包人按照第81.1款规定提交的已完工程款额报告后14天内，未进行计量或未向承包人通知计量结果的，从第15天起，承包人报告中开列的工程量即视为被确认，作为工程计价和工程款支付的依据。</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0272" behindDoc="0" locked="0" layoutInCell="1" allowOverlap="1">
                <wp:simplePos x="0" y="0"/>
                <wp:positionH relativeFrom="column">
                  <wp:posOffset>-114300</wp:posOffset>
                </wp:positionH>
                <wp:positionV relativeFrom="paragraph">
                  <wp:posOffset>45720</wp:posOffset>
                </wp:positionV>
                <wp:extent cx="914400" cy="297180"/>
                <wp:effectExtent l="0" t="0" r="0" b="0"/>
                <wp:wrapNone/>
                <wp:docPr id="137" name="文本框 137"/>
                <wp:cNvGraphicFramePr/>
                <a:graphic xmlns:a="http://schemas.openxmlformats.org/drawingml/2006/main">
                  <a:graphicData uri="http://schemas.microsoft.com/office/word/2010/wordprocessingShape">
                    <wps:wsp>
                      <wps:cNvSpPr txBox="1">
                        <a:spLocks noChangeArrowheads="1"/>
                      </wps:cNvSpPr>
                      <wps:spPr bwMode="auto">
                        <a:xfrm>
                          <a:off x="0" y="0"/>
                          <a:ext cx="9144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23.4pt;width:72pt;z-index:251830272;mso-width-relative:page;mso-height-relative:page;" filled="f" stroked="f" coordsize="21600,21600" o:gfxdata="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sr5n1QAAAAgBAAAPAAAAAAAAAAEAIAAAACIAAABkcnMvZG93bnJl&#10;di54bWxQSwECFAAUAAAACACHTuJAsnFpgw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复核计量结果</w:t>
                      </w:r>
                    </w:p>
                  </w:txbxContent>
                </v:textbox>
              </v:shape>
            </w:pict>
          </mc:Fallback>
        </mc:AlternateContent>
      </w:r>
      <w:r>
        <w:rPr>
          <w:rFonts w:hint="eastAsia" w:ascii="宋体" w:hAnsi="宋体" w:cs="宋体"/>
          <w:color w:val="auto"/>
          <w:kern w:val="0"/>
          <w:szCs w:val="21"/>
          <w:highlight w:val="none"/>
        </w:rPr>
        <w:t>如果承包人认为造价工程师的计量结果有误，应在收到计量结果通知后的7天内向造价工程师提出书面意见，并附上其认为正确的计量结果和详细的计算过程等资料。造价工程师收到书面意见后，应立即会同承包人对计量结果进行复核，并在签发支付证书前确定计量结果，同时通知承包人、抄报发包人。承包人对复核计量结果仍有异议或发包人对计量结果有异议的，按照第86条规定处理。</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1296" behindDoc="0" locked="0" layoutInCell="1" allowOverlap="1">
                <wp:simplePos x="0" y="0"/>
                <wp:positionH relativeFrom="column">
                  <wp:posOffset>-114300</wp:posOffset>
                </wp:positionH>
                <wp:positionV relativeFrom="paragraph">
                  <wp:posOffset>36195</wp:posOffset>
                </wp:positionV>
                <wp:extent cx="800100" cy="297180"/>
                <wp:effectExtent l="0" t="0" r="0" b="0"/>
                <wp:wrapNone/>
                <wp:docPr id="136" name="文本框 136"/>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23.4pt;width:63pt;z-index:251831296;mso-width-relative:page;mso-height-relative:page;" filled="f" stroked="f" coordsize="21600,21600" o:gfxdata="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EUrpk1AAAAAgBAAAPAAAAAAAAAAEAIAAAACIAAABkcnMvZG93bnJl&#10;di54bWxQSwECFAAUAAAACACHTuJA8QiqcwECAADY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不予计量</w:t>
                      </w:r>
                    </w:p>
                  </w:txbxContent>
                </v:textbox>
              </v:shape>
            </w:pict>
          </mc:Fallback>
        </mc:AlternateContent>
      </w:r>
      <w:r>
        <w:rPr>
          <w:rFonts w:hint="eastAsia" w:ascii="宋体" w:hAnsi="宋体" w:cs="宋体"/>
          <w:color w:val="auto"/>
          <w:kern w:val="0"/>
          <w:szCs w:val="21"/>
          <w:highlight w:val="none"/>
        </w:rPr>
        <w:t>对承包人超出施工设计图纸范围或因承包人的原因造成返工的工程量，造价工程师均不予计量。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62.8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2320" behindDoc="0" locked="0" layoutInCell="1" allowOverlap="1">
                <wp:simplePos x="0" y="0"/>
                <wp:positionH relativeFrom="column">
                  <wp:posOffset>-114300</wp:posOffset>
                </wp:positionH>
                <wp:positionV relativeFrom="paragraph">
                  <wp:posOffset>24130</wp:posOffset>
                </wp:positionV>
                <wp:extent cx="914400" cy="494030"/>
                <wp:effectExtent l="0" t="0" r="0" b="0"/>
                <wp:wrapNone/>
                <wp:docPr id="135" name="文本框 135"/>
                <wp:cNvGraphicFramePr/>
                <a:graphic xmlns:a="http://schemas.openxmlformats.org/drawingml/2006/main">
                  <a:graphicData uri="http://schemas.microsoft.com/office/word/2010/wordprocessingShape">
                    <wps:wsp>
                      <wps:cNvSpPr txBox="1">
                        <a:spLocks noChangeArrowheads="1"/>
                      </wps:cNvSpPr>
                      <wps:spPr bwMode="auto">
                        <a:xfrm>
                          <a:off x="0" y="0"/>
                          <a:ext cx="914400" cy="494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pt;height:38.9pt;width:72pt;z-index:251832320;mso-width-relative:page;mso-height-relative:page;" filled="f" stroked="f" coordsize="21600,21600" o:gfxdata="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2vWpbUAAAACAEAAA8AAAAAAAAAAQAgAAAAIgAAAGRycy9kb3ducmV2&#10;LnhtbFBLAQIUABQAAAAIAIdO4kCi3IqT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各项工作价款的计算</w:t>
                      </w:r>
                    </w:p>
                  </w:txbxContent>
                </v:textbox>
              </v:shape>
            </w:pict>
          </mc:Fallback>
        </mc:AlternateContent>
      </w:r>
      <w:r>
        <w:rPr>
          <w:rFonts w:hint="eastAsia" w:ascii="宋体" w:hAnsi="宋体" w:cs="宋体"/>
          <w:color w:val="auto"/>
          <w:kern w:val="0"/>
          <w:szCs w:val="21"/>
          <w:highlight w:val="none"/>
        </w:rPr>
        <w:t>除按照第69条至第73条、第76条规定所做的调整外，每项工作所适用的单价(费率)或合价应按照合同约定的该项工作的单价（费率）或合价，并按照本条规定计量得到的工程量与适用的单价（费率）或合价的乘积确定该项工作的价款。造价工程师根据各个支付期所有各项工作的价款计算该支付期工程款，并将各支付期的价款汇总计算合同价款。</w:t>
      </w:r>
    </w:p>
    <w:p>
      <w:pPr>
        <w:tabs>
          <w:tab w:val="left" w:pos="1620"/>
        </w:tabs>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63  暂列金额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63.1</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33344" behindDoc="0" locked="0" layoutInCell="1" allowOverlap="1">
                <wp:simplePos x="0" y="0"/>
                <wp:positionH relativeFrom="column">
                  <wp:posOffset>-228600</wp:posOffset>
                </wp:positionH>
                <wp:positionV relativeFrom="paragraph">
                  <wp:posOffset>95250</wp:posOffset>
                </wp:positionV>
                <wp:extent cx="1143000" cy="688340"/>
                <wp:effectExtent l="0" t="0" r="0" b="0"/>
                <wp:wrapNone/>
                <wp:docPr id="134" name="文本框 134"/>
                <wp:cNvGraphicFramePr/>
                <a:graphic xmlns:a="http://schemas.openxmlformats.org/drawingml/2006/main">
                  <a:graphicData uri="http://schemas.microsoft.com/office/word/2010/wordprocessingShape">
                    <wps:wsp>
                      <wps:cNvSpPr txBox="1">
                        <a:spLocks noChangeArrowheads="1"/>
                      </wps:cNvSpPr>
                      <wps:spPr bwMode="auto">
                        <a:xfrm>
                          <a:off x="0" y="0"/>
                          <a:ext cx="1143000" cy="6883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5pt;height:54.2pt;width:90pt;z-index:251833344;mso-width-relative:page;mso-height-relative:page;" filled="f" stroked="f" coordsize="21600,21600" o:gfxdata="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G+AjDPVAAAACgEAAA8AAAAAAAAAAQAgAAAAIgAAAGRycy9kb3du&#10;cmV2LnhtbFBLAQIUABQAAAAIAIdO4kDD4tH0AgIAANkDAAAOAAAAAAAAAAEAIAAAACQ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暂列金额的用</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途</w:t>
                      </w:r>
                    </w:p>
                  </w:txbxContent>
                </v:textbox>
              </v:shape>
            </w:pict>
          </mc:Fallback>
        </mc:AlternateContent>
      </w:r>
      <w:r>
        <w:rPr>
          <w:rFonts w:hint="eastAsia" w:ascii="宋体" w:hAnsi="宋体" w:cs="宋体"/>
          <w:color w:val="auto"/>
          <w:szCs w:val="21"/>
          <w:highlight w:val="none"/>
        </w:rPr>
        <w:t>合同双方当事人应在专用条款中明确工程量清单中开列的已标价的暂列金额。</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暂列金额是用于实施合同工程的任一增加部分，或用于提供不可预见的货物、材料和工程设备，或用于工程变更等因素发生的工程款调增，以及经确认的索赔、现场签证，或用于提供相关服务或意外事件的一笔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63.2  </w:t>
      </w:r>
      <w:r>
        <w:rPr>
          <w:rFonts w:hint="eastAsia" w:ascii="宋体" w:hAnsi="宋体" w:cs="宋体"/>
          <w:b/>
          <w:color w:val="auto"/>
          <w:kern w:val="0"/>
          <w:szCs w:val="21"/>
          <w:highlight w:val="none"/>
          <w:u w:val="dotted"/>
        </w:rPr>
        <w:t xml:space="preserve">                                                                                                        </w:t>
      </w:r>
    </w:p>
    <w:p>
      <w:pPr>
        <w:adjustRightInd w:val="0"/>
        <w:snapToGrid w:val="0"/>
        <w:spacing w:line="360" w:lineRule="auto"/>
        <w:ind w:left="1575" w:leftChars="75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4368" behindDoc="0" locked="0" layoutInCell="1" allowOverlap="1">
                <wp:simplePos x="0" y="0"/>
                <wp:positionH relativeFrom="column">
                  <wp:posOffset>-133350</wp:posOffset>
                </wp:positionH>
                <wp:positionV relativeFrom="paragraph">
                  <wp:posOffset>99695</wp:posOffset>
                </wp:positionV>
                <wp:extent cx="1028700" cy="553085"/>
                <wp:effectExtent l="0" t="0" r="0" b="0"/>
                <wp:wrapNone/>
                <wp:docPr id="133" name="文本框 133"/>
                <wp:cNvGraphicFramePr/>
                <a:graphic xmlns:a="http://schemas.openxmlformats.org/drawingml/2006/main">
                  <a:graphicData uri="http://schemas.microsoft.com/office/word/2010/wordprocessingShape">
                    <wps:wsp>
                      <wps:cNvSpPr txBox="1">
                        <a:spLocks noChangeArrowheads="1"/>
                      </wps:cNvSpPr>
                      <wps:spPr bwMode="auto">
                        <a:xfrm>
                          <a:off x="0" y="0"/>
                          <a:ext cx="1028700" cy="5530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7.85pt;height:43.55pt;width:81pt;z-index:251834368;mso-width-relative:page;mso-height-relative:page;" filled="f" stroked="f" coordsize="21600,21600" o:gfxdata="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S3yZ/WAAAACgEAAA8AAAAAAAAAAQAgAAAAIgAAAGRycy9kb3du&#10;cmV2LnhtbFBLAQIUABQAAAAIAIdO4kDir6uXAQIAANkDAAAOAAAAAAAAAAEAIAAAACU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暂列金额的支</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付</w:t>
                      </w:r>
                    </w:p>
                  </w:txbxContent>
                </v:textbox>
              </v:shape>
            </w:pict>
          </mc:Fallback>
        </mc:AlternateContent>
      </w:r>
      <w:r>
        <w:rPr>
          <w:rFonts w:hint="eastAsia" w:ascii="宋体" w:hAnsi="宋体" w:cs="宋体"/>
          <w:color w:val="auto"/>
          <w:kern w:val="0"/>
          <w:szCs w:val="21"/>
          <w:highlight w:val="none"/>
        </w:rPr>
        <w:t>经发包人批准后，监理工程师应就承包人实施第63.1款规定的工作发出书面指令。承包人应就此项指令提出所需价款，经造价工程师核实并由其报发包人确认后，向承包人支付相关款项。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63.3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5392"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32" name="文本框 132"/>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35392;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Pz/Bw1QAAAAgBAAAPAAAAAAAAAAEAIAAAACIAAABkcnMvZG93bnJl&#10;di54bWxQSwECFAAUAAAACACHTuJA7/ad/g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提供暂列金额支付票据</w:t>
                      </w:r>
                    </w:p>
                  </w:txbxContent>
                </v:textbox>
              </v:shape>
            </w:pict>
          </mc:Fallback>
        </mc:AlternateContent>
      </w:r>
      <w:r>
        <w:rPr>
          <w:rFonts w:hint="eastAsia" w:ascii="宋体" w:hAnsi="宋体" w:cs="宋体"/>
          <w:color w:val="auto"/>
          <w:kern w:val="0"/>
          <w:szCs w:val="21"/>
          <w:highlight w:val="none"/>
        </w:rPr>
        <w:t>造价工程师有要求时，承包人应提供使用暂列金额支付项目的所有报价单、发票、账单或收据。</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64  计日工</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64.1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1712" behindDoc="0" locked="0" layoutInCell="1" allowOverlap="1">
                <wp:simplePos x="0" y="0"/>
                <wp:positionH relativeFrom="column">
                  <wp:posOffset>-114300</wp:posOffset>
                </wp:positionH>
                <wp:positionV relativeFrom="paragraph">
                  <wp:posOffset>15875</wp:posOffset>
                </wp:positionV>
                <wp:extent cx="914400" cy="387985"/>
                <wp:effectExtent l="0" t="0" r="0" b="0"/>
                <wp:wrapNone/>
                <wp:docPr id="131" name="文本框 131"/>
                <wp:cNvGraphicFramePr/>
                <a:graphic xmlns:a="http://schemas.openxmlformats.org/drawingml/2006/main">
                  <a:graphicData uri="http://schemas.microsoft.com/office/word/2010/wordprocessingShape">
                    <wps:wsp>
                      <wps:cNvSpPr txBox="1">
                        <a:spLocks noChangeArrowheads="1"/>
                      </wps:cNvSpPr>
                      <wps:spPr bwMode="auto">
                        <a:xfrm>
                          <a:off x="0" y="0"/>
                          <a:ext cx="914400" cy="3879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0.55pt;width:72pt;z-index:251891712;mso-width-relative:page;mso-height-relative:page;" filled="f" stroked="f" coordsize="21600,21600" o:gfxdata="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S/yvS1QAAAAgBAAAPAAAAAAAAAAEAIAAAACIAAABkcnMvZG93bnJl&#10;di54bWxQSwECFAAUAAAACACHTuJA3y0Uy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计日工单价的用途</w:t>
                      </w:r>
                    </w:p>
                  </w:txbxContent>
                </v:textbox>
              </v:shape>
            </w:pict>
          </mc:Fallback>
        </mc:AlternateContent>
      </w:r>
      <w:r>
        <w:rPr>
          <w:rFonts w:hint="eastAsia" w:ascii="宋体" w:hAnsi="宋体" w:cs="宋体"/>
          <w:color w:val="auto"/>
          <w:kern w:val="0"/>
          <w:szCs w:val="21"/>
          <w:highlight w:val="none"/>
        </w:rPr>
        <w:t>承包人响应文件中填报的计日工单价或价格是用于实施发包人要求的合同以外零星工作项目所需的人工单价、材料、工程设备价格和施工设备机械台班单价。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64.2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经发包人批准后，监理工程师应就使用计日工项目发出书面指令。</w:t>
      </w:r>
      <w:r>
        <w:rPr>
          <w:rFonts w:ascii="宋体" w:hAnsi="宋体" w:cs="宋体"/>
          <w:color w:val="auto"/>
          <w:kern w:val="0"/>
          <w:szCs w:val="21"/>
          <w:highlight w:val="none"/>
        </w:rPr>
        <mc:AlternateContent>
          <mc:Choice Requires="wps">
            <w:drawing>
              <wp:anchor distT="0" distB="0" distL="114300" distR="114300" simplePos="0" relativeHeight="251892736" behindDoc="0" locked="0" layoutInCell="1" allowOverlap="1">
                <wp:simplePos x="0" y="0"/>
                <wp:positionH relativeFrom="column">
                  <wp:posOffset>-114300</wp:posOffset>
                </wp:positionH>
                <wp:positionV relativeFrom="paragraph">
                  <wp:posOffset>14605</wp:posOffset>
                </wp:positionV>
                <wp:extent cx="914400" cy="412750"/>
                <wp:effectExtent l="0" t="0" r="0" b="0"/>
                <wp:wrapNone/>
                <wp:docPr id="130" name="文本框 130"/>
                <wp:cNvGraphicFramePr/>
                <a:graphic xmlns:a="http://schemas.openxmlformats.org/drawingml/2006/main">
                  <a:graphicData uri="http://schemas.microsoft.com/office/word/2010/wordprocessingShape">
                    <wps:wsp>
                      <wps:cNvSpPr txBox="1">
                        <a:spLocks noChangeArrowheads="1"/>
                      </wps:cNvSpPr>
                      <wps:spPr bwMode="auto">
                        <a:xfrm>
                          <a:off x="0" y="0"/>
                          <a:ext cx="914400" cy="4127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15pt;height:32.5pt;width:72pt;z-index:251892736;mso-width-relative:page;mso-height-relative:page;" filled="f" stroked="f" coordsize="21600,21600" o:gfxdata="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boxr1gAAAAgBAAAPAAAAAAAAAAEAIAAAACIAAABkcnMvZG93bnJl&#10;di54bWxQSwECFAAUAAAACACHTuJALxfjr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计日工的确认</w:t>
                      </w:r>
                    </w:p>
                  </w:txbxContent>
                </v:textbox>
              </v:shape>
            </w:pict>
          </mc:Fallback>
        </mc:AlternateContent>
      </w:r>
      <w:r>
        <w:rPr>
          <w:rFonts w:hint="eastAsia" w:ascii="宋体" w:hAnsi="宋体" w:cs="宋体"/>
          <w:color w:val="auto"/>
          <w:kern w:val="0"/>
          <w:szCs w:val="21"/>
          <w:highlight w:val="none"/>
        </w:rPr>
        <w:t>任一按照计日工方式计价的工作，承包人应在该项工作实施结束后的24小时内，向监理工程师提交有计日工记录的现场签证报告一式两份。</w:t>
      </w:r>
    </w:p>
    <w:p>
      <w:pPr>
        <w:adjustRightInd w:val="0"/>
        <w:snapToGrid w:val="0"/>
        <w:spacing w:line="360" w:lineRule="auto"/>
        <w:ind w:left="1575" w:leftChars="750"/>
        <w:rPr>
          <w:rFonts w:ascii="宋体" w:hAnsi="宋体" w:cs="宋体"/>
          <w:color w:val="auto"/>
          <w:kern w:val="0"/>
          <w:szCs w:val="21"/>
          <w:highlight w:val="none"/>
        </w:rPr>
      </w:pPr>
      <w:r>
        <w:rPr>
          <w:rFonts w:hint="eastAsia" w:ascii="宋体" w:hAnsi="宋体" w:cs="宋体"/>
          <w:color w:val="auto"/>
          <w:kern w:val="0"/>
          <w:szCs w:val="21"/>
          <w:highlight w:val="none"/>
        </w:rPr>
        <w:t>当此工作持续进行时，承包人应每天向监理工程师提交当天计日工记录完毕的现场签证报告。监理工程师在收到承包人提交现场签证报告后的2天内予以确认并由其报发包人批准后，将其中一份返还给承包人，作为计日工计价和支付的依据。监理工程师逾期未确认也未提出修改意见的，视为承包人提交的现场签证报告已被认可。</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3760" behindDoc="0" locked="0" layoutInCell="1" allowOverlap="1">
                <wp:simplePos x="0" y="0"/>
                <wp:positionH relativeFrom="column">
                  <wp:posOffset>-114300</wp:posOffset>
                </wp:positionH>
                <wp:positionV relativeFrom="paragraph">
                  <wp:posOffset>5080</wp:posOffset>
                </wp:positionV>
                <wp:extent cx="914400" cy="396240"/>
                <wp:effectExtent l="0" t="0" r="0" b="0"/>
                <wp:wrapNone/>
                <wp:docPr id="129" name="文本框 129"/>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1.2pt;width:72pt;z-index:251893760;mso-width-relative:page;mso-height-relative:page;" filled="f" stroked="f" coordsize="21600,21600" o:gfxdata="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UNOfUAAAABwEAAA8AAAAAAAAAAQAgAAAAIgAAAGRycy9kb3ducmV2&#10;LnhtbFBLAQIUABQAAAAIAIdO4kClmio8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计日工的支付</w:t>
                      </w:r>
                    </w:p>
                  </w:txbxContent>
                </v:textbox>
              </v:shape>
            </w:pict>
          </mc:Fallback>
        </mc:AlternateContent>
      </w:r>
      <w:r>
        <w:rPr>
          <w:rFonts w:hint="eastAsia" w:ascii="宋体" w:hAnsi="宋体" w:cs="宋体"/>
          <w:color w:val="auto"/>
          <w:kern w:val="0"/>
          <w:szCs w:val="21"/>
          <w:highlight w:val="none"/>
        </w:rPr>
        <w:t>计日工工作，应从暂列金额中支付。造价工程师应按照监理工程师确认的现场签证报告核实该类项目的工程数量，并根据核实的工程数量和承包人响应文件中填报的计日工子目单价或价格的乘积计算、提出应付价款，经合同双方当事人确认后，与工程进度款同期支付。</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 xml:space="preserve">每个支付期末，承包人应按照第81.1款规定向发包人提交本期间所有计日工记录的签证汇总表，以说明本期间自己认为有权得到的计日工费用。 </w:t>
      </w:r>
    </w:p>
    <w:p>
      <w:pPr>
        <w:tabs>
          <w:tab w:val="left" w:pos="540"/>
        </w:tabs>
        <w:adjustRightInd w:val="0"/>
        <w:snapToGrid w:val="0"/>
        <w:spacing w:beforeLines="100" w:line="36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dstrike/>
          <w:color w:val="auto"/>
          <w:kern w:val="0"/>
          <w:szCs w:val="21"/>
          <w:highlight w:val="none"/>
        </w:rPr>
      </w:pPr>
      <w:r>
        <w:rPr>
          <w:rFonts w:hint="eastAsia" w:ascii="宋体" w:hAnsi="宋体" w:cs="宋体"/>
          <w:b/>
          <w:color w:val="auto"/>
          <w:kern w:val="0"/>
          <w:szCs w:val="21"/>
          <w:highlight w:val="none"/>
        </w:rPr>
        <w:t>65  暂估价</w:t>
      </w:r>
    </w:p>
    <w:p>
      <w:pPr>
        <w:adjustRightInd w:val="0"/>
        <w:snapToGrid w:val="0"/>
        <w:spacing w:line="360" w:lineRule="auto"/>
        <w:ind w:left="1470" w:hanging="1470" w:hangingChars="7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3456" behindDoc="0" locked="0" layoutInCell="1" allowOverlap="1">
                <wp:simplePos x="0" y="0"/>
                <wp:positionH relativeFrom="column">
                  <wp:posOffset>-133350</wp:posOffset>
                </wp:positionH>
                <wp:positionV relativeFrom="paragraph">
                  <wp:posOffset>320040</wp:posOffset>
                </wp:positionV>
                <wp:extent cx="1047750" cy="483870"/>
                <wp:effectExtent l="0" t="0" r="0" b="0"/>
                <wp:wrapNone/>
                <wp:docPr id="128" name="文本框 128"/>
                <wp:cNvGraphicFramePr/>
                <a:graphic xmlns:a="http://schemas.openxmlformats.org/drawingml/2006/main">
                  <a:graphicData uri="http://schemas.microsoft.com/office/word/2010/wordprocessingShape">
                    <wps:wsp>
                      <wps:cNvSpPr txBox="1">
                        <a:spLocks noChangeArrowheads="1"/>
                      </wps:cNvSpPr>
                      <wps:spPr bwMode="auto">
                        <a:xfrm>
                          <a:off x="0" y="0"/>
                          <a:ext cx="1047750" cy="48387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5.2pt;height:38.1pt;width:82.5pt;z-index:251923456;mso-width-relative:page;mso-height-relative:page;" filled="f" stroked="f" coordsize="21600,21600" o:gfxdata="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r+f4+NcAAAAKAQAADwAAAAAAAAABACAAAAAiAAAAZHJzL2Rv&#10;d25yZXYueG1sUEsBAhQAFAAAAAgAh07iQH1NExg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招标暂估价项</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目的要求</w:t>
                      </w:r>
                    </w:p>
                    <w:p>
                      <w:pPr>
                        <w:rPr>
                          <w:rFonts w:ascii="楷体_GB2312" w:hAnsi="宋体"/>
                          <w:b/>
                          <w:color w:val="000000"/>
                          <w:sz w:val="18"/>
                          <w:szCs w:val="18"/>
                        </w:rPr>
                      </w:pPr>
                    </w:p>
                    <w:p>
                      <w:pPr>
                        <w:rPr>
                          <w:sz w:val="18"/>
                          <w:szCs w:val="18"/>
                        </w:rPr>
                      </w:pPr>
                    </w:p>
                  </w:txbxContent>
                </v:textbox>
              </v:shape>
            </w:pict>
          </mc:Fallback>
        </mc:AlternateContent>
      </w:r>
      <w:r>
        <w:rPr>
          <w:rFonts w:hint="eastAsia" w:ascii="宋体" w:hAnsi="宋体" w:cs="宋体"/>
          <w:b/>
          <w:color w:val="auto"/>
          <w:kern w:val="0"/>
          <w:szCs w:val="21"/>
          <w:highlight w:val="none"/>
        </w:rPr>
        <w:t>65.1</w:t>
      </w:r>
      <w:r>
        <w:rPr>
          <w:rFonts w:hint="eastAsia" w:ascii="宋体" w:hAnsi="宋体" w:cs="宋体"/>
          <w:color w:val="auto"/>
          <w:kern w:val="0"/>
          <w:szCs w:val="21"/>
          <w:highlight w:val="none"/>
        </w:rPr>
        <w:t xml:space="preserve">                                                                                                           发包人在工程量清单中给定暂估价的材料、工程设备和专业工程，达到依法必须招标的规模、标准的，由承包人作为招标主体会同发包人共同选择供应商或分包人。合同双方当事人应在专用条款中约定各自的权利和义务。供应商或分包人的中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2432" behindDoc="0" locked="0" layoutInCell="1" allowOverlap="1">
                <wp:simplePos x="0" y="0"/>
                <wp:positionH relativeFrom="column">
                  <wp:posOffset>-114300</wp:posOffset>
                </wp:positionH>
                <wp:positionV relativeFrom="paragraph">
                  <wp:posOffset>248285</wp:posOffset>
                </wp:positionV>
                <wp:extent cx="1028700" cy="956310"/>
                <wp:effectExtent l="0" t="0" r="0" b="0"/>
                <wp:wrapNone/>
                <wp:docPr id="127" name="文本框 127"/>
                <wp:cNvGraphicFramePr/>
                <a:graphic xmlns:a="http://schemas.openxmlformats.org/drawingml/2006/main">
                  <a:graphicData uri="http://schemas.microsoft.com/office/word/2010/wordprocessingShape">
                    <wps:wsp>
                      <wps:cNvSpPr txBox="1">
                        <a:spLocks noChangeArrowheads="1"/>
                      </wps:cNvSpPr>
                      <wps:spPr bwMode="auto">
                        <a:xfrm>
                          <a:off x="0" y="0"/>
                          <a:ext cx="1028700" cy="9563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55pt;height:75.3pt;width:81pt;z-index:251922432;mso-width-relative:page;mso-height-relative:page;" filled="f" stroked="f" coordsize="21600,21600" o:gfxdata="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JgwUrbXAAAACgEAAA8AAAAAAAAAAQAgAAAAIgAAAGRycy9k&#10;b3ducmV2LnhtbFBLAQIUABQAAAAIAIdO4kDoZmYAAwIAANkDAAAOAAAAAAAAAAEAIAAAACYBAABk&#10;cnMvZTJvRG9jLnhtbFBLBQYAAAAABgAGAFkBAACb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非招标材料和</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工程设备暂估</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价的要求</w:t>
                      </w:r>
                    </w:p>
                    <w:p>
                      <w:pPr>
                        <w:rPr>
                          <w:sz w:val="18"/>
                          <w:szCs w:val="18"/>
                        </w:rPr>
                      </w:pPr>
                    </w:p>
                  </w:txbxContent>
                </v:textbox>
              </v:shape>
            </w:pict>
          </mc:Fallback>
        </mc:AlternateContent>
      </w:r>
      <w:r>
        <w:rPr>
          <w:rFonts w:hint="eastAsia" w:ascii="宋体" w:hAnsi="宋体" w:cs="宋体"/>
          <w:b/>
          <w:color w:val="auto"/>
          <w:kern w:val="0"/>
          <w:szCs w:val="21"/>
          <w:highlight w:val="none"/>
        </w:rPr>
        <w:t xml:space="preserve">65.2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工程量清单中给定暂估价的材料和工程设备，未达到依法必须招标的规模、标准的，由承包人按照第49条规定采购。经造价工程师确认的材料和工程设备价格与工程量清单中所列的暂估价的差额以及相应的规费、税金等其他费用，应列入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1408" behindDoc="0" locked="0" layoutInCell="1" allowOverlap="1">
                <wp:simplePos x="0" y="0"/>
                <wp:positionH relativeFrom="column">
                  <wp:posOffset>-228600</wp:posOffset>
                </wp:positionH>
                <wp:positionV relativeFrom="paragraph">
                  <wp:posOffset>71755</wp:posOffset>
                </wp:positionV>
                <wp:extent cx="1028700" cy="863600"/>
                <wp:effectExtent l="0" t="0" r="0" b="0"/>
                <wp:wrapNone/>
                <wp:docPr id="126" name="文本框 126"/>
                <wp:cNvGraphicFramePr/>
                <a:graphic xmlns:a="http://schemas.openxmlformats.org/drawingml/2006/main">
                  <a:graphicData uri="http://schemas.microsoft.com/office/word/2010/wordprocessingShape">
                    <wps:wsp>
                      <wps:cNvSpPr txBox="1">
                        <a:spLocks noChangeArrowheads="1"/>
                      </wps:cNvSpPr>
                      <wps:spPr bwMode="auto">
                        <a:xfrm>
                          <a:off x="0" y="0"/>
                          <a:ext cx="1028700" cy="8636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5.65pt;height:68pt;width:81pt;z-index:251921408;mso-width-relative:page;mso-height-relative:page;" filled="f" stroked="f" coordsize="21600,21600" o:gfxdata="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6N/+j9cAAAAKAQAADwAAAAAAAAABACAAAAAiAAAAZHJzL2Rvd25y&#10;ZXYueG1sUEsBAhQAFAAAAAgAh07iQLR+DCL/AQAA2Q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非招标专业工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程暂估价的要</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求</w:t>
                      </w:r>
                    </w:p>
                  </w:txbxContent>
                </v:textbox>
              </v:shape>
            </w:pict>
          </mc:Fallback>
        </mc:AlternateContent>
      </w:r>
      <w:r>
        <w:rPr>
          <w:rFonts w:hint="eastAsia" w:ascii="宋体" w:hAnsi="宋体" w:cs="宋体"/>
          <w:color w:val="auto"/>
          <w:kern w:val="0"/>
          <w:szCs w:val="21"/>
          <w:highlight w:val="none"/>
        </w:rPr>
        <w:t xml:space="preserve">发包人在工程量清单中给定暂估价的专业工程，未达到依法必须招标的规模及标准的，除专用条款另有约定外，在合同双方当事人同意下，由造价工程师与分包人按照第72.2款规定确定专业工程款。经确认的专业工程款与工程量清单中所列的暂估价的差额以及相应的规费、税金等其他费用，应列入合同价款。 </w:t>
      </w:r>
    </w:p>
    <w:p>
      <w:pPr>
        <w:tabs>
          <w:tab w:val="left" w:pos="3038"/>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66  提前竣工奖与误期赔偿费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6416" behindDoc="0" locked="0" layoutInCell="1" allowOverlap="1">
                <wp:simplePos x="0" y="0"/>
                <wp:positionH relativeFrom="column">
                  <wp:posOffset>-114300</wp:posOffset>
                </wp:positionH>
                <wp:positionV relativeFrom="paragraph">
                  <wp:posOffset>30480</wp:posOffset>
                </wp:positionV>
                <wp:extent cx="1028700" cy="405130"/>
                <wp:effectExtent l="0" t="0" r="0" b="0"/>
                <wp:wrapNone/>
                <wp:docPr id="125" name="文本框 125"/>
                <wp:cNvGraphicFramePr/>
                <a:graphic xmlns:a="http://schemas.openxmlformats.org/drawingml/2006/main">
                  <a:graphicData uri="http://schemas.microsoft.com/office/word/2010/wordprocessingShape">
                    <wps:wsp>
                      <wps:cNvSpPr txBox="1">
                        <a:spLocks noChangeArrowheads="1"/>
                      </wps:cNvSpPr>
                      <wps:spPr bwMode="auto">
                        <a:xfrm>
                          <a:off x="0" y="0"/>
                          <a:ext cx="1028700" cy="4051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31.9pt;width:81pt;z-index:251836416;mso-width-relative:page;mso-height-relative:page;" filled="f" stroked="f" coordsize="21600,21600" o:gfxdata="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ZQ0RG9UAAAAIAQAADwAAAAAAAAABACAAAAAiAAAAZHJzL2Rvd25y&#10;ZXYueG1sUEsBAhQAFAAAAAgAh07iQNKHFmk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提前竣工奖</w:t>
                      </w:r>
                    </w:p>
                  </w:txbxContent>
                </v:textbox>
              </v:shape>
            </w:pict>
          </mc:Fallback>
        </mc:AlternateContent>
      </w:r>
      <w:r>
        <w:rPr>
          <w:rFonts w:hint="eastAsia" w:ascii="宋体" w:hAnsi="宋体" w:cs="宋体"/>
          <w:color w:val="auto"/>
          <w:kern w:val="0"/>
          <w:szCs w:val="21"/>
          <w:highlight w:val="none"/>
        </w:rPr>
        <w:t>合同双方当事人可在专用条款中约定提前竣工奖，明确每日历天应奖额度。约定提前竣工奖的，如果承包人的实际竣工日期早于计划竣工日期，承包人有权向发包人提出并得到提前竣工天数和专用条款约定的每日历天应奖额度的乘积计算的提前竣工奖。除专用条款另有约定外，提前竣工奖的最高限额为合同价款的5%。提前竣工奖列入竣工结算文件中，与结算款一并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66.2  </w:t>
      </w:r>
      <w:r>
        <w:rPr>
          <w:rFonts w:hint="eastAsia" w:ascii="宋体" w:hAnsi="宋体" w:cs="宋体"/>
          <w:b/>
          <w:color w:val="auto"/>
          <w:kern w:val="0"/>
          <w:szCs w:val="21"/>
          <w:highlight w:val="none"/>
          <w:u w:val="dotted"/>
        </w:rPr>
        <w:t xml:space="preserve">                                                                                                        </w:t>
      </w:r>
    </w:p>
    <w:p>
      <w:pPr>
        <w:adjustRightInd w:val="0"/>
        <w:snapToGrid w:val="0"/>
        <w:spacing w:line="46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7440" behindDoc="0" locked="0" layoutInCell="1" allowOverlap="1">
                <wp:simplePos x="0" y="0"/>
                <wp:positionH relativeFrom="column">
                  <wp:posOffset>-114300</wp:posOffset>
                </wp:positionH>
                <wp:positionV relativeFrom="paragraph">
                  <wp:posOffset>16510</wp:posOffset>
                </wp:positionV>
                <wp:extent cx="914400" cy="377825"/>
                <wp:effectExtent l="0" t="0" r="0" b="0"/>
                <wp:wrapNone/>
                <wp:docPr id="124" name="文本框 124"/>
                <wp:cNvGraphicFramePr/>
                <a:graphic xmlns:a="http://schemas.openxmlformats.org/drawingml/2006/main">
                  <a:graphicData uri="http://schemas.microsoft.com/office/word/2010/wordprocessingShape">
                    <wps:wsp>
                      <wps:cNvSpPr txBox="1">
                        <a:spLocks noChangeArrowheads="1"/>
                      </wps:cNvSpPr>
                      <wps:spPr bwMode="auto">
                        <a:xfrm>
                          <a:off x="0" y="0"/>
                          <a:ext cx="914400" cy="3778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3pt;height:29.75pt;width:72pt;z-index:251837440;mso-width-relative:page;mso-height-relative:page;" filled="f" stroked="f" coordsize="21600,21600" o:gfxdata="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E0kpnUAAAACAEAAA8AAAAAAAAAAQAgAAAAIgAAAGRycy9kb3ducmV2&#10;LnhtbFBLAQIUABQAAAAIAIdO4kBjEURG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误期赔偿费</w:t>
                      </w:r>
                    </w:p>
                  </w:txbxContent>
                </v:textbox>
              </v:shape>
            </w:pict>
          </mc:Fallback>
        </mc:AlternateContent>
      </w:r>
      <w:r>
        <w:rPr>
          <w:rFonts w:hint="eastAsia" w:ascii="宋体" w:hAnsi="宋体" w:cs="宋体"/>
          <w:color w:val="auto"/>
          <w:kern w:val="0"/>
          <w:szCs w:val="21"/>
          <w:highlight w:val="none"/>
        </w:rPr>
        <w:t>合同双方当事人应在专用条款中约定误期赔偿费，明确每日历天应赔额度。如果承包人的实际进度迟于计划进度，发包人有权向承包人索取并得到实际延误天数和专用条款约定的每日历天应赔额度的乘积计算的误期赔偿费。除专用条款另有约定外，误期赔偿费的最高限额为合同价款的5%。误期赔偿费列入进度支付文件或竣工结算文件中，在进度款或结算款中扣除。</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在工程竣工之前，合同工程内的某单位工程已通过了竣工验收，且该单位工程接收证书中表明的竣工日期并未延误，而是合同工程的其他部分产生了工期延误，则误期赔偿费应按照已颁发工程接收证书的单位工程造价占合同价款的比例幅度予以扣减。</w:t>
      </w:r>
    </w:p>
    <w:p>
      <w:pPr>
        <w:adjustRightInd w:val="0"/>
        <w:snapToGrid w:val="0"/>
        <w:spacing w:line="360" w:lineRule="auto"/>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p>
    <w:p>
      <w:pPr>
        <w:tabs>
          <w:tab w:val="left" w:pos="540"/>
        </w:tabs>
        <w:adjustRightInd w:val="0"/>
        <w:snapToGrid w:val="0"/>
        <w:spacing w:beforeLines="100"/>
        <w:ind w:right="-238"/>
        <w:rPr>
          <w:rFonts w:ascii="宋体" w:hAnsi="宋体" w:cs="宋体"/>
          <w:b/>
          <w:color w:val="auto"/>
          <w:kern w:val="0"/>
          <w:szCs w:val="21"/>
          <w:highlight w:val="none"/>
        </w:rPr>
      </w:pPr>
      <w:r>
        <w:rPr>
          <w:rFonts w:hint="eastAsia" w:ascii="宋体" w:hAnsi="宋体" w:cs="宋体"/>
          <w:b/>
          <w:color w:val="auto"/>
          <w:kern w:val="0"/>
          <w:szCs w:val="21"/>
          <w:highlight w:val="none"/>
        </w:rPr>
        <w:t>67  工程优质费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95808" behindDoc="0" locked="0" layoutInCell="1" allowOverlap="1">
                <wp:simplePos x="0" y="0"/>
                <wp:positionH relativeFrom="column">
                  <wp:posOffset>-114300</wp:posOffset>
                </wp:positionH>
                <wp:positionV relativeFrom="paragraph">
                  <wp:posOffset>30480</wp:posOffset>
                </wp:positionV>
                <wp:extent cx="1028700" cy="524510"/>
                <wp:effectExtent l="0" t="0" r="0" b="0"/>
                <wp:wrapNone/>
                <wp:docPr id="123" name="文本框 123"/>
                <wp:cNvGraphicFramePr/>
                <a:graphic xmlns:a="http://schemas.openxmlformats.org/drawingml/2006/main">
                  <a:graphicData uri="http://schemas.microsoft.com/office/word/2010/wordprocessingShape">
                    <wps:wsp>
                      <wps:cNvSpPr txBox="1">
                        <a:spLocks noChangeArrowheads="1"/>
                      </wps:cNvSpPr>
                      <wps:spPr bwMode="auto">
                        <a:xfrm>
                          <a:off x="0" y="0"/>
                          <a:ext cx="1028700" cy="52451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4pt;height:41.3pt;width:81pt;z-index:251895808;mso-width-relative:page;mso-height-relative:page;" filled="f" stroked="f" coordsize="21600,21600" o:gfxdata="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Fd/XA1AAAAAgBAAAPAAAAAAAAAAEAIAAAACIAAABkcnMvZG93bnJl&#10;di54bWxQSwECFAAUAAAACACHTuJA96v7s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工程优质费的</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w:t>
                      </w:r>
                    </w:p>
                  </w:txbxContent>
                </v:textbox>
              </v:shape>
            </w:pict>
          </mc:Fallback>
        </mc:AlternateContent>
      </w:r>
      <w:r>
        <w:rPr>
          <w:rFonts w:hint="eastAsia" w:ascii="宋体" w:hAnsi="宋体" w:cs="宋体"/>
          <w:color w:val="auto"/>
          <w:kern w:val="0"/>
          <w:szCs w:val="21"/>
          <w:highlight w:val="none"/>
        </w:rPr>
        <w:t>合同双方当事人可在专用条款中约定工程优质费，明确合同工程优质费用的计算方法。约定工程优质费的，如果承包人实施、完成合同工程质量标准高于国家规定或合同约定的质量验收合格标准的，承包人有权向发包人提出并得到专用条款约定的工程优质费。</w:t>
      </w:r>
    </w:p>
    <w:p>
      <w:pPr>
        <w:adjustRightInd w:val="0"/>
        <w:snapToGrid w:val="0"/>
        <w:spacing w:line="48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4480" behindDoc="0" locked="0" layoutInCell="1" allowOverlap="1">
                <wp:simplePos x="0" y="0"/>
                <wp:positionH relativeFrom="column">
                  <wp:posOffset>-114300</wp:posOffset>
                </wp:positionH>
                <wp:positionV relativeFrom="paragraph">
                  <wp:posOffset>234315</wp:posOffset>
                </wp:positionV>
                <wp:extent cx="1143000" cy="621030"/>
                <wp:effectExtent l="0" t="0" r="0" b="0"/>
                <wp:wrapNone/>
                <wp:docPr id="122" name="文本框 122"/>
                <wp:cNvGraphicFramePr/>
                <a:graphic xmlns:a="http://schemas.openxmlformats.org/drawingml/2006/main">
                  <a:graphicData uri="http://schemas.microsoft.com/office/word/2010/wordprocessingShape">
                    <wps:wsp>
                      <wps:cNvSpPr txBox="1">
                        <a:spLocks noChangeArrowheads="1"/>
                      </wps:cNvSpPr>
                      <wps:spPr bwMode="auto">
                        <a:xfrm>
                          <a:off x="0" y="0"/>
                          <a:ext cx="1143000" cy="62103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48.9pt;width:90pt;z-index:251924480;mso-width-relative:page;mso-height-relative:page;" filled="f" stroked="f" coordsize="21600,21600" o:gfxdata="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tAdDK2AAAAAoBAAAPAAAAAAAAAAEAIAAAACIAAABkcnMvZG93&#10;bnJldi54bWxQSwECFAAUAAAACACHTuJAUD4Z6QACAADZAwAADgAAAAAAAAABACAAAAAn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工程优质费计</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提与支付</w:t>
                      </w:r>
                    </w:p>
                  </w:txbxContent>
                </v:textbox>
              </v:shape>
            </w:pict>
          </mc:Fallback>
        </mc:AlternateContent>
      </w:r>
      <w:r>
        <w:rPr>
          <w:rFonts w:hint="eastAsia" w:ascii="宋体" w:hAnsi="宋体" w:cs="宋体"/>
          <w:b/>
          <w:color w:val="auto"/>
          <w:kern w:val="0"/>
          <w:szCs w:val="21"/>
          <w:highlight w:val="none"/>
        </w:rPr>
        <w:t xml:space="preserve">67.2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工程优质费按照合同价款的下列额度计算：国家级质量奖为3%，省级质量奖为2%，市级质量奖为1%。当合同工程同时获得上述多个奖项的，工程优质费只按最高奖项的额度计算。工程优质费列入竣工结算文件中，与竣工结算款一并支付。在竣工结算后获得优质奖项的，发包人应在获得奖项后的28天内支付。</w:t>
      </w:r>
    </w:p>
    <w:p>
      <w:pPr>
        <w:adjustRightInd w:val="0"/>
        <w:snapToGrid w:val="0"/>
        <w:spacing w:line="240" w:lineRule="exact"/>
        <w:jc w:val="left"/>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68  合同价款的约定与调整</w:t>
      </w:r>
    </w:p>
    <w:p>
      <w:pPr>
        <w:adjustRightInd w:val="0"/>
        <w:snapToGrid w:val="0"/>
        <w:spacing w:line="360" w:lineRule="auto"/>
        <w:ind w:left="1265" w:hanging="1265" w:hangingChars="600"/>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68.1       </w:t>
      </w:r>
    </w:p>
    <w:p>
      <w:pPr>
        <w:adjustRightInd w:val="0"/>
        <w:snapToGrid w:val="0"/>
        <w:spacing w:line="480" w:lineRule="auto"/>
        <w:ind w:left="1438" w:leftChars="685" w:firstLine="25" w:firstLineChars="1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8464" behindDoc="0" locked="0" layoutInCell="1" allowOverlap="1">
                <wp:simplePos x="0" y="0"/>
                <wp:positionH relativeFrom="column">
                  <wp:posOffset>-133350</wp:posOffset>
                </wp:positionH>
                <wp:positionV relativeFrom="paragraph">
                  <wp:posOffset>26670</wp:posOffset>
                </wp:positionV>
                <wp:extent cx="1028700" cy="343535"/>
                <wp:effectExtent l="0" t="0" r="0" b="0"/>
                <wp:wrapNone/>
                <wp:docPr id="121" name="文本框 121"/>
                <wp:cNvGraphicFramePr/>
                <a:graphic xmlns:a="http://schemas.openxmlformats.org/drawingml/2006/main">
                  <a:graphicData uri="http://schemas.microsoft.com/office/word/2010/wordprocessingShape">
                    <wps:wsp>
                      <wps:cNvSpPr txBox="1">
                        <a:spLocks noChangeArrowheads="1"/>
                      </wps:cNvSpPr>
                      <wps:spPr bwMode="auto">
                        <a:xfrm>
                          <a:off x="0" y="0"/>
                          <a:ext cx="1028700" cy="3435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pt;height:27.05pt;width:81pt;z-index:251838464;mso-width-relative:page;mso-height-relative:page;" filled="f" stroked="f" coordsize="21600,21600" o:gfxdata="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pYER9UAAAAIAQAADwAAAAAAAAABACAAAAAiAAAAZHJzL2Rvd25y&#10;ZXYueG1sUEsBAhQAFAAAAAgAh07iQJZsaRcBAgAA2QMAAA4AAAAAAAAAAQAgAAAAJA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约定合同价款</w:t>
                      </w:r>
                    </w:p>
                  </w:txbxContent>
                </v:textbox>
              </v:shape>
            </w:pict>
          </mc:Fallback>
        </mc:AlternateContent>
      </w:r>
      <w:r>
        <w:rPr>
          <w:rFonts w:hint="eastAsia" w:ascii="宋体" w:hAnsi="宋体" w:cs="宋体"/>
          <w:color w:val="auto"/>
          <w:kern w:val="0"/>
          <w:szCs w:val="21"/>
          <w:highlight w:val="none"/>
        </w:rPr>
        <w:t>合同双方当事人应在本合同协议书中约定合同价款。招标工程的合同价款由合同双方当事人依据中标通知书的中标价款在本合同协议书中约定。非招标工程的合同价款由合同双方当事人依据双方确定施工图预算的总造价在本合同协议书中约定。</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39488"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20" name="文本框 120"/>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1839488;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HO4a/vTAAAABwEAAA8AAAAAAAAAAQAgAAAAIgAAAGRycy9kb3ducmV2Lnht&#10;bFBLAQIUABQAAAAIAIdO4kBnjeOX/gEAANgDAAAOAAAAAAAAAAEAIAAAACIBAABkcnMvZTJvRG9j&#10;LnhtbFBLBQYAAAAABgAGAFkBAACS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合同价款的调整事件</w:t>
                      </w:r>
                    </w:p>
                  </w:txbxContent>
                </v:textbox>
              </v:shape>
            </w:pict>
          </mc:Fallback>
        </mc:AlternateContent>
      </w:r>
      <w:r>
        <w:rPr>
          <w:rFonts w:hint="eastAsia" w:ascii="宋体" w:hAnsi="宋体" w:cs="宋体"/>
          <w:color w:val="auto"/>
          <w:kern w:val="0"/>
          <w:szCs w:val="21"/>
          <w:highlight w:val="none"/>
        </w:rPr>
        <w:t>合同双方当事人应明确合同价款的调整事件。除专用条款另有约定外，调整事件应包括：</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后继法律变化事件；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项目特征描述不符事件；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分部分项工程量清单缺项漏项事件；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工程变更事件；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工程量偏差事件；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费用索赔事件；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现场签证事件；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物价涨落事件；</w:t>
      </w:r>
    </w:p>
    <w:p>
      <w:pPr>
        <w:numPr>
          <w:ilvl w:val="0"/>
          <w:numId w:val="28"/>
        </w:numPr>
        <w:adjustRightInd w:val="0"/>
        <w:snapToGrid w:val="0"/>
        <w:spacing w:line="360" w:lineRule="auto"/>
        <w:ind w:firstLine="420"/>
        <w:rPr>
          <w:rFonts w:ascii="宋体" w:hAnsi="宋体" w:cs="宋体"/>
          <w:color w:val="auto"/>
          <w:kern w:val="0"/>
          <w:szCs w:val="21"/>
          <w:highlight w:val="none"/>
        </w:rPr>
      </w:pPr>
      <w:r>
        <w:rPr>
          <w:rFonts w:hint="eastAsia" w:ascii="宋体" w:hAnsi="宋体" w:cs="宋体"/>
          <w:color w:val="auto"/>
          <w:kern w:val="0"/>
          <w:szCs w:val="21"/>
          <w:highlight w:val="none"/>
        </w:rPr>
        <w:t>专用条款约定的其他事件。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本款(1)至(8)调整事件应分别按照第69条至第76条的规定调整合同价款。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68.3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9952" behindDoc="0" locked="0" layoutInCell="1" allowOverlap="1">
                <wp:simplePos x="0" y="0"/>
                <wp:positionH relativeFrom="column">
                  <wp:posOffset>-114300</wp:posOffset>
                </wp:positionH>
                <wp:positionV relativeFrom="paragraph">
                  <wp:posOffset>5080</wp:posOffset>
                </wp:positionV>
                <wp:extent cx="914400" cy="521335"/>
                <wp:effectExtent l="0" t="0" r="0" b="0"/>
                <wp:wrapNone/>
                <wp:docPr id="119" name="文本框 119"/>
                <wp:cNvGraphicFramePr/>
                <a:graphic xmlns:a="http://schemas.openxmlformats.org/drawingml/2006/main">
                  <a:graphicData uri="http://schemas.microsoft.com/office/word/2010/wordprocessingShape">
                    <wps:wsp>
                      <wps:cNvSpPr txBox="1">
                        <a:spLocks noChangeArrowheads="1"/>
                      </wps:cNvSpPr>
                      <wps:spPr bwMode="auto">
                        <a:xfrm>
                          <a:off x="0" y="0"/>
                          <a:ext cx="914400" cy="5213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1.05pt;width:72pt;z-index:252029952;mso-width-relative:page;mso-height-relative:page;" filled="f" stroked="f" coordsize="21600,21600" o:gfxdata="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zuGv70wAAAAcBAAAPAAAAAAAAAAEAIAAAACIAAABkcnMvZG93bnJldi54&#10;bWxQSwECFAAUAAAACACHTuJAqLnpUv8BAADYAwAADgAAAAAAAAABACAAAAAi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调整合同价款</w:t>
                      </w:r>
                    </w:p>
                  </w:txbxContent>
                </v:textbox>
              </v:shape>
            </w:pict>
          </mc:Fallback>
        </mc:AlternateContent>
      </w:r>
      <w:r>
        <w:rPr>
          <w:rFonts w:hint="eastAsia" w:ascii="宋体" w:hAnsi="宋体" w:cs="宋体"/>
          <w:color w:val="auto"/>
          <w:kern w:val="0"/>
          <w:szCs w:val="21"/>
          <w:highlight w:val="none"/>
        </w:rPr>
        <w:t>出现第68.2款规定调整合同价款事件的，合同双方当事人应调整合同价款。除费用索赔、现场签证事件分别按照第74条、第75条规定外，调整合同价款的提出、核实、确认与支付等事项，由合同双方当事人按照第77条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根据第68.2款规定事件调整合同价款，如果是按照第48条规定由发包人自行供应或发包人招标、承包人采购材料和工程设备的，均不应考虑第72.2款规定的承包人报价下浮率因素。</w:t>
      </w:r>
    </w:p>
    <w:p>
      <w:pPr>
        <w:tabs>
          <w:tab w:val="left" w:pos="3480"/>
        </w:tabs>
        <w:adjustRightInd w:val="0"/>
        <w:snapToGrid w:val="0"/>
        <w:spacing w:line="36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rPr>
          <w:rFonts w:ascii="宋体" w:hAnsi="宋体" w:cs="宋体"/>
          <w:b/>
          <w:color w:val="auto"/>
          <w:szCs w:val="21"/>
          <w:highlight w:val="none"/>
        </w:rPr>
      </w:pPr>
    </w:p>
    <w:p>
      <w:pPr>
        <w:rPr>
          <w:rFonts w:ascii="宋体" w:hAnsi="宋体" w:cs="宋体"/>
          <w:b/>
          <w:color w:val="auto"/>
          <w:szCs w:val="21"/>
          <w:highlight w:val="none"/>
        </w:rPr>
      </w:pPr>
      <w:r>
        <w:rPr>
          <w:rFonts w:hint="eastAsia" w:ascii="宋体" w:hAnsi="宋体" w:cs="宋体"/>
          <w:b/>
          <w:color w:val="auto"/>
          <w:szCs w:val="21"/>
          <w:highlight w:val="none"/>
        </w:rPr>
        <w:t>69  后继法律变化事件</w:t>
      </w:r>
    </w:p>
    <w:p>
      <w:pPr>
        <w:adjustRightInd w:val="0"/>
        <w:snapToGrid w:val="0"/>
        <w:rPr>
          <w:rFonts w:ascii="宋体" w:hAnsi="宋体" w:cs="宋体"/>
          <w:b/>
          <w:bCs/>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8992" behindDoc="0" locked="0" layoutInCell="1" allowOverlap="1">
                <wp:simplePos x="0" y="0"/>
                <wp:positionH relativeFrom="column">
                  <wp:posOffset>-133350</wp:posOffset>
                </wp:positionH>
                <wp:positionV relativeFrom="paragraph">
                  <wp:posOffset>273685</wp:posOffset>
                </wp:positionV>
                <wp:extent cx="914400" cy="619125"/>
                <wp:effectExtent l="0" t="0" r="0" b="0"/>
                <wp:wrapNone/>
                <wp:docPr id="118" name="文本框 118"/>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21.55pt;height:48.75pt;width:72pt;z-index:251988992;mso-width-relative:page;mso-height-relative:page;" filled="f" stroked="f" coordsize="21600,21600" o:gfxdata="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3YAHNcAAAAKAQAADwAAAAAAAAABACAAAAAiAAAAZHJzL2Rvd25y&#10;ZXYueG1sUEsBAhQAFAAAAAgAh07iQI6OpN7/AQAA2A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后继法律变化的价款调整</w:t>
                      </w:r>
                    </w:p>
                  </w:txbxContent>
                </v:textbox>
              </v:shape>
            </w:pict>
          </mc:Fallback>
        </mc:AlternateContent>
      </w:r>
      <w:r>
        <w:rPr>
          <w:rFonts w:hint="eastAsia" w:ascii="宋体" w:hAnsi="宋体" w:cs="宋体"/>
          <w:b/>
          <w:color w:val="auto"/>
          <w:kern w:val="0"/>
          <w:szCs w:val="21"/>
          <w:highlight w:val="none"/>
        </w:rPr>
        <w:t>69.1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合同履行期间，出现国家或省颁布的法律和政策在合同工程基准日期后发生变化，且因执行上述法律和政策引起除第76条规定以外的工程造价增减事件的，合同双方当事人应调整合同价款。</w:t>
      </w:r>
    </w:p>
    <w:p>
      <w:pPr>
        <w:tabs>
          <w:tab w:val="left" w:pos="540"/>
        </w:tabs>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69.2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7968"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117" name="文本框 117"/>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1987968;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ybB3k/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调整价款的方法</w:t>
                      </w:r>
                    </w:p>
                  </w:txbxContent>
                </v:textbox>
              </v:shape>
            </w:pict>
          </mc:Fallback>
        </mc:AlternateContent>
      </w:r>
      <w:r>
        <w:rPr>
          <w:rFonts w:hint="eastAsia" w:ascii="宋体" w:hAnsi="宋体" w:cs="宋体"/>
          <w:color w:val="auto"/>
          <w:kern w:val="0"/>
          <w:szCs w:val="21"/>
          <w:highlight w:val="none"/>
        </w:rPr>
        <w:t>发生第69.1款情况的，应根据合同工程实际情况，按照上述法律和政策规定计算调整的合同价款。</w:t>
      </w:r>
    </w:p>
    <w:p>
      <w:pPr>
        <w:tabs>
          <w:tab w:val="left" w:pos="1620"/>
        </w:tabs>
        <w:spacing w:line="360" w:lineRule="auto"/>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spacing w:line="360" w:lineRule="auto"/>
        <w:rPr>
          <w:rFonts w:ascii="宋体" w:hAnsi="宋体" w:cs="宋体"/>
          <w:b/>
          <w:color w:val="auto"/>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70  项目特征描述不符事件</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70.1</w:t>
      </w:r>
      <w:r>
        <w:rPr>
          <w:rFonts w:hint="eastAsia" w:ascii="宋体" w:hAnsi="宋体" w:cs="宋体"/>
          <w:b/>
          <w:bCs/>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0016" behindDoc="0" locked="0" layoutInCell="1" allowOverlap="1">
                <wp:simplePos x="0" y="0"/>
                <wp:positionH relativeFrom="column">
                  <wp:posOffset>-114300</wp:posOffset>
                </wp:positionH>
                <wp:positionV relativeFrom="paragraph">
                  <wp:posOffset>34290</wp:posOffset>
                </wp:positionV>
                <wp:extent cx="914400" cy="619125"/>
                <wp:effectExtent l="0" t="0" r="0" b="0"/>
                <wp:wrapNone/>
                <wp:docPr id="116" name="文本框 116"/>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8.75pt;width:72pt;z-index:251990016;mso-width-relative:page;mso-height-relative:page;" filled="f" stroked="f" coordsize="21600,21600" o:gfxdata="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xySmF1gAAAAkBAAAPAAAAAAAAAAEAIAAAACIAAABkcnMvZG93bnJl&#10;di54bWxQSwECFAAUAAAACACHTuJAtrOq4P8BAADY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项目特征的准确性</w:t>
                      </w:r>
                    </w:p>
                  </w:txbxContent>
                </v:textbox>
              </v:shape>
            </w:pict>
          </mc:Fallback>
        </mc:AlternateContent>
      </w:r>
      <w:r>
        <w:rPr>
          <w:rFonts w:hint="eastAsia" w:ascii="宋体" w:hAnsi="宋体" w:cs="宋体"/>
          <w:color w:val="auto"/>
          <w:kern w:val="0"/>
          <w:szCs w:val="21"/>
          <w:highlight w:val="none"/>
        </w:rPr>
        <w:t>发包人在工程量清单中对项目特征的描述，应被认为是准确的和全面的，并且与实际施工要求相符合。承包人应按照发包人提供的工程量清单，根据其项目特征描述的内容及有关要求实施合同工程，直到其被改变为止。</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1040"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5" name="文本框 11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1991040;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DrTcu3/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项目特征描述不符的价款调整</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合同履行期间，出现实际施工设计图纸（含设计变更）与招标文件提供的工程量清单任一项目特征描述不符，且该变化引起工程造价增减事件的，合同双方当事人应调整合同价款。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70.3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0976" behindDoc="0" locked="0" layoutInCell="1" allowOverlap="1">
                <wp:simplePos x="0" y="0"/>
                <wp:positionH relativeFrom="column">
                  <wp:posOffset>-114300</wp:posOffset>
                </wp:positionH>
                <wp:positionV relativeFrom="paragraph">
                  <wp:posOffset>5715</wp:posOffset>
                </wp:positionV>
                <wp:extent cx="914400" cy="619125"/>
                <wp:effectExtent l="0" t="0" r="0" b="0"/>
                <wp:wrapNone/>
                <wp:docPr id="114" name="文本框 114"/>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48.75pt;width:72pt;z-index:252030976;mso-width-relative:page;mso-height-relative:page;" filled="f" stroked="f" coordsize="21600,21600" o:gfxdata="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d//kdQAAAAHAQAADwAAAAAAAAABACAAAAAiAAAAZHJzL2Rvd25yZXYu&#10;eG1sUEsBAhQAFAAAAAgAh07iQL4Mxen/AQAA2AMAAA4AAAAAAAAAAQAgAAAAIwEAAGRycy9lMm9E&#10;b2MueG1sUEsFBgAAAAAGAAYAWQEAAJQFAAAAAA==&#10;">
                <v:fill on="f" focussize="0,0"/>
                <v:stroke on="f"/>
                <v:imagedata o:title=""/>
                <o:lock v:ext="edit" aspectratio="f"/>
                <v:textbox>
                  <w:txbxContent>
                    <w:p>
                      <w:pPr>
                        <w:pStyle w:val="32"/>
                        <w:spacing w:line="200" w:lineRule="exact"/>
                        <w:rPr>
                          <w:rFonts w:ascii="宋体" w:hAnsi="宋体"/>
                          <w:color w:val="FF0000"/>
                          <w:szCs w:val="18"/>
                        </w:rPr>
                      </w:pPr>
                      <w:r>
                        <w:rPr>
                          <w:rFonts w:hint="eastAsia" w:ascii="楷体_GB2312" w:hAnsi="宋体" w:eastAsia="楷体_GB2312"/>
                          <w:b/>
                          <w:color w:val="000000"/>
                          <w:sz w:val="18"/>
                          <w:szCs w:val="18"/>
                        </w:rPr>
                        <w:t>调整价款的方法</w:t>
                      </w:r>
                    </w:p>
                    <w:p>
                      <w:pPr>
                        <w:pStyle w:val="78"/>
                        <w:spacing w:line="200" w:lineRule="exact"/>
                        <w:rPr>
                          <w:szCs w:val="18"/>
                        </w:rPr>
                      </w:pPr>
                    </w:p>
                  </w:txbxContent>
                </v:textbox>
              </v:shape>
            </w:pict>
          </mc:Fallback>
        </mc:AlternateContent>
      </w:r>
      <w:r>
        <w:rPr>
          <w:rFonts w:hint="eastAsia" w:ascii="宋体" w:hAnsi="宋体" w:cs="宋体"/>
          <w:color w:val="auto"/>
          <w:kern w:val="0"/>
          <w:szCs w:val="21"/>
          <w:highlight w:val="none"/>
        </w:rPr>
        <w:t>发生第70.2款情况的，应按照实际施工的项目特征重新确定相应工程量清单项目的综合单价，计算调整的合同价款。</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71  分部分项工程量清单缺项漏项事件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5504" behindDoc="0" locked="0" layoutInCell="1" allowOverlap="1">
                <wp:simplePos x="0" y="0"/>
                <wp:positionH relativeFrom="column">
                  <wp:posOffset>-133350</wp:posOffset>
                </wp:positionH>
                <wp:positionV relativeFrom="paragraph">
                  <wp:posOffset>6350</wp:posOffset>
                </wp:positionV>
                <wp:extent cx="914400" cy="692150"/>
                <wp:effectExtent l="0" t="0" r="0" b="0"/>
                <wp:wrapNone/>
                <wp:docPr id="113" name="文本框 113"/>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5pt;width:72pt;z-index:251925504;mso-width-relative:page;mso-height-relative:page;" filled="f" stroked="f" coordsize="21600,21600" o:gfxdata="UEsDBAoAAAAAAIdO4kAAAAAAAAAAAAAAAAAEAAAAZHJzL1BLAwQUAAAACACHTuJAIWTeM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k3jDUAAAACQEAAA8AAAAAAAAAAQAgAAAAIgAAAGRycy9kb3ducmV2&#10;LnhtbFBLAQIUABQAAAAIAIdO4kCAyaaWAAIAANgDAAAOAAAAAAAAAAEAIAAAACM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清单缺项漏项的价款调整</w:t>
                      </w:r>
                    </w:p>
                  </w:txbxContent>
                </v:textbox>
              </v:shape>
            </w:pict>
          </mc:Fallback>
        </mc:AlternateContent>
      </w:r>
      <w:r>
        <w:rPr>
          <w:rFonts w:ascii="宋体" w:hAnsi="宋体" w:cs="宋体"/>
          <w:color w:val="auto"/>
          <w:kern w:val="0"/>
          <w:szCs w:val="21"/>
          <w:highlight w:val="none"/>
        </w:rPr>
        <mc:AlternateContent>
          <mc:Choice Requires="wps">
            <w:drawing>
              <wp:anchor distT="0" distB="0" distL="114300" distR="114300" simplePos="0" relativeHeight="251896832" behindDoc="0" locked="0" layoutInCell="1" allowOverlap="1">
                <wp:simplePos x="0" y="0"/>
                <wp:positionH relativeFrom="column">
                  <wp:posOffset>-133350</wp:posOffset>
                </wp:positionH>
                <wp:positionV relativeFrom="paragraph">
                  <wp:posOffset>6350</wp:posOffset>
                </wp:positionV>
                <wp:extent cx="914400" cy="693420"/>
                <wp:effectExtent l="0" t="0" r="0" b="0"/>
                <wp:wrapNone/>
                <wp:docPr id="112" name="文本框 112"/>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5pt;height:54.6pt;width:72pt;z-index:251896832;mso-width-relative:page;mso-height-relative:page;" filled="f" stroked="f" coordsize="21600,21600" o:gfxdata="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GJqRNQAAAAJAQAADwAAAAAAAAABACAAAAAiAAAAZHJzL2Rvd25yZXYu&#10;eG1sUEsBAhQAFAAAAAgAh07iQCg1LhT/AQAA2AMAAA4AAAAAAAAAAQAgAAAAIwEAAGRycy9lMm9E&#10;b2MueG1sUEsFBgAAAAAGAAYAWQEAAJQFAAAAAA==&#10;">
                <v:fill on="f" focussize="0,0"/>
                <v:stroke on="f"/>
                <v:imagedata o:title=""/>
                <o:lock v:ext="edit" aspectratio="f"/>
                <v:textbox>
                  <w:txbxContent>
                    <w:p>
                      <w:pPr>
                        <w:rPr>
                          <w:szCs w:val="18"/>
                        </w:rPr>
                      </w:pPr>
                    </w:p>
                  </w:txbxContent>
                </v:textbox>
              </v:shape>
            </w:pict>
          </mc:Fallback>
        </mc:AlternateContent>
      </w:r>
      <w:r>
        <w:rPr>
          <w:rFonts w:hint="eastAsia" w:ascii="宋体" w:hAnsi="宋体" w:cs="宋体"/>
          <w:color w:val="auto"/>
          <w:kern w:val="0"/>
          <w:szCs w:val="21"/>
          <w:highlight w:val="none"/>
        </w:rPr>
        <w:t>合同履行期间，出现工程量清单中分部分项工程缺项漏项事件的，合同双方当事人应调整合同价款。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6528" behindDoc="0" locked="0" layoutInCell="1" allowOverlap="1">
                <wp:simplePos x="0" y="0"/>
                <wp:positionH relativeFrom="column">
                  <wp:posOffset>-66675</wp:posOffset>
                </wp:positionH>
                <wp:positionV relativeFrom="paragraph">
                  <wp:posOffset>8890</wp:posOffset>
                </wp:positionV>
                <wp:extent cx="914400" cy="692150"/>
                <wp:effectExtent l="0" t="0" r="0" b="0"/>
                <wp:wrapNone/>
                <wp:docPr id="111" name="文本框 111"/>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7pt;height:54.5pt;width:72pt;z-index:251926528;mso-width-relative:page;mso-height-relative:page;" filled="f" stroked="f" coordsize="21600,21600" o:gfxdata="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oijLdQAAAAJAQAADwAAAAAAAAABACAAAAAiAAAAZHJzL2Rvd25yZXYu&#10;eG1sUEsBAhQAFAAAAAgAh07iQIh2y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工程量清单中分部分项工程出现缺项漏项，造成新增工程量清单项目的，应按照第72.2款规定计算调整的分部分项工程费。</w:t>
      </w:r>
    </w:p>
    <w:p>
      <w:pPr>
        <w:tabs>
          <w:tab w:val="left" w:pos="540"/>
        </w:tabs>
        <w:adjustRightInd w:val="0"/>
        <w:snapToGrid w:val="0"/>
        <w:spacing w:beforeLines="100" w:line="360" w:lineRule="auto"/>
        <w:ind w:right="-238"/>
        <w:rPr>
          <w:rFonts w:ascii="宋体" w:hAnsi="宋体" w:cs="宋体"/>
          <w:color w:val="auto"/>
          <w:kern w:val="0"/>
          <w:szCs w:val="21"/>
          <w:highlight w:val="none"/>
        </w:rPr>
      </w:pPr>
      <w:r>
        <w:rPr>
          <w:rFonts w:hint="eastAsia" w:ascii="宋体" w:hAnsi="宋体" w:cs="宋体"/>
          <w:b/>
          <w:color w:val="auto"/>
          <w:kern w:val="0"/>
          <w:szCs w:val="21"/>
          <w:highlight w:val="none"/>
        </w:rPr>
        <w:t xml:space="preserve">71.3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27552" behindDoc="0" locked="0" layoutInCell="1" allowOverlap="1">
                <wp:simplePos x="0" y="0"/>
                <wp:positionH relativeFrom="column">
                  <wp:posOffset>-133350</wp:posOffset>
                </wp:positionH>
                <wp:positionV relativeFrom="paragraph">
                  <wp:posOffset>5080</wp:posOffset>
                </wp:positionV>
                <wp:extent cx="914400" cy="692150"/>
                <wp:effectExtent l="0" t="0" r="0" b="0"/>
                <wp:wrapNone/>
                <wp:docPr id="110" name="文本框 110"/>
                <wp:cNvGraphicFramePr/>
                <a:graphic xmlns:a="http://schemas.openxmlformats.org/drawingml/2006/main">
                  <a:graphicData uri="http://schemas.microsoft.com/office/word/2010/wordprocessingShape">
                    <wps:wsp>
                      <wps:cNvSpPr txBox="1">
                        <a:spLocks noChangeArrowheads="1"/>
                      </wps:cNvSpPr>
                      <wps:spPr bwMode="auto">
                        <a:xfrm>
                          <a:off x="0" y="0"/>
                          <a:ext cx="914400" cy="69215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0.4pt;height:54.5pt;width:72pt;z-index:251927552;mso-width-relative:page;mso-height-relative:page;" filled="f" stroked="f" coordsize="21600,21600" o:gfxdata="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ffHDnVAAAACAEAAA8AAAAAAAAAAQAgAAAAIgAAAGRycy9kb3ducmV2&#10;LnhtbFBLAQIUABQAAAAIAIdO4kAMqX6b/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p>
                      <w:pPr>
                        <w:spacing w:line="240" w:lineRule="exact"/>
                        <w:rPr>
                          <w:sz w:val="18"/>
                          <w:szCs w:val="18"/>
                        </w:rPr>
                      </w:pPr>
                    </w:p>
                  </w:txbxContent>
                </v:textbox>
              </v:shape>
            </w:pict>
          </mc:Fallback>
        </mc:AlternateContent>
      </w:r>
      <w:r>
        <w:rPr>
          <w:rFonts w:hint="eastAsia" w:ascii="宋体" w:hAnsi="宋体" w:cs="宋体"/>
          <w:color w:val="auto"/>
          <w:kern w:val="0"/>
          <w:szCs w:val="21"/>
          <w:highlight w:val="none"/>
        </w:rPr>
        <w:t>工程量清单中分部分项工程出现缺项漏项，引起增加措施项目的，应按照第72.3款规定在提交的实施方案被批准后计算调整的措施项目费。</w:t>
      </w:r>
    </w:p>
    <w:p>
      <w:pPr>
        <w:adjustRightInd w:val="0"/>
        <w:snapToGrid w:val="0"/>
        <w:spacing w:line="38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80"/>
        <w:rPr>
          <w:rFonts w:ascii="宋体" w:hAnsi="宋体" w:cs="宋体"/>
          <w:b/>
          <w:color w:val="auto"/>
          <w:kern w:val="0"/>
          <w:szCs w:val="21"/>
          <w:highlight w:val="none"/>
          <w:u w:val="singl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72  工程变更事件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2064" behindDoc="0" locked="0" layoutInCell="1" allowOverlap="1">
                <wp:simplePos x="0" y="0"/>
                <wp:positionH relativeFrom="column">
                  <wp:posOffset>-114300</wp:posOffset>
                </wp:positionH>
                <wp:positionV relativeFrom="paragraph">
                  <wp:posOffset>185420</wp:posOffset>
                </wp:positionV>
                <wp:extent cx="1028700" cy="396240"/>
                <wp:effectExtent l="0" t="0" r="0" b="0"/>
                <wp:wrapNone/>
                <wp:docPr id="109" name="文本框 109"/>
                <wp:cNvGraphicFramePr/>
                <a:graphic xmlns:a="http://schemas.openxmlformats.org/drawingml/2006/main">
                  <a:graphicData uri="http://schemas.microsoft.com/office/word/2010/wordprocessingShape">
                    <wps:wsp>
                      <wps:cNvSpPr txBox="1">
                        <a:spLocks noChangeArrowheads="1"/>
                      </wps:cNvSpPr>
                      <wps:spPr bwMode="auto">
                        <a:xfrm>
                          <a:off x="0" y="0"/>
                          <a:ext cx="10287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6pt;height:31.2pt;width:81pt;z-index:251992064;mso-width-relative:page;mso-height-relative:page;" filled="f" stroked="f" coordsize="21600,21600" o:gfxdata="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3K4/StcAAAAJAQAADwAAAAAAAAABACAAAAAiAAAAZHJzL2Rv&#10;d25yZXYueG1sUEsBAhQAFAAAAAgAh07iQCxsJ3QCAgAA2QMAAA4AAAAAAAAAAQAgAAAAJgEAAGRy&#10;cy9lMm9Eb2MueG1sUEsFBgAAAAAGAAYAWQEAAJo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工程变更的价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b/>
          <w:color w:val="auto"/>
          <w:kern w:val="0"/>
          <w:szCs w:val="21"/>
          <w:highlight w:val="none"/>
        </w:rPr>
        <w:t xml:space="preserve">72.1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合同履行期间，出现第56条工程变更事件的，合同双方当事人应调整合同价款。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2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4112" behindDoc="0" locked="0" layoutInCell="1" allowOverlap="1">
                <wp:simplePos x="0" y="0"/>
                <wp:positionH relativeFrom="column">
                  <wp:posOffset>-114300</wp:posOffset>
                </wp:positionH>
                <wp:positionV relativeFrom="paragraph">
                  <wp:posOffset>6350</wp:posOffset>
                </wp:positionV>
                <wp:extent cx="914400" cy="593090"/>
                <wp:effectExtent l="0" t="0" r="0" b="0"/>
                <wp:wrapNone/>
                <wp:docPr id="108" name="文本框 108"/>
                <wp:cNvGraphicFramePr/>
                <a:graphic xmlns:a="http://schemas.openxmlformats.org/drawingml/2006/main">
                  <a:graphicData uri="http://schemas.microsoft.com/office/word/2010/wordprocessingShape">
                    <wps:wsp>
                      <wps:cNvSpPr txBox="1">
                        <a:spLocks noChangeArrowheads="1"/>
                      </wps:cNvSpPr>
                      <wps:spPr bwMode="auto">
                        <a:xfrm>
                          <a:off x="0" y="0"/>
                          <a:ext cx="914400" cy="59309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46.7pt;width:72pt;z-index:251994112;mso-width-relative:page;mso-height-relative:page;" filled="f" stroked="f" coordsize="21600,21600" o:gfxdata="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xjj/zVAAAACAEAAA8AAAAAAAAAAQAgAAAAIgAAAGRycy9kb3ducmV2&#10;LnhtbFBLAQIUABQAAAAIAIdO4kDBigXv/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工程变更引起分部分项工程项目发生变化，属于第73.2款规定情况的，按照其规定调整；否则按照下列规定调整分部分项工程费：</w:t>
      </w:r>
    </w:p>
    <w:p>
      <w:pPr>
        <w:tabs>
          <w:tab w:val="left" w:pos="1380"/>
          <w:tab w:val="left" w:pos="2160"/>
        </w:tabs>
        <w:adjustRightInd w:val="0"/>
        <w:snapToGrid w:val="0"/>
        <w:spacing w:line="360" w:lineRule="auto"/>
        <w:ind w:left="1380" w:leftChars="657" w:firstLine="210" w:firstLineChars="100"/>
        <w:rPr>
          <w:rFonts w:ascii="宋体" w:hAnsi="宋体" w:cs="宋体"/>
          <w:color w:val="auto"/>
          <w:kern w:val="0"/>
          <w:szCs w:val="21"/>
          <w:highlight w:val="none"/>
        </w:rPr>
      </w:pPr>
      <w:r>
        <w:rPr>
          <w:rFonts w:hint="eastAsia" w:ascii="宋体" w:hAnsi="宋体" w:cs="宋体"/>
          <w:color w:val="auto"/>
          <w:kern w:val="0"/>
          <w:szCs w:val="21"/>
          <w:highlight w:val="none"/>
        </w:rPr>
        <w:t>(1)合同中有适用于变更工程项目的，按照该项目的单价或合价调整;</w:t>
      </w:r>
    </w:p>
    <w:p>
      <w:pPr>
        <w:tabs>
          <w:tab w:val="left" w:pos="1620"/>
          <w:tab w:val="left" w:pos="2160"/>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(2)合同中没有适用、只有类似于变更工程项目的，可在合理范围内参照类似项目的单价或合价调整;</w:t>
      </w:r>
    </w:p>
    <w:p>
      <w:pPr>
        <w:tabs>
          <w:tab w:val="left" w:pos="1380"/>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(3)合同中没有适用也没有类似于变更工程项目的，根据变更工程资料、计量规则和计价办法、施工相应时期工程造价管理机构发布的价格信息和承包人报价浮动率提出变更工程项目的单价或合价，经合同双方当事人确认后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其中，招标工程：承包人报价浮动率L=（1—中标价格/招标控制价）×100%；</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color w:val="auto"/>
          <w:kern w:val="0"/>
          <w:szCs w:val="21"/>
          <w:highlight w:val="none"/>
        </w:rPr>
        <w:t>非招标工程：承包人报价浮动率L=（1—报价值/施工图预算）×100%。</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式中：中标价格、招标控制价或报价值、施工图预算，均不含安全文明施工费。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(4) 合同中没有适用也没有类似于变更工程项目，且施工相应时期工程造价管理机构发布的价格信息缺项的，根据变更工程资料、计量规则、计价办法和通过市场调查等的有合法依据的市场价格提出变更工程项目的单价或合价，经合同双方当事人确认后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5136"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7" name="文本框 10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5136;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EED2DA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工程变更引起措施项目发生变化的，合同双方当事人不利一方当事人有权提出调整措施项目费。提出调整措施项目费的，应事先将拟实施的方案提交另一方当事人确认，并详细说明与原方案措施项目相比的变化情况。拟实施的方案，经合同双方当事人确认后执行。该情况下，应按照下列规定调整措施项目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(1)安全文明施工费，按照实际发生变化的措施项目调整，不得浮动。</w:t>
      </w:r>
    </w:p>
    <w:p>
      <w:pPr>
        <w:adjustRightInd w:val="0"/>
        <w:snapToGrid w:val="0"/>
        <w:spacing w:line="360" w:lineRule="auto"/>
        <w:ind w:left="1630" w:leftChars="776"/>
        <w:rPr>
          <w:rFonts w:ascii="宋体" w:hAnsi="宋体" w:cs="宋体"/>
          <w:color w:val="auto"/>
          <w:kern w:val="0"/>
          <w:szCs w:val="21"/>
          <w:highlight w:val="none"/>
        </w:rPr>
      </w:pPr>
      <w:r>
        <w:rPr>
          <w:rFonts w:hint="eastAsia" w:ascii="宋体" w:hAnsi="宋体" w:cs="宋体"/>
          <w:color w:val="auto"/>
          <w:kern w:val="0"/>
          <w:szCs w:val="21"/>
          <w:highlight w:val="none"/>
        </w:rPr>
        <w:t>(2)凡可计算工程量的措施项目费，按照实际发生变化的措施项目的工程量乘以第72.2款规定的单价或合价调整。</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(3)凡按系数计算的措施项目费，除本款第(1)点情形外，按照实际发生变化的措施项目调整，但应考虑承包人报价浮动因素，即调整金额按照实际调整金额乘以第72.2款规定的承包人报价浮动率计算。</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如果不利一方当事人未按本款规定事先将拟实施的方案提交给另一方当事人，则认为工程变更不引起措施项目费的调整或不利一方当事人放弃调整措施项目费的权利。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72.4  </w:t>
      </w:r>
      <w:r>
        <w:rPr>
          <w:rFonts w:hint="eastAsia" w:ascii="宋体" w:hAnsi="宋体" w:cs="宋体"/>
          <w:b/>
          <w:color w:val="auto"/>
          <w:kern w:val="0"/>
          <w:szCs w:val="21"/>
          <w:highlight w:val="none"/>
          <w:u w:val="dotted"/>
        </w:rPr>
        <w:t xml:space="preserve">                                                                                                       </w:t>
      </w:r>
    </w:p>
    <w:p>
      <w:pPr>
        <w:spacing w:line="360" w:lineRule="auto"/>
        <w:ind w:left="1676" w:leftChars="798"/>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96160" behindDoc="0" locked="0" layoutInCell="1" allowOverlap="1">
                <wp:simplePos x="0" y="0"/>
                <wp:positionH relativeFrom="column">
                  <wp:posOffset>-114300</wp:posOffset>
                </wp:positionH>
                <wp:positionV relativeFrom="paragraph">
                  <wp:posOffset>13335</wp:posOffset>
                </wp:positionV>
                <wp:extent cx="1028700" cy="766445"/>
                <wp:effectExtent l="0" t="0" r="0" b="0"/>
                <wp:wrapNone/>
                <wp:docPr id="106" name="文本框 106"/>
                <wp:cNvGraphicFramePr/>
                <a:graphic xmlns:a="http://schemas.openxmlformats.org/drawingml/2006/main">
                  <a:graphicData uri="http://schemas.microsoft.com/office/word/2010/wordprocessingShape">
                    <wps:wsp>
                      <wps:cNvSpPr txBox="1">
                        <a:spLocks noChangeArrowheads="1"/>
                      </wps:cNvSpPr>
                      <wps:spPr bwMode="auto">
                        <a:xfrm>
                          <a:off x="0" y="0"/>
                          <a:ext cx="1028700" cy="76644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60.35pt;width:81pt;z-index:251996160;mso-width-relative:page;mso-height-relative:page;" filled="f" stroked="f" coordsize="21600,21600" o:gfxdata="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gDLkB1gAAAAkBAAAPAAAAAAAAAAEAIAAAACIAAABkcnMvZG93&#10;bnJldi54bWxQSwECFAAUAAAACACHTuJAEjbzOwICAADZAwAADgAAAAAAAAABACAAAAAlAQAAZHJz&#10;L2Uyb0RvYy54bWxQSwUGAAAAAAYABgBZAQAAmQ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调整承包人报</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价偏差的方法</w:t>
                      </w:r>
                    </w:p>
                  </w:txbxContent>
                </v:textbox>
              </v:shape>
            </w:pict>
          </mc:Fallback>
        </mc:AlternateContent>
      </w:r>
      <w:r>
        <w:rPr>
          <w:rFonts w:hint="eastAsia" w:ascii="宋体" w:hAnsi="宋体" w:cs="宋体"/>
          <w:color w:val="auto"/>
          <w:szCs w:val="21"/>
          <w:highlight w:val="none"/>
        </w:rPr>
        <w:t>工程量发生变化的分部分项工程项目，如承包人投标价分部分项清单项目填报的综合单价与发包人招标控制价或预算价相应清单项目的综合单价偏差超过一定幅度时，合同双方当事人应调整合同价款。调整工程价款时，合同双方当事人不利一方应事先向另一方提出，经合同双方当事人确认后执行。除专用条款另有约定外，应按照下列规定调整分部分项工程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&lt;P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×(1-L)×(1-15%)调整。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(2)当P</w:t>
      </w:r>
      <w:r>
        <w:rPr>
          <w:rFonts w:hint="eastAsia" w:ascii="宋体" w:hAnsi="宋体" w:cs="宋体"/>
          <w:color w:val="auto"/>
          <w:kern w:val="0"/>
          <w:szCs w:val="21"/>
          <w:highlight w:val="none"/>
          <w:vertAlign w:val="subscript"/>
        </w:rPr>
        <w:t xml:space="preserve">0 </w:t>
      </w:r>
      <w:r>
        <w:rPr>
          <w:rFonts w:hint="eastAsia" w:ascii="宋体" w:hAnsi="宋体" w:cs="宋体"/>
          <w:color w:val="auto"/>
          <w:kern w:val="0"/>
          <w:szCs w:val="21"/>
          <w:highlight w:val="none"/>
        </w:rPr>
        <w:t>&gt;P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 (1+15%)时，该类项目的综合单价按照P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 xml:space="preserve"> ×（1+15%)调整。 </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式中：P</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——承包人在工程量清单中填报的综合单价。</w:t>
      </w:r>
    </w:p>
    <w:p>
      <w:pPr>
        <w:adjustRightInd w:val="0"/>
        <w:snapToGrid w:val="0"/>
        <w:spacing w:line="360" w:lineRule="auto"/>
        <w:ind w:firstLine="2047" w:firstLineChars="975"/>
        <w:rPr>
          <w:rFonts w:ascii="宋体" w:hAnsi="宋体" w:cs="宋体"/>
          <w:color w:val="auto"/>
          <w:kern w:val="0"/>
          <w:szCs w:val="21"/>
          <w:highlight w:val="none"/>
        </w:rPr>
      </w:pPr>
      <w:r>
        <w:rPr>
          <w:rFonts w:hint="eastAsia" w:ascii="宋体" w:hAnsi="宋体" w:cs="宋体"/>
          <w:color w:val="auto"/>
          <w:kern w:val="0"/>
          <w:szCs w:val="21"/>
          <w:highlight w:val="none"/>
        </w:rPr>
        <w:t>P</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——发包人招标控制价或施工预算相应清单项目的综合单价。</w:t>
      </w:r>
    </w:p>
    <w:p>
      <w:pPr>
        <w:adjustRightInd w:val="0"/>
        <w:snapToGrid w:val="0"/>
        <w:spacing w:line="360" w:lineRule="auto"/>
        <w:ind w:firstLine="2047" w:firstLineChars="975"/>
        <w:rPr>
          <w:rFonts w:ascii="宋体" w:hAnsi="宋体" w:cs="宋体"/>
          <w:b/>
          <w:color w:val="auto"/>
          <w:kern w:val="0"/>
          <w:szCs w:val="21"/>
          <w:highlight w:val="none"/>
        </w:rPr>
      </w:pPr>
      <w:r>
        <w:rPr>
          <w:rFonts w:hint="eastAsia" w:ascii="宋体" w:hAnsi="宋体" w:cs="宋体"/>
          <w:color w:val="auto"/>
          <w:kern w:val="0"/>
          <w:szCs w:val="21"/>
          <w:highlight w:val="none"/>
        </w:rPr>
        <w:t>L——第72.2款规定的承包人报价浮动率。</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72.5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3088" behindDoc="0" locked="0" layoutInCell="1" allowOverlap="1">
                <wp:simplePos x="0" y="0"/>
                <wp:positionH relativeFrom="column">
                  <wp:posOffset>-114300</wp:posOffset>
                </wp:positionH>
                <wp:positionV relativeFrom="paragraph">
                  <wp:posOffset>45720</wp:posOffset>
                </wp:positionV>
                <wp:extent cx="914400" cy="39624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1.2pt;width:72pt;z-index:251993088;mso-width-relative:page;mso-height-relative:page;" filled="f" stroked="f" coordsize="21600,21600" o:gfxdata="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lPS031QAAAAgBAAAPAAAAAAAAAAEAIAAAACIAAABkcnMvZG93bnJl&#10;di54bWxQSwECFAAUAAAACACHTuJAGP+ZBQACAADY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删减工作或工程的补偿</w:t>
                      </w:r>
                    </w:p>
                  </w:txbxContent>
                </v:textbox>
              </v:shape>
            </w:pict>
          </mc:Fallback>
        </mc:AlternateContent>
      </w:r>
      <w:r>
        <w:rPr>
          <w:rFonts w:hint="eastAsia" w:ascii="宋体" w:hAnsi="宋体" w:cs="宋体"/>
          <w:color w:val="auto"/>
          <w:kern w:val="0"/>
          <w:szCs w:val="21"/>
          <w:highlight w:val="none"/>
        </w:rPr>
        <w:t>如果因为非承包人原因删减了合同中的某项原定工作或工程，致使承包人发生的费用或(和)得到的收益不能被包括在其他已支付或应支付的项目中，也未被包含在任何替代的工作或工程中，则承包人有权按照本条规定提出并得到补偿。</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240" w:lineRule="exact"/>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73  工程量偏差事件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73.1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7184" behindDoc="0" locked="0" layoutInCell="1" allowOverlap="1">
                <wp:simplePos x="0" y="0"/>
                <wp:positionH relativeFrom="column">
                  <wp:posOffset>-114300</wp:posOffset>
                </wp:positionH>
                <wp:positionV relativeFrom="paragraph">
                  <wp:posOffset>1905</wp:posOffset>
                </wp:positionV>
                <wp:extent cx="1028700" cy="760095"/>
                <wp:effectExtent l="0" t="0" r="0" b="0"/>
                <wp:wrapNone/>
                <wp:docPr id="104" name="文本框 104"/>
                <wp:cNvGraphicFramePr/>
                <a:graphic xmlns:a="http://schemas.openxmlformats.org/drawingml/2006/main">
                  <a:graphicData uri="http://schemas.microsoft.com/office/word/2010/wordprocessingShape">
                    <wps:wsp>
                      <wps:cNvSpPr txBox="1">
                        <a:spLocks noChangeArrowheads="1"/>
                      </wps:cNvSpPr>
                      <wps:spPr bwMode="auto">
                        <a:xfrm>
                          <a:off x="0" y="0"/>
                          <a:ext cx="1028700" cy="76009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59.85pt;width:81pt;z-index:251997184;mso-width-relative:page;mso-height-relative:page;" filled="f" stroked="f" coordsize="21600,21600" o:gfxdata="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ufPVO1AAAAAgBAAAPAAAAAAAAAAEAIAAAACIAAABkcnMvZG93bnJl&#10;di54bWxQSwECFAAUAAAACACHTuJA7uoAcAECAADZAwAADgAAAAAAAAABACAAAAAj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工程量偏差价</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款调整</w:t>
                      </w:r>
                    </w:p>
                  </w:txbxContent>
                </v:textbox>
              </v:shape>
            </w:pict>
          </mc:Fallback>
        </mc:AlternateContent>
      </w:r>
      <w:r>
        <w:rPr>
          <w:rFonts w:hint="eastAsia" w:ascii="宋体" w:hAnsi="宋体" w:cs="宋体"/>
          <w:color w:val="auto"/>
          <w:kern w:val="0"/>
          <w:szCs w:val="21"/>
          <w:highlight w:val="none"/>
        </w:rPr>
        <w:t>工程量偏差是指承包人按照合同签订时的图纸（含经发包人批准由承包人提供的施工设计图纸和履行本合同的相关大样图等）实施、完成合同工程的应予计量的实际工程量与工程量清单开列的工程量之间的偏差。</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合同履行期间，出现工程量偏差，且符合第73.2款、第73.3款规定事件的，合同双方当事人应调整合同价款。调整合同价款时，出现第72.4款情形的，应先按照其规定调整，再按照本条规定调整。</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8208" behindDoc="0" locked="0" layoutInCell="1" allowOverlap="1">
                <wp:simplePos x="0" y="0"/>
                <wp:positionH relativeFrom="column">
                  <wp:posOffset>-114300</wp:posOffset>
                </wp:positionH>
                <wp:positionV relativeFrom="paragraph">
                  <wp:posOffset>26670</wp:posOffset>
                </wp:positionV>
                <wp:extent cx="914400" cy="444500"/>
                <wp:effectExtent l="0" t="0" r="0" b="0"/>
                <wp:wrapNone/>
                <wp:docPr id="103" name="文本框 103"/>
                <wp:cNvGraphicFramePr/>
                <a:graphic xmlns:a="http://schemas.openxmlformats.org/drawingml/2006/main">
                  <a:graphicData uri="http://schemas.microsoft.com/office/word/2010/wordprocessingShape">
                    <wps:wsp>
                      <wps:cNvSpPr txBox="1">
                        <a:spLocks noChangeArrowheads="1"/>
                      </wps:cNvSpPr>
                      <wps:spPr bwMode="auto">
                        <a:xfrm>
                          <a:off x="0" y="0"/>
                          <a:ext cx="914400" cy="444500"/>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35pt;width:72pt;z-index:251998208;mso-width-relative:page;mso-height-relative:page;" filled="f" stroked="f" coordsize="21600,21600" o:gfxdata="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Uiq+t1QAAAAgBAAAPAAAAAAAAAAEAIAAAACIAAABkcnMvZG93bnJldi54&#10;bWxQSwECFAAUAAAACACHTuJAVL5t8v0BAADYAwAADgAAAAAAAAABACAAAAAkAQAAZHJzL2Uyb0Rv&#10;Yy54bWxQSwUGAAAAAAYABgBZAQAAkw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调整分部分项工程费的方法</w:t>
                      </w:r>
                    </w:p>
                  </w:txbxContent>
                </v:textbox>
              </v:shape>
            </w:pict>
          </mc:Fallback>
        </mc:AlternateContent>
      </w:r>
      <w:r>
        <w:rPr>
          <w:rFonts w:hint="eastAsia" w:ascii="宋体" w:hAnsi="宋体" w:cs="宋体"/>
          <w:color w:val="auto"/>
          <w:kern w:val="0"/>
          <w:szCs w:val="21"/>
          <w:highlight w:val="none"/>
        </w:rPr>
        <w:t>对于某一分部分项工程项目，如果因本条规定工程量偏差和第56条规定工程变更等原因导致工程量偏差超过10%，且该变化使其分部分项工程费变化超过0.1%，则超过10%部分的综合单价应予调整。除专用条款另有约定外，应按照下列规定调整该分部分项工程费结算价：</w:t>
      </w:r>
    </w:p>
    <w:p>
      <w:pPr>
        <w:adjustRightInd w:val="0"/>
        <w:snapToGrid w:val="0"/>
        <w:spacing w:line="360" w:lineRule="auto"/>
        <w:ind w:left="2062" w:leftChars="707" w:hanging="577" w:hangingChars="275"/>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left="1982" w:leftChars="694" w:hanging="525" w:hangingChars="250"/>
        <w:rPr>
          <w:rFonts w:ascii="宋体" w:hAnsi="宋体" w:cs="宋体"/>
          <w:iCs/>
          <w:color w:val="auto"/>
          <w:kern w:val="0"/>
          <w:szCs w:val="21"/>
          <w:highlight w:val="none"/>
          <w:vertAlign w:val="subscript"/>
        </w:rPr>
      </w:pPr>
      <w:r>
        <w:rPr>
          <w:rFonts w:hint="eastAsia" w:ascii="宋体" w:hAnsi="宋体" w:cs="宋体"/>
          <w:color w:val="auto"/>
          <w:kern w:val="0"/>
          <w:szCs w:val="21"/>
          <w:highlight w:val="none"/>
        </w:rPr>
        <w:t>（2）当</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时，S</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0.9</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-（0.9Q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S——</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最终完成的工程量；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Q</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工程量清单中开列的工程量；</w:t>
      </w:r>
    </w:p>
    <w:p>
      <w:pPr>
        <w:adjustRightInd w:val="0"/>
        <w:snapToGrid w:val="0"/>
        <w:spacing w:line="360" w:lineRule="auto"/>
        <w:ind w:firstLine="1890" w:firstLineChars="900"/>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按照最终完成工程量重新调整后的综合单价；</w:t>
      </w:r>
    </w:p>
    <w:p>
      <w:pPr>
        <w:adjustRightInd w:val="0"/>
        <w:snapToGrid w:val="0"/>
        <w:spacing w:line="360" w:lineRule="auto"/>
        <w:ind w:firstLine="1890" w:firstLineChars="900"/>
        <w:rPr>
          <w:rFonts w:ascii="宋体" w:hAnsi="宋体" w:cs="宋体"/>
          <w:b/>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承包人在工程量清单中填报的综合单价。</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73.3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99232" behindDoc="0" locked="0" layoutInCell="1" allowOverlap="1">
                <wp:simplePos x="0" y="0"/>
                <wp:positionH relativeFrom="column">
                  <wp:posOffset>-114300</wp:posOffset>
                </wp:positionH>
                <wp:positionV relativeFrom="paragraph">
                  <wp:posOffset>51435</wp:posOffset>
                </wp:positionV>
                <wp:extent cx="914400" cy="505460"/>
                <wp:effectExtent l="0" t="0" r="0" b="0"/>
                <wp:wrapNone/>
                <wp:docPr id="102" name="文本框 102"/>
                <wp:cNvGraphicFramePr/>
                <a:graphic xmlns:a="http://schemas.openxmlformats.org/drawingml/2006/main">
                  <a:graphicData uri="http://schemas.microsoft.com/office/word/2010/wordprocessingShape">
                    <wps:wsp>
                      <wps:cNvSpPr txBox="1">
                        <a:spLocks noChangeArrowheads="1"/>
                      </wps:cNvSpPr>
                      <wps:spPr bwMode="auto">
                        <a:xfrm>
                          <a:off x="0" y="0"/>
                          <a:ext cx="914400" cy="5054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05pt;height:39.8pt;width:72pt;z-index:251999232;mso-width-relative:page;mso-height-relative:page;" filled="f" stroked="f" coordsize="21600,21600" o:gfxdata="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UWMptQAAAAIAQAADwAAAAAAAAABACAAAAAiAAAAZHJzL2Rvd25yZXYu&#10;eG1sUEsBAhQAFAAAAAgAh07iQBS1LZz/AQAA2AMAAA4AAAAAAAAAAQAgAAAAIw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调整措施项目费的方法</w:t>
                      </w:r>
                    </w:p>
                  </w:txbxContent>
                </v:textbox>
              </v:shape>
            </w:pict>
          </mc:Fallback>
        </mc:AlternateContent>
      </w:r>
      <w:r>
        <w:rPr>
          <w:rFonts w:hint="eastAsia" w:ascii="宋体" w:hAnsi="宋体" w:cs="宋体"/>
          <w:color w:val="auto"/>
          <w:kern w:val="0"/>
          <w:szCs w:val="21"/>
          <w:highlight w:val="none"/>
        </w:rPr>
        <w:t>如果因本条规定工程量偏差使某一分部分项工程费的变化超过10%，且该变化引起措施项目相应发生变化，则发生变化部分的措施项目费应按照第72.3款规定调整。除专用条款另有约定外，应按照下列规定调整发生变化的措施项目费结算价：</w:t>
      </w:r>
    </w:p>
    <w:p>
      <w:pPr>
        <w:tabs>
          <w:tab w:val="left" w:pos="900"/>
        </w:tabs>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（1）当</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1.1</w:t>
      </w: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left="2165" w:leftChars="781" w:hanging="525" w:hangingChars="250"/>
        <w:rPr>
          <w:rFonts w:ascii="宋体" w:hAnsi="宋体" w:cs="宋体"/>
          <w:iCs/>
          <w:color w:val="auto"/>
          <w:kern w:val="0"/>
          <w:szCs w:val="21"/>
          <w:highlight w:val="none"/>
        </w:rPr>
      </w:pPr>
      <w:r>
        <w:rPr>
          <w:rFonts w:hint="eastAsia" w:ascii="宋体" w:hAnsi="宋体" w:cs="宋体"/>
          <w:color w:val="auto"/>
          <w:kern w:val="0"/>
          <w:szCs w:val="21"/>
          <w:highlight w:val="none"/>
        </w:rPr>
        <w:t>（2）当S</w:t>
      </w:r>
      <w:r>
        <w:rPr>
          <w:rFonts w:hint="eastAsia" w:ascii="宋体" w:hAnsi="宋体" w:cs="宋体"/>
          <w:color w:val="auto"/>
          <w:kern w:val="0"/>
          <w:szCs w:val="21"/>
          <w:highlight w:val="none"/>
          <w:vertAlign w:val="subscript"/>
        </w:rPr>
        <w:t>1</w:t>
      </w:r>
      <w:r>
        <w:rPr>
          <w:rFonts w:hint="eastAsia" w:ascii="宋体" w:hAnsi="宋体" w:cs="宋体"/>
          <w:color w:val="auto"/>
          <w:kern w:val="0"/>
          <w:szCs w:val="21"/>
          <w:highlight w:val="none"/>
        </w:rPr>
        <w:t>﹤0.9S</w:t>
      </w:r>
      <w:r>
        <w:rPr>
          <w:rFonts w:hint="eastAsia" w:ascii="宋体" w:hAnsi="宋体" w:cs="宋体"/>
          <w:color w:val="auto"/>
          <w:kern w:val="0"/>
          <w:szCs w:val="21"/>
          <w:highlight w:val="none"/>
          <w:vertAlign w:val="subscript"/>
        </w:rPr>
        <w:t>0</w:t>
      </w:r>
      <w:r>
        <w:rPr>
          <w:rFonts w:hint="eastAsia" w:ascii="宋体" w:hAnsi="宋体" w:cs="宋体"/>
          <w:color w:val="auto"/>
          <w:kern w:val="0"/>
          <w:szCs w:val="21"/>
          <w:highlight w:val="none"/>
        </w:rPr>
        <w:t>时，</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–△M</w:t>
      </w:r>
    </w:p>
    <w:p>
      <w:pPr>
        <w:adjustRightInd w:val="0"/>
        <w:snapToGrid w:val="0"/>
        <w:spacing w:line="360" w:lineRule="auto"/>
        <w:ind w:firstLine="1575" w:firstLineChars="750"/>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调整后的发生变化措施项目费结算价；</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承包人在工程量清单中填报的措施项目费；</w:t>
      </w:r>
    </w:p>
    <w:p>
      <w:pPr>
        <w:adjustRightInd w:val="0"/>
        <w:snapToGrid w:val="0"/>
        <w:spacing w:line="360" w:lineRule="auto"/>
        <w:ind w:left="960" w:leftChars="457" w:firstLine="1155" w:firstLineChars="550"/>
        <w:rPr>
          <w:rFonts w:ascii="宋体" w:hAnsi="宋体" w:cs="宋体"/>
          <w:color w:val="auto"/>
          <w:kern w:val="0"/>
          <w:szCs w:val="21"/>
          <w:highlight w:val="none"/>
        </w:rPr>
      </w:pPr>
      <w:r>
        <w:rPr>
          <w:rFonts w:hint="eastAsia" w:ascii="MS Mincho" w:hAnsi="MS Mincho" w:eastAsia="MS Mincho" w:cs="MS Mincho"/>
          <w:iCs/>
          <w:color w:val="auto"/>
          <w:kern w:val="0"/>
          <w:szCs w:val="21"/>
          <w:highlight w:val="none"/>
        </w:rPr>
        <w:t>∆</w:t>
      </w:r>
      <w:r>
        <w:rPr>
          <w:rFonts w:hint="eastAsia" w:ascii="宋体" w:hAnsi="宋体" w:cs="宋体"/>
          <w:iCs/>
          <w:color w:val="auto"/>
          <w:kern w:val="0"/>
          <w:szCs w:val="21"/>
          <w:highlight w:val="none"/>
        </w:rPr>
        <w:t>M——</w:t>
      </w:r>
      <w:r>
        <w:rPr>
          <w:rFonts w:hint="eastAsia" w:ascii="宋体" w:hAnsi="宋体" w:cs="宋体"/>
          <w:color w:val="auto"/>
          <w:kern w:val="0"/>
          <w:szCs w:val="21"/>
          <w:highlight w:val="none"/>
        </w:rPr>
        <w:t>按照第72.3款规定调整的发生变化部分的措施项目费；</w:t>
      </w:r>
    </w:p>
    <w:p>
      <w:pPr>
        <w:adjustRightInd w:val="0"/>
        <w:snapToGrid w:val="0"/>
        <w:spacing w:line="360" w:lineRule="auto"/>
        <w:ind w:firstLine="1995" w:firstLineChars="950"/>
        <w:rPr>
          <w:rFonts w:ascii="宋体" w:hAnsi="宋体" w:cs="宋体"/>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1</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调整后的某一分部分项工程费结算价；</w:t>
      </w:r>
    </w:p>
    <w:p>
      <w:pPr>
        <w:adjustRightInd w:val="0"/>
        <w:snapToGrid w:val="0"/>
        <w:spacing w:line="360" w:lineRule="auto"/>
        <w:ind w:firstLine="1995" w:firstLineChars="950"/>
        <w:rPr>
          <w:rFonts w:ascii="宋体" w:hAnsi="宋体" w:cs="宋体"/>
          <w:iCs/>
          <w:color w:val="auto"/>
          <w:kern w:val="0"/>
          <w:szCs w:val="21"/>
          <w:highlight w:val="none"/>
        </w:rPr>
      </w:pPr>
      <w:r>
        <w:rPr>
          <w:rFonts w:hint="eastAsia" w:ascii="宋体" w:hAnsi="宋体" w:cs="宋体"/>
          <w:iCs/>
          <w:color w:val="auto"/>
          <w:kern w:val="0"/>
          <w:szCs w:val="21"/>
          <w:highlight w:val="none"/>
        </w:rPr>
        <w:t>S</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承包人报价文件对应的某一分部分项工程费。</w:t>
      </w:r>
    </w:p>
    <w:p>
      <w:pPr>
        <w:tabs>
          <w:tab w:val="left" w:pos="1620"/>
        </w:tabs>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tabs>
          <w:tab w:val="left" w:pos="540"/>
        </w:tabs>
        <w:adjustRightInd w:val="0"/>
        <w:snapToGrid w:val="0"/>
        <w:spacing w:beforeLines="100" w:line="240" w:lineRule="exact"/>
        <w:ind w:right="-238" w:firstLine="601"/>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74  费用索赔事件</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2000"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1" name="文本框 10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32000;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8HDVAAAACAEAAA8AAAAAAAAAAQAgAAAAIgAAAGRycy9kb3ducmV2&#10;LnhtbFBLAQIUABQAAAAIAIdO4kAIgUYX/wEAANg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索赔的价款调整</w:t>
                      </w:r>
                    </w:p>
                  </w:txbxContent>
                </v:textbox>
              </v:shape>
            </w:pict>
          </mc:Fallback>
        </mc:AlternateContent>
      </w:r>
      <w:r>
        <w:rPr>
          <w:rFonts w:hint="eastAsia" w:ascii="宋体" w:hAnsi="宋体" w:cs="宋体"/>
          <w:color w:val="auto"/>
          <w:kern w:val="0"/>
          <w:szCs w:val="21"/>
          <w:highlight w:val="none"/>
        </w:rPr>
        <w:t>费用索赔是指合同履行期间，对于非自己过错而应由对方当事人承担责任的情况造成的损失，向对方当事人提出经济补偿要求的行为。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合同履行期间，出现费用索赔事件的，合同双方当事人应调整合同价款。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74.2  </w:t>
      </w:r>
      <w:r>
        <w:rPr>
          <w:rFonts w:hint="eastAsia" w:ascii="宋体" w:hAnsi="宋体" w:cs="宋体"/>
          <w:b/>
          <w:color w:val="auto"/>
          <w:kern w:val="0"/>
          <w:szCs w:val="21"/>
          <w:highlight w:val="none"/>
          <w:u w:val="dotted"/>
        </w:rPr>
        <w:t xml:space="preserve">                                                                                      </w:t>
      </w:r>
      <w:r>
        <w:rPr>
          <w:rFonts w:hint="eastAsia" w:ascii="宋体" w:hAnsi="宋体" w:cs="宋体"/>
          <w:b/>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025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00" name="文本框 10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200025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Ixe8RP+AQAA2A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发出索赔意向书</w:t>
                      </w:r>
                    </w:p>
                  </w:txbxContent>
                </v:textbox>
              </v:shape>
            </w:pict>
          </mc:Fallback>
        </mc:AlternateContent>
      </w:r>
      <w:r>
        <w:rPr>
          <w:rFonts w:hint="eastAsia" w:ascii="宋体" w:hAnsi="宋体" w:cs="宋体"/>
          <w:color w:val="auto"/>
          <w:kern w:val="0"/>
          <w:szCs w:val="21"/>
          <w:highlight w:val="none"/>
        </w:rPr>
        <w:t>如果承包人根据合同约定提出任何费用或其它形式的损失索赔时，应在该索赔事件首次发生之后的14天内向造价工程师发出索赔意向书，并抄送发包人。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1280" behindDoc="0" locked="0" layoutInCell="1" allowOverlap="1">
                <wp:simplePos x="0" y="0"/>
                <wp:positionH relativeFrom="column">
                  <wp:posOffset>-114300</wp:posOffset>
                </wp:positionH>
                <wp:positionV relativeFrom="paragraph">
                  <wp:posOffset>635</wp:posOffset>
                </wp:positionV>
                <wp:extent cx="914400" cy="522605"/>
                <wp:effectExtent l="0" t="0" r="0" b="0"/>
                <wp:wrapNone/>
                <wp:docPr id="99" name="文本框 99"/>
                <wp:cNvGraphicFramePr/>
                <a:graphic xmlns:a="http://schemas.openxmlformats.org/drawingml/2006/main">
                  <a:graphicData uri="http://schemas.microsoft.com/office/word/2010/wordprocessingShape">
                    <wps:wsp>
                      <wps:cNvSpPr txBox="1">
                        <a:spLocks noChangeArrowheads="1"/>
                      </wps:cNvSpPr>
                      <wps:spPr bwMode="auto">
                        <a:xfrm>
                          <a:off x="0" y="0"/>
                          <a:ext cx="914400" cy="52260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41.15pt;width:72pt;z-index:252001280;mso-width-relative:page;mso-height-relative:page;" filled="f" stroked="f" coordsize="21600,21600" o:gfxdata="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3TZAp0wAAAAcBAAAPAAAAAAAAAAEAIAAAACIAAABkcnMvZG93bnJldi54&#10;bWxQSwECFAAUAAAACACHTuJAc8Eb+v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索赔记录的保存和审查</w:t>
                      </w:r>
                    </w:p>
                  </w:txbxContent>
                </v:textbox>
              </v:shape>
            </w:pict>
          </mc:Fallback>
        </mc:AlternateContent>
      </w:r>
      <w:r>
        <w:rPr>
          <w:rFonts w:hint="eastAsia" w:ascii="宋体" w:hAnsi="宋体" w:cs="宋体"/>
          <w:color w:val="auto"/>
          <w:kern w:val="0"/>
          <w:szCs w:val="21"/>
          <w:highlight w:val="none"/>
        </w:rPr>
        <w:t>在索赔事件发生时，承包人应保存当时的记录，作为申请索赔的凭证。造价工程师在接到索赔意向书时，无需确认是否属于发包人责任，应先审查记录并可要求承包人进一步作好补充记录。承包人应配合造价工程师审查其记录，在造价工程师有要求时，应当向造价工程师提供记录的复印件。</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74.4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2304" behindDoc="0" locked="0" layoutInCell="1" allowOverlap="1">
                <wp:simplePos x="0" y="0"/>
                <wp:positionH relativeFrom="column">
                  <wp:posOffset>-114300</wp:posOffset>
                </wp:positionH>
                <wp:positionV relativeFrom="paragraph">
                  <wp:posOffset>5080</wp:posOffset>
                </wp:positionV>
                <wp:extent cx="1028700" cy="480060"/>
                <wp:effectExtent l="0" t="0" r="0" b="0"/>
                <wp:wrapNone/>
                <wp:docPr id="98" name="文本框 98"/>
                <wp:cNvGraphicFramePr/>
                <a:graphic xmlns:a="http://schemas.openxmlformats.org/drawingml/2006/main">
                  <a:graphicData uri="http://schemas.microsoft.com/office/word/2010/wordprocessingShape">
                    <wps:wsp>
                      <wps:cNvSpPr txBox="1">
                        <a:spLocks noChangeArrowheads="1"/>
                      </wps:cNvSpPr>
                      <wps:spPr bwMode="auto">
                        <a:xfrm>
                          <a:off x="0" y="0"/>
                          <a:ext cx="10287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37.8pt;width:81pt;z-index:252002304;mso-width-relative:page;mso-height-relative:page;" filled="f" stroked="f" coordsize="21600,21600" o:gfxdata="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GayXNMAAAAHAQAADwAAAAAAAAABACAAAAAiAAAAZHJzL2Rvd25yZXYu&#10;eG1sUEsBAhQAFAAAAAgAh07iQCcZaVYAAgAA1wMAAA4AAAAAAAAAAQAgAAAAIg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提交费用索赔</w:t>
                      </w:r>
                    </w:p>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报告</w:t>
                      </w:r>
                    </w:p>
                  </w:txbxContent>
                </v:textbox>
              </v:shape>
            </w:pict>
          </mc:Fallback>
        </mc:AlternateContent>
      </w:r>
      <w:r>
        <w:rPr>
          <w:rFonts w:hint="eastAsia" w:ascii="宋体" w:hAnsi="宋体" w:cs="宋体"/>
          <w:color w:val="auto"/>
          <w:kern w:val="0"/>
          <w:szCs w:val="21"/>
          <w:highlight w:val="none"/>
        </w:rPr>
        <w:t>在发出索赔意向书后的14天内，承包人应向造价工程师提交费用索赔报告和有关资料。如果索赔事件持续进行，承包人应每隔7天向造价工程师发出索赔意向书，在索赔事件终结后的14天内，提交最终费用索赔报告和有关资料。</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3328" behindDoc="0" locked="0" layoutInCell="1" allowOverlap="1">
                <wp:simplePos x="0" y="0"/>
                <wp:positionH relativeFrom="column">
                  <wp:posOffset>-114300</wp:posOffset>
                </wp:positionH>
                <wp:positionV relativeFrom="paragraph">
                  <wp:posOffset>250825</wp:posOffset>
                </wp:positionV>
                <wp:extent cx="800100" cy="324485"/>
                <wp:effectExtent l="0" t="0" r="0" b="0"/>
                <wp:wrapNone/>
                <wp:docPr id="97" name="文本框 97"/>
                <wp:cNvGraphicFramePr/>
                <a:graphic xmlns:a="http://schemas.openxmlformats.org/drawingml/2006/main">
                  <a:graphicData uri="http://schemas.microsoft.com/office/word/2010/wordprocessingShape">
                    <wps:wsp>
                      <wps:cNvSpPr txBox="1">
                        <a:spLocks noChangeArrowheads="1"/>
                      </wps:cNvSpPr>
                      <wps:spPr bwMode="auto">
                        <a:xfrm>
                          <a:off x="0" y="0"/>
                          <a:ext cx="800100" cy="3244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9.75pt;height:25.55pt;width:63pt;z-index:252003328;mso-width-relative:page;mso-height-relative:page;" filled="f" stroked="f" coordsize="21600,21600" o:gfxdata="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XDV2otYAAAAJAQAADwAAAAAAAAABACAAAAAiAAAAZHJzL2Rvd25y&#10;ZXYueG1sUEsBAhQAFAAAAAgAh07iQA6bd6gAAgAA1gMAAA4AAAAAAAAAAQAgAAAAJQ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无权索赔</w:t>
                      </w:r>
                    </w:p>
                  </w:txbxContent>
                </v:textbox>
              </v:shape>
            </w:pict>
          </mc:Fallback>
        </mc:AlternateContent>
      </w:r>
      <w:r>
        <w:rPr>
          <w:rFonts w:hint="eastAsia" w:ascii="宋体" w:hAnsi="宋体" w:cs="宋体"/>
          <w:b/>
          <w:color w:val="auto"/>
          <w:kern w:val="0"/>
          <w:szCs w:val="21"/>
          <w:highlight w:val="none"/>
        </w:rPr>
        <w:t xml:space="preserve">74.5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如果承包人提出的索赔未能遵守第74.2款至第74.4款规定，则承包人无权获得索赔或只限于获得由造价工程师按照提供记录予以核实的部分款额。</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4352" behindDoc="0" locked="0" layoutInCell="1" allowOverlap="1">
                <wp:simplePos x="0" y="0"/>
                <wp:positionH relativeFrom="column">
                  <wp:posOffset>-114300</wp:posOffset>
                </wp:positionH>
                <wp:positionV relativeFrom="paragraph">
                  <wp:posOffset>8255</wp:posOffset>
                </wp:positionV>
                <wp:extent cx="914400" cy="438785"/>
                <wp:effectExtent l="0" t="0" r="0" b="0"/>
                <wp:wrapNone/>
                <wp:docPr id="96" name="文本框 96"/>
                <wp:cNvGraphicFramePr/>
                <a:graphic xmlns:a="http://schemas.openxmlformats.org/drawingml/2006/main">
                  <a:graphicData uri="http://schemas.microsoft.com/office/word/2010/wordprocessingShape">
                    <wps:wsp>
                      <wps:cNvSpPr txBox="1">
                        <a:spLocks noChangeArrowheads="1"/>
                      </wps:cNvSpPr>
                      <wps:spPr bwMode="auto">
                        <a:xfrm>
                          <a:off x="0" y="0"/>
                          <a:ext cx="914400" cy="4387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4.55pt;width:72pt;z-index:252004352;mso-width-relative:page;mso-height-relative:page;" filled="f" stroked="f" coordsize="21600,21600" o:gfxdata="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r/00F1QAAAAgBAAAPAAAAAAAAAAEAIAAAACIAAABkcnMvZG93bnJl&#10;di54bWxQSwECFAAUAAAACACHTuJANz+/0gACAADWAwAADgAAAAAAAAABACAAAAAk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核实费用索赔报告的限制</w:t>
                      </w:r>
                    </w:p>
                  </w:txbxContent>
                </v:textbox>
              </v:shape>
            </w:pict>
          </mc:Fallback>
        </mc:AlternateContent>
      </w:r>
      <w:r>
        <w:rPr>
          <w:rFonts w:hint="eastAsia" w:ascii="宋体" w:hAnsi="宋体" w:cs="宋体"/>
          <w:color w:val="auto"/>
          <w:kern w:val="0"/>
          <w:szCs w:val="21"/>
          <w:highlight w:val="none"/>
        </w:rPr>
        <w:t>造价工程师应在收到承包人提交的费用索赔报告和有关资料后的28天内予以核实或要求承包人进一步补充索赔理由和证据，并与合同双方当事人协商确定承包人有权获得的全部或部分的索赔款额；协商不能达成一致的，由造价工程师暂定，通知承包人并抄报发包人。如果造价工程师在规定期限内未予答复也未对承包人作出进一步要求，视为该费用索赔报告已经被认可。</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5376" behindDoc="0" locked="0" layoutInCell="1" allowOverlap="1">
                <wp:simplePos x="0" y="0"/>
                <wp:positionH relativeFrom="column">
                  <wp:posOffset>-114300</wp:posOffset>
                </wp:positionH>
                <wp:positionV relativeFrom="paragraph">
                  <wp:posOffset>38735</wp:posOffset>
                </wp:positionV>
                <wp:extent cx="800100" cy="349885"/>
                <wp:effectExtent l="0" t="0" r="0" b="0"/>
                <wp:wrapNone/>
                <wp:docPr id="95" name="文本框 95"/>
                <wp:cNvGraphicFramePr/>
                <a:graphic xmlns:a="http://schemas.openxmlformats.org/drawingml/2006/main">
                  <a:graphicData uri="http://schemas.microsoft.com/office/word/2010/wordprocessingShape">
                    <wps:wsp>
                      <wps:cNvSpPr txBox="1">
                        <a:spLocks noChangeArrowheads="1"/>
                      </wps:cNvSpPr>
                      <wps:spPr bwMode="auto">
                        <a:xfrm>
                          <a:off x="0" y="0"/>
                          <a:ext cx="800100" cy="3498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27.55pt;width:63pt;z-index:252005376;mso-width-relative:page;mso-height-relative:page;" filled="f" stroked="f" coordsize="21600,21600" o:gfxdata="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rekmnTAAAACAEAAA8AAAAAAAAAAQAgAAAAIgAAAGRycy9kb3ducmV2&#10;LnhtbFBLAQIUABQAAAAIAIdO4kDhnVs6AQIAANYDAAAOAAAAAAAAAAEAIAAAACI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反索赔</w:t>
                      </w:r>
                    </w:p>
                  </w:txbxContent>
                </v:textbox>
              </v:shape>
            </w:pict>
          </mc:Fallback>
        </mc:AlternateContent>
      </w:r>
      <w:r>
        <w:rPr>
          <w:rFonts w:hint="eastAsia" w:ascii="宋体" w:hAnsi="宋体" w:cs="宋体"/>
          <w:color w:val="auto"/>
          <w:kern w:val="0"/>
          <w:szCs w:val="21"/>
          <w:highlight w:val="none"/>
        </w:rPr>
        <w:t>承包人未能按照合同约定履行各项义务或发生错误，给发包人造成损失，发包人可按照本条规定的时限和要求向承包人提出索赔。</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74.8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6400" behindDoc="0" locked="0" layoutInCell="1" allowOverlap="1">
                <wp:simplePos x="0" y="0"/>
                <wp:positionH relativeFrom="column">
                  <wp:posOffset>-114300</wp:posOffset>
                </wp:positionH>
                <wp:positionV relativeFrom="paragraph">
                  <wp:posOffset>18415</wp:posOffset>
                </wp:positionV>
                <wp:extent cx="914400" cy="622300"/>
                <wp:effectExtent l="0" t="0" r="0" b="0"/>
                <wp:wrapNone/>
                <wp:docPr id="94" name="文本框 94"/>
                <wp:cNvGraphicFramePr/>
                <a:graphic xmlns:a="http://schemas.openxmlformats.org/drawingml/2006/main">
                  <a:graphicData uri="http://schemas.microsoft.com/office/word/2010/wordprocessingShape">
                    <wps:wsp>
                      <wps:cNvSpPr txBox="1">
                        <a:spLocks noChangeArrowheads="1"/>
                      </wps:cNvSpPr>
                      <wps:spPr bwMode="auto">
                        <a:xfrm>
                          <a:off x="0" y="0"/>
                          <a:ext cx="914400" cy="622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9pt;width:72pt;z-index:252006400;mso-width-relative:page;mso-height-relative:page;" filled="f" stroked="f" coordsize="21600,21600" o:gfxdata="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666a9YAAAAJAQAADwAAAAAAAAABACAAAAAiAAAAZHJzL2Rvd25yZXYu&#10;eG1sUEsBAhQAFAAAAAgAh07iQAAscPf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txbxContent>
                </v:textbox>
              </v:shape>
            </w:pict>
          </mc:Fallback>
        </mc:AlternateContent>
      </w:r>
      <w:r>
        <w:rPr>
          <w:rFonts w:hint="eastAsia" w:ascii="宋体" w:hAnsi="宋体" w:cs="宋体"/>
          <w:color w:val="auto"/>
          <w:kern w:val="0"/>
          <w:szCs w:val="21"/>
          <w:highlight w:val="none"/>
        </w:rPr>
        <w:t>费用索赔报告被认可，则表明该事件已索赔成功，合同双方当事人应确认由此引起调整的合同价款，并作为追加（减）合同价款，与工程进度款或结算款同期支付。</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75  现场签证事件</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2544"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3" name="文本框 93"/>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12544;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5hHLP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现场签证的价款调整</w:t>
                      </w:r>
                    </w:p>
                    <w:p>
                      <w:pPr>
                        <w:rPr>
                          <w:szCs w:val="18"/>
                        </w:rPr>
                      </w:pPr>
                    </w:p>
                  </w:txbxContent>
                </v:textbox>
              </v:shape>
            </w:pict>
          </mc:Fallback>
        </mc:AlternateContent>
      </w:r>
      <w:r>
        <w:rPr>
          <w:rFonts w:hint="eastAsia" w:ascii="宋体" w:hAnsi="宋体" w:cs="宋体"/>
          <w:color w:val="auto"/>
          <w:kern w:val="0"/>
          <w:szCs w:val="21"/>
          <w:highlight w:val="none"/>
        </w:rPr>
        <w:t>现场签证是指合同双方当事人就施工过程中涉及的责任事件所作的签认证明。</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合同履行期间，出现现场签证事件的，合同双方当事人应调整合同价款。</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75.2  </w:t>
      </w:r>
      <w:r>
        <w:rPr>
          <w:rFonts w:hint="eastAsia" w:ascii="宋体" w:hAnsi="宋体" w:cs="宋体"/>
          <w:b/>
          <w:color w:val="auto"/>
          <w:kern w:val="0"/>
          <w:szCs w:val="21"/>
          <w:highlight w:val="none"/>
          <w:u w:val="dotted"/>
        </w:rPr>
        <w:t xml:space="preserve">                                                                          </w:t>
      </w:r>
    </w:p>
    <w:p>
      <w:pPr>
        <w:adjustRightInd w:val="0"/>
        <w:snapToGrid w:val="0"/>
        <w:spacing w:line="360" w:lineRule="auto"/>
        <w:ind w:left="1617" w:leftChars="770" w:firstLine="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7424" behindDoc="0" locked="0" layoutInCell="1" allowOverlap="1">
                <wp:simplePos x="0" y="0"/>
                <wp:positionH relativeFrom="column">
                  <wp:posOffset>-114300</wp:posOffset>
                </wp:positionH>
                <wp:positionV relativeFrom="paragraph">
                  <wp:posOffset>18415</wp:posOffset>
                </wp:positionV>
                <wp:extent cx="914400" cy="510540"/>
                <wp:effectExtent l="0" t="0" r="0" b="0"/>
                <wp:wrapNone/>
                <wp:docPr id="92" name="文本框 92"/>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5pt;height:40.2pt;width:72pt;z-index:252007424;mso-width-relative:page;mso-height-relative:page;" filled="f" stroked="f" coordsize="21600,21600" o:gfxdata="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GXnnfVAAAACAEAAA8AAAAAAAAAAQAgAAAAIgAAAGRycy9kb3ducmV2&#10;LnhtbFBLAQIUABQAAAAIAIdO4kDIEcNS/wEAANYDAAAOAAAAAAAAAAEAIAAAACQ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现场签证的提出</w:t>
                      </w:r>
                    </w:p>
                    <w:p>
                      <w:pPr>
                        <w:rPr>
                          <w:szCs w:val="18"/>
                        </w:rPr>
                      </w:pPr>
                    </w:p>
                  </w:txbxContent>
                </v:textbox>
              </v:shape>
            </w:pict>
          </mc:Fallback>
        </mc:AlternateContent>
      </w:r>
      <w:r>
        <w:rPr>
          <w:rFonts w:hint="eastAsia" w:ascii="宋体" w:hAnsi="宋体" w:cs="宋体"/>
          <w:color w:val="auto"/>
          <w:kern w:val="0"/>
          <w:szCs w:val="21"/>
          <w:highlight w:val="none"/>
        </w:rPr>
        <w:t>承包人应发包人要求完成合同以外的零星项目、非承包人责任事件等工作的，发包人应通知监理工程师及时以书面形式向承包人发出工作指令，提供所需的相关资料；承包人在收到监理工程师书面通知后，应及时向发包人提出现场签证要求。</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8448" behindDoc="0" locked="0" layoutInCell="1" allowOverlap="1">
                <wp:simplePos x="0" y="0"/>
                <wp:positionH relativeFrom="column">
                  <wp:posOffset>-114300</wp:posOffset>
                </wp:positionH>
                <wp:positionV relativeFrom="paragraph">
                  <wp:posOffset>5080</wp:posOffset>
                </wp:positionV>
                <wp:extent cx="914400" cy="510540"/>
                <wp:effectExtent l="0" t="0" r="0" b="0"/>
                <wp:wrapNone/>
                <wp:docPr id="91" name="文本框 91"/>
                <wp:cNvGraphicFramePr/>
                <a:graphic xmlns:a="http://schemas.openxmlformats.org/drawingml/2006/main">
                  <a:graphicData uri="http://schemas.microsoft.com/office/word/2010/wordprocessingShape">
                    <wps:wsp>
                      <wps:cNvSpPr txBox="1">
                        <a:spLocks noChangeArrowheads="1"/>
                      </wps:cNvSpPr>
                      <wps:spPr bwMode="auto">
                        <a:xfrm>
                          <a:off x="0" y="0"/>
                          <a:ext cx="914400" cy="51054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pt;height:40.2pt;width:72pt;z-index:252008448;mso-width-relative:page;mso-height-relative:page;" filled="f" stroked="f" coordsize="21600,21600" o:gfxdata="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VbjX+0wAAAAcBAAAPAAAAAAAAAAEAIAAAACIAAABkcnMvZG93bnJldi54&#10;bWxQSwECFAAUAAAACACHTuJAnYpO0f8BAADWAwAADgAAAAAAAAABACAAAAAiAQAAZHJzL2Uyb0Rv&#10;Yy54bWxQSwUGAAAAAAYABgBZAQAAkw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现场签证报告的确认</w:t>
                      </w:r>
                    </w:p>
                    <w:p>
                      <w:pPr>
                        <w:rPr>
                          <w:szCs w:val="18"/>
                        </w:rPr>
                      </w:pPr>
                    </w:p>
                  </w:txbxContent>
                </v:textbox>
              </v:shape>
            </w:pict>
          </mc:Fallback>
        </mc:AlternateContent>
      </w:r>
      <w:r>
        <w:rPr>
          <w:rFonts w:hint="eastAsia" w:ascii="宋体" w:hAnsi="宋体" w:cs="宋体"/>
          <w:color w:val="auto"/>
          <w:kern w:val="0"/>
          <w:szCs w:val="21"/>
          <w:highlight w:val="none"/>
        </w:rPr>
        <w:t>除专用条款另有约定外，承包人应在收到监理工程师书面通知后的7天内，向发包人提交现场签证报告，并抄送监理工程师、造价工程师。发包人在收到承包人的现场签证报告后，应通知监理工程师、造价工程师对报告内容予以核实，并在收到现场签证报告后的48小时内予以确认或提出修改意见。发包人在收到承包人现场签证报告后的48小时内未确认也未提出修改意见的，视为承包人提交的现场签证报告已被认可。</w:t>
      </w:r>
    </w:p>
    <w:p>
      <w:pPr>
        <w:adjustRightInd w:val="0"/>
        <w:snapToGrid w:val="0"/>
        <w:spacing w:line="36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09472" behindDoc="0" locked="0" layoutInCell="1" allowOverlap="1">
                <wp:simplePos x="0" y="0"/>
                <wp:positionH relativeFrom="column">
                  <wp:posOffset>-114300</wp:posOffset>
                </wp:positionH>
                <wp:positionV relativeFrom="paragraph">
                  <wp:posOffset>34290</wp:posOffset>
                </wp:positionV>
                <wp:extent cx="914400" cy="480060"/>
                <wp:effectExtent l="0" t="0" r="0" b="0"/>
                <wp:wrapNone/>
                <wp:docPr id="90" name="文本框 90"/>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7.8pt;width:72pt;z-index:252009472;mso-width-relative:page;mso-height-relative:page;" filled="f" stroked="f" coordsize="21600,21600" o:gfxdata="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zO099UAAAAIAQAADwAAAAAAAAABACAAAAAiAAAAZHJzL2Rvd25yZXYu&#10;eG1sUEsBAhQAFAAAAAgAh07iQCUpBUz+AQAA1gMAAA4AAAAAAAAAAQAgAAAAJA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现场签证的要求</w:t>
                      </w: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计日工有相应单价或合同中有适用单价的项目，合同双方当事人仅在现场签证报告中列明完成该类项目所需的人工、材料、工程设备和施工设备机械台班的数量。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计日工没有相应单价或合同中没有适用单价的项目，合同双方当事人应在现场签证报告中列明完成这类项目所需的人工、材料、工程设备和施工设备机械台班的数量和单价。</w:t>
      </w:r>
    </w:p>
    <w:p>
      <w:pPr>
        <w:adjustRightInd w:val="0"/>
        <w:snapToGrid w:val="0"/>
        <w:spacing w:line="480" w:lineRule="auto"/>
        <w:rPr>
          <w:rFonts w:ascii="宋体" w:hAnsi="宋体" w:cs="宋体"/>
          <w:b/>
          <w:bCs/>
          <w:color w:val="auto"/>
          <w:kern w:val="0"/>
          <w:szCs w:val="21"/>
          <w:highlight w:val="none"/>
        </w:rPr>
      </w:pPr>
      <w:r>
        <w:rPr>
          <w:rFonts w:hint="eastAsia" w:ascii="宋体" w:hAnsi="宋体" w:cs="宋体"/>
          <w:b/>
          <w:color w:val="auto"/>
          <w:kern w:val="0"/>
          <w:szCs w:val="21"/>
          <w:highlight w:val="none"/>
        </w:rPr>
        <w:t xml:space="preserve">75.5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1520"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9" name="文本框 89"/>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1520;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CTAOnP/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现场签证工作的实施</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承包人应在发包人确认现场签证报告后的48小时内，按照监理工程师发出的工作指令及时组织实施相关工作。否则，由此引起的损失和（或）延误的工期由承包人承担。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0496"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8" name="文本框 88"/>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10496;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x6enNYAAAAJAQAADwAAAAAAAAABACAAAAAiAAAAZHJzL2Rvd25yZXYu&#10;eG1sUEsBAhQAFAAAAAgAh07iQKCJbbH9AQAA1gMAAA4AAAAAAAAAAQAgAAAAJQEAAGRycy9lMm9E&#10;b2MueG1sUEsFBgAAAAAGAAYAWQEAAJQ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现场签证的限制</w:t>
                      </w:r>
                    </w:p>
                    <w:p>
                      <w:pPr>
                        <w:pStyle w:val="32"/>
                        <w:spacing w:line="200" w:lineRule="exact"/>
                        <w:rPr>
                          <w:rFonts w:ascii="楷体_GB2312" w:hAnsi="宋体" w:eastAsia="楷体_GB2312"/>
                          <w:b/>
                          <w:color w:val="000000"/>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合同工程发生现场签证事件，未经发包人签证、确认，承包人便擅自实施相关工作的，除非征得发包人同意，否则发生的费用由承包人承担。</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75.7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3024" behindDoc="0" locked="0" layoutInCell="1" allowOverlap="1">
                <wp:simplePos x="0" y="0"/>
                <wp:positionH relativeFrom="column">
                  <wp:posOffset>-114300</wp:posOffset>
                </wp:positionH>
                <wp:positionV relativeFrom="paragraph">
                  <wp:posOffset>77470</wp:posOffset>
                </wp:positionV>
                <wp:extent cx="914400" cy="480060"/>
                <wp:effectExtent l="0" t="0" r="0" b="0"/>
                <wp:wrapNone/>
                <wp:docPr id="87" name="文本框 87"/>
                <wp:cNvGraphicFramePr/>
                <a:graphic xmlns:a="http://schemas.openxmlformats.org/drawingml/2006/main">
                  <a:graphicData uri="http://schemas.microsoft.com/office/word/2010/wordprocessingShape">
                    <wps:wsp>
                      <wps:cNvSpPr txBox="1">
                        <a:spLocks noChangeArrowheads="1"/>
                      </wps:cNvSpPr>
                      <wps:spPr bwMode="auto">
                        <a:xfrm>
                          <a:off x="0" y="0"/>
                          <a:ext cx="914400" cy="48006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6.1pt;height:37.8pt;width:72pt;z-index:252033024;mso-width-relative:page;mso-height-relative:page;" filled="f" stroked="f" coordsize="21600,21600" o:gfxdata="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enpzWAAAACQEAAA8AAAAAAAAAAQAgAAAAIgAAAGRycy9kb3ducmV2&#10;LnhtbFBLAQIUABQAAAAIAIdO4kBidUVR/gEAANY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调整价款的确认与支付</w:t>
                      </w:r>
                    </w:p>
                    <w:p>
                      <w:pPr>
                        <w:pStyle w:val="46"/>
                        <w:adjustRightInd w:val="0"/>
                        <w:snapToGrid w:val="0"/>
                        <w:rPr>
                          <w:rFonts w:ascii="Times New Roman" w:hAnsi="Times New Roman"/>
                          <w:b/>
                          <w:bCs/>
                          <w:sz w:val="18"/>
                          <w:szCs w:val="18"/>
                        </w:rPr>
                      </w:pPr>
                    </w:p>
                    <w:p>
                      <w:pPr>
                        <w:pStyle w:val="46"/>
                        <w:adjustRightInd w:val="0"/>
                        <w:snapToGrid w:val="0"/>
                        <w:spacing w:line="360" w:lineRule="auto"/>
                        <w:rPr>
                          <w:rFonts w:ascii="Times New Roman" w:hAnsi="Times New Roman"/>
                          <w:b/>
                          <w:bCs/>
                          <w:sz w:val="18"/>
                          <w:szCs w:val="18"/>
                        </w:rPr>
                      </w:pPr>
                    </w:p>
                    <w:p>
                      <w:pPr>
                        <w:rPr>
                          <w:szCs w:val="18"/>
                        </w:rPr>
                      </w:pPr>
                    </w:p>
                  </w:txbxContent>
                </v:textbox>
              </v:shape>
            </w:pict>
          </mc:Fallback>
        </mc:AlternateContent>
      </w:r>
      <w:r>
        <w:rPr>
          <w:rFonts w:hint="eastAsia" w:ascii="宋体" w:hAnsi="宋体" w:cs="宋体"/>
          <w:color w:val="auto"/>
          <w:kern w:val="0"/>
          <w:szCs w:val="21"/>
          <w:highlight w:val="none"/>
        </w:rPr>
        <w:t>现场签证工作完成后的48小时内，合同双方当事人应确认由此引起调整的合同价款，并作为追加合同价款，与工程进度款同期支付。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240" w:lineRule="exact"/>
        <w:ind w:right="-238"/>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76  物价涨落事件</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2784" behindDoc="0" locked="0" layoutInCell="1" allowOverlap="1">
                <wp:simplePos x="0" y="0"/>
                <wp:positionH relativeFrom="column">
                  <wp:posOffset>-114300</wp:posOffset>
                </wp:positionH>
                <wp:positionV relativeFrom="paragraph">
                  <wp:posOffset>274320</wp:posOffset>
                </wp:positionV>
                <wp:extent cx="914400" cy="591185"/>
                <wp:effectExtent l="0" t="0" r="0" b="0"/>
                <wp:wrapNone/>
                <wp:docPr id="86" name="文本框 86"/>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6pt;height:46.55pt;width:72pt;z-index:252022784;mso-width-relative:page;mso-height-relative:page;" filled="f" stroked="f" coordsize="21600,21600" o:gfxdata="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syqi3XAAAACgEAAA8AAAAAAAAAAQAgAAAAIgAAAGRycy9kb3du&#10;cmV2LnhtbFBLAQIUABQAAAAIAIdO4kCMw8QfAAIAANYDAAAOAAAAAAAAAAEAIAAAACYBAABkcnMv&#10;ZTJvRG9jLnhtbFBLBQYAAAAABgAGAFkBAACY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物价涨落的价款调整</w:t>
                      </w:r>
                    </w:p>
                  </w:txbxContent>
                </v:textbox>
              </v:shape>
            </w:pict>
          </mc:Fallback>
        </mc:AlternateContent>
      </w:r>
      <w:r>
        <w:rPr>
          <w:rFonts w:hint="eastAsia" w:ascii="宋体" w:hAnsi="宋体" w:cs="宋体"/>
          <w:b/>
          <w:color w:val="auto"/>
          <w:kern w:val="0"/>
          <w:szCs w:val="21"/>
          <w:highlight w:val="none"/>
        </w:rPr>
        <w:t xml:space="preserve">76.1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履行期间，出现工程造价管理机构发布的人工、材料、工程设备和施工设备机械台班单价或价格涨落超过合同工程基准日期相应单价或价格，且符合第76.2款、第76.3款规定事件的，合同双方当事人应调整合同价款。</w:t>
      </w:r>
    </w:p>
    <w:p>
      <w:pPr>
        <w:tabs>
          <w:tab w:val="left" w:pos="540"/>
        </w:tabs>
        <w:adjustRightInd w:val="0"/>
        <w:snapToGrid w:val="0"/>
        <w:spacing w:line="360" w:lineRule="auto"/>
        <w:rPr>
          <w:rFonts w:ascii="宋体" w:hAnsi="宋体" w:cs="宋体"/>
          <w:b/>
          <w:color w:val="auto"/>
          <w:kern w:val="0"/>
          <w:szCs w:val="21"/>
          <w:highlight w:val="none"/>
          <w:u w:val="dotted"/>
        </w:rPr>
      </w:pPr>
      <w:r>
        <w:rPr>
          <w:rFonts w:ascii="宋体" w:hAnsi="宋体" w:cs="宋体"/>
          <w:color w:val="auto"/>
          <w:kern w:val="0"/>
          <w:szCs w:val="21"/>
          <w:highlight w:val="none"/>
        </w:rPr>
        <mc:AlternateContent>
          <mc:Choice Requires="wps">
            <w:drawing>
              <wp:anchor distT="0" distB="0" distL="114300" distR="114300" simplePos="0" relativeHeight="252023808" behindDoc="0" locked="0" layoutInCell="1" allowOverlap="1">
                <wp:simplePos x="0" y="0"/>
                <wp:positionH relativeFrom="column">
                  <wp:posOffset>-133350</wp:posOffset>
                </wp:positionH>
                <wp:positionV relativeFrom="paragraph">
                  <wp:posOffset>247650</wp:posOffset>
                </wp:positionV>
                <wp:extent cx="914400" cy="619125"/>
                <wp:effectExtent l="0" t="0" r="0" b="0"/>
                <wp:wrapNone/>
                <wp:docPr id="85" name="文本框 85"/>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5pt;margin-top:19.5pt;height:48.75pt;width:72pt;z-index:252023808;mso-width-relative:page;mso-height-relative:page;" filled="f" stroked="f" coordsize="21600,21600" o:gfxdata="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c+tl9cAAAAKAQAADwAAAAAAAAABACAAAAAiAAAAZHJzL2Rvd25y&#10;ZXYueG1sUEsBAhQAFAAAAAgAh07iQKnzLDv/AQAA1gMAAA4AAAAAAAAAAQAgAAAAJgEAAGRycy9l&#10;Mm9Eb2MueG1sUEsFBgAAAAAGAAYAWQEAAJcFA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人工费的调整方法</w:t>
                      </w:r>
                    </w:p>
                  </w:txbxContent>
                </v:textbox>
              </v:shape>
            </w:pict>
          </mc:Fallback>
        </mc:AlternateContent>
      </w:r>
      <w:r>
        <w:rPr>
          <w:rFonts w:hint="eastAsia" w:ascii="宋体" w:hAnsi="宋体" w:cs="宋体"/>
          <w:b/>
          <w:color w:val="auto"/>
          <w:kern w:val="0"/>
          <w:szCs w:val="21"/>
          <w:highlight w:val="none"/>
        </w:rPr>
        <w:t xml:space="preserve">76.2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按照第76.1款规定人工单价发生涨落的，应按照合同工程发生的人工数量和合同履行期与基准日期人工单价对比的价差的乘积计算调整的人工费。</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76.3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4832" behindDoc="0" locked="0" layoutInCell="1" allowOverlap="1">
                <wp:simplePos x="0" y="0"/>
                <wp:positionH relativeFrom="column">
                  <wp:posOffset>-114300</wp:posOffset>
                </wp:positionH>
                <wp:positionV relativeFrom="paragraph">
                  <wp:posOffset>15875</wp:posOffset>
                </wp:positionV>
                <wp:extent cx="914400" cy="1003300"/>
                <wp:effectExtent l="0" t="0" r="0" b="0"/>
                <wp:wrapNone/>
                <wp:docPr id="84" name="文本框 84"/>
                <wp:cNvGraphicFramePr/>
                <a:graphic xmlns:a="http://schemas.openxmlformats.org/drawingml/2006/main">
                  <a:graphicData uri="http://schemas.microsoft.com/office/word/2010/wordprocessingShape">
                    <wps:wsp>
                      <wps:cNvSpPr txBox="1">
                        <a:spLocks noChangeArrowheads="1"/>
                      </wps:cNvSpPr>
                      <wps:spPr bwMode="auto">
                        <a:xfrm>
                          <a:off x="0" y="0"/>
                          <a:ext cx="914400" cy="1003300"/>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79pt;width:72pt;z-index:252024832;mso-width-relative:page;mso-height-relative:page;" filled="f" stroked="f" coordsize="21600,21600" o:gfxdata="UEsDBAoAAAAAAIdO4kAAAAAAAAAAAAAAAAAEAAAAZHJzL1BLAwQUAAAACACHTuJAr0C7z9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9Au8/WAAAACQEAAA8AAAAAAAAAAQAgAAAAIgAAAGRycy9kb3ducmV2&#10;LnhtbFBLAQIUABQAAAAIAIdO4kBtHbUH/gEAANcDAAAOAAAAAAAAAAEAIAAAACUBAABkcnMvZTJv&#10;RG9jLnhtbFBLBQYAAAAABgAGAFkBAACVBQ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承包人采购材料和工程设备的材料设备费、施工机械费调整方法</w:t>
                      </w:r>
                    </w:p>
                  </w:txbxContent>
                </v:textbox>
              </v:shape>
            </w:pict>
          </mc:Fallback>
        </mc:AlternateContent>
      </w:r>
      <w:r>
        <w:rPr>
          <w:rFonts w:hint="eastAsia" w:ascii="宋体" w:hAnsi="宋体" w:cs="宋体"/>
          <w:color w:val="auto"/>
          <w:kern w:val="0"/>
          <w:szCs w:val="21"/>
          <w:highlight w:val="none"/>
        </w:rPr>
        <w:t>承包人采购材料和工程设备的，按照第76.1款规定材料、工程设备价格和施工设备机械台班单价涨落分别超过5%和10%，则超过部分的价格应予调整。该情况下，应按照下列方法之一计算调整的材料费、工程设备费和施工机械费，但应扣除合同双方当事人不利一方当事人承担上述幅度的风险费用。</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(1）价格系数法</w:t>
      </w:r>
    </w:p>
    <w:p>
      <w:pPr>
        <w:adjustRightInd w:val="0"/>
        <w:snapToGrid w:val="0"/>
        <w:spacing w:line="420" w:lineRule="exact"/>
        <w:ind w:left="1978" w:leftChars="942" w:firstLine="52" w:firstLineChars="25"/>
        <w:rPr>
          <w:rFonts w:ascii="宋体" w:hAnsi="宋体" w:cs="宋体"/>
          <w:iCs/>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(a+b·L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 xml:space="preserve"> /L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+c·E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+……q·M</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w:t>
      </w:r>
    </w:p>
    <w:p>
      <w:pPr>
        <w:adjustRightInd w:val="0"/>
        <w:snapToGrid w:val="0"/>
        <w:spacing w:line="420" w:lineRule="exact"/>
        <w:ind w:left="2131" w:leftChars="772" w:hanging="510" w:hangingChars="243"/>
        <w:rPr>
          <w:rFonts w:ascii="宋体" w:hAnsi="宋体" w:cs="宋体"/>
          <w:color w:val="auto"/>
          <w:kern w:val="0"/>
          <w:szCs w:val="21"/>
          <w:highlight w:val="none"/>
        </w:rPr>
      </w:pPr>
      <w:r>
        <w:rPr>
          <w:rFonts w:hint="eastAsia" w:ascii="宋体" w:hAnsi="宋体" w:cs="宋体"/>
          <w:color w:val="auto"/>
          <w:kern w:val="0"/>
          <w:szCs w:val="21"/>
          <w:highlight w:val="none"/>
        </w:rPr>
        <w:t>式中</w:t>
      </w:r>
      <w:r>
        <w:rPr>
          <w:rFonts w:hint="eastAsia" w:ascii="宋体" w:hAnsi="宋体" w:cs="宋体"/>
          <w:iCs/>
          <w:color w:val="auto"/>
          <w:kern w:val="0"/>
          <w:szCs w:val="21"/>
          <w:highlight w:val="none"/>
        </w:rPr>
        <w:t>C</w:t>
      </w:r>
      <w:r>
        <w:rPr>
          <w:rFonts w:hint="eastAsia" w:ascii="宋体" w:hAnsi="宋体" w:cs="宋体"/>
          <w:iCs/>
          <w:color w:val="auto"/>
          <w:spacing w:val="-42"/>
          <w:kern w:val="0"/>
          <w:szCs w:val="21"/>
          <w:highlight w:val="none"/>
        </w:rPr>
        <w:t>′</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调整后合同履行期间第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978" w:leftChars="942" w:firstLine="197" w:firstLineChars="94"/>
        <w:rPr>
          <w:rFonts w:ascii="宋体" w:hAnsi="宋体" w:cs="宋体"/>
          <w:color w:val="auto"/>
          <w:kern w:val="0"/>
          <w:szCs w:val="21"/>
          <w:highlight w:val="none"/>
        </w:rPr>
      </w:pPr>
      <w:r>
        <w:rPr>
          <w:rFonts w:hint="eastAsia" w:ascii="宋体" w:hAnsi="宋体" w:cs="宋体"/>
          <w:iCs/>
          <w:color w:val="auto"/>
          <w:kern w:val="0"/>
          <w:szCs w:val="21"/>
          <w:highlight w:val="none"/>
        </w:rPr>
        <w:t>C</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调整前合同履行期间第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支付期应支付的合同价款；</w:t>
      </w:r>
    </w:p>
    <w:p>
      <w:pPr>
        <w:adjustRightInd w:val="0"/>
        <w:snapToGrid w:val="0"/>
        <w:spacing w:line="420" w:lineRule="exact"/>
        <w:ind w:left="1619" w:leftChars="771" w:firstLine="512" w:firstLineChars="244"/>
        <w:rPr>
          <w:rFonts w:ascii="宋体" w:hAnsi="宋体" w:cs="宋体"/>
          <w:color w:val="auto"/>
          <w:kern w:val="0"/>
          <w:szCs w:val="21"/>
          <w:highlight w:val="none"/>
        </w:rPr>
      </w:pPr>
      <w:r>
        <w:rPr>
          <w:rFonts w:hint="eastAsia" w:ascii="宋体" w:hAnsi="宋体" w:cs="宋体"/>
          <w:iCs/>
          <w:color w:val="auto"/>
          <w:kern w:val="0"/>
          <w:szCs w:val="21"/>
          <w:highlight w:val="none"/>
        </w:rPr>
        <w:t>P</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w:t>
      </w:r>
      <w:r>
        <w:rPr>
          <w:rFonts w:hint="eastAsia" w:ascii="宋体" w:hAnsi="宋体" w:cs="宋体"/>
          <w:color w:val="auto"/>
          <w:kern w:val="0"/>
          <w:szCs w:val="21"/>
          <w:highlight w:val="none"/>
        </w:rPr>
        <w:t>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支付期间合同价款调整系数。</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“a”是基准日期固定系数，表示合同付款中的不予调整部分的权重系数；“</w:t>
      </w:r>
      <w:r>
        <w:rPr>
          <w:rFonts w:hint="eastAsia" w:ascii="宋体" w:hAnsi="宋体" w:cs="宋体"/>
          <w:iCs/>
          <w:color w:val="auto"/>
          <w:kern w:val="0"/>
          <w:szCs w:val="21"/>
          <w:highlight w:val="none"/>
        </w:rPr>
        <w:t>b”、“c”、……、“q”</w:t>
      </w:r>
      <w:r>
        <w:rPr>
          <w:rFonts w:hint="eastAsia" w:ascii="宋体" w:hAnsi="宋体" w:cs="宋体"/>
          <w:color w:val="auto"/>
          <w:kern w:val="0"/>
          <w:szCs w:val="21"/>
          <w:highlight w:val="none"/>
        </w:rPr>
        <w:t>分别表示基准日期各相关要素占合同价款总额的权重系数，可表示材料、工程设备、施工设备机械台班等资源。合同双方当事人应在专用条款中约定各资源的权重系数，要求：</w:t>
      </w:r>
      <w:r>
        <w:rPr>
          <w:rFonts w:hint="eastAsia" w:ascii="宋体" w:hAnsi="宋体" w:cs="宋体"/>
          <w:iCs/>
          <w:color w:val="auto"/>
          <w:kern w:val="0"/>
          <w:szCs w:val="21"/>
          <w:highlight w:val="none"/>
        </w:rPr>
        <w:t>a+b+c+……+q</w:t>
      </w:r>
      <w:r>
        <w:rPr>
          <w:rFonts w:hint="eastAsia" w:ascii="宋体" w:hAnsi="宋体" w:cs="宋体"/>
          <w:color w:val="auto"/>
          <w:kern w:val="0"/>
          <w:szCs w:val="21"/>
          <w:highlight w:val="none"/>
        </w:rPr>
        <w:t>＝1。</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n</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n</w:t>
      </w:r>
      <w:r>
        <w:rPr>
          <w:rFonts w:hint="eastAsia" w:ascii="宋体" w:hAnsi="宋体" w:cs="宋体"/>
          <w:color w:val="auto"/>
          <w:kern w:val="0"/>
          <w:szCs w:val="21"/>
          <w:highlight w:val="none"/>
        </w:rPr>
        <w:t>”表示合同履行期间第</w:t>
      </w:r>
      <w:r>
        <w:rPr>
          <w:rFonts w:hint="eastAsia" w:ascii="宋体" w:hAnsi="宋体" w:cs="宋体"/>
          <w:iCs/>
          <w:color w:val="auto"/>
          <w:kern w:val="0"/>
          <w:szCs w:val="21"/>
          <w:highlight w:val="none"/>
        </w:rPr>
        <w:t>n</w:t>
      </w:r>
      <w:r>
        <w:rPr>
          <w:rFonts w:hint="eastAsia" w:ascii="宋体" w:hAnsi="宋体" w:cs="宋体"/>
          <w:color w:val="auto"/>
          <w:kern w:val="0"/>
          <w:szCs w:val="21"/>
          <w:highlight w:val="none"/>
        </w:rPr>
        <w:t xml:space="preserve">支付期工程造价管理机构发布的各相关要素价格； </w:t>
      </w:r>
      <w:r>
        <w:rPr>
          <w:rFonts w:hint="eastAsia" w:ascii="宋体" w:hAnsi="宋体" w:cs="宋体"/>
          <w:iCs/>
          <w:color w:val="auto"/>
          <w:kern w:val="0"/>
          <w:szCs w:val="21"/>
          <w:highlight w:val="none"/>
        </w:rPr>
        <w:t>“L</w:t>
      </w:r>
      <w:r>
        <w:rPr>
          <w:rFonts w:hint="eastAsia" w:ascii="宋体" w:hAnsi="宋体" w:cs="宋体"/>
          <w:iCs/>
          <w:color w:val="auto"/>
          <w:kern w:val="0"/>
          <w:szCs w:val="21"/>
          <w:highlight w:val="none"/>
          <w:vertAlign w:val="subscript"/>
        </w:rPr>
        <w:t>0</w:t>
      </w:r>
      <w:r>
        <w:rPr>
          <w:rFonts w:hint="eastAsia" w:ascii="宋体" w:hAnsi="宋体" w:cs="宋体"/>
          <w:iCs/>
          <w:color w:val="auto"/>
          <w:kern w:val="0"/>
          <w:szCs w:val="21"/>
          <w:highlight w:val="none"/>
        </w:rPr>
        <w:t>”、“E</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 、……、“</w:t>
      </w:r>
      <w:r>
        <w:rPr>
          <w:rFonts w:hint="eastAsia" w:ascii="宋体" w:hAnsi="宋体" w:cs="宋体"/>
          <w:iCs/>
          <w:color w:val="auto"/>
          <w:kern w:val="0"/>
          <w:szCs w:val="21"/>
          <w:highlight w:val="none"/>
        </w:rPr>
        <w:t>M</w:t>
      </w:r>
      <w:r>
        <w:rPr>
          <w:rFonts w:hint="eastAsia" w:ascii="宋体" w:hAnsi="宋体" w:cs="宋体"/>
          <w:iCs/>
          <w:color w:val="auto"/>
          <w:kern w:val="0"/>
          <w:szCs w:val="21"/>
          <w:highlight w:val="none"/>
          <w:vertAlign w:val="subscript"/>
        </w:rPr>
        <w:t>0</w:t>
      </w:r>
      <w:r>
        <w:rPr>
          <w:rFonts w:hint="eastAsia" w:ascii="宋体" w:hAnsi="宋体" w:cs="宋体"/>
          <w:color w:val="auto"/>
          <w:kern w:val="0"/>
          <w:szCs w:val="21"/>
          <w:highlight w:val="none"/>
        </w:rPr>
        <w:t>”表示基准日期工程造价管理机构发布的各相关要素价格。</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(2）价格调差法</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按照合同工程发生的材料、工程设备、施工设备机械台班的数量和合同履行期与基准日期相应价格或单价对比的价差的乘积计算。</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54528" behindDoc="0" locked="0" layoutInCell="1" allowOverlap="1">
                <wp:simplePos x="0" y="0"/>
                <wp:positionH relativeFrom="column">
                  <wp:posOffset>-114300</wp:posOffset>
                </wp:positionH>
                <wp:positionV relativeFrom="paragraph">
                  <wp:posOffset>15875</wp:posOffset>
                </wp:positionV>
                <wp:extent cx="914400" cy="711835"/>
                <wp:effectExtent l="0" t="0" r="0" b="0"/>
                <wp:wrapNone/>
                <wp:docPr id="83" name="文本框 83"/>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05pt;width:72pt;z-index:252054528;mso-width-relative:page;mso-height-relative:page;" filled="f" stroked="f" coordsize="21600,21600" o:gfxdata="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Hq+dL1gAAAAkBAAAPAAAAAAAAAAEAIAAAACIAAABkcnMvZG93bnJl&#10;di54bWxQSwECFAAUAAAACACHTuJAFeVcBf8BAADWAwAADgAAAAAAAAABACAAAAAlAQAAZHJzL2Uy&#10;b0RvYy54bWxQSwUGAAAAAAYABgBZAQAAlgUAAAAA&#10;">
                <v:fill on="f" focussize="0,0"/>
                <v:stroke on="f"/>
                <v:imagedata o:title=""/>
                <o:lock v:ext="edit" aspectratio="f"/>
                <v:textbox>
                  <w:txbxContent>
                    <w:p>
                      <w:pPr>
                        <w:pStyle w:val="32"/>
                        <w:spacing w:line="200" w:lineRule="exact"/>
                        <w:rPr>
                          <w:rFonts w:ascii="宋体" w:hAnsi="宋体"/>
                          <w:sz w:val="18"/>
                          <w:szCs w:val="18"/>
                        </w:rPr>
                      </w:pPr>
                      <w:r>
                        <w:rPr>
                          <w:rFonts w:hint="eastAsia" w:ascii="楷体_GB2312" w:hAnsi="宋体" w:eastAsia="楷体_GB2312"/>
                          <w:b/>
                          <w:color w:val="000000"/>
                          <w:sz w:val="18"/>
                          <w:szCs w:val="18"/>
                        </w:rPr>
                        <w:t>承包人采购材料设备发生工期延误的价格确定</w:t>
                      </w:r>
                    </w:p>
                  </w:txbxContent>
                </v:textbox>
              </v:shape>
            </w:pict>
          </mc:Fallback>
        </mc:AlternateContent>
      </w:r>
      <w:r>
        <w:rPr>
          <w:rFonts w:hint="eastAsia" w:ascii="宋体" w:hAnsi="宋体" w:cs="宋体"/>
          <w:color w:val="auto"/>
          <w:kern w:val="0"/>
          <w:szCs w:val="21"/>
          <w:highlight w:val="none"/>
        </w:rPr>
        <w:t>执行第76.3款规定时，发生合同工程工期延误的，应按照下列规定确定合同履行期用于调整的价格或单价：</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由于发包人原因导致工期延误的，则计划进度日期后续工程的价格或单价，采用计划进度日期与实际进度日期两者的较高者；</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由于承包人原因导致工期延误的，则计划进度日期后续工程的价格或单价，采用计划进度日期与实际进度日期两者的较低者。</w:t>
      </w:r>
    </w:p>
    <w:p>
      <w:pPr>
        <w:tabs>
          <w:tab w:val="left" w:pos="540"/>
        </w:tabs>
        <w:adjustRightInd w:val="0"/>
        <w:snapToGrid w:val="0"/>
        <w:spacing w:line="48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76.5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5856" behindDoc="0" locked="0" layoutInCell="1" allowOverlap="1">
                <wp:simplePos x="0" y="0"/>
                <wp:positionH relativeFrom="column">
                  <wp:posOffset>-66675</wp:posOffset>
                </wp:positionH>
                <wp:positionV relativeFrom="paragraph">
                  <wp:posOffset>31115</wp:posOffset>
                </wp:positionV>
                <wp:extent cx="914400" cy="711835"/>
                <wp:effectExtent l="0" t="0" r="0" b="0"/>
                <wp:wrapNone/>
                <wp:docPr id="82" name="文本框 82"/>
                <wp:cNvGraphicFramePr/>
                <a:graphic xmlns:a="http://schemas.openxmlformats.org/drawingml/2006/main">
                  <a:graphicData uri="http://schemas.microsoft.com/office/word/2010/wordprocessingShape">
                    <wps:wsp>
                      <wps:cNvSpPr txBox="1">
                        <a:spLocks noChangeArrowheads="1"/>
                      </wps:cNvSpPr>
                      <wps:spPr bwMode="auto">
                        <a:xfrm>
                          <a:off x="0" y="0"/>
                          <a:ext cx="914400" cy="711835"/>
                        </a:xfrm>
                        <a:prstGeom prst="rect">
                          <a:avLst/>
                        </a:prstGeom>
                        <a:noFill/>
                        <a:ln>
                          <a:noFill/>
                        </a:ln>
                        <a:effectLst/>
                      </wps:spPr>
                      <wps:txb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2.45pt;height:56.05pt;width:72pt;z-index:252025856;mso-width-relative:page;mso-height-relative:page;" filled="f" stroked="f" coordsize="21600,21600" o:gfxdata="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z7LB1gAAAAkBAAAPAAAAAAAAAAEAIAAAACIAAABkcnMvZG93bnJl&#10;di54bWxQSwECFAAUAAAACACHTuJAJmzYe/8BAADWAwAADgAAAAAAAAABACAAAAAlAQAAZHJzL2Uy&#10;b0RvYy54bWxQSwUGAAAAAAYABgBZAQAAlgUAAAAA&#10;">
                <v:fill on="f" focussize="0,0"/>
                <v:stroke on="f"/>
                <v:imagedata o:title=""/>
                <o:lock v:ext="edit" aspectratio="f"/>
                <v:textbox>
                  <w:txbxContent>
                    <w:p>
                      <w:pPr>
                        <w:pStyle w:val="32"/>
                        <w:spacing w:line="200" w:lineRule="exact"/>
                        <w:rPr>
                          <w:rFonts w:ascii="楷体_GB2312" w:hAnsi="宋体" w:eastAsia="楷体_GB2312"/>
                          <w:b/>
                          <w:color w:val="000000"/>
                          <w:sz w:val="18"/>
                          <w:szCs w:val="18"/>
                        </w:rPr>
                      </w:pPr>
                      <w:r>
                        <w:rPr>
                          <w:rFonts w:hint="eastAsia" w:ascii="楷体_GB2312" w:hAnsi="宋体" w:eastAsia="楷体_GB2312"/>
                          <w:b/>
                          <w:color w:val="000000"/>
                          <w:sz w:val="18"/>
                          <w:szCs w:val="18"/>
                        </w:rPr>
                        <w:t>承包人采购材料设备的调价限制</w:t>
                      </w:r>
                    </w:p>
                  </w:txbxContent>
                </v:textbox>
              </v:shape>
            </w:pict>
          </mc:Fallback>
        </mc:AlternateContent>
      </w:r>
      <w:r>
        <w:rPr>
          <w:rFonts w:hint="eastAsia" w:ascii="宋体" w:hAnsi="宋体" w:cs="宋体"/>
          <w:color w:val="auto"/>
          <w:kern w:val="0"/>
          <w:szCs w:val="21"/>
          <w:highlight w:val="none"/>
        </w:rPr>
        <w:t>承包人在采购材料和工程设备前，应向发包人提交一份能阐明采购材料、工程设备数量和新单价的书面报告。发包人应在收到承包人书面报告后的3个工作日内，通知造价工程师核实，并经监理工程师确认用于合同工程后，对承包人采购材料、工程设备的数量和新单价予以确定；发包人对此未确定也未提出修改意见的，视为承包人提交的书面报告已被认可，作为调整合同价款的依据。承包人未经发包人确定即自行采购材料和工程设备，再向发包人提出调整合同价款的，如发包人不同意，则合同价款不予调整。</w:t>
      </w:r>
    </w:p>
    <w:p>
      <w:pPr>
        <w:tabs>
          <w:tab w:val="left" w:pos="540"/>
        </w:tabs>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76.6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6880" behindDoc="0" locked="0" layoutInCell="1" allowOverlap="1">
                <wp:simplePos x="0" y="0"/>
                <wp:positionH relativeFrom="column">
                  <wp:posOffset>-114300</wp:posOffset>
                </wp:positionH>
                <wp:positionV relativeFrom="paragraph">
                  <wp:posOffset>15875</wp:posOffset>
                </wp:positionV>
                <wp:extent cx="914400" cy="619125"/>
                <wp:effectExtent l="0" t="0" r="0" b="0"/>
                <wp:wrapNone/>
                <wp:docPr id="81" name="文本框 81"/>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发包人供应材料设备的价款调整</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48.75pt;width:72pt;z-index:252026880;mso-width-relative:page;mso-height-relative:page;" filled="f" stroked="f" coordsize="21600,21600" o:gfxdata="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PIDAfVAAAACQEAAA8AAAAAAAAAAQAgAAAAIgAAAGRycy9kb3ducmV2&#10;LnhtbFBLAQIUABQAAAAIAIdO4kAk0U8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发包人供应材料设备的价款调整</w:t>
                      </w:r>
                    </w:p>
                  </w:txbxContent>
                </v:textbox>
              </v:shape>
            </w:pict>
          </mc:Fallback>
        </mc:AlternateContent>
      </w:r>
      <w:r>
        <w:rPr>
          <w:rFonts w:hint="eastAsia" w:ascii="宋体" w:hAnsi="宋体" w:cs="宋体"/>
          <w:color w:val="auto"/>
          <w:kern w:val="0"/>
          <w:szCs w:val="21"/>
          <w:highlight w:val="none"/>
        </w:rPr>
        <w:t>发包人供应材料和工程设备的，由发包人按照实际变化调整，列入合同工程的工程造价内。</w:t>
      </w:r>
    </w:p>
    <w:p>
      <w:pPr>
        <w:adjustRightInd w:val="0"/>
        <w:snapToGrid w:val="0"/>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line="360" w:lineRule="auto"/>
        <w:rPr>
          <w:rFonts w:ascii="宋体" w:hAnsi="宋体" w:cs="宋体"/>
          <w:b/>
          <w:color w:val="auto"/>
          <w:kern w:val="0"/>
          <w:szCs w:val="21"/>
          <w:highlight w:val="none"/>
        </w:rPr>
      </w:pP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  合同价款调整程序</w:t>
      </w:r>
    </w:p>
    <w:p>
      <w:pPr>
        <w:spacing w:line="360" w:lineRule="auto"/>
        <w:rPr>
          <w:rFonts w:ascii="宋体" w:hAnsi="宋体" w:cs="宋体"/>
          <w:b/>
          <w:bCs/>
          <w:color w:val="auto"/>
          <w:szCs w:val="21"/>
          <w:highlight w:val="none"/>
        </w:rPr>
      </w:pPr>
      <w:r>
        <w:rPr>
          <w:rFonts w:hint="eastAsia" w:ascii="宋体" w:hAnsi="宋体" w:cs="宋体"/>
          <w:b/>
          <w:color w:val="auto"/>
          <w:szCs w:val="21"/>
          <w:highlight w:val="none"/>
        </w:rPr>
        <w:t>77.1</w:t>
      </w:r>
    </w:p>
    <w:p>
      <w:pPr>
        <w:spacing w:line="360" w:lineRule="auto"/>
        <w:ind w:left="1619" w:leftChars="771" w:firstLine="2"/>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1766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80" name="文本框 8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201766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D7j7fWAAAACQEAAA8AAAAAAAAAAQAgAAAAIgAAAGRycy9kb3ducmV2&#10;LnhtbFBLAQIUABQAAAAIAIdO4kCZoJCC/gEAANYDAAAOAAAAAAAAAAEAIAAAACUBAABkcnMvZTJv&#10;RG9jLnhtbFBLBQYAAAAABgAGAFkBAACVBQAAAAA=&#10;">
                <v:fill on="f" focussize="0,0"/>
                <v:stroke on="f"/>
                <v:imagedata o:title=""/>
                <o:lock v:ext="edit" aspectratio="f"/>
                <v:textbox>
                  <w:txbxContent>
                    <w:p>
                      <w:pPr>
                        <w:pStyle w:val="78"/>
                        <w:spacing w:line="200" w:lineRule="exact"/>
                        <w:rPr>
                          <w:szCs w:val="18"/>
                        </w:rPr>
                      </w:pPr>
                      <w:r>
                        <w:rPr>
                          <w:rFonts w:hint="eastAsia" w:ascii="楷体_GB2312"/>
                          <w:szCs w:val="18"/>
                        </w:rPr>
                        <w:t xml:space="preserve">合同价款调整程序的规定    </w:t>
                      </w:r>
                      <w:r>
                        <w:rPr>
                          <w:rFonts w:hint="eastAsia"/>
                          <w:szCs w:val="18"/>
                        </w:rPr>
                        <w:t xml:space="preserve">                         </w:t>
                      </w:r>
                    </w:p>
                  </w:txbxContent>
                </v:textbox>
              </v:shape>
            </w:pict>
          </mc:Fallback>
        </mc:AlternateContent>
      </w:r>
      <w:r>
        <w:rPr>
          <w:rFonts w:hint="eastAsia" w:ascii="宋体" w:hAnsi="宋体" w:cs="宋体"/>
          <w:color w:val="auto"/>
          <w:szCs w:val="21"/>
          <w:highlight w:val="none"/>
        </w:rPr>
        <w:t>合同履行期间，出现第68.2款规定调整合同价款事件的，除费用索赔、现场签证事件分别按照第74条、第75条规定程序外，合同双方当事人应按照本条规定程序调整合同价款。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8688" behindDoc="0" locked="0" layoutInCell="1" allowOverlap="1">
                <wp:simplePos x="0" y="0"/>
                <wp:positionH relativeFrom="column">
                  <wp:posOffset>-58420</wp:posOffset>
                </wp:positionH>
                <wp:positionV relativeFrom="paragraph">
                  <wp:posOffset>246380</wp:posOffset>
                </wp:positionV>
                <wp:extent cx="914400" cy="619125"/>
                <wp:effectExtent l="0" t="0" r="0" b="0"/>
                <wp:wrapNone/>
                <wp:docPr id="79" name="文本框 79"/>
                <wp:cNvGraphicFramePr/>
                <a:graphic xmlns:a="http://schemas.openxmlformats.org/drawingml/2006/main">
                  <a:graphicData uri="http://schemas.microsoft.com/office/word/2010/wordprocessingShape">
                    <wps:wsp>
                      <wps:cNvSpPr txBox="1">
                        <a:spLocks noChangeArrowheads="1"/>
                      </wps:cNvSpPr>
                      <wps:spPr bwMode="auto">
                        <a:xfrm>
                          <a:off x="0" y="0"/>
                          <a:ext cx="914400" cy="6191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4.6pt;margin-top:19.4pt;height:48.75pt;width:72pt;z-index:252018688;mso-width-relative:page;mso-height-relative:page;" filled="f" stroked="f" coordsize="21600,21600" o:gfxdata="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vB/7VAAAACQEAAA8AAAAAAAAAAQAgAAAAIgAAAGRycy9kb3ducmV2&#10;LnhtbFBLAQIUABQAAAAIAIdO4kBeHwMt/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合同价款调增报告的提出</w:t>
                      </w:r>
                    </w:p>
                    <w:p>
                      <w:pPr>
                        <w:pStyle w:val="78"/>
                        <w:spacing w:line="200" w:lineRule="exact"/>
                        <w:rPr>
                          <w:szCs w:val="18"/>
                        </w:rPr>
                      </w:pPr>
                    </w:p>
                  </w:txbxContent>
                </v:textbox>
              </v:shape>
            </w:pict>
          </mc:Fallback>
        </mc:AlternateContent>
      </w:r>
      <w:r>
        <w:rPr>
          <w:rFonts w:hint="eastAsia" w:ascii="宋体" w:hAnsi="宋体" w:cs="宋体"/>
          <w:b/>
          <w:color w:val="auto"/>
          <w:kern w:val="0"/>
          <w:szCs w:val="21"/>
          <w:highlight w:val="none"/>
        </w:rPr>
        <w:t xml:space="preserve">77.2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bCs/>
          <w:color w:val="auto"/>
          <w:kern w:val="0"/>
          <w:szCs w:val="21"/>
          <w:highlight w:val="none"/>
        </w:rPr>
      </w:pPr>
      <w:r>
        <w:rPr>
          <w:rFonts w:hint="eastAsia" w:ascii="宋体" w:hAnsi="宋体" w:cs="宋体"/>
          <w:color w:val="auto"/>
          <w:kern w:val="0"/>
          <w:szCs w:val="21"/>
          <w:highlight w:val="none"/>
        </w:rPr>
        <w:t>出现合同价款调增事件后的14天内，承包人应向造价工程师提交合同价款调增报告。并附上相关资料。如承包人在出现合同价款调增事件后的14天内未提交合同价款调增报告的，则造价工程师可在报发包人批准后，根据实际情况决定是否调整合同价款以及调整的金额。</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77.3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0736"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8" name="文本框 78"/>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0736;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CyEr9P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ALISv0/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调增价款的核</w:t>
                      </w:r>
                    </w:p>
                    <w:p>
                      <w:pPr>
                        <w:pStyle w:val="78"/>
                        <w:spacing w:line="200" w:lineRule="exact"/>
                        <w:rPr>
                          <w:rFonts w:ascii="楷体_GB2312"/>
                          <w:szCs w:val="18"/>
                        </w:rPr>
                      </w:pPr>
                      <w:r>
                        <w:rPr>
                          <w:rFonts w:hint="eastAsia" w:ascii="楷体_GB2312"/>
                          <w:szCs w:val="18"/>
                        </w:rPr>
                        <w:t>实</w:t>
                      </w:r>
                    </w:p>
                  </w:txbxContent>
                </v:textbox>
              </v:shape>
            </w:pict>
          </mc:Fallback>
        </mc:AlternateContent>
      </w:r>
      <w:r>
        <w:rPr>
          <w:rFonts w:hint="eastAsia" w:ascii="宋体" w:hAnsi="宋体" w:cs="宋体"/>
          <w:color w:val="auto"/>
          <w:kern w:val="0"/>
          <w:szCs w:val="21"/>
          <w:highlight w:val="none"/>
        </w:rPr>
        <w:t>造价工程师应在收到合同价款调增报告及相关资料之日起14天内对其核实，并予以确认或提出协商意见。造价工程师在收到合同价款调增报告之日起14天内未确认也未提出协商意见的，视为承包人提交的合同价款调增报告已被认可。造价工程师提出协商意见的，合同双方当事人应在承包人收到协商意见后的14天内进行协商确定；协商未能达成一致的，由造价工程师暂定调增的合同价款，通知承包人并抄报发包人。出现暂定结果的，只要不实质影响合同双方当事人履约的，合同双方当事人应实施该结果，直到其被改变为止。</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77.4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21760" behindDoc="0" locked="0" layoutInCell="1" allowOverlap="1">
                <wp:simplePos x="0" y="0"/>
                <wp:positionH relativeFrom="column">
                  <wp:posOffset>-114300</wp:posOffset>
                </wp:positionH>
                <wp:positionV relativeFrom="paragraph">
                  <wp:posOffset>34290</wp:posOffset>
                </wp:positionV>
                <wp:extent cx="1028700" cy="495300"/>
                <wp:effectExtent l="0" t="0" r="0" b="0"/>
                <wp:wrapNone/>
                <wp:docPr id="77" name="文本框 77"/>
                <wp:cNvGraphicFramePr/>
                <a:graphic xmlns:a="http://schemas.openxmlformats.org/drawingml/2006/main">
                  <a:graphicData uri="http://schemas.microsoft.com/office/word/2010/wordprocessingShape">
                    <wps:wsp>
                      <wps:cNvSpPr txBox="1">
                        <a:spLocks noChangeArrowheads="1"/>
                      </wps:cNvSpPr>
                      <wps:spPr bwMode="auto">
                        <a:xfrm>
                          <a:off x="0" y="0"/>
                          <a:ext cx="10287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39pt;width:81pt;z-index:252021760;mso-width-relative:page;mso-height-relative:page;" filled="f" stroked="f" coordsize="21600,21600" o:gfxdata="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piGEbVAAAACAEAAA8AAAAAAAAAAQAgAAAAIgAAAGRycy9kb3ducmV2&#10;LnhtbFBLAQIUABQAAAAIAIdO4kBrqqGB/wEAANc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调增价款的支</w:t>
                      </w:r>
                    </w:p>
                    <w:p>
                      <w:pPr>
                        <w:pStyle w:val="78"/>
                        <w:spacing w:line="200" w:lineRule="exact"/>
                        <w:rPr>
                          <w:rFonts w:ascii="楷体_GB2312"/>
                          <w:szCs w:val="18"/>
                        </w:rPr>
                      </w:pPr>
                      <w:r>
                        <w:rPr>
                          <w:rFonts w:hint="eastAsia" w:ascii="楷体_GB2312"/>
                          <w:szCs w:val="18"/>
                        </w:rPr>
                        <w:t>付</w:t>
                      </w:r>
                    </w:p>
                  </w:txbxContent>
                </v:textbox>
              </v:shape>
            </w:pict>
          </mc:Fallback>
        </mc:AlternateContent>
      </w:r>
      <w:r>
        <w:rPr>
          <w:rFonts w:hint="eastAsia" w:ascii="宋体" w:hAnsi="宋体" w:cs="宋体"/>
          <w:color w:val="auto"/>
          <w:kern w:val="0"/>
          <w:szCs w:val="21"/>
          <w:highlight w:val="none"/>
        </w:rPr>
        <w:t>经合同双方当事人确认或造价工程师暂定调增的合同价款，作为追加合同价款，与工程进度款或结算款同期支付。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77.5 </w:t>
      </w:r>
      <w:r>
        <w:rPr>
          <w:rFonts w:hint="eastAsia" w:ascii="宋体" w:hAnsi="宋体" w:cs="宋体"/>
          <w:b/>
          <w:color w:val="auto"/>
          <w:kern w:val="0"/>
          <w:szCs w:val="21"/>
          <w:highlight w:val="none"/>
          <w:u w:val="dotted"/>
        </w:rPr>
        <w:t xml:space="preserve">                                                                               </w:t>
      </w:r>
    </w:p>
    <w:p>
      <w:pPr>
        <w:adjustRightInd w:val="0"/>
        <w:snapToGrid w:val="0"/>
        <w:spacing w:line="360" w:lineRule="auto"/>
        <w:ind w:left="1606" w:leftChars="765" w:right="-238"/>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9712" behindDoc="0" locked="0" layoutInCell="1" allowOverlap="1">
                <wp:simplePos x="0" y="0"/>
                <wp:positionH relativeFrom="column">
                  <wp:posOffset>-66675</wp:posOffset>
                </wp:positionH>
                <wp:positionV relativeFrom="paragraph">
                  <wp:posOffset>5715</wp:posOffset>
                </wp:positionV>
                <wp:extent cx="1143000" cy="495300"/>
                <wp:effectExtent l="0" t="0" r="0" b="0"/>
                <wp:wrapNone/>
                <wp:docPr id="76" name="文本框 76"/>
                <wp:cNvGraphicFramePr/>
                <a:graphic xmlns:a="http://schemas.openxmlformats.org/drawingml/2006/main">
                  <a:graphicData uri="http://schemas.microsoft.com/office/word/2010/wordprocessingShape">
                    <wps:wsp>
                      <wps:cNvSpPr txBox="1">
                        <a:spLocks noChangeArrowheads="1"/>
                      </wps:cNvSpPr>
                      <wps:spPr bwMode="auto">
                        <a:xfrm>
                          <a:off x="0" y="0"/>
                          <a:ext cx="1143000" cy="49530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45pt;height:39pt;width:90pt;z-index:252019712;mso-width-relative:page;mso-height-relative:page;" filled="f" stroked="f" coordsize="21600,21600" o:gfxdata="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FmpeOdMAAAAHAQAADwAAAAAAAAABACAAAAAiAAAAZHJzL2Rvd25yZXYu&#10;eG1sUEsBAhQAFAAAAAgAh07iQAlTDqwAAgAA1wMAAA4AAAAAAAAAAQAgAAAAIg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合同价款调减</w:t>
                      </w:r>
                    </w:p>
                    <w:p>
                      <w:pPr>
                        <w:pStyle w:val="78"/>
                        <w:spacing w:line="200" w:lineRule="exact"/>
                        <w:rPr>
                          <w:rFonts w:ascii="楷体_GB2312"/>
                          <w:szCs w:val="18"/>
                        </w:rPr>
                      </w:pPr>
                      <w:r>
                        <w:rPr>
                          <w:rFonts w:hint="eastAsia" w:ascii="楷体_GB2312"/>
                          <w:szCs w:val="18"/>
                        </w:rPr>
                        <w:t>事件的处理</w:t>
                      </w:r>
                    </w:p>
                  </w:txbxContent>
                </v:textbox>
              </v:shape>
            </w:pict>
          </mc:Fallback>
        </mc:AlternateContent>
      </w:r>
      <w:r>
        <w:rPr>
          <w:rFonts w:hint="eastAsia" w:ascii="宋体" w:hAnsi="宋体" w:cs="宋体"/>
          <w:color w:val="auto"/>
          <w:kern w:val="0"/>
          <w:szCs w:val="21"/>
          <w:highlight w:val="none"/>
        </w:rPr>
        <w:t>出现合同价款调减事件时，发包人可按照本条规定的时限和要求，向承包人提交合同价款调减报告以及调减的金额，但调减部分金额应按照实际调减金额乘以承包人报价浮动率计算。</w:t>
      </w:r>
    </w:p>
    <w:p>
      <w:pPr>
        <w:adjustRightInd w:val="0"/>
        <w:snapToGrid w:val="0"/>
        <w:ind w:left="1423" w:right="-238" w:hanging="1423" w:hangingChars="675"/>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spacing w:line="360" w:lineRule="auto"/>
        <w:ind w:left="1423" w:hanging="1423" w:hangingChars="675"/>
        <w:rPr>
          <w:rFonts w:ascii="宋体" w:hAnsi="宋体" w:cs="宋体"/>
          <w:b/>
          <w:color w:val="auto"/>
          <w:szCs w:val="21"/>
          <w:highlight w:val="none"/>
        </w:rPr>
      </w:pPr>
    </w:p>
    <w:p>
      <w:pPr>
        <w:spacing w:line="360" w:lineRule="auto"/>
        <w:rPr>
          <w:rFonts w:ascii="宋体" w:hAnsi="宋体" w:cs="宋体"/>
          <w:b/>
          <w:color w:val="auto"/>
          <w:szCs w:val="21"/>
          <w:highlight w:val="none"/>
        </w:rPr>
      </w:pPr>
      <w:r>
        <w:rPr>
          <w:rFonts w:hint="eastAsia" w:ascii="宋体" w:hAnsi="宋体" w:cs="宋体"/>
          <w:b/>
          <w:color w:val="auto"/>
          <w:szCs w:val="21"/>
          <w:highlight w:val="none"/>
        </w:rPr>
        <w:t>78  支付事项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3568" behindDoc="0" locked="0" layoutInCell="1" allowOverlap="1">
                <wp:simplePos x="0" y="0"/>
                <wp:positionH relativeFrom="column">
                  <wp:posOffset>-114300</wp:posOffset>
                </wp:positionH>
                <wp:positionV relativeFrom="paragraph">
                  <wp:posOffset>21590</wp:posOffset>
                </wp:positionV>
                <wp:extent cx="1143000" cy="314325"/>
                <wp:effectExtent l="0" t="0" r="0" b="0"/>
                <wp:wrapNone/>
                <wp:docPr id="75" name="文本框 75"/>
                <wp:cNvGraphicFramePr/>
                <a:graphic xmlns:a="http://schemas.openxmlformats.org/drawingml/2006/main">
                  <a:graphicData uri="http://schemas.microsoft.com/office/word/2010/wordprocessingShape">
                    <wps:wsp>
                      <wps:cNvSpPr txBox="1">
                        <a:spLocks noChangeArrowheads="1"/>
                      </wps:cNvSpPr>
                      <wps:spPr bwMode="auto">
                        <a:xfrm>
                          <a:off x="0" y="0"/>
                          <a:ext cx="1143000" cy="31432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支付工程款项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pt;height:24.75pt;width:90pt;z-index:252013568;mso-width-relative:page;mso-height-relative:page;" filled="f" stroked="f" coordsize="21600,21600" o:gfxdata="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WhfTL1QAAAAgBAAAPAAAAAAAAAAEAIAAAACIAAABkcnMvZG93bnJl&#10;di54bWxQSwECFAAUAAAACACHTuJAhrAjZQACAADXAwAADgAAAAAAAAABACAAAAAk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支付工程款项</w:t>
                      </w:r>
                    </w:p>
                  </w:txbxContent>
                </v:textbox>
              </v:shape>
            </w:pict>
          </mc:Fallback>
        </mc:AlternateContent>
      </w:r>
      <w:r>
        <w:rPr>
          <w:rFonts w:hint="eastAsia" w:ascii="宋体" w:hAnsi="宋体" w:cs="宋体"/>
          <w:color w:val="auto"/>
          <w:kern w:val="0"/>
          <w:szCs w:val="21"/>
          <w:highlight w:val="none"/>
        </w:rPr>
        <w:t>发包人应按照下列规定向承包人支付工程款及其他各种款项：</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(1)预付款按照第79条的规定支付；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(2)安全文明施工费按照第80条规定支付；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(3)进度款按照第81条的规定支付；</w:t>
      </w:r>
    </w:p>
    <w:p>
      <w:pPr>
        <w:adjustRightInd w:val="0"/>
        <w:snapToGrid w:val="0"/>
        <w:spacing w:line="360" w:lineRule="auto"/>
        <w:ind w:left="481" w:leftChars="229" w:firstLine="1155" w:firstLineChars="550"/>
        <w:rPr>
          <w:rFonts w:ascii="宋体" w:hAnsi="宋体" w:cs="宋体"/>
          <w:color w:val="auto"/>
          <w:kern w:val="0"/>
          <w:szCs w:val="21"/>
          <w:highlight w:val="none"/>
        </w:rPr>
      </w:pPr>
      <w:r>
        <w:rPr>
          <w:rFonts w:hint="eastAsia" w:ascii="宋体" w:hAnsi="宋体" w:cs="宋体"/>
          <w:color w:val="auto"/>
          <w:kern w:val="0"/>
          <w:szCs w:val="21"/>
          <w:highlight w:val="none"/>
        </w:rPr>
        <w:t>(4)结算款按照第83条的规定支付；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(5)质量保证金按照第84条的规定支付；</w:t>
      </w:r>
    </w:p>
    <w:p>
      <w:pPr>
        <w:adjustRightInd w:val="0"/>
        <w:snapToGrid w:val="0"/>
        <w:spacing w:line="360" w:lineRule="auto"/>
        <w:ind w:left="1079" w:leftChars="514" w:firstLine="630" w:firstLineChars="300"/>
        <w:rPr>
          <w:rFonts w:ascii="宋体" w:hAnsi="宋体" w:cs="宋体"/>
          <w:color w:val="auto"/>
          <w:kern w:val="0"/>
          <w:szCs w:val="21"/>
          <w:highlight w:val="none"/>
        </w:rPr>
      </w:pPr>
      <w:r>
        <w:rPr>
          <w:rFonts w:hint="eastAsia" w:ascii="宋体" w:hAnsi="宋体" w:cs="宋体"/>
          <w:color w:val="auto"/>
          <w:kern w:val="0"/>
          <w:szCs w:val="21"/>
          <w:highlight w:val="none"/>
        </w:rPr>
        <w:t>(6)最终清算款按照第85条的规定支付。</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4592" behindDoc="0" locked="0" layoutInCell="1" allowOverlap="1">
                <wp:simplePos x="0" y="0"/>
                <wp:positionH relativeFrom="column">
                  <wp:posOffset>-114300</wp:posOffset>
                </wp:positionH>
                <wp:positionV relativeFrom="paragraph">
                  <wp:posOffset>43815</wp:posOffset>
                </wp:positionV>
                <wp:extent cx="914400" cy="398145"/>
                <wp:effectExtent l="0" t="0" r="0" b="0"/>
                <wp:wrapNone/>
                <wp:docPr id="74" name="文本框 74"/>
                <wp:cNvGraphicFramePr/>
                <a:graphic xmlns:a="http://schemas.openxmlformats.org/drawingml/2006/main">
                  <a:graphicData uri="http://schemas.microsoft.com/office/word/2010/wordprocessingShape">
                    <wps:wsp>
                      <wps:cNvSpPr txBox="1">
                        <a:spLocks noChangeArrowheads="1"/>
                      </wps:cNvSpPr>
                      <wps:spPr bwMode="auto">
                        <a:xfrm>
                          <a:off x="0" y="0"/>
                          <a:ext cx="914400" cy="39814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延迟支付的利息计算</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45pt;height:31.35pt;width:72pt;z-index:252014592;mso-width-relative:page;mso-height-relative:page;" filled="f" stroked="f" coordsize="21600,21600" o:gfxdata="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uCdo9QAAAAIAQAADwAAAAAAAAABACAAAAAiAAAAZHJzL2Rvd25yZXYu&#10;eG1sUEsBAhQAFAAAAAgAh07iQAsl1Tz/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延迟支付的利息计算</w:t>
                      </w:r>
                    </w:p>
                  </w:txbxContent>
                </v:textbox>
              </v:shape>
            </w:pict>
          </mc:Fallback>
        </mc:AlternateContent>
      </w:r>
      <w:r>
        <w:rPr>
          <w:rFonts w:hint="eastAsia" w:ascii="宋体" w:hAnsi="宋体" w:cs="宋体"/>
          <w:color w:val="auto"/>
          <w:kern w:val="0"/>
          <w:szCs w:val="21"/>
          <w:highlight w:val="none"/>
        </w:rPr>
        <w:t>如果发包人延迟支付款项，则承包人有权按照专用条款约定的利率计算和得到利息。计息时间从应支付之日算起直到该笔延迟款额支付之日止。除专用条款另有约定外，利息的利率按照中国人民银行发布的同期同类贷款利率计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5616" behindDoc="0" locked="0" layoutInCell="1" allowOverlap="1">
                <wp:simplePos x="0" y="0"/>
                <wp:positionH relativeFrom="column">
                  <wp:posOffset>-114300</wp:posOffset>
                </wp:positionH>
                <wp:positionV relativeFrom="paragraph">
                  <wp:posOffset>4445</wp:posOffset>
                </wp:positionV>
                <wp:extent cx="914400" cy="438150"/>
                <wp:effectExtent l="0" t="0" r="0" b="0"/>
                <wp:wrapNone/>
                <wp:docPr id="73" name="文本框 73"/>
                <wp:cNvGraphicFramePr/>
                <a:graphic xmlns:a="http://schemas.openxmlformats.org/drawingml/2006/main">
                  <a:graphicData uri="http://schemas.microsoft.com/office/word/2010/wordprocessingShape">
                    <wps:wsp>
                      <wps:cNvSpPr txBox="1">
                        <a:spLocks noChangeArrowheads="1"/>
                      </wps:cNvSpPr>
                      <wps:spPr bwMode="auto">
                        <a:xfrm>
                          <a:off x="0" y="0"/>
                          <a:ext cx="914400" cy="43815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承包人提供支付凭证</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5pt;height:34.5pt;width:72pt;z-index:252015616;mso-width-relative:page;mso-height-relative:page;" filled="f" stroked="f" coordsize="21600,21600" o:gfxdata="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qu7otQAAAAHAQAADwAAAAAAAAABACAAAAAiAAAAZHJzL2Rvd25yZXYu&#10;eG1sUEsBAhQAFAAAAAgAh07iQCO4jFb/AQAA1gMAAA4AAAAAAAAAAQAgAAAAIwEAAGRycy9lMm9E&#10;b2MueG1sUEsFBgAAAAAGAAYAWQEAAJQFA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承包人提供支付凭证</w:t>
                      </w:r>
                    </w:p>
                  </w:txbxContent>
                </v:textbox>
              </v:shape>
            </w:pict>
          </mc:Fallback>
        </mc:AlternateContent>
      </w:r>
      <w:r>
        <w:rPr>
          <w:rFonts w:hint="eastAsia" w:ascii="宋体" w:hAnsi="宋体" w:cs="宋体"/>
          <w:color w:val="auto"/>
          <w:kern w:val="0"/>
          <w:szCs w:val="21"/>
          <w:highlight w:val="none"/>
        </w:rPr>
        <w:t>如果造价工程师有要求，承包人应向造价工程师提供其对雇员劳务工资、分包人已完工程款以及材料和工程设备供应商贷款的支付凭证。如果承包人未能提供上述凭证，视为承包人未向雇员、分包人、供应商支付相关款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78.4  </w:t>
      </w:r>
      <w:r>
        <w:rPr>
          <w:rFonts w:hint="eastAsia" w:ascii="宋体" w:hAnsi="宋体" w:cs="宋体"/>
          <w:b/>
          <w:color w:val="auto"/>
          <w:kern w:val="0"/>
          <w:szCs w:val="21"/>
          <w:highlight w:val="none"/>
          <w:u w:val="dotted"/>
        </w:rPr>
        <w:t xml:space="preserve">                                                                                                       </w:t>
      </w:r>
    </w:p>
    <w:p>
      <w:pPr>
        <w:adjustRightInd w:val="0"/>
        <w:snapToGrid w:val="0"/>
        <w:spacing w:line="420" w:lineRule="exact"/>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16640" behindDoc="0" locked="0" layoutInCell="1" allowOverlap="1">
                <wp:simplePos x="0" y="0"/>
                <wp:positionH relativeFrom="column">
                  <wp:posOffset>-114300</wp:posOffset>
                </wp:positionH>
                <wp:positionV relativeFrom="paragraph">
                  <wp:posOffset>22225</wp:posOffset>
                </wp:positionV>
                <wp:extent cx="914400" cy="504190"/>
                <wp:effectExtent l="0" t="0" r="0" b="0"/>
                <wp:wrapNone/>
                <wp:docPr id="72" name="文本框 72"/>
                <wp:cNvGraphicFramePr/>
                <a:graphic xmlns:a="http://schemas.openxmlformats.org/drawingml/2006/main">
                  <a:graphicData uri="http://schemas.microsoft.com/office/word/2010/wordprocessingShape">
                    <wps:wsp>
                      <wps:cNvSpPr txBox="1">
                        <a:spLocks noChangeArrowheads="1"/>
                      </wps:cNvSpPr>
                      <wps:spPr bwMode="auto">
                        <a:xfrm>
                          <a:off x="0" y="0"/>
                          <a:ext cx="914400" cy="504190"/>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承包人未按规定支付款项的限制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7pt;width:72pt;z-index:252016640;mso-width-relative:page;mso-height-relative:page;" filled="f" stroked="f" coordsize="21600,21600" o:gfxdata="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HVJ7KfVAAAACAEAAA8AAAAAAAAAAQAgAAAAIgAAAGRycy9kb3ducmV2&#10;LnhtbFBLAQIUABQAAAAIAIdO4kD1iPSA/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承包人未按规定支付款项的限制</w:t>
                      </w:r>
                    </w:p>
                  </w:txbxContent>
                </v:textbox>
              </v:shape>
            </w:pict>
          </mc:Fallback>
        </mc:AlternateContent>
      </w:r>
      <w:r>
        <w:rPr>
          <w:rFonts w:hint="eastAsia" w:ascii="宋体" w:hAnsi="宋体" w:cs="宋体"/>
          <w:color w:val="auto"/>
          <w:kern w:val="0"/>
          <w:szCs w:val="21"/>
          <w:highlight w:val="none"/>
        </w:rPr>
        <w:t>如果承包人未按照雇员劳务合同和政府有关规定支付雇员劳务工资，或未按照分包合同支付分包人工程款，或未按照购销合同支付材料和工程设备供应商货款，均视为承包人违约。若在造价工程师书面通知改正后的7天内，承包人仍未采取措施补救的，发包人可在不损害承包人其他权利的前提下，实施下列工作：</w:t>
      </w:r>
    </w:p>
    <w:p>
      <w:pPr>
        <w:numPr>
          <w:ilvl w:val="0"/>
          <w:numId w:val="29"/>
        </w:numPr>
        <w:tabs>
          <w:tab w:val="left" w:pos="2160"/>
        </w:tabs>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立即停止向承包人支付应付的款项；</w:t>
      </w:r>
    </w:p>
    <w:p>
      <w:pPr>
        <w:numPr>
          <w:ilvl w:val="0"/>
          <w:numId w:val="29"/>
        </w:numPr>
        <w:tabs>
          <w:tab w:val="left" w:pos="2160"/>
        </w:tabs>
        <w:adjustRightInd w:val="0"/>
        <w:snapToGrid w:val="0"/>
        <w:spacing w:line="420" w:lineRule="exact"/>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在相应支付期应付的工程款范围内，直接向雇员、分包人和材料设备供应商支付承包人应付的款项。</w:t>
      </w:r>
    </w:p>
    <w:p>
      <w:pPr>
        <w:adjustRightInd w:val="0"/>
        <w:snapToGrid w:val="0"/>
        <w:spacing w:line="420" w:lineRule="exact"/>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实施上述工作后的14天内应以书面形式通知承包人，抄送造价工程师。造价工程师在签发下期支付证书时，应扣除已由发包人直接支付的款项。由于上述工作原因发生的费用由承包人承担；给发包人造成损失的，承包人应予赔偿。</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79  预付款</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1696" behindDoc="0" locked="0" layoutInCell="1" allowOverlap="1">
                <wp:simplePos x="0" y="0"/>
                <wp:positionH relativeFrom="column">
                  <wp:posOffset>-114300</wp:posOffset>
                </wp:positionH>
                <wp:positionV relativeFrom="paragraph">
                  <wp:posOffset>226695</wp:posOffset>
                </wp:positionV>
                <wp:extent cx="1371600" cy="560705"/>
                <wp:effectExtent l="0" t="0" r="0" b="0"/>
                <wp:wrapNone/>
                <wp:docPr id="71" name="文本框 71"/>
                <wp:cNvGraphicFramePr/>
                <a:graphic xmlns:a="http://schemas.openxmlformats.org/drawingml/2006/main">
                  <a:graphicData uri="http://schemas.microsoft.com/office/word/2010/wordprocessingShape">
                    <wps:wsp>
                      <wps:cNvSpPr txBox="1">
                        <a:spLocks noChangeArrowheads="1"/>
                      </wps:cNvSpPr>
                      <wps:spPr bwMode="auto">
                        <a:xfrm>
                          <a:off x="0" y="0"/>
                          <a:ext cx="1371600" cy="5607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85pt;height:44.15pt;width:108pt;z-index:252061696;mso-width-relative:page;mso-height-relative:page;" filled="f" stroked="f" coordsize="21600,21600" o:gfxdata="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DIaP9/XAAAACgEAAA8AAAAAAAAAAQAgAAAAIgAAAGRycy9kb3du&#10;cmV2LnhtbFBLAQIUABQAAAAIAIdO4kBbBghpAAIAANcDAAAOAAAAAAAAAAEAIAAAACY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预付款的约定</w:t>
                      </w:r>
                    </w:p>
                    <w:p>
                      <w:pPr>
                        <w:pStyle w:val="78"/>
                        <w:spacing w:line="200" w:lineRule="exact"/>
                        <w:rPr>
                          <w:rFonts w:ascii="楷体_GB2312"/>
                          <w:szCs w:val="18"/>
                        </w:rPr>
                      </w:pPr>
                      <w:r>
                        <w:rPr>
                          <w:rFonts w:hint="eastAsia" w:ascii="楷体_GB2312"/>
                          <w:szCs w:val="18"/>
                        </w:rPr>
                        <w:t>及管理</w:t>
                      </w:r>
                    </w:p>
                  </w:txbxContent>
                </v:textbox>
              </v:shape>
            </w:pict>
          </mc:Fallback>
        </mc:AlternateContent>
      </w:r>
      <w:r>
        <w:rPr>
          <w:rFonts w:hint="eastAsia" w:ascii="宋体" w:hAnsi="宋体" w:cs="宋体"/>
          <w:b/>
          <w:color w:val="auto"/>
          <w:kern w:val="0"/>
          <w:szCs w:val="21"/>
          <w:highlight w:val="none"/>
        </w:rPr>
        <w:t xml:space="preserve">79.1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除专用条款另有约定外，合同双方当事人应约定预付款，并在专用条款中明确预付款金额、支付办法和抵扣方式。</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预付款专款专用，承包人应在财务账目中表明专用于为合同工程施工购置材料、工程设备、施工设备、修建临时设施以及组织施工队伍进场等所需的款项，不得挪作他用。除专用条款另有约定外，预付款的最高限额为合同价款的30%。</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0512" behindDoc="0" locked="0" layoutInCell="1" allowOverlap="1">
                <wp:simplePos x="0" y="0"/>
                <wp:positionH relativeFrom="column">
                  <wp:posOffset>-114300</wp:posOffset>
                </wp:positionH>
                <wp:positionV relativeFrom="paragraph">
                  <wp:posOffset>19685</wp:posOffset>
                </wp:positionV>
                <wp:extent cx="914400" cy="591185"/>
                <wp:effectExtent l="0" t="0" r="0" b="0"/>
                <wp:wrapNone/>
                <wp:docPr id="70" name="文本框 70"/>
                <wp:cNvGraphicFramePr/>
                <a:graphic xmlns:a="http://schemas.openxmlformats.org/drawingml/2006/main">
                  <a:graphicData uri="http://schemas.microsoft.com/office/word/2010/wordprocessingShape">
                    <wps:wsp>
                      <wps:cNvSpPr txBox="1">
                        <a:spLocks noChangeArrowheads="1"/>
                      </wps:cNvSpPr>
                      <wps:spPr bwMode="auto">
                        <a:xfrm>
                          <a:off x="0" y="0"/>
                          <a:ext cx="914400" cy="5911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预付款支付申请的提交、核实与支付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5pt;height:46.55pt;width:72pt;z-index:251840512;mso-width-relative:page;mso-height-relative:page;" filled="f" stroked="f" coordsize="21600,21600" o:gfxdata="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nifOTVAAAACAEAAA8AAAAAAAAAAQAgAAAAIgAAAGRycy9kb3ducmV2&#10;LnhtbFBLAQIUABQAAAAIAIdO4kAHeCS2/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预付款支付申请的提交、核实与支付</w:t>
                      </w:r>
                    </w:p>
                  </w:txbxContent>
                </v:textbox>
              </v:shape>
            </w:pict>
          </mc:Fallback>
        </mc:AlternateContent>
      </w:r>
      <w:r>
        <w:rPr>
          <w:rFonts w:hint="eastAsia" w:ascii="宋体" w:hAnsi="宋体" w:cs="宋体"/>
          <w:color w:val="auto"/>
          <w:kern w:val="0"/>
          <w:szCs w:val="21"/>
          <w:highlight w:val="none"/>
        </w:rPr>
        <w:t>承包人在完成下列工作后，应按照专用条款约定的期限内向造价工程师提交预付款支付申请，并抄送发包人。</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（1）签订本合同；</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（2）按照第28.1款规定提供履约担保；</w:t>
      </w:r>
    </w:p>
    <w:p>
      <w:pPr>
        <w:adjustRightInd w:val="0"/>
        <w:snapToGrid w:val="0"/>
        <w:spacing w:line="360" w:lineRule="auto"/>
        <w:ind w:firstLine="1417" w:firstLineChars="675"/>
        <w:rPr>
          <w:rFonts w:ascii="宋体" w:hAnsi="宋体" w:cs="宋体"/>
          <w:color w:val="auto"/>
          <w:kern w:val="0"/>
          <w:szCs w:val="21"/>
          <w:highlight w:val="none"/>
        </w:rPr>
      </w:pPr>
      <w:r>
        <w:rPr>
          <w:rFonts w:hint="eastAsia" w:ascii="宋体" w:hAnsi="宋体" w:cs="宋体"/>
          <w:color w:val="auto"/>
          <w:kern w:val="0"/>
          <w:szCs w:val="21"/>
          <w:highlight w:val="none"/>
        </w:rPr>
        <w:t>（3）向发包人提供与预付款等额的预付款保函的正本。</w:t>
      </w:r>
    </w:p>
    <w:p>
      <w:pPr>
        <w:adjustRightInd w:val="0"/>
        <w:snapToGrid w:val="0"/>
        <w:spacing w:line="360" w:lineRule="auto"/>
        <w:ind w:left="1619" w:leftChars="771" w:firstLine="2"/>
        <w:rPr>
          <w:rFonts w:ascii="宋体" w:hAnsi="宋体" w:cs="宋体"/>
          <w:color w:val="auto"/>
          <w:kern w:val="0"/>
          <w:szCs w:val="21"/>
          <w:highlight w:val="none"/>
        </w:rPr>
      </w:pPr>
      <w:r>
        <w:rPr>
          <w:rFonts w:hint="eastAsia" w:ascii="宋体" w:hAnsi="宋体" w:cs="宋体"/>
          <w:color w:val="auto"/>
          <w:kern w:val="0"/>
          <w:szCs w:val="21"/>
          <w:highlight w:val="none"/>
        </w:rPr>
        <w:t>造价工程师应对支付申请进行核实，并在收到支付申请后的7天内报发包人确认后向发包人发出支付证书，同时抄送承包人。</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发包人在造价工程师签发支付证书后的7天内向承包人支付预付款，并通知造价工程师。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41536"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9" name="文本框 69"/>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1841536;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zf4wzVAAAACAEAAA8AAAAAAAAAAQAgAAAAIgAAAGRycy9kb3ducmV2&#10;LnhtbFBLAQIUABQAAAAIAIdO4kBnclKX/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预付款支付的限制</w:t>
                      </w:r>
                    </w:p>
                  </w:txbxContent>
                </v:textbox>
              </v:shape>
            </w:pict>
          </mc:Fallback>
        </mc:AlternateContent>
      </w:r>
      <w:r>
        <w:rPr>
          <w:rFonts w:hint="eastAsia" w:ascii="宋体" w:hAnsi="宋体" w:cs="宋体"/>
          <w:color w:val="auto"/>
          <w:szCs w:val="21"/>
          <w:highlight w:val="none"/>
        </w:rPr>
        <w:t>发包人没有按时支付预付款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79.4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2560" behindDoc="0" locked="0" layoutInCell="1" allowOverlap="1">
                <wp:simplePos x="0" y="0"/>
                <wp:positionH relativeFrom="column">
                  <wp:posOffset>-114300</wp:posOffset>
                </wp:positionH>
                <wp:positionV relativeFrom="paragraph">
                  <wp:posOffset>46355</wp:posOffset>
                </wp:positionV>
                <wp:extent cx="1028700" cy="304165"/>
                <wp:effectExtent l="0" t="0" r="0" b="0"/>
                <wp:wrapNone/>
                <wp:docPr id="68" name="文本框 68"/>
                <wp:cNvGraphicFramePr/>
                <a:graphic xmlns:a="http://schemas.openxmlformats.org/drawingml/2006/main">
                  <a:graphicData uri="http://schemas.microsoft.com/office/word/2010/wordprocessingShape">
                    <wps:wsp>
                      <wps:cNvSpPr txBox="1">
                        <a:spLocks noChangeArrowheads="1"/>
                      </wps:cNvSpPr>
                      <wps:spPr bwMode="auto">
                        <a:xfrm>
                          <a:off x="0" y="0"/>
                          <a:ext cx="1028700" cy="30416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预付款的扣回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5pt;height:23.95pt;width:81pt;z-index:251842560;mso-width-relative:page;mso-height-relative:page;" filled="f" stroked="f" coordsize="21600,21600" o:gfxdata="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lxF3HWAAAACAEAAA8AAAAAAAAAAQAgAAAAIgAAAGRycy9kb3du&#10;cmV2LnhtbFBLAQIUABQAAAAIAIdO4kBIyelAAQIAANcDAAAOAAAAAAAAAAEAIAAAACUBAABkcnMv&#10;ZTJvRG9jLnhtbFBLBQYAAAAABgAGAFkBAACY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预付款的扣回</w:t>
                      </w:r>
                    </w:p>
                  </w:txbxContent>
                </v:textbox>
              </v:shape>
            </w:pict>
          </mc:Fallback>
        </mc:AlternateContent>
      </w:r>
      <w:r>
        <w:rPr>
          <w:rFonts w:hint="eastAsia" w:ascii="宋体" w:hAnsi="宋体" w:cs="宋体"/>
          <w:color w:val="auto"/>
          <w:kern w:val="0"/>
          <w:szCs w:val="21"/>
          <w:highlight w:val="none"/>
        </w:rPr>
        <w:t>预付款应从每支付期应支付给承包人的进度款中扣回，直到扣回的金额达到专用条款约定的预付款金额为止。造价工程师应依据专用条款约定的抵扣方式，在签发支付证书时从应支付给承包人的款项中扣回。</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79.5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3584" behindDoc="0" locked="0" layoutInCell="1" allowOverlap="1">
                <wp:simplePos x="0" y="0"/>
                <wp:positionH relativeFrom="column">
                  <wp:posOffset>-114300</wp:posOffset>
                </wp:positionH>
                <wp:positionV relativeFrom="paragraph">
                  <wp:posOffset>13335</wp:posOffset>
                </wp:positionV>
                <wp:extent cx="914400" cy="408305"/>
                <wp:effectExtent l="0" t="0" r="0" b="0"/>
                <wp:wrapNone/>
                <wp:docPr id="67" name="文本框 67"/>
                <wp:cNvGraphicFramePr/>
                <a:graphic xmlns:a="http://schemas.openxmlformats.org/drawingml/2006/main">
                  <a:graphicData uri="http://schemas.microsoft.com/office/word/2010/wordprocessingShape">
                    <wps:wsp>
                      <wps:cNvSpPr txBox="1">
                        <a:spLocks noChangeArrowheads="1"/>
                      </wps:cNvSpPr>
                      <wps:spPr bwMode="auto">
                        <a:xfrm>
                          <a:off x="0" y="0"/>
                          <a:ext cx="914400" cy="408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预付款保函的有效与退还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15pt;width:72pt;z-index:251843584;mso-width-relative:page;mso-height-relative:page;" filled="f" stroked="f" coordsize="21600,21600" o:gfxdata="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txRbXVAAAACAEAAA8AAAAAAAAAAQAgAAAAIgAAAGRycy9kb3ducmV2&#10;LnhtbFBLAQIUABQAAAAIAIdO4kD9/bus/wEAANYDAAAOAAAAAAAAAAEAIAAAACQBAABkcnMvZTJv&#10;RG9jLnhtbFBLBQYAAAAABgAGAFkBAACVBQ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预付款保函的有效与退还</w:t>
                      </w:r>
                    </w:p>
                  </w:txbxContent>
                </v:textbox>
              </v:shape>
            </w:pict>
          </mc:Fallback>
        </mc:AlternateContent>
      </w:r>
      <w:r>
        <w:rPr>
          <w:rFonts w:hint="eastAsia" w:ascii="宋体" w:hAnsi="宋体" w:cs="宋体"/>
          <w:color w:val="auto"/>
          <w:kern w:val="0"/>
          <w:szCs w:val="21"/>
          <w:highlight w:val="none"/>
        </w:rPr>
        <w:t>承包人应保持预付款保函在预付款全部扣回之前一直有效。发包人应在预付款扣完后的14天内将预付款保函退还承包人，并不得向承包人收取预付款的任何利息。</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80  安全文明施工费</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4608" behindDoc="0" locked="0" layoutInCell="1" allowOverlap="1">
                <wp:simplePos x="0" y="0"/>
                <wp:positionH relativeFrom="column">
                  <wp:posOffset>-114300</wp:posOffset>
                </wp:positionH>
                <wp:positionV relativeFrom="paragraph">
                  <wp:posOffset>17780</wp:posOffset>
                </wp:positionV>
                <wp:extent cx="1028700" cy="440055"/>
                <wp:effectExtent l="0" t="0" r="0" b="0"/>
                <wp:wrapNone/>
                <wp:docPr id="66" name="文本框 66"/>
                <wp:cNvGraphicFramePr/>
                <a:graphic xmlns:a="http://schemas.openxmlformats.org/drawingml/2006/main">
                  <a:graphicData uri="http://schemas.microsoft.com/office/word/2010/wordprocessingShape">
                    <wps:wsp>
                      <wps:cNvSpPr txBox="1">
                        <a:spLocks noChangeArrowheads="1"/>
                      </wps:cNvSpPr>
                      <wps:spPr bwMode="auto">
                        <a:xfrm>
                          <a:off x="0" y="0"/>
                          <a:ext cx="1028700" cy="44005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4pt;height:34.65pt;width:81pt;z-index:251844608;mso-width-relative:page;mso-height-relative:page;" filled="f" stroked="f" coordsize="21600,21600" o:gfxdata="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O2yIt1AAAAAgBAAAPAAAAAAAAAAEAIAAAACIAAABkcnMvZG93bnJl&#10;di54bWxQSwECFAAUAAAACACHTuJAcQ3THwECAADXAwAADgAAAAAAAAABACAAAAAj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内容、范围和</w:t>
                      </w:r>
                    </w:p>
                    <w:p>
                      <w:pPr>
                        <w:pStyle w:val="78"/>
                        <w:spacing w:line="200" w:lineRule="exact"/>
                        <w:rPr>
                          <w:rFonts w:ascii="楷体_GB2312"/>
                          <w:szCs w:val="18"/>
                        </w:rPr>
                      </w:pPr>
                      <w:r>
                        <w:rPr>
                          <w:rFonts w:hint="eastAsia" w:ascii="楷体_GB2312"/>
                          <w:szCs w:val="18"/>
                        </w:rPr>
                        <w:t>金额</w:t>
                      </w:r>
                    </w:p>
                  </w:txbxContent>
                </v:textbox>
              </v:shape>
            </w:pict>
          </mc:Fallback>
        </mc:AlternateContent>
      </w:r>
      <w:r>
        <w:rPr>
          <w:rFonts w:hint="eastAsia" w:ascii="宋体" w:hAnsi="宋体" w:cs="宋体"/>
          <w:color w:val="auto"/>
          <w:kern w:val="0"/>
          <w:szCs w:val="21"/>
          <w:highlight w:val="none"/>
        </w:rPr>
        <w:t>合同双方当事人应在专用条款中约定安全文明施工费的内容、范围和金额，并按照第45条规定实施安全文明施工。除专用条款另有约定外，安全文明施工费的内容和范围，应以现行广东省统一工程计价依据规定为准。</w:t>
      </w:r>
    </w:p>
    <w:p>
      <w:pPr>
        <w:adjustRightInd w:val="0"/>
        <w:snapToGrid w:val="0"/>
        <w:spacing w:line="360" w:lineRule="auto"/>
        <w:rPr>
          <w:rFonts w:ascii="宋体" w:hAnsi="宋体" w:cs="宋体"/>
          <w:color w:val="auto"/>
          <w:kern w:val="0"/>
          <w:szCs w:val="21"/>
          <w:highlight w:val="none"/>
          <w:u w:val="dotted"/>
        </w:rPr>
      </w:pPr>
      <w:r>
        <w:rPr>
          <w:rFonts w:hint="eastAsia" w:ascii="宋体" w:hAnsi="宋体" w:cs="宋体"/>
          <w:b/>
          <w:color w:val="auto"/>
          <w:kern w:val="0"/>
          <w:szCs w:val="21"/>
          <w:highlight w:val="none"/>
        </w:rPr>
        <w:t xml:space="preserve">80.2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3744" behindDoc="0" locked="0" layoutInCell="1" allowOverlap="1">
                <wp:simplePos x="0" y="0"/>
                <wp:positionH relativeFrom="column">
                  <wp:posOffset>-114300</wp:posOffset>
                </wp:positionH>
                <wp:positionV relativeFrom="paragraph">
                  <wp:posOffset>34290</wp:posOffset>
                </wp:positionV>
                <wp:extent cx="914400" cy="789305"/>
                <wp:effectExtent l="0" t="0" r="0" b="0"/>
                <wp:wrapNone/>
                <wp:docPr id="65" name="文本框 65"/>
                <wp:cNvGraphicFramePr/>
                <a:graphic xmlns:a="http://schemas.openxmlformats.org/drawingml/2006/main">
                  <a:graphicData uri="http://schemas.microsoft.com/office/word/2010/wordprocessingShape">
                    <wps:wsp>
                      <wps:cNvSpPr txBox="1">
                        <a:spLocks noChangeArrowheads="1"/>
                      </wps:cNvSpPr>
                      <wps:spPr bwMode="auto">
                        <a:xfrm>
                          <a:off x="0" y="0"/>
                          <a:ext cx="914400" cy="789305"/>
                        </a:xfrm>
                        <a:prstGeom prst="rect">
                          <a:avLst/>
                        </a:prstGeom>
                        <a:noFill/>
                        <a:ln>
                          <a:noFill/>
                        </a:ln>
                        <a:effectLst/>
                      </wps:spPr>
                      <wps:txbx>
                        <w:txbxContent>
                          <w:p>
                            <w:pPr>
                              <w:pStyle w:val="78"/>
                              <w:spacing w:line="200" w:lineRule="exact"/>
                              <w:rPr>
                                <w:rFonts w:ascii="楷体_GB2312"/>
                                <w:szCs w:val="18"/>
                              </w:rPr>
                            </w:pPr>
                            <w:r>
                              <w:rPr>
                                <w:rFonts w:hint="eastAsia" w:ascii="楷体_GB2312"/>
                                <w:szCs w:val="18"/>
                              </w:rPr>
                              <w:t>支付申请的提交与核实</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62.15pt;width:72pt;z-index:252063744;mso-width-relative:page;mso-height-relative:page;" filled="f" stroked="f" coordsize="21600,21600" o:gfxdata="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iReLH1gAAAAkBAAAPAAAAAAAAAAEAIAAAACIAAABkcnMvZG93bnJl&#10;di54bWxQSwECFAAUAAAACACHTuJAkTPRAv8BAADWAwAADgAAAAAAAAABACAAAAAlAQAAZHJzL2Uy&#10;b0RvYy54bWxQSwUGAAAAAAYABgBZAQAAlgUAAAAA&#10;">
                <v:fill on="f" focussize="0,0"/>
                <v:stroke on="f"/>
                <v:imagedata o:title=""/>
                <o:lock v:ext="edit" aspectratio="f"/>
                <v:textbox>
                  <w:txbxContent>
                    <w:p>
                      <w:pPr>
                        <w:pStyle w:val="78"/>
                        <w:spacing w:line="200" w:lineRule="exact"/>
                        <w:rPr>
                          <w:rFonts w:ascii="楷体_GB2312"/>
                          <w:szCs w:val="18"/>
                        </w:rPr>
                      </w:pPr>
                      <w:r>
                        <w:rPr>
                          <w:rFonts w:hint="eastAsia" w:ascii="楷体_GB2312"/>
                          <w:szCs w:val="18"/>
                        </w:rPr>
                        <w:t>支付申请的提交与核实</w:t>
                      </w:r>
                    </w:p>
                  </w:txbxContent>
                </v:textbox>
              </v:shape>
            </w:pict>
          </mc:Fallback>
        </mc:AlternateContent>
      </w:r>
      <w:r>
        <w:rPr>
          <w:rFonts w:hint="eastAsia" w:ascii="宋体" w:hAnsi="宋体" w:cs="宋体"/>
          <w:color w:val="auto"/>
          <w:kern w:val="0"/>
          <w:szCs w:val="21"/>
          <w:highlight w:val="none"/>
        </w:rPr>
        <w:t>专用条款没有约定的，承包人应在接到监理工程师按照第34.2款规定发出开工令后的7天内向造价工程师提交安全文明施工费支付申请，并抄送发包人。造价工程师应对支付申请进行核实，并在收到支付申请后的7天内报发包人确认后向发包人发出支付证书，同时抄送承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合同双方当事人应按照建设行政主管部门的规定，在专用条款中约定安全文明施工费的支付办法和抵扣方式。除专用条款另有约定外，</w:t>
      </w:r>
      <w:r>
        <w:rPr>
          <w:rFonts w:ascii="宋体" w:hAnsi="宋体" w:cs="宋体"/>
          <w:color w:val="auto"/>
          <w:kern w:val="0"/>
          <w:szCs w:val="21"/>
          <w:highlight w:val="none"/>
        </w:rPr>
        <mc:AlternateContent>
          <mc:Choice Requires="wps">
            <w:drawing>
              <wp:anchor distT="0" distB="0" distL="114300" distR="114300" simplePos="0" relativeHeight="252064768" behindDoc="0" locked="0" layoutInCell="1" allowOverlap="1">
                <wp:simplePos x="0" y="0"/>
                <wp:positionH relativeFrom="column">
                  <wp:posOffset>-114300</wp:posOffset>
                </wp:positionH>
                <wp:positionV relativeFrom="paragraph">
                  <wp:posOffset>71755</wp:posOffset>
                </wp:positionV>
                <wp:extent cx="1028700" cy="352425"/>
                <wp:effectExtent l="0" t="0" r="0" b="0"/>
                <wp:wrapNone/>
                <wp:docPr id="64" name="文本框 64"/>
                <wp:cNvGraphicFramePr/>
                <a:graphic xmlns:a="http://schemas.openxmlformats.org/drawingml/2006/main">
                  <a:graphicData uri="http://schemas.microsoft.com/office/word/2010/wordprocessingShape">
                    <wps:wsp>
                      <wps:cNvSpPr txBox="1">
                        <a:spLocks noChangeArrowheads="1"/>
                      </wps:cNvSpPr>
                      <wps:spPr bwMode="auto">
                        <a:xfrm>
                          <a:off x="0" y="0"/>
                          <a:ext cx="1028700" cy="35242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费用支付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65pt;height:27.75pt;width:81pt;z-index:252064768;mso-width-relative:page;mso-height-relative:page;" filled="f" stroked="f" coordsize="21600,21600" o:gfxdata="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gtd9UAAAAJAQAADwAAAAAAAAABACAAAAAiAAAAZHJzL2Rvd25y&#10;ZXYueG1sUEsBAhQAFAAAAAgAh07iQGvv22k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费用支付</w:t>
                      </w:r>
                    </w:p>
                  </w:txbxContent>
                </v:textbox>
              </v:shape>
            </w:pict>
          </mc:Fallback>
        </mc:AlternateContent>
      </w:r>
      <w:r>
        <w:rPr>
          <w:rFonts w:hint="eastAsia" w:ascii="宋体" w:hAnsi="宋体" w:cs="宋体"/>
          <w:color w:val="auto"/>
          <w:kern w:val="0"/>
          <w:szCs w:val="21"/>
          <w:highlight w:val="none"/>
        </w:rPr>
        <w:t>发包人应在造价工程师签发支付证书后的7天内向承包人支付安全文明施工费，并保证在工程开工后的28天内支付安全文明施工费金额的50%，同时通知造价工程师。剩余部分金额，自该支付款从每支付期应支付给承包人的进度款中扣完之日起，按照实际发生费用与进度款同期支付。</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9648" behindDoc="0" locked="0" layoutInCell="1" allowOverlap="1">
                <wp:simplePos x="0" y="0"/>
                <wp:positionH relativeFrom="column">
                  <wp:posOffset>-114300</wp:posOffset>
                </wp:positionH>
                <wp:positionV relativeFrom="paragraph">
                  <wp:posOffset>10795</wp:posOffset>
                </wp:positionV>
                <wp:extent cx="914400" cy="400685"/>
                <wp:effectExtent l="0" t="0" r="0" b="0"/>
                <wp:wrapNone/>
                <wp:docPr id="63" name="文本框 63"/>
                <wp:cNvGraphicFramePr/>
                <a:graphic xmlns:a="http://schemas.openxmlformats.org/drawingml/2006/main">
                  <a:graphicData uri="http://schemas.microsoft.com/office/word/2010/wordprocessingShape">
                    <wps:wsp>
                      <wps:cNvSpPr txBox="1">
                        <a:spLocks noChangeArrowheads="1"/>
                      </wps:cNvSpPr>
                      <wps:spPr bwMode="auto">
                        <a:xfrm>
                          <a:off x="0" y="0"/>
                          <a:ext cx="914400" cy="40068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支付限制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85pt;height:31.55pt;width:72pt;z-index:252059648;mso-width-relative:page;mso-height-relative:page;" filled="f" stroked="f" coordsize="21600,21600" o:gfxdata="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N/jDNUAAAAIAQAADwAAAAAAAAABACAAAAAiAAAAZHJzL2Rvd25yZXYu&#10;eG1sUEsBAhQAFAAAAAgAh07iQBslnSj+AQAA1gMAAA4AAAAAAAAAAQAgAAAAJAEAAGRycy9lMm9E&#10;b2MueG1sUEsFBgAAAAAGAAYAWQEAAJQ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支付限制</w:t>
                      </w:r>
                    </w:p>
                  </w:txbxContent>
                </v:textbox>
              </v:shape>
            </w:pict>
          </mc:Fallback>
        </mc:AlternateContent>
      </w:r>
      <w:r>
        <w:rPr>
          <w:rFonts w:hint="eastAsia" w:ascii="宋体" w:hAnsi="宋体" w:cs="宋体"/>
          <w:color w:val="auto"/>
          <w:szCs w:val="21"/>
          <w:highlight w:val="none"/>
        </w:rPr>
        <w:t>发包人没有按时支付安全文明施工费的，承包人应在付款期满后的10天向发包人发出要求支付的通知；发包人收到通知后仍不按要求支付，承包人可在发出通知14天后暂停施工。发包人应承担由此增加的费用和（或）延误的工期，并向承包人支付合理利润。</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80.5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5632" behindDoc="0" locked="0" layoutInCell="1" allowOverlap="1">
                <wp:simplePos x="0" y="0"/>
                <wp:positionH relativeFrom="column">
                  <wp:posOffset>-114300</wp:posOffset>
                </wp:positionH>
                <wp:positionV relativeFrom="paragraph">
                  <wp:posOffset>1905</wp:posOffset>
                </wp:positionV>
                <wp:extent cx="914400" cy="471170"/>
                <wp:effectExtent l="0" t="0" r="0" b="0"/>
                <wp:wrapNone/>
                <wp:docPr id="62" name="文本框 62"/>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宋体" w:hAnsi="宋体"/>
                              </w:rPr>
                            </w:pPr>
                            <w:r>
                              <w:rPr>
                                <w:rFonts w:hint="eastAsia" w:ascii="楷体_GB2312" w:hAnsi="宋体"/>
                                <w:b/>
                                <w:bCs/>
                                <w:sz w:val="18"/>
                                <w:szCs w:val="18"/>
                              </w:rPr>
                              <w:t>管理要求</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15pt;height:37.1pt;width:72pt;z-index:251845632;mso-width-relative:page;mso-height-relative:page;" filled="f" stroked="f" coordsize="21600,21600" o:gfxdata="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9w1MfVAAAABwEAAA8AAAAAAAAAAQAgAAAAIgAAAGRycy9kb3ducmV2&#10;LnhtbFBLAQIUABQAAAAIAIdO4kCsXeAx/wEAANYDAAAOAAAAAAAAAAEAIAAAACQBAABkcnMvZTJv&#10;RG9jLnhtbFBLBQYAAAAABgAGAFkBAACVBQAAAAA=&#10;">
                <v:fill on="f" focussize="0,0"/>
                <v:stroke on="f"/>
                <v:imagedata o:title=""/>
                <o:lock v:ext="edit" aspectratio="f"/>
                <v:textbox>
                  <w:txbxContent>
                    <w:p>
                      <w:pPr>
                        <w:spacing w:line="240" w:lineRule="exact"/>
                        <w:rPr>
                          <w:rFonts w:ascii="宋体" w:hAnsi="宋体"/>
                        </w:rPr>
                      </w:pPr>
                      <w:r>
                        <w:rPr>
                          <w:rFonts w:hint="eastAsia" w:ascii="楷体_GB2312" w:hAnsi="宋体"/>
                          <w:b/>
                          <w:bCs/>
                          <w:sz w:val="18"/>
                          <w:szCs w:val="18"/>
                        </w:rPr>
                        <w:t>管理要求</w:t>
                      </w:r>
                    </w:p>
                  </w:txbxContent>
                </v:textbox>
              </v:shape>
            </w:pict>
          </mc:Fallback>
        </mc:AlternateContent>
      </w:r>
      <w:r>
        <w:rPr>
          <w:rFonts w:hint="eastAsia" w:ascii="宋体" w:hAnsi="宋体" w:cs="宋体"/>
          <w:color w:val="auto"/>
          <w:kern w:val="0"/>
          <w:szCs w:val="21"/>
          <w:highlight w:val="none"/>
        </w:rPr>
        <w:t>安全文明施工费专款专用，承包人应在财务账目中单独列项备查，不得挪作他用，否则造价工程师有权责令其限期改正；逾期未改正的，可以责令其暂停施工，由此造成的损失和延误的工期由承包人承担。</w:t>
      </w:r>
    </w:p>
    <w:p>
      <w:pPr>
        <w:tabs>
          <w:tab w:val="left" w:pos="1620"/>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81  进度款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81.1</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6656" behindDoc="0" locked="0" layoutInCell="1" allowOverlap="1">
                <wp:simplePos x="0" y="0"/>
                <wp:positionH relativeFrom="column">
                  <wp:posOffset>-114300</wp:posOffset>
                </wp:positionH>
                <wp:positionV relativeFrom="paragraph">
                  <wp:posOffset>8255</wp:posOffset>
                </wp:positionV>
                <wp:extent cx="914400" cy="686435"/>
                <wp:effectExtent l="0" t="0" r="0" b="0"/>
                <wp:wrapNone/>
                <wp:docPr id="61" name="文本框 61"/>
                <wp:cNvGraphicFramePr/>
                <a:graphic xmlns:a="http://schemas.openxmlformats.org/drawingml/2006/main">
                  <a:graphicData uri="http://schemas.microsoft.com/office/word/2010/wordprocessingShape">
                    <wps:wsp>
                      <wps:cNvSpPr txBox="1">
                        <a:spLocks noChangeArrowheads="1"/>
                      </wps:cNvSpPr>
                      <wps:spPr bwMode="auto">
                        <a:xfrm>
                          <a:off x="0" y="0"/>
                          <a:ext cx="914400" cy="68643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约定支付期限和提交支付申请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4.05pt;width:72pt;z-index:251846656;mso-width-relative:page;mso-height-relative:page;" filled="f" stroked="f" coordsize="21600,21600" o:gfxdata="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JW8u/VAAAACQEAAA8AAAAAAAAAAQAgAAAAIgAAAGRycy9kb3ducmV2&#10;LnhtbFBLAQIUABQAAAAIAIdO4kBLnH2F/wEAANYDAAAOAAAAAAAAAAEAIAAAACQ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约定支付期限和提交支付申请</w:t>
                      </w:r>
                    </w:p>
                  </w:txbxContent>
                </v:textbox>
              </v:shape>
            </w:pict>
          </mc:Fallback>
        </mc:AlternateContent>
      </w:r>
      <w:r>
        <w:rPr>
          <w:rFonts w:hint="eastAsia" w:ascii="宋体" w:hAnsi="宋体" w:cs="宋体"/>
          <w:color w:val="auto"/>
          <w:kern w:val="0"/>
          <w:szCs w:val="21"/>
          <w:highlight w:val="none"/>
        </w:rPr>
        <w:t>合同双方当事人应在专用条款中明确进度款支付期的时限。专用条款没有约定的，支付期以月为单位。涉及政府投资资金的工程，支付期、支付方法等需调整的，应在专用条款中约定。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2720" behindDoc="0" locked="0" layoutInCell="1" allowOverlap="1">
                <wp:simplePos x="0" y="0"/>
                <wp:positionH relativeFrom="column">
                  <wp:posOffset>-228600</wp:posOffset>
                </wp:positionH>
                <wp:positionV relativeFrom="paragraph">
                  <wp:posOffset>9359900</wp:posOffset>
                </wp:positionV>
                <wp:extent cx="1409700" cy="597535"/>
                <wp:effectExtent l="0" t="0" r="0" b="0"/>
                <wp:wrapNone/>
                <wp:docPr id="60" name="文本框 60"/>
                <wp:cNvGraphicFramePr/>
                <a:graphic xmlns:a="http://schemas.openxmlformats.org/drawingml/2006/main">
                  <a:graphicData uri="http://schemas.microsoft.com/office/word/2010/wordprocessingShape">
                    <wps:wsp>
                      <wps:cNvSpPr txBox="1">
                        <a:spLocks noChangeArrowheads="1"/>
                      </wps:cNvSpPr>
                      <wps:spPr bwMode="auto">
                        <a:xfrm>
                          <a:off x="0" y="0"/>
                          <a:ext cx="1409700" cy="597535"/>
                        </a:xfrm>
                        <a:prstGeom prst="rect">
                          <a:avLst/>
                        </a:prstGeom>
                        <a:noFill/>
                        <a:ln>
                          <a:noFill/>
                        </a:ln>
                        <a:effectLst/>
                      </wps:spPr>
                      <wps:txb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8pt;margin-top:737pt;height:47.05pt;width:111pt;z-index:252062720;mso-width-relative:page;mso-height-relative:page;" filled="f" stroked="f" coordsize="21600,21600" o:gfxdata="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CYDi11wAAAA0BAAAPAAAAAAAAAAEAIAAAACIAAABkcnMvZG93&#10;bnJldi54bWxQSwECFAAUAAAACACHTuJAf2CUjQECAADXAwAADgAAAAAAAAABACAAAAAmAQAAZHJz&#10;L2Uyb0RvYy54bWxQSwUGAAAAAAYABgBZAQAAmQUAAAAA&#10;">
                <v:fill on="f" focussize="0,0"/>
                <v:stroke on="f"/>
                <v:imagedata o:title=""/>
                <o:lock v:ext="edit" aspectratio="f"/>
                <v:textbox>
                  <w:txbxContent>
                    <w:p>
                      <w:pPr>
                        <w:spacing w:line="240" w:lineRule="exact"/>
                        <w:rPr>
                          <w:b/>
                          <w:bCs/>
                          <w:sz w:val="18"/>
                          <w:szCs w:val="18"/>
                        </w:rPr>
                      </w:pPr>
                      <w:r>
                        <w:rPr>
                          <w:rFonts w:hint="eastAsia"/>
                          <w:b/>
                          <w:bCs/>
                          <w:sz w:val="18"/>
                          <w:szCs w:val="18"/>
                        </w:rPr>
                        <w:t>安全文明施工费</w:t>
                      </w:r>
                    </w:p>
                    <w:p>
                      <w:pPr>
                        <w:spacing w:line="240" w:lineRule="exact"/>
                        <w:rPr>
                          <w:b/>
                          <w:bCs/>
                          <w:sz w:val="18"/>
                          <w:szCs w:val="18"/>
                        </w:rPr>
                      </w:pPr>
                      <w:r>
                        <w:rPr>
                          <w:rFonts w:hint="eastAsia"/>
                          <w:b/>
                          <w:bCs/>
                          <w:sz w:val="18"/>
                          <w:szCs w:val="18"/>
                        </w:rPr>
                        <w:t>支付申请的提交、</w:t>
                      </w:r>
                    </w:p>
                    <w:p>
                      <w:pPr>
                        <w:spacing w:line="240" w:lineRule="exact"/>
                        <w:rPr>
                          <w:b/>
                          <w:bCs/>
                          <w:sz w:val="18"/>
                          <w:szCs w:val="18"/>
                        </w:rPr>
                      </w:pPr>
                      <w:r>
                        <w:rPr>
                          <w:rFonts w:hint="eastAsia"/>
                          <w:b/>
                          <w:bCs/>
                          <w:sz w:val="18"/>
                          <w:szCs w:val="18"/>
                        </w:rPr>
                        <w:t>核实与支付</w:t>
                      </w:r>
                    </w:p>
                    <w:p>
                      <w:pPr>
                        <w:rPr>
                          <w:b/>
                          <w:bCs/>
                          <w:sz w:val="18"/>
                          <w:szCs w:val="18"/>
                        </w:rPr>
                      </w:pPr>
                    </w:p>
                  </w:txbxContent>
                </v:textbox>
              </v:shape>
            </w:pict>
          </mc:Fallback>
        </mc:AlternateContent>
      </w:r>
      <w:r>
        <w:rPr>
          <w:rFonts w:hint="eastAsia" w:ascii="宋体" w:hAnsi="宋体" w:cs="宋体"/>
          <w:color w:val="auto"/>
          <w:kern w:val="0"/>
          <w:szCs w:val="21"/>
          <w:highlight w:val="none"/>
        </w:rPr>
        <w:t>承包人应在每个支付期结束后的7天内向造价工程师提交由承包人代表签署的支付申请和已完工程款额报告一式四份，详细说明此支付期间自己认为有权得到的款项，包括分包人已完工程款，同时抄送发包人。该支付申请的内容包括：</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已完工程款；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已实际支付的工程款；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本期间完成的计日工费用；</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本期间应支付的暂列金额价款；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根据第66条规定本期间应扣除的误期赔偿费；</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根据第68条至第76条规定本期间应支付的调整工程款；</w:t>
      </w:r>
    </w:p>
    <w:p>
      <w:pPr>
        <w:numPr>
          <w:ilvl w:val="0"/>
          <w:numId w:val="30"/>
        </w:num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根据第79条本期间应扣回的预付款；</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根据第80条规定本期间应支付或扣回的安全文明施工费；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根据第84条本期间应扣留的质量保证金；</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根据合同约定，本期间应支付或扣留（回）的其他款项；</w:t>
      </w:r>
    </w:p>
    <w:p>
      <w:pPr>
        <w:numPr>
          <w:ilvl w:val="0"/>
          <w:numId w:val="30"/>
        </w:numPr>
        <w:tabs>
          <w:tab w:val="left" w:pos="2160"/>
        </w:tabs>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本期间应支付的工程款。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7680" behindDoc="0" locked="0" layoutInCell="1" allowOverlap="1">
                <wp:simplePos x="0" y="0"/>
                <wp:positionH relativeFrom="column">
                  <wp:posOffset>-114300</wp:posOffset>
                </wp:positionH>
                <wp:positionV relativeFrom="paragraph">
                  <wp:posOffset>0</wp:posOffset>
                </wp:positionV>
                <wp:extent cx="914400" cy="670560"/>
                <wp:effectExtent l="0" t="0" r="0" b="0"/>
                <wp:wrapNone/>
                <wp:docPr id="59" name="文本框 59"/>
                <wp:cNvGraphicFramePr/>
                <a:graphic xmlns:a="http://schemas.openxmlformats.org/drawingml/2006/main">
                  <a:graphicData uri="http://schemas.microsoft.com/office/word/2010/wordprocessingShape">
                    <wps:wsp>
                      <wps:cNvSpPr txBox="1">
                        <a:spLocks noChangeArrowheads="1"/>
                      </wps:cNvSpPr>
                      <wps:spPr bwMode="auto">
                        <a:xfrm>
                          <a:off x="0" y="0"/>
                          <a:ext cx="914400" cy="67056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签发期中支付证书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pt;height:52.8pt;width:72pt;z-index:251847680;mso-width-relative:page;mso-height-relative:page;" filled="f" stroked="f" coordsize="21600,21600" o:gfxdata="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hSwnUAAAACAEAAA8AAAAAAAAAAQAgAAAAIgAAAGRycy9kb3ducmV2&#10;LnhtbFBLAQIUABQAAAAIAIdO4kCupVwQAAIAANYDAAAOAAAAAAAAAAEAIAAAACMBAABkcnMvZTJv&#10;RG9jLnhtbFBLBQYAAAAABgAGAFkBAACVBQ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签发期中支付证书</w:t>
                      </w:r>
                    </w:p>
                  </w:txbxContent>
                </v:textbox>
              </v:shape>
            </w:pict>
          </mc:Fallback>
        </mc:AlternateContent>
      </w:r>
      <w:r>
        <w:rPr>
          <w:rFonts w:hint="eastAsia" w:ascii="宋体" w:hAnsi="宋体" w:cs="宋体"/>
          <w:color w:val="auto"/>
          <w:kern w:val="0"/>
          <w:szCs w:val="21"/>
          <w:highlight w:val="none"/>
        </w:rPr>
        <w:t>造价工程师在收到上述资料后，应按照第62条的规定进行计量，并根据计量结果和合同约定对资料内容予以核实。在收到上述资料后的28天内报发包人确认后向发包人签发期中支付证书，同时抄送承包人。</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如果该支付期间应支付金额少于专用条款约定的期中支付证书的最低限额时，造价工程师不必按照本款开具任何支付证书，但应通知发包人和承包人。上述款额转期结算，直到应支付的款额累计达到专用条款约定的期中支付证书的最低限额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造价工程师签发期中支付证书，不应视为发包人已同意、批准或接受了承包人完成该部分工作。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8704" behindDoc="0" locked="0" layoutInCell="1" allowOverlap="1">
                <wp:simplePos x="0" y="0"/>
                <wp:positionH relativeFrom="column">
                  <wp:posOffset>-114300</wp:posOffset>
                </wp:positionH>
                <wp:positionV relativeFrom="paragraph">
                  <wp:posOffset>6350</wp:posOffset>
                </wp:positionV>
                <wp:extent cx="1028700" cy="267970"/>
                <wp:effectExtent l="0" t="0" r="0" b="0"/>
                <wp:wrapNone/>
                <wp:docPr id="58" name="文本框 58"/>
                <wp:cNvGraphicFramePr/>
                <a:graphic xmlns:a="http://schemas.openxmlformats.org/drawingml/2006/main">
                  <a:graphicData uri="http://schemas.microsoft.com/office/word/2010/wordprocessingShape">
                    <wps:wsp>
                      <wps:cNvSpPr txBox="1">
                        <a:spLocks noChangeArrowheads="1"/>
                      </wps:cNvSpPr>
                      <wps:spPr bwMode="auto">
                        <a:xfrm>
                          <a:off x="0" y="0"/>
                          <a:ext cx="1028700" cy="267970"/>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进度款支付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pt;height:21.1pt;width:81pt;z-index:251848704;mso-width-relative:page;mso-height-relative:page;" filled="f" stroked="f" coordsize="21600,21600" o:gfxdata="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GrMutQAAAAIAQAADwAAAAAAAAABACAAAAAiAAAAZHJzL2Rvd25y&#10;ZXYueG1sUEsBAhQAFAAAAAgAh07iQCOz19ACAgAA1wMAAA4AAAAAAAAAAQAgAAAAIw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进度款支付</w:t>
                      </w:r>
                    </w:p>
                  </w:txbxContent>
                </v:textbox>
              </v:shape>
            </w:pict>
          </mc:Fallback>
        </mc:AlternateContent>
      </w:r>
      <w:r>
        <w:rPr>
          <w:rFonts w:hint="eastAsia" w:ascii="宋体" w:hAnsi="宋体" w:cs="宋体"/>
          <w:color w:val="auto"/>
          <w:kern w:val="0"/>
          <w:szCs w:val="21"/>
          <w:highlight w:val="none"/>
        </w:rPr>
        <w:t>发包人应在造价工程师签发期中支付证书后的14天内，按照期中支付证书列明的金额向承包人支付进度款，并通知造价工程师。</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81.4</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49728" behindDoc="0" locked="0" layoutInCell="1" allowOverlap="1">
                <wp:simplePos x="0" y="0"/>
                <wp:positionH relativeFrom="column">
                  <wp:posOffset>-114300</wp:posOffset>
                </wp:positionH>
                <wp:positionV relativeFrom="paragraph">
                  <wp:posOffset>8255</wp:posOffset>
                </wp:positionV>
                <wp:extent cx="914400" cy="647700"/>
                <wp:effectExtent l="0" t="0" r="0" b="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914400" cy="647700"/>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51pt;width:72pt;z-index:251849728;mso-width-relative:page;mso-height-relative:page;" filled="f" stroked="f" coordsize="21600,21600" o:gfxdata="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Xfdny1QAAAAkBAAAPAAAAAAAAAAEAIAAAACIAAABkcnMvZG93bnJldi54&#10;bWxQSwECFAAUAAAACACHTuJAmf33H/0BAADWAwAADgAAAAAAAAABACAAAAAkAQAAZHJzL2Uyb0Rv&#10;Yy54bWxQSwUGAAAAAAYABgBZAQAAkwU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签发期中支付证书的限制</w:t>
                      </w:r>
                    </w:p>
                  </w:txbxContent>
                </v:textbox>
              </v:shape>
            </w:pict>
          </mc:Fallback>
        </mc:AlternateContent>
      </w:r>
      <w:r>
        <w:rPr>
          <w:rFonts w:hint="eastAsia" w:ascii="宋体" w:hAnsi="宋体" w:cs="宋体"/>
          <w:color w:val="auto"/>
          <w:kern w:val="0"/>
          <w:szCs w:val="21"/>
          <w:highlight w:val="none"/>
        </w:rPr>
        <w:t>如果造价工程师未在第81.2款规定的期限内签发期中支付证书的，则视为承包人提交的支付申请已被认可，承包人应及时向发包人发出要求支付的通知。发包人应在收到通知后的14天内，按照承包人支付申请列明的金额向承包人支付进度款。</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850752" behindDoc="0" locked="0" layoutInCell="1" allowOverlap="1">
                <wp:simplePos x="0" y="0"/>
                <wp:positionH relativeFrom="column">
                  <wp:posOffset>-114300</wp:posOffset>
                </wp:positionH>
                <wp:positionV relativeFrom="paragraph">
                  <wp:posOffset>12065</wp:posOffset>
                </wp:positionV>
                <wp:extent cx="914400" cy="647065"/>
                <wp:effectExtent l="0" t="0" r="0" b="0"/>
                <wp:wrapNone/>
                <wp:docPr id="56" name="文本框 56"/>
                <wp:cNvGraphicFramePr/>
                <a:graphic xmlns:a="http://schemas.openxmlformats.org/drawingml/2006/main">
                  <a:graphicData uri="http://schemas.microsoft.com/office/word/2010/wordprocessingShape">
                    <wps:wsp>
                      <wps:cNvSpPr txBox="1">
                        <a:spLocks noChangeArrowheads="1"/>
                      </wps:cNvSpPr>
                      <wps:spPr bwMode="auto">
                        <a:xfrm>
                          <a:off x="0" y="0"/>
                          <a:ext cx="914400" cy="647065"/>
                        </a:xfrm>
                        <a:prstGeom prst="rect">
                          <a:avLst/>
                        </a:prstGeom>
                        <a:noFill/>
                        <a:ln>
                          <a:noFill/>
                        </a:ln>
                        <a:effectLst/>
                      </wps:spPr>
                      <wps:txbx>
                        <w:txbxContent>
                          <w:p>
                            <w:pPr>
                              <w:jc w:val="left"/>
                              <w:rPr>
                                <w:rFonts w:ascii="楷体_GB2312" w:hAnsi="宋体"/>
                                <w:b/>
                                <w:bCs/>
                                <w:sz w:val="18"/>
                                <w:szCs w:val="18"/>
                              </w:rPr>
                            </w:pPr>
                            <w:r>
                              <w:rPr>
                                <w:rFonts w:hint="eastAsia" w:ascii="楷体_GB2312" w:hAnsi="宋体"/>
                                <w:b/>
                                <w:bCs/>
                                <w:sz w:val="18"/>
                                <w:szCs w:val="18"/>
                              </w:rPr>
                              <w:t>进度款支付的限制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50.95pt;width:72pt;z-index:251850752;mso-width-relative:page;mso-height-relative:page;" filled="f" stroked="f" coordsize="21600,21600" o:gfxdata="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pjGV7VAAAACQEAAA8AAAAAAAAAAQAgAAAAIgAAAGRycy9kb3ducmV2&#10;LnhtbFBLAQIUABQAAAAIAIdO4kDu6p4s/wEAANYDAAAOAAAAAAAAAAEAIAAAACQBAABkcnMvZTJv&#10;RG9jLnhtbFBLBQYAAAAABgAGAFkBAACVBQAAAAA=&#10;">
                <v:fill on="f" focussize="0,0"/>
                <v:stroke on="f"/>
                <v:imagedata o:title=""/>
                <o:lock v:ext="edit" aspectratio="f"/>
                <v:textbox>
                  <w:txbxContent>
                    <w:p>
                      <w:pPr>
                        <w:jc w:val="left"/>
                        <w:rPr>
                          <w:rFonts w:ascii="楷体_GB2312" w:hAnsi="宋体"/>
                          <w:b/>
                          <w:bCs/>
                          <w:sz w:val="18"/>
                          <w:szCs w:val="18"/>
                        </w:rPr>
                      </w:pPr>
                      <w:r>
                        <w:rPr>
                          <w:rFonts w:hint="eastAsia" w:ascii="楷体_GB2312" w:hAnsi="宋体"/>
                          <w:b/>
                          <w:bCs/>
                          <w:sz w:val="18"/>
                          <w:szCs w:val="18"/>
                        </w:rPr>
                        <w:t>进度款支付的限制</w:t>
                      </w:r>
                    </w:p>
                  </w:txbxContent>
                </v:textbox>
              </v:shape>
            </w:pict>
          </mc:Fallback>
        </mc:AlternateContent>
      </w:r>
      <w:r>
        <w:rPr>
          <w:rFonts w:hint="eastAsia" w:ascii="宋体" w:hAnsi="宋体" w:cs="宋体"/>
          <w:color w:val="auto"/>
          <w:szCs w:val="21"/>
          <w:highlight w:val="none"/>
        </w:rPr>
        <w:t>发包人未按照第81.3款和第81.4款规定支付进度款的，承包人应及时向发包人发出要求支付的通知；发包人收到通知后仍不按要求支付的，可与承包人协商签订延期支付协议，经承包人同意后可延期支付，承包人有权按照第78.2款规定获得延期支付的利息。</w:t>
      </w:r>
    </w:p>
    <w:p>
      <w:pPr>
        <w:adjustRightInd w:val="0"/>
        <w:snapToGrid w:val="0"/>
        <w:spacing w:line="360" w:lineRule="auto"/>
        <w:ind w:left="1640" w:leftChars="781"/>
        <w:rPr>
          <w:rFonts w:ascii="宋体" w:hAnsi="宋体" w:cs="宋体"/>
          <w:color w:val="auto"/>
          <w:szCs w:val="21"/>
          <w:highlight w:val="none"/>
        </w:rPr>
      </w:pPr>
      <w:r>
        <w:rPr>
          <w:rFonts w:hint="eastAsia" w:ascii="宋体" w:hAnsi="宋体" w:cs="宋体"/>
          <w:color w:val="auto"/>
          <w:szCs w:val="21"/>
          <w:highlight w:val="none"/>
        </w:rPr>
        <w:t>发包人未按照按照合同约定支付进度款，合同双方当事人又未达成延期支付协议，导致无法施工的，承包人可停止施工。发包人应承担由此增加的费用和（或）延误的工期，并向承包人支付合理利润。</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81.6</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2848" behindDoc="0" locked="0" layoutInCell="1" allowOverlap="1">
                <wp:simplePos x="0" y="0"/>
                <wp:positionH relativeFrom="column">
                  <wp:posOffset>-114300</wp:posOffset>
                </wp:positionH>
                <wp:positionV relativeFrom="paragraph">
                  <wp:posOffset>15875</wp:posOffset>
                </wp:positionV>
                <wp:extent cx="1028700" cy="266065"/>
                <wp:effectExtent l="0" t="0" r="0" b="0"/>
                <wp:wrapNone/>
                <wp:docPr id="55" name="文本框 55"/>
                <wp:cNvGraphicFramePr/>
                <a:graphic xmlns:a="http://schemas.openxmlformats.org/drawingml/2006/main">
                  <a:graphicData uri="http://schemas.microsoft.com/office/word/2010/wordprocessingShape">
                    <wps:wsp>
                      <wps:cNvSpPr txBox="1">
                        <a:spLocks noChangeArrowheads="1"/>
                      </wps:cNvSpPr>
                      <wps:spPr bwMode="auto">
                        <a:xfrm>
                          <a:off x="0" y="0"/>
                          <a:ext cx="1028700" cy="266065"/>
                        </a:xfrm>
                        <a:prstGeom prst="rect">
                          <a:avLst/>
                        </a:prstGeom>
                        <a:noFill/>
                        <a:ln>
                          <a:noFill/>
                        </a:ln>
                        <a:effectLst/>
                      </wps:spPr>
                      <wps:txbx>
                        <w:txbxContent>
                          <w:p>
                            <w:pPr>
                              <w:rPr>
                                <w:rFonts w:ascii="楷体_GB2312" w:hAnsi="宋体"/>
                                <w:b/>
                                <w:bCs/>
                                <w:sz w:val="18"/>
                                <w:szCs w:val="18"/>
                              </w:rPr>
                            </w:pPr>
                            <w:r>
                              <w:rPr>
                                <w:rFonts w:hint="eastAsia" w:ascii="楷体_GB2312" w:hAnsi="宋体"/>
                                <w:b/>
                                <w:bCs/>
                                <w:sz w:val="18"/>
                                <w:szCs w:val="18"/>
                              </w:rPr>
                              <w:t>修正支付证书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0.95pt;width:81pt;z-index:251982848;mso-width-relative:page;mso-height-relative:page;" filled="f" stroked="f" coordsize="21600,21600" o:gfxdata="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7nQVMdUAAAAIAQAADwAAAAAAAAABACAAAAAiAAAAZHJzL2Rvd25y&#10;ZXYueG1sUEsBAhQAFAAAAAgAh07iQHNwMbIBAgAA1wMAAA4AAAAAAAAAAQAgAAAAJAEAAGRycy9l&#10;Mm9Eb2MueG1sUEsFBgAAAAAGAAYAWQEAAJcFAAAAAA==&#10;">
                <v:fill on="f" focussize="0,0"/>
                <v:stroke on="f"/>
                <v:imagedata o:title=""/>
                <o:lock v:ext="edit" aspectratio="f"/>
                <v:textbox>
                  <w:txbxContent>
                    <w:p>
                      <w:pPr>
                        <w:rPr>
                          <w:rFonts w:ascii="楷体_GB2312" w:hAnsi="宋体"/>
                          <w:b/>
                          <w:bCs/>
                          <w:sz w:val="18"/>
                          <w:szCs w:val="18"/>
                        </w:rPr>
                      </w:pPr>
                      <w:r>
                        <w:rPr>
                          <w:rFonts w:hint="eastAsia" w:ascii="楷体_GB2312" w:hAnsi="宋体"/>
                          <w:b/>
                          <w:bCs/>
                          <w:sz w:val="18"/>
                          <w:szCs w:val="18"/>
                        </w:rPr>
                        <w:t>修正支付证书</w:t>
                      </w:r>
                    </w:p>
                  </w:txbxContent>
                </v:textbox>
              </v:shape>
            </w:pict>
          </mc:Fallback>
        </mc:AlternateContent>
      </w:r>
      <w:r>
        <w:rPr>
          <w:rFonts w:hint="eastAsia" w:ascii="宋体" w:hAnsi="宋体" w:cs="宋体"/>
          <w:color w:val="auto"/>
          <w:kern w:val="0"/>
          <w:szCs w:val="21"/>
          <w:highlight w:val="none"/>
        </w:rPr>
        <w:t>发现以前签发的任何支付证书有错、漏或重复的，造价工程师有权在期中支付证书中修正以前签发的任何支付证书，承包人也有权提出修正申请。经合同双方当事人复核同意修正的，应在该支付期的进度款中支付或扣除。如果合同工程或其任何部分没有达到质量要求，造价工程师有权按照合同约定处理，并在任何期中支付证书中扣除相应价款。</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spacing w:line="240" w:lineRule="exact"/>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1776" behindDoc="0" locked="0" layoutInCell="1" allowOverlap="1">
                <wp:simplePos x="0" y="0"/>
                <wp:positionH relativeFrom="column">
                  <wp:posOffset>-114300</wp:posOffset>
                </wp:positionH>
                <wp:positionV relativeFrom="paragraph">
                  <wp:posOffset>38735</wp:posOffset>
                </wp:positionV>
                <wp:extent cx="914400" cy="396240"/>
                <wp:effectExtent l="0" t="0" r="0" b="0"/>
                <wp:wrapNone/>
                <wp:docPr id="54" name="文本框 5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1.2pt;width:72pt;z-index:251851776;mso-width-relative:page;mso-height-relative:page;" filled="f" stroked="f" coordsize="21600,21600" o:gfxdata="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t5MpPCQssa7b4+7L792H3/ItjGA+qczznu3nFk6F9iz0Inst7d&#10;ovrohcWrGuxKXxJhV2soucFJzMyOUgccH0GW3RssuRCsAyagvqI2To/nIRidhdoexNF9EIqN55PZ&#10;bMwexa7n56fTW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wMFdQAAAAIAQAADwAAAAAAAAABACAAAAAiAAAAZHJzL2Rvd25yZXYu&#10;eG1sUEsBAhQAFAAAAAgAh07iQEHgNJb/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约定结算程序和期限</w:t>
                      </w:r>
                    </w:p>
                  </w:txbxContent>
                </v:textbox>
              </v:shape>
            </w:pict>
          </mc:Fallback>
        </mc:AlternateContent>
      </w:r>
      <w:r>
        <w:rPr>
          <w:rFonts w:hint="eastAsia" w:ascii="宋体" w:hAnsi="宋体" w:cs="宋体"/>
          <w:color w:val="auto"/>
          <w:kern w:val="0"/>
          <w:szCs w:val="21"/>
          <w:highlight w:val="none"/>
        </w:rPr>
        <w:t>合同双方当事人应按照国家标准《建设工程工程量清单计价规范》（GB50500-2008）规定在专用条款中明确办理竣工结算的程序和时限。专用条款没有约定的，竣工结算按照第82.2款至第82.5款规定办理。</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在办理竣工结算期间，发包人按照第78条规定应向承包人支付的工程款及其他款项不停止。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82.2  </w:t>
      </w:r>
      <w:r>
        <w:rPr>
          <w:rFonts w:hint="eastAsia" w:ascii="宋体" w:hAnsi="宋体" w:cs="宋体"/>
          <w:b/>
          <w:color w:val="auto"/>
          <w:kern w:val="0"/>
          <w:szCs w:val="21"/>
          <w:highlight w:val="none"/>
          <w:u w:val="dotted"/>
        </w:rPr>
        <w:t xml:space="preserve">                                                                                                       </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2800" behindDoc="0" locked="0" layoutInCell="1" allowOverlap="1">
                <wp:simplePos x="0" y="0"/>
                <wp:positionH relativeFrom="column">
                  <wp:posOffset>-114300</wp:posOffset>
                </wp:positionH>
                <wp:positionV relativeFrom="paragraph">
                  <wp:posOffset>23495</wp:posOffset>
                </wp:positionV>
                <wp:extent cx="914400" cy="459105"/>
                <wp:effectExtent l="0" t="0" r="0" b="0"/>
                <wp:wrapNone/>
                <wp:docPr id="53" name="文本框 53"/>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5pt;height:36.15pt;width:72pt;z-index:251852800;mso-width-relative:page;mso-height-relative:page;" filled="f" stroked="f" coordsize="21600,21600" o:gfxdata="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Qfx4rVAAAACAEAAA8AAAAAAAAAAQAgAAAAIgAAAGRycy9kb3ducmV2&#10;LnhtbFBLAQIUABQAAAAIAIdO4kAOnAmJ/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递交结算文件及其限制</w:t>
                      </w:r>
                    </w:p>
                  </w:txbxContent>
                </v:textbox>
              </v:shape>
            </w:pict>
          </mc:Fallback>
        </mc:AlternateContent>
      </w:r>
      <w:r>
        <w:rPr>
          <w:rFonts w:hint="eastAsia" w:ascii="宋体" w:hAnsi="宋体" w:cs="宋体"/>
          <w:color w:val="auto"/>
          <w:kern w:val="0"/>
          <w:szCs w:val="21"/>
          <w:highlight w:val="none"/>
        </w:rPr>
        <w:t>承包人应在提交竣工验收申请报告前编制完成竣工结算文件，并在提交竣工验收申请报告的同时向造价工程师递交竣工结算文件。</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在本款规定的时间内递交竣工结算文件，经发包人催促后仍未递交或没有明确答复的，造价工程师可根据自己掌握的资料编制竣工结算文件，在报经发包人批准后，作为办理竣工结算和支付结算款的依据，承包人应予以认可。</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3824" behindDoc="0" locked="0" layoutInCell="1" allowOverlap="1">
                <wp:simplePos x="0" y="0"/>
                <wp:positionH relativeFrom="column">
                  <wp:posOffset>-114300</wp:posOffset>
                </wp:positionH>
                <wp:positionV relativeFrom="paragraph">
                  <wp:posOffset>38735</wp:posOffset>
                </wp:positionV>
                <wp:extent cx="914400" cy="418465"/>
                <wp:effectExtent l="0" t="0" r="0" b="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914400" cy="4184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05pt;height:32.95pt;width:72pt;z-index:251853824;mso-width-relative:page;mso-height-relative:page;" filled="f" stroked="f" coordsize="21600,21600" o:gfxdata="UEsDBAoAAAAAAIdO4kAAAAAAAAAAAAAAAAAEAAAAZHJzL1BLAwQUAAAACACHTuJAsUJJ49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FCSePVAAAACAEAAA8AAAAAAAAAAQAgAAAAIgAAAGRycy9kb3ducmV2&#10;LnhtbFBLAQIUABQAAAAIAIdO4kCn9YGt/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核实结算文件及其限制</w:t>
                      </w:r>
                    </w:p>
                  </w:txbxContent>
                </v:textbox>
              </v:shape>
            </w:pict>
          </mc:Fallback>
        </mc:AlternateContent>
      </w:r>
      <w:r>
        <w:rPr>
          <w:rFonts w:hint="eastAsia" w:ascii="宋体" w:hAnsi="宋体" w:cs="宋体"/>
          <w:color w:val="auto"/>
          <w:kern w:val="0"/>
          <w:szCs w:val="21"/>
          <w:highlight w:val="none"/>
        </w:rPr>
        <w:t>造价工程师应在收到承包人按照第82.2款规定递交的竣工结算文件后的28天内予以核实，并向承包人提出完整的核实意见（包括进一步补充资料和修改结算文件），同时抄报发包人。承包人在收到核实意见后的28天内按照造价工程师提出的合理要求补充资料，修改竣工结算文件，并再次递交给造价工程师。</w:t>
      </w:r>
      <w:r>
        <w:rPr>
          <w:rFonts w:hint="eastAsia" w:ascii="宋体" w:hAnsi="宋体" w:cs="宋体"/>
          <w:color w:val="auto"/>
          <w:kern w:val="0"/>
          <w:szCs w:val="21"/>
          <w:highlight w:val="none"/>
        </w:rPr>
        <w:br w:type="textWrapping"/>
      </w:r>
      <w:r>
        <w:rPr>
          <w:rFonts w:hint="eastAsia" w:ascii="宋体" w:hAnsi="宋体" w:cs="宋体"/>
          <w:color w:val="auto"/>
          <w:kern w:val="0"/>
          <w:szCs w:val="21"/>
          <w:highlight w:val="none"/>
        </w:rPr>
        <w:t>造价工程师在收到竣工结算文件后的28天内，不核实竣工结算或未提出核实意见的，视为承包人递交的竣工结算已被认可。</w:t>
      </w:r>
    </w:p>
    <w:p>
      <w:pPr>
        <w:adjustRightInd w:val="0"/>
        <w:snapToGrid w:val="0"/>
        <w:spacing w:line="360" w:lineRule="auto"/>
        <w:ind w:left="1619" w:leftChars="771"/>
        <w:rPr>
          <w:rFonts w:ascii="宋体" w:hAnsi="宋体" w:cs="宋体"/>
          <w:color w:val="auto"/>
          <w:kern w:val="0"/>
          <w:szCs w:val="21"/>
          <w:highlight w:val="none"/>
          <w:u w:val="single"/>
        </w:rPr>
      </w:pPr>
      <w:r>
        <w:rPr>
          <w:rFonts w:hint="eastAsia" w:ascii="宋体" w:hAnsi="宋体" w:cs="宋体"/>
          <w:color w:val="auto"/>
          <w:kern w:val="0"/>
          <w:szCs w:val="21"/>
          <w:highlight w:val="none"/>
        </w:rPr>
        <w:t>承包人在收到造价工程师提出的核实意见后的28天内，不确认也未提出异议的，视为造价工程师提出的核实意见已被认可，竣工结算办理完毕。</w:t>
      </w:r>
    </w:p>
    <w:p>
      <w:pPr>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82.4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854848"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51" name="文本框 51"/>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1854848;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CxlbcN/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复核再次递交结算文件</w:t>
                      </w:r>
                    </w:p>
                  </w:txbxContent>
                </v:textbox>
              </v:shape>
            </w:pict>
          </mc:Fallback>
        </mc:AlternateContent>
      </w:r>
      <w:r>
        <w:rPr>
          <w:rFonts w:hint="eastAsia" w:ascii="宋体" w:hAnsi="宋体" w:cs="宋体"/>
          <w:color w:val="auto"/>
          <w:kern w:val="0"/>
          <w:szCs w:val="21"/>
          <w:highlight w:val="none"/>
        </w:rPr>
        <w:t>造价工程师应在收到承包人按照第82.3款规定再次递交的竣工结算文件后的28天内予以复核，并将复核结果通知承包人、抄报发包人。</w:t>
      </w:r>
    </w:p>
    <w:p>
      <w:pPr>
        <w:adjustRightInd w:val="0"/>
        <w:snapToGrid w:val="0"/>
        <w:spacing w:line="360" w:lineRule="auto"/>
        <w:ind w:left="1615"/>
        <w:rPr>
          <w:rFonts w:ascii="宋体" w:hAnsi="宋体" w:cs="宋体"/>
          <w:color w:val="auto"/>
          <w:kern w:val="0"/>
          <w:szCs w:val="21"/>
          <w:highlight w:val="none"/>
        </w:rPr>
      </w:pPr>
      <w:r>
        <w:rPr>
          <w:rFonts w:hint="eastAsia" w:ascii="宋体" w:hAnsi="宋体" w:cs="宋体"/>
          <w:color w:val="auto"/>
          <w:kern w:val="0"/>
          <w:szCs w:val="21"/>
          <w:highlight w:val="none"/>
        </w:rPr>
        <w:t>（1）经复核无误的，除属于第86条规定的争议外，发包人应在7天内在竣工结算文件上签字确认，竣工结算办理完毕。</w:t>
      </w:r>
    </w:p>
    <w:p>
      <w:pPr>
        <w:adjustRightInd w:val="0"/>
        <w:snapToGrid w:val="0"/>
        <w:spacing w:line="360" w:lineRule="auto"/>
        <w:ind w:left="1615"/>
        <w:rPr>
          <w:rFonts w:ascii="宋体" w:hAnsi="宋体" w:cs="宋体"/>
          <w:color w:val="auto"/>
          <w:kern w:val="0"/>
          <w:szCs w:val="21"/>
          <w:highlight w:val="none"/>
          <w:u w:val="single"/>
        </w:rPr>
      </w:pPr>
      <w:r>
        <w:rPr>
          <w:rFonts w:hint="eastAsia" w:ascii="宋体" w:hAnsi="宋体" w:cs="宋体"/>
          <w:color w:val="auto"/>
          <w:kern w:val="0"/>
          <w:szCs w:val="21"/>
          <w:highlight w:val="none"/>
        </w:rPr>
        <w:t>（2）经复核认为有误的：无误部分按照本款第(1)点规定办理不完全竣工结算；有误部分由造价工程师与合同双方当事人协商解决，或按照第86条规定处理。</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82.5</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5872"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50" name="文本框 5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1855872;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DMwle3/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交付工程</w:t>
                      </w:r>
                    </w:p>
                  </w:txbxContent>
                </v:textbox>
              </v:shape>
            </w:pict>
          </mc:Fallback>
        </mc:AlternateContent>
      </w:r>
      <w:r>
        <w:rPr>
          <w:rFonts w:hint="eastAsia" w:ascii="宋体" w:hAnsi="宋体" w:cs="宋体"/>
          <w:color w:val="auto"/>
          <w:kern w:val="0"/>
          <w:szCs w:val="21"/>
          <w:highlight w:val="none"/>
        </w:rPr>
        <w:t>发包人应在已核实无误的竣工结算文件上签名确认，拒不签认的，承包人可不交付竣工工程。</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承包人未及时递交竣工结算文件的，发包人要求交付竣工工程，承包人应当交付；发包人不要求交付竣工工程，承包人承担照管永久工程责任。</w:t>
      </w:r>
    </w:p>
    <w:p>
      <w:pPr>
        <w:adjustRightInd w:val="0"/>
        <w:snapToGrid w:val="0"/>
        <w:spacing w:line="240" w:lineRule="exact"/>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83.1 </w:t>
      </w:r>
      <w:r>
        <w:rPr>
          <w:rFonts w:hint="eastAsia" w:ascii="宋体" w:hAnsi="宋体" w:cs="宋体"/>
          <w:color w:val="auto"/>
          <w:kern w:val="0"/>
          <w:szCs w:val="21"/>
          <w:highlight w:val="none"/>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6096" behindDoc="0" locked="0" layoutInCell="1" allowOverlap="1">
                <wp:simplePos x="0" y="0"/>
                <wp:positionH relativeFrom="column">
                  <wp:posOffset>-114300</wp:posOffset>
                </wp:positionH>
                <wp:positionV relativeFrom="paragraph">
                  <wp:posOffset>36195</wp:posOffset>
                </wp:positionV>
                <wp:extent cx="914400" cy="459105"/>
                <wp:effectExtent l="0" t="0" r="0" b="0"/>
                <wp:wrapNone/>
                <wp:docPr id="49" name="文本框 49"/>
                <wp:cNvGraphicFramePr/>
                <a:graphic xmlns:a="http://schemas.openxmlformats.org/drawingml/2006/main">
                  <a:graphicData uri="http://schemas.microsoft.com/office/word/2010/wordprocessingShape">
                    <wps:wsp>
                      <wps:cNvSpPr txBox="1">
                        <a:spLocks noChangeArrowheads="1"/>
                      </wps:cNvSpPr>
                      <wps:spPr bwMode="auto">
                        <a:xfrm>
                          <a:off x="0" y="0"/>
                          <a:ext cx="914400" cy="4591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85pt;height:36.15pt;width:72pt;z-index:252036096;mso-width-relative:page;mso-height-relative:page;" filled="f" stroked="f" coordsize="21600,21600" o:gfxdata="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yr9J9UAAAAIAQAADwAAAAAAAAABACAAAAAiAAAAZHJzL2Rvd25yZXYu&#10;eG1sUEsBAhQAFAAAAAgAh07iQO0uaIn+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提交竣工支付申请</w:t>
                      </w:r>
                    </w:p>
                  </w:txbxContent>
                </v:textbox>
              </v:shape>
            </w:pict>
          </mc:Fallback>
        </mc:AlternateContent>
      </w:r>
      <w:r>
        <w:rPr>
          <w:rFonts w:hint="eastAsia" w:ascii="宋体" w:hAnsi="宋体" w:cs="宋体"/>
          <w:color w:val="auto"/>
          <w:kern w:val="0"/>
          <w:szCs w:val="21"/>
          <w:highlight w:val="none"/>
        </w:rPr>
        <w:t>合同双方当事人应在专用条款中明确结算款的支付时限。专用条款没有约定的，结算款支付按照第83.2款至第83.5款规定办理。涉及政府投资资金的工程,支付期、支付方法等需调整的，应在专用条款中约定。</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承包人应按照第82.2款规定在向造价工程师递交竣工结算文件时，根据国家、省规定的格式向造价工程师递交由承包人代表签认的竣工结算支付申请和竣工结算款额报告一式四份，并附上完整的结算资料，详细列出下列内容，同时抄送发包人、监理工程师各一份。</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（1）根据合同完成全部或所有工程的总造价；</w:t>
      </w:r>
    </w:p>
    <w:p>
      <w:pPr>
        <w:tabs>
          <w:tab w:val="left" w:pos="2641"/>
        </w:tabs>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（2）根据合同约定发包人应付的所有款项。</w:t>
      </w:r>
    </w:p>
    <w:p>
      <w:pPr>
        <w:tabs>
          <w:tab w:val="left" w:pos="2641"/>
        </w:tabs>
        <w:adjustRightInd w:val="0"/>
        <w:snapToGrid w:val="0"/>
        <w:spacing w:line="36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rPr>
        <w:t xml:space="preserve">83.2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2037120" behindDoc="0" locked="0" layoutInCell="1" allowOverlap="1">
                <wp:simplePos x="0" y="0"/>
                <wp:positionH relativeFrom="column">
                  <wp:posOffset>-114300</wp:posOffset>
                </wp:positionH>
                <wp:positionV relativeFrom="paragraph">
                  <wp:posOffset>15875</wp:posOffset>
                </wp:positionV>
                <wp:extent cx="914400" cy="718185"/>
                <wp:effectExtent l="0" t="0" r="0" b="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914400" cy="71818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6.55pt;width:72pt;z-index:252037120;mso-width-relative:page;mso-height-relative:page;" filled="f" stroked="f" coordsize="21600,21600" o:gfxdata="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GQgC7WAAAACQEAAA8AAAAAAAAAAQAgAAAAIgAAAGRycy9kb3ducmV2&#10;LnhtbFBLAQIUABQAAAAIAIdO4kAHvFuO/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签发竣工结算支付证书</w:t>
                      </w:r>
                    </w:p>
                  </w:txbxContent>
                </v:textbox>
              </v:shape>
            </w:pict>
          </mc:Fallback>
        </mc:AlternateContent>
      </w:r>
      <w:r>
        <w:rPr>
          <w:rFonts w:hint="eastAsia" w:ascii="宋体" w:hAnsi="宋体" w:cs="宋体"/>
          <w:color w:val="auto"/>
          <w:kern w:val="0"/>
          <w:szCs w:val="21"/>
          <w:highlight w:val="none"/>
        </w:rPr>
        <w:t>造价工程师在收到上述资料后，应按照第82.3款、第82.4款规定核实竣工结算文件，并在发包人签字确认竣工结算文件后的7天内，向发包人签发竣工结算支付证书，同时抄送承包人。</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83.3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8144" behindDoc="0" locked="0" layoutInCell="1" allowOverlap="1">
                <wp:simplePos x="0" y="0"/>
                <wp:positionH relativeFrom="column">
                  <wp:posOffset>-114300</wp:posOffset>
                </wp:positionH>
                <wp:positionV relativeFrom="paragraph">
                  <wp:posOffset>5715</wp:posOffset>
                </wp:positionV>
                <wp:extent cx="914400" cy="396240"/>
                <wp:effectExtent l="0" t="0" r="0" b="0"/>
                <wp:wrapNone/>
                <wp:docPr id="47" name="文本框 4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45pt;height:31.2pt;width:72pt;z-index:252038144;mso-width-relative:page;mso-height-relative:page;" filled="f" stroked="f" coordsize="21600,21600" o:gfxdata="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RApqXVAAAABwEAAA8AAAAAAAAAAQAgAAAAIgAAAGRycy9kb3ducmV2&#10;LnhtbFBLAQIUABQAAAAIAIdO4kCLnheq/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w:t>
                      </w:r>
                    </w:p>
                  </w:txbxContent>
                </v:textbox>
              </v:shape>
            </w:pict>
          </mc:Fallback>
        </mc:AlternateContent>
      </w:r>
      <w:r>
        <w:rPr>
          <w:rFonts w:hint="eastAsia" w:ascii="宋体" w:hAnsi="宋体" w:cs="宋体"/>
          <w:color w:val="auto"/>
          <w:kern w:val="0"/>
          <w:szCs w:val="21"/>
          <w:highlight w:val="none"/>
        </w:rPr>
        <w:t>发包人应在造价工程师签发竣工结算支付证书后的28天内，按照竣工结算支付证书列明的金额向承包人支付结算款，并通知造价工程师。</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83.4  </w:t>
      </w:r>
      <w:r>
        <w:rPr>
          <w:rFonts w:hint="eastAsia" w:ascii="宋体" w:hAnsi="宋体" w:cs="宋体"/>
          <w:b/>
          <w:color w:val="auto"/>
          <w:kern w:val="0"/>
          <w:szCs w:val="21"/>
          <w:highlight w:val="none"/>
          <w:u w:val="dotted"/>
        </w:rPr>
        <w:t xml:space="preserve">                                                                                                        </w:t>
      </w:r>
    </w:p>
    <w:p>
      <w:pPr>
        <w:adjustRightInd w:val="0"/>
        <w:snapToGrid w:val="0"/>
        <w:spacing w:line="360" w:lineRule="auto"/>
        <w:ind w:left="1678" w:leftChars="799" w:firstLine="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40192" behindDoc="0" locked="0" layoutInCell="1" allowOverlap="1">
                <wp:simplePos x="0" y="0"/>
                <wp:positionH relativeFrom="column">
                  <wp:posOffset>-66675</wp:posOffset>
                </wp:positionH>
                <wp:positionV relativeFrom="paragraph">
                  <wp:posOffset>12065</wp:posOffset>
                </wp:positionV>
                <wp:extent cx="1047750" cy="829310"/>
                <wp:effectExtent l="0" t="0" r="0" b="0"/>
                <wp:wrapNone/>
                <wp:docPr id="46" name="文本框 46"/>
                <wp:cNvGraphicFramePr/>
                <a:graphic xmlns:a="http://schemas.openxmlformats.org/drawingml/2006/main">
                  <a:graphicData uri="http://schemas.microsoft.com/office/word/2010/wordprocessingShape">
                    <wps:wsp>
                      <wps:cNvSpPr txBox="1">
                        <a:spLocks noChangeArrowheads="1"/>
                      </wps:cNvSpPr>
                      <wps:spPr bwMode="auto">
                        <a:xfrm>
                          <a:off x="0" y="0"/>
                          <a:ext cx="1047750" cy="8293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95pt;height:65.3pt;width:82.5pt;z-index:252040192;mso-width-relative:page;mso-height-relative:page;" filled="f" stroked="f" coordsize="21600,21600" o:gfxdata="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9NBqndUAAAAJAQAADwAAAAAAAAABACAAAAAiAAAAZHJzL2Rvd25y&#10;ZXYueG1sUEsBAhQAFAAAAAgAh07iQLeNGx8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签发竣工结算</w:t>
                      </w:r>
                    </w:p>
                    <w:p>
                      <w:pPr>
                        <w:spacing w:line="240" w:lineRule="exact"/>
                        <w:rPr>
                          <w:rFonts w:ascii="楷体_GB2312" w:hAnsi="宋体"/>
                          <w:b/>
                          <w:bCs/>
                          <w:sz w:val="18"/>
                          <w:szCs w:val="18"/>
                        </w:rPr>
                      </w:pPr>
                      <w:r>
                        <w:rPr>
                          <w:rFonts w:hint="eastAsia" w:ascii="楷体_GB2312" w:hAnsi="宋体"/>
                          <w:b/>
                          <w:bCs/>
                          <w:sz w:val="18"/>
                          <w:szCs w:val="18"/>
                        </w:rPr>
                        <w:t>支付证书的限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color w:val="auto"/>
          <w:kern w:val="0"/>
          <w:szCs w:val="21"/>
          <w:highlight w:val="none"/>
        </w:rPr>
        <w:t>如果造价工程师未在第83.2款规定的期限内签发竣工结算支付证书的，则视为承包人提交的竣工支付申请已被认可，承包人应及时向发包人发出要求支付竣工结算款的通知。发包人应在收到通知后的28天内，按照承包人支付申请列明的金额向承包人支付竣工结算款。</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83.5  </w:t>
      </w:r>
      <w:r>
        <w:rPr>
          <w:rFonts w:hint="eastAsia" w:ascii="宋体" w:hAnsi="宋体" w:cs="宋体"/>
          <w:b/>
          <w:color w:val="auto"/>
          <w:kern w:val="0"/>
          <w:szCs w:val="21"/>
          <w:highlight w:val="none"/>
          <w:u w:val="dotted"/>
        </w:rPr>
        <w:t xml:space="preserve">                                                                                                        </w:t>
      </w:r>
    </w:p>
    <w:p>
      <w:pPr>
        <w:adjustRightInd w:val="0"/>
        <w:snapToGrid w:val="0"/>
        <w:spacing w:line="360" w:lineRule="auto"/>
        <w:ind w:left="1680" w:leftChars="800"/>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39168" behindDoc="0" locked="0" layoutInCell="1" allowOverlap="1">
                <wp:simplePos x="0" y="0"/>
                <wp:positionH relativeFrom="column">
                  <wp:posOffset>-114300</wp:posOffset>
                </wp:positionH>
                <wp:positionV relativeFrom="paragraph">
                  <wp:posOffset>58420</wp:posOffset>
                </wp:positionV>
                <wp:extent cx="914400" cy="407670"/>
                <wp:effectExtent l="0" t="0" r="0" b="0"/>
                <wp:wrapNone/>
                <wp:docPr id="45" name="文本框 45"/>
                <wp:cNvGraphicFramePr/>
                <a:graphic xmlns:a="http://schemas.openxmlformats.org/drawingml/2006/main">
                  <a:graphicData uri="http://schemas.microsoft.com/office/word/2010/wordprocessingShape">
                    <wps:wsp>
                      <wps:cNvSpPr txBox="1">
                        <a:spLocks noChangeArrowheads="1"/>
                      </wps:cNvSpPr>
                      <wps:spPr bwMode="auto">
                        <a:xfrm>
                          <a:off x="0" y="0"/>
                          <a:ext cx="9144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6pt;height:32.1pt;width:72pt;z-index:252039168;mso-width-relative:page;mso-height-relative:page;" filled="f" stroked="f" coordsize="21600,21600" o:gfxdata="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yzLj1gAAAAgBAAAPAAAAAAAAAAEAIAAAACIAAABkcnMvZG93bnJl&#10;di54bWxQSwECFAAUAAAACACHTuJAV+Qp/P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竣工结算款支付的限制</w:t>
                      </w:r>
                    </w:p>
                  </w:txbxContent>
                </v:textbox>
              </v:shape>
            </w:pict>
          </mc:Fallback>
        </mc:AlternateContent>
      </w:r>
      <w:r>
        <w:rPr>
          <w:rFonts w:hint="eastAsia" w:ascii="宋体" w:hAnsi="宋体" w:cs="宋体"/>
          <w:color w:val="auto"/>
          <w:kern w:val="0"/>
          <w:szCs w:val="21"/>
          <w:highlight w:val="none"/>
        </w:rPr>
        <w:t>发包人未按照第83.3款和第83.4款规定支付竣工结算款的，承包人可催告发包人支付竣工结算款，如双方达成延期支付协议，承包人有权按照第78.2款规定获得延期支付的利息。</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发包人在收到竣工结算支付证书后的56天内仍未支付竣工结算款，合同双方当事人又未达成延期支付协议的，除法律另有规定外，承包人可与发包人协商将该永久工程折价，也可直接向人民法院申请将该永久工程依法拍卖。承包人就该永久工程折价或拍卖的价款优先受偿。</w:t>
      </w:r>
    </w:p>
    <w:p>
      <w:pPr>
        <w:adjustRightInd w:val="0"/>
        <w:snapToGrid w:val="0"/>
        <w:spacing w:line="360" w:lineRule="auto"/>
        <w:rPr>
          <w:rFonts w:ascii="宋体" w:hAnsi="宋体" w:cs="宋体"/>
          <w:b/>
          <w:bCs/>
          <w:color w:val="auto"/>
          <w:kern w:val="0"/>
          <w:szCs w:val="21"/>
          <w:highlight w:val="none"/>
          <w:u w:val="single"/>
        </w:rPr>
      </w:pPr>
      <w:r>
        <w:rPr>
          <w:rFonts w:hint="eastAsia" w:ascii="宋体" w:hAnsi="宋体" w:cs="宋体"/>
          <w:b/>
          <w:color w:val="auto"/>
          <w:kern w:val="0"/>
          <w:szCs w:val="21"/>
          <w:highlight w:val="none"/>
          <w:u w:val="single"/>
        </w:rPr>
        <w:t xml:space="preserve">  </w:t>
      </w:r>
      <w:r>
        <w:rPr>
          <w:rFonts w:hint="eastAsia" w:ascii="宋体" w:hAnsi="宋体" w:cs="宋体"/>
          <w:b/>
          <w:bCs/>
          <w:color w:val="auto"/>
          <w:kern w:val="0"/>
          <w:szCs w:val="21"/>
          <w:highlight w:val="none"/>
          <w:u w:val="single"/>
        </w:rPr>
        <w:t xml:space="preserve">                </w:t>
      </w:r>
      <w:r>
        <w:rPr>
          <w:rFonts w:hint="eastAsia" w:ascii="宋体" w:hAnsi="宋体" w:cs="宋体"/>
          <w:b/>
          <w:color w:val="auto"/>
          <w:kern w:val="0"/>
          <w:szCs w:val="21"/>
          <w:highlight w:val="none"/>
          <w:u w:val="single"/>
        </w:rPr>
        <w:t xml:space="preserve">                                                                                            </w:t>
      </w:r>
    </w:p>
    <w:p>
      <w:pPr>
        <w:tabs>
          <w:tab w:val="left" w:pos="1620"/>
        </w:tabs>
        <w:spacing w:before="100" w:line="360" w:lineRule="auto"/>
        <w:rPr>
          <w:rFonts w:ascii="宋体" w:hAnsi="宋体" w:cs="宋体"/>
          <w:b/>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84  质量保证金</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6896" behindDoc="0" locked="0" layoutInCell="1" allowOverlap="1">
                <wp:simplePos x="0" y="0"/>
                <wp:positionH relativeFrom="column">
                  <wp:posOffset>-114300</wp:posOffset>
                </wp:positionH>
                <wp:positionV relativeFrom="paragraph">
                  <wp:posOffset>8255</wp:posOffset>
                </wp:positionV>
                <wp:extent cx="914400" cy="396240"/>
                <wp:effectExtent l="0" t="0" r="0" b="0"/>
                <wp:wrapNone/>
                <wp:docPr id="44" name="文本框 44"/>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1.2pt;width:72pt;z-index:251856896;mso-width-relative:page;mso-height-relative:page;" filled="f" stroked="f" coordsize="21600,21600" o:gfxdata="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a3aJbVAAAACAEAAA8AAAAAAAAAAQAgAAAAIgAAAGRycy9kb3ducmV2&#10;LnhtbFBLAQIUABQAAAAIAIdO4kDeBZo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质量保证金的用途和限制</w:t>
                      </w:r>
                    </w:p>
                  </w:txbxContent>
                </v:textbox>
              </v:shape>
            </w:pict>
          </mc:Fallback>
        </mc:AlternateContent>
      </w:r>
      <w:r>
        <w:rPr>
          <w:rFonts w:hint="eastAsia" w:ascii="宋体" w:hAnsi="宋体" w:cs="宋体"/>
          <w:color w:val="auto"/>
          <w:kern w:val="0"/>
          <w:szCs w:val="21"/>
          <w:highlight w:val="none"/>
        </w:rPr>
        <w:t>质量保证金用于承包人对合同工程质量的担保。承包人未按照法律有关规定和合同约定履行质量保修义务的，发包人有权从质量保证金中扣留用于质量保修的各项支出。</w:t>
      </w:r>
    </w:p>
    <w:p>
      <w:pPr>
        <w:tabs>
          <w:tab w:val="left" w:pos="90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合同双方当事人应在专用条款中约定质量保证金金额</w:t>
      </w:r>
      <w:r>
        <w:rPr>
          <w:rFonts w:ascii="宋体" w:hAnsi="宋体" w:cs="宋体"/>
          <w:color w:val="auto"/>
          <w:kern w:val="0"/>
          <w:szCs w:val="21"/>
          <w:highlight w:val="none"/>
        </w:rPr>
        <mc:AlternateContent>
          <mc:Choice Requires="wps">
            <w:drawing>
              <wp:anchor distT="0" distB="0" distL="114300" distR="114300" simplePos="0" relativeHeight="251857920" behindDoc="0" locked="0" layoutInCell="1" allowOverlap="1">
                <wp:simplePos x="0" y="0"/>
                <wp:positionH relativeFrom="column">
                  <wp:posOffset>-114300</wp:posOffset>
                </wp:positionH>
                <wp:positionV relativeFrom="paragraph">
                  <wp:posOffset>20320</wp:posOffset>
                </wp:positionV>
                <wp:extent cx="914400" cy="519430"/>
                <wp:effectExtent l="0" t="0" r="0" b="0"/>
                <wp:wrapNone/>
                <wp:docPr id="43" name="文本框 43"/>
                <wp:cNvGraphicFramePr/>
                <a:graphic xmlns:a="http://schemas.openxmlformats.org/drawingml/2006/main">
                  <a:graphicData uri="http://schemas.microsoft.com/office/word/2010/wordprocessingShape">
                    <wps:wsp>
                      <wps:cNvSpPr txBox="1">
                        <a:spLocks noChangeArrowheads="1"/>
                      </wps:cNvSpPr>
                      <wps:spPr bwMode="auto">
                        <a:xfrm>
                          <a:off x="0" y="0"/>
                          <a:ext cx="914400" cy="51943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pt;height:40.9pt;width:72pt;z-index:251857920;mso-width-relative:page;mso-height-relative:page;" filled="f" stroked="f" coordsize="21600,21600" o:gfxdata="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JRW8TVAAAACAEAAA8AAAAAAAAAAQAgAAAAIgAAAGRycy9kb3ducmV2&#10;LnhtbFBLAQIUABQAAAAIAIdO4kBmvH15/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质量保证金的约定与扣留</w:t>
                      </w:r>
                    </w:p>
                  </w:txbxContent>
                </v:textbox>
              </v:shape>
            </w:pict>
          </mc:Fallback>
        </mc:AlternateContent>
      </w:r>
      <w:r>
        <w:rPr>
          <w:rFonts w:hint="eastAsia" w:ascii="宋体" w:hAnsi="宋体" w:cs="宋体"/>
          <w:color w:val="auto"/>
          <w:kern w:val="0"/>
          <w:szCs w:val="21"/>
          <w:highlight w:val="none"/>
        </w:rPr>
        <w:t>。除专用条款另有约定外，质量保证金为合同价款的3％。发包人应按照该比例从每支付期应支付给承包人的进度款或结算款中扣留，直到扣留的质量保证金总额达到专用条款约定的的金额为止。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8944"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2" name="文本框 42"/>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858944;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Dslqx+/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质量保证金返还</w:t>
                      </w:r>
                    </w:p>
                  </w:txbxContent>
                </v:textbox>
              </v:shape>
            </w:pict>
          </mc:Fallback>
        </mc:AlternateContent>
      </w:r>
      <w:r>
        <w:rPr>
          <w:rFonts w:hint="eastAsia" w:ascii="宋体" w:hAnsi="宋体" w:cs="宋体"/>
          <w:color w:val="auto"/>
          <w:kern w:val="0"/>
          <w:szCs w:val="21"/>
          <w:highlight w:val="none"/>
        </w:rPr>
        <w:t>缺陷责任期（包括第59.2款延长的期限）满时，承包人应向发包人申请到期应返还的剩余质量保证金金额。发包人如无异议，应在缺陷责任期满后的14天内将剩余的质量保证金返还给承包人。剩余质量保证金的返还，并不能免除承包人按照合同约定应承担的质量保修责任和应履行的质量保修义务。</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84.4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5792"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41" name="文本框 41"/>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2065792;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ldgVtUAAAAIAQAADwAAAAAAAAABACAAAAAiAAAAZHJzL2Rvd25yZXYu&#10;eG1sUEsBAhQAFAAAAAgAh07iQLkNIf3+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质量保证金扣留</w:t>
                      </w:r>
                    </w:p>
                  </w:txbxContent>
                </v:textbox>
              </v:shape>
            </w:pict>
          </mc:Fallback>
        </mc:AlternateContent>
      </w:r>
      <w:r>
        <w:rPr>
          <w:rFonts w:hint="eastAsia" w:ascii="宋体" w:hAnsi="宋体" w:cs="宋体"/>
          <w:color w:val="auto"/>
          <w:kern w:val="0"/>
          <w:szCs w:val="21"/>
          <w:highlight w:val="none"/>
        </w:rPr>
        <w:t>缺陷责任期（包括第59.2款延长的期限）满时，承包人没有完成缺陷责任的，发包人有权扣留承包人未完成缺陷责任剩余工作所需的部分质量保证金余额，并有权根据第59.2款约定要求延长缺陷责任期，直到完成剩余工作为止。</w:t>
      </w:r>
    </w:p>
    <w:p>
      <w:pPr>
        <w:adjustRightInd w:val="0"/>
        <w:snapToGrid w:val="0"/>
        <w:spacing w:line="240" w:lineRule="exact"/>
        <w:ind w:right="-238"/>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before="100" w:line="240" w:lineRule="exact"/>
        <w:ind w:left="1619"/>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85  最终清算款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85.1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77728" behindDoc="0" locked="0" layoutInCell="1" allowOverlap="1">
                <wp:simplePos x="0" y="0"/>
                <wp:positionH relativeFrom="column">
                  <wp:posOffset>-114300</wp:posOffset>
                </wp:positionH>
                <wp:positionV relativeFrom="paragraph">
                  <wp:posOffset>74295</wp:posOffset>
                </wp:positionV>
                <wp:extent cx="914400" cy="396240"/>
                <wp:effectExtent l="0" t="0" r="0" b="0"/>
                <wp:wrapNone/>
                <wp:docPr id="40" name="文本框 40"/>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85pt;height:31.2pt;width:72pt;z-index:251977728;mso-width-relative:page;mso-height-relative:page;" filled="f" stroked="f" coordsize="21600,21600" o:gfxdata="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DyIFbWAAAACQEAAA8AAAAAAAAAAQAgAAAAIgAAAGRycy9kb3ducmV2&#10;LnhtbFBLAQIUABQAAAAIAIdO4kBTJ/kI/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提交最终清算支付申请</w:t>
                      </w:r>
                    </w:p>
                  </w:txbxContent>
                </v:textbox>
              </v:shape>
            </w:pict>
          </mc:Fallback>
        </mc:AlternateContent>
      </w:r>
      <w:r>
        <w:rPr>
          <w:rFonts w:hint="eastAsia" w:ascii="宋体" w:hAnsi="宋体" w:cs="宋体"/>
          <w:color w:val="auto"/>
          <w:szCs w:val="21"/>
          <w:highlight w:val="none"/>
        </w:rPr>
        <w:t>合同双方当事人应在专用条款中明确最终清算款的支付时限。专用条款没有约定的,最终清算款按照第85.2款至第85.5款规定办理。涉及政府投资资金的工程，支付期、支付方法等需调整的，应在专用条款中约定。</w:t>
      </w:r>
    </w:p>
    <w:p>
      <w:pPr>
        <w:spacing w:line="360" w:lineRule="auto"/>
        <w:ind w:left="1619" w:leftChars="771"/>
        <w:rPr>
          <w:rFonts w:ascii="宋体" w:hAnsi="宋体" w:cs="宋体"/>
          <w:color w:val="auto"/>
          <w:szCs w:val="21"/>
          <w:highlight w:val="none"/>
        </w:rPr>
      </w:pPr>
      <w:r>
        <w:rPr>
          <w:rFonts w:hint="eastAsia" w:ascii="宋体" w:hAnsi="宋体" w:cs="宋体"/>
          <w:color w:val="auto"/>
          <w:szCs w:val="21"/>
          <w:highlight w:val="none"/>
        </w:rPr>
        <w:t>缺陷责任期终止证书签发后，承包人应按照专用条款约定的份数和期限向造价工程师提交最终清算支付申请，并提供相关证明材料。发包人对最终清算支付申请有异议的，有权要求承包人进一步修正和提供补充资料。承包人修正后，应再次向造价工程师提交修正后的最终清算支付申请。</w:t>
      </w:r>
    </w:p>
    <w:p>
      <w:pPr>
        <w:tabs>
          <w:tab w:val="left" w:pos="90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85.2</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u w:val="single"/>
        </w:rPr>
      </w:pPr>
      <w:r>
        <w:rPr>
          <w:rFonts w:ascii="宋体" w:hAnsi="宋体" w:cs="宋体"/>
          <w:color w:val="auto"/>
          <w:kern w:val="0"/>
          <w:szCs w:val="21"/>
          <w:highlight w:val="none"/>
        </w:rPr>
        <mc:AlternateContent>
          <mc:Choice Requires="wps">
            <w:drawing>
              <wp:anchor distT="0" distB="0" distL="114300" distR="114300" simplePos="0" relativeHeight="251983872" behindDoc="0" locked="0" layoutInCell="1" allowOverlap="1">
                <wp:simplePos x="0" y="0"/>
                <wp:positionH relativeFrom="column">
                  <wp:posOffset>-114300</wp:posOffset>
                </wp:positionH>
                <wp:positionV relativeFrom="paragraph">
                  <wp:posOffset>8890</wp:posOffset>
                </wp:positionV>
                <wp:extent cx="1028700" cy="462915"/>
                <wp:effectExtent l="0" t="0" r="0" b="0"/>
                <wp:wrapNone/>
                <wp:docPr id="39" name="文本框 39"/>
                <wp:cNvGraphicFramePr/>
                <a:graphic xmlns:a="http://schemas.openxmlformats.org/drawingml/2006/main">
                  <a:graphicData uri="http://schemas.microsoft.com/office/word/2010/wordprocessingShape">
                    <wps:wsp>
                      <wps:cNvSpPr txBox="1">
                        <a:spLocks noChangeArrowheads="1"/>
                      </wps:cNvSpPr>
                      <wps:spPr bwMode="auto">
                        <a:xfrm>
                          <a:off x="0" y="0"/>
                          <a:ext cx="10287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7pt;height:36.45pt;width:81pt;z-index:251983872;mso-width-relative:page;mso-height-relative:page;" filled="f" stroked="f" coordsize="21600,21600" o:gfxdata="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LOWJM/VAAAACAEAAA8AAAAAAAAAAQAgAAAAIgAAAGRycy9kb3du&#10;cmV2LnhtbFBLAQIUABQAAAAIAIdO4kBqWkSBAgIAANcDAAAOAAAAAAAAAAEAIAAAACQ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签发最终清算</w:t>
                      </w:r>
                    </w:p>
                    <w:p>
                      <w:pPr>
                        <w:spacing w:line="240" w:lineRule="exact"/>
                        <w:rPr>
                          <w:rFonts w:ascii="宋体" w:hAnsi="宋体"/>
                          <w:b/>
                          <w:bCs/>
                          <w:sz w:val="18"/>
                          <w:szCs w:val="18"/>
                        </w:rPr>
                      </w:pPr>
                      <w:r>
                        <w:rPr>
                          <w:rFonts w:hint="eastAsia" w:ascii="楷体_GB2312" w:hAnsi="宋体"/>
                          <w:b/>
                          <w:bCs/>
                          <w:sz w:val="18"/>
                          <w:szCs w:val="18"/>
                        </w:rPr>
                        <w:t>支付证书</w:t>
                      </w:r>
                    </w:p>
                  </w:txbxContent>
                </v:textbox>
              </v:shape>
            </w:pict>
          </mc:Fallback>
        </mc:AlternateContent>
      </w:r>
      <w:r>
        <w:rPr>
          <w:rFonts w:hint="eastAsia" w:ascii="宋体" w:hAnsi="宋体" w:cs="宋体"/>
          <w:color w:val="auto"/>
          <w:kern w:val="0"/>
          <w:szCs w:val="21"/>
          <w:highlight w:val="none"/>
        </w:rPr>
        <w:t>造价工程师应在收到最终清算支付申请后的14天内予以计量、核实，并将核实结果通知承包人、抄报发包人。发包人应在收到核实结果后的7天内在最终清算文件上签字确认。造价工程师应在发包人签字确认最终清算文件后的7天内，向发包人签发最终清算支付证书，同时抄送承包人。</w:t>
      </w:r>
    </w:p>
    <w:p>
      <w:pPr>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8752" behindDoc="0" locked="0" layoutInCell="1" allowOverlap="1">
                <wp:simplePos x="0" y="0"/>
                <wp:positionH relativeFrom="column">
                  <wp:posOffset>-114300</wp:posOffset>
                </wp:positionH>
                <wp:positionV relativeFrom="paragraph">
                  <wp:posOffset>230505</wp:posOffset>
                </wp:positionV>
                <wp:extent cx="914400" cy="462915"/>
                <wp:effectExtent l="0" t="0" r="0" b="0"/>
                <wp:wrapNone/>
                <wp:docPr id="38" name="文本框 38"/>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15pt;height:36.45pt;width:72pt;z-index:251978752;mso-width-relative:page;mso-height-relative:page;" filled="f" stroked="f" coordsize="21600,21600" o:gfxdata="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Oljz5nYAAAACgEAAA8AAAAAAAAAAQAgAAAAIgAAAGRycy9kb3du&#10;cmV2LnhtbFBLAQIUABQAAAAIAIdO4kDPdclJ/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 xml:space="preserve">最终清算款支付 </w:t>
                      </w:r>
                    </w:p>
                  </w:txbxContent>
                </v:textbox>
              </v:shape>
            </w:pict>
          </mc:Fallback>
        </mc:AlternateContent>
      </w:r>
      <w:r>
        <w:rPr>
          <w:rFonts w:hint="eastAsia" w:ascii="宋体" w:hAnsi="宋体" w:cs="宋体"/>
          <w:b/>
          <w:color w:val="auto"/>
          <w:kern w:val="0"/>
          <w:szCs w:val="21"/>
          <w:highlight w:val="none"/>
        </w:rPr>
        <w:t>85.3</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发包人应在造价工程师签发最终清算支付证书后的14 天内，按照最终清算支付证书列明的金额向承包人支付最终清算款，并通知造价工程师。</w:t>
      </w:r>
    </w:p>
    <w:p>
      <w:pPr>
        <w:adjustRightInd w:val="0"/>
        <w:snapToGrid w:val="0"/>
        <w:spacing w:line="48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79776" behindDoc="0" locked="0" layoutInCell="1" allowOverlap="1">
                <wp:simplePos x="0" y="0"/>
                <wp:positionH relativeFrom="column">
                  <wp:posOffset>-114300</wp:posOffset>
                </wp:positionH>
                <wp:positionV relativeFrom="paragraph">
                  <wp:posOffset>234315</wp:posOffset>
                </wp:positionV>
                <wp:extent cx="914400" cy="462915"/>
                <wp:effectExtent l="0" t="0" r="0" b="0"/>
                <wp:wrapNone/>
                <wp:docPr id="37" name="文本框 37"/>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8.45pt;height:36.45pt;width:72pt;z-index:251979776;mso-width-relative:page;mso-height-relative:page;" filled="f" stroked="f" coordsize="21600,21600" o:gfxdata="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z97eLYAAAACgEAAA8AAAAAAAAAAQAgAAAAIgAAAGRycy9kb3du&#10;cmV2LnhtbFBLAQIUABQAAAAIAIdO4kANieGp/wEAANYDAAAOAAAAAAAAAAEAIAAAACcBAABkcnMv&#10;ZTJvRG9jLnhtbFBLBQYAAAAABgAGAFkBAACY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签发最终清算支付证书限制</w:t>
                      </w:r>
                    </w:p>
                  </w:txbxContent>
                </v:textbox>
              </v:shape>
            </w:pict>
          </mc:Fallback>
        </mc:AlternateContent>
      </w:r>
      <w:r>
        <w:rPr>
          <w:rFonts w:hint="eastAsia" w:ascii="宋体" w:hAnsi="宋体" w:cs="宋体"/>
          <w:b/>
          <w:color w:val="auto"/>
          <w:kern w:val="0"/>
          <w:szCs w:val="21"/>
          <w:highlight w:val="none"/>
        </w:rPr>
        <w:t xml:space="preserve">85.4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576" w:leftChars="750" w:hanging="1"/>
        <w:rPr>
          <w:rFonts w:ascii="宋体" w:hAnsi="宋体" w:cs="宋体"/>
          <w:color w:val="auto"/>
          <w:kern w:val="0"/>
          <w:szCs w:val="21"/>
          <w:highlight w:val="none"/>
        </w:rPr>
      </w:pPr>
      <w:r>
        <w:rPr>
          <w:rFonts w:hint="eastAsia" w:ascii="宋体" w:hAnsi="宋体" w:cs="宋体"/>
          <w:color w:val="auto"/>
          <w:kern w:val="0"/>
          <w:szCs w:val="21"/>
          <w:highlight w:val="none"/>
        </w:rPr>
        <w:t>如果造价工程师未在第85.2款规定的期限内签发最终清算支付证书的，则视为承包人提交的最终清算支付申请已被认可，承包人应及时向发包人发出要求支付最终清算款的通知。发包人应在收到通知后的14天内，按照承包人提交最终清算支付申请列明的金额向承包人支付最终清算款。</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85.5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576" w:leftChars="750" w:hanging="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66816" behindDoc="0" locked="0" layoutInCell="1" allowOverlap="1">
                <wp:simplePos x="0" y="0"/>
                <wp:positionH relativeFrom="column">
                  <wp:posOffset>-114300</wp:posOffset>
                </wp:positionH>
                <wp:positionV relativeFrom="paragraph">
                  <wp:posOffset>8255</wp:posOffset>
                </wp:positionV>
                <wp:extent cx="1028700" cy="407670"/>
                <wp:effectExtent l="0" t="0" r="0" b="0"/>
                <wp:wrapNone/>
                <wp:docPr id="36" name="文本框 36"/>
                <wp:cNvGraphicFramePr/>
                <a:graphic xmlns:a="http://schemas.openxmlformats.org/drawingml/2006/main">
                  <a:graphicData uri="http://schemas.microsoft.com/office/word/2010/wordprocessingShape">
                    <wps:wsp>
                      <wps:cNvSpPr txBox="1">
                        <a:spLocks noChangeArrowheads="1"/>
                      </wps:cNvSpPr>
                      <wps:spPr bwMode="auto">
                        <a:xfrm>
                          <a:off x="0" y="0"/>
                          <a:ext cx="1028700" cy="4076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32.1pt;width:81pt;z-index:252066816;mso-width-relative:page;mso-height-relative:page;" filled="f" stroked="f" coordsize="21600,21600" o:gfxdata="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EQb19NUAAAAIAQAADwAAAAAAAAABACAAAAAiAAAAZHJzL2Rvd25y&#10;ZXYueG1sUEsBAhQAFAAAAAgAh07iQGkapdQ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最终清算款支</w:t>
                      </w:r>
                    </w:p>
                    <w:p>
                      <w:pPr>
                        <w:spacing w:line="240" w:lineRule="exact"/>
                        <w:rPr>
                          <w:rFonts w:ascii="楷体_GB2312" w:hAnsi="宋体"/>
                          <w:b/>
                          <w:bCs/>
                          <w:sz w:val="18"/>
                          <w:szCs w:val="18"/>
                        </w:rPr>
                      </w:pPr>
                      <w:r>
                        <w:rPr>
                          <w:rFonts w:hint="eastAsia" w:ascii="楷体_GB2312" w:hAnsi="宋体"/>
                          <w:b/>
                          <w:bCs/>
                          <w:sz w:val="18"/>
                          <w:szCs w:val="18"/>
                        </w:rPr>
                        <w:t>付的限制</w:t>
                      </w:r>
                    </w:p>
                  </w:txbxContent>
                </v:textbox>
              </v:shape>
            </w:pict>
          </mc:Fallback>
        </mc:AlternateContent>
      </w:r>
      <w:r>
        <w:rPr>
          <w:rFonts w:hint="eastAsia" w:ascii="宋体" w:hAnsi="宋体" w:cs="宋体"/>
          <w:color w:val="auto"/>
          <w:szCs w:val="21"/>
          <w:highlight w:val="none"/>
        </w:rPr>
        <w:t>发包人未按照第85.3款和第85.4款规定支付最终清算款的，承包人可催告发包人支付最终清算款，如双方达成延期支付协议，承包人有权按照第78.2款规定获得延期支付的利息。若该永久工程按照第83.5款规定进行折价或依法拍卖的，承包人就该工程折价或拍卖的价款优先受偿。</w:t>
      </w:r>
    </w:p>
    <w:p>
      <w:pPr>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85.6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0800" behindDoc="0" locked="0" layoutInCell="1" allowOverlap="1">
                <wp:simplePos x="0" y="0"/>
                <wp:positionH relativeFrom="column">
                  <wp:posOffset>-114300</wp:posOffset>
                </wp:positionH>
                <wp:positionV relativeFrom="paragraph">
                  <wp:posOffset>45720</wp:posOffset>
                </wp:positionV>
                <wp:extent cx="914400" cy="462915"/>
                <wp:effectExtent l="0" t="0" r="0" b="0"/>
                <wp:wrapNone/>
                <wp:docPr id="35" name="文本框 35"/>
                <wp:cNvGraphicFramePr/>
                <a:graphic xmlns:a="http://schemas.openxmlformats.org/drawingml/2006/main">
                  <a:graphicData uri="http://schemas.microsoft.com/office/word/2010/wordprocessingShape">
                    <wps:wsp>
                      <wps:cNvSpPr txBox="1">
                        <a:spLocks noChangeArrowheads="1"/>
                      </wps:cNvSpPr>
                      <wps:spPr bwMode="auto">
                        <a:xfrm>
                          <a:off x="0" y="0"/>
                          <a:ext cx="914400" cy="46291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45pt;width:72pt;z-index:251980800;mso-width-relative:page;mso-height-relative:page;" filled="f" stroked="f" coordsize="21600,21600" o:gfxdata="UEsDBAoAAAAAAIdO4kAAAAAAAAAAAAAAAAAEAAAAZHJzL1BLAwQUAAAACACHTuJAqldgVt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pXYFbVAAAACAEAAA8AAAAAAAAAAQAgAAAAIgAAAGRycy9kb3ducmV2&#10;LnhtbFBLAQIUABQAAAAIAIdO4kBrm+hU/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最终清算款争议的处理</w:t>
                      </w:r>
                    </w:p>
                  </w:txbxContent>
                </v:textbox>
              </v:shape>
            </w:pict>
          </mc:Fallback>
        </mc:AlternateContent>
      </w:r>
      <w:r>
        <w:rPr>
          <w:rFonts w:hint="eastAsia" w:ascii="宋体" w:hAnsi="宋体" w:cs="宋体"/>
          <w:color w:val="auto"/>
          <w:szCs w:val="21"/>
          <w:highlight w:val="none"/>
        </w:rPr>
        <w:t>承包人对发包人支付的最终清算款有异议的，按照第86条约定的争议处理。</w:t>
      </w:r>
    </w:p>
    <w:p>
      <w:pPr>
        <w:adjustRightInd w:val="0"/>
        <w:snapToGrid w:val="0"/>
        <w:spacing w:line="360" w:lineRule="auto"/>
        <w:rPr>
          <w:rFonts w:ascii="宋体" w:hAnsi="宋体" w:cs="宋体"/>
          <w:b/>
          <w:color w:val="auto"/>
          <w:kern w:val="0"/>
          <w:sz w:val="24"/>
          <w:szCs w:val="32"/>
          <w:highlight w:val="none"/>
        </w:rPr>
      </w:pPr>
      <w:r>
        <w:rPr>
          <w:rFonts w:hint="eastAsia" w:ascii="宋体" w:hAnsi="宋体" w:cs="宋体"/>
          <w:b/>
          <w:color w:val="auto"/>
          <w:kern w:val="0"/>
          <w:szCs w:val="21"/>
          <w:highlight w:val="none"/>
          <w:u w:val="single"/>
        </w:rPr>
        <w:t xml:space="preserve">                                                                                    </w:t>
      </w:r>
      <w:r>
        <w:rPr>
          <w:rFonts w:hint="eastAsia" w:ascii="宋体" w:hAnsi="宋体" w:cs="宋体"/>
          <w:b/>
          <w:color w:val="auto"/>
          <w:kern w:val="0"/>
          <w:sz w:val="24"/>
          <w:szCs w:val="18"/>
          <w:highlight w:val="none"/>
          <w:u w:val="single"/>
        </w:rPr>
        <w:t xml:space="preserve">                          </w:t>
      </w:r>
    </w:p>
    <w:p>
      <w:pPr>
        <w:adjustRightInd w:val="0"/>
        <w:snapToGrid w:val="0"/>
        <w:spacing w:line="360" w:lineRule="auto"/>
        <w:outlineLvl w:val="1"/>
        <w:rPr>
          <w:rFonts w:ascii="宋体" w:hAnsi="宋体" w:cs="宋体"/>
          <w:b/>
          <w:color w:val="auto"/>
          <w:kern w:val="0"/>
          <w:sz w:val="24"/>
          <w:szCs w:val="32"/>
          <w:highlight w:val="none"/>
        </w:rPr>
      </w:pPr>
      <w:r>
        <w:rPr>
          <w:rFonts w:hint="eastAsia" w:ascii="宋体" w:hAnsi="宋体" w:cs="宋体"/>
          <w:b/>
          <w:color w:val="auto"/>
          <w:kern w:val="0"/>
          <w:sz w:val="24"/>
          <w:szCs w:val="32"/>
          <w:highlight w:val="none"/>
        </w:rPr>
        <w:t xml:space="preserve">                        </w:t>
      </w:r>
    </w:p>
    <w:p>
      <w:pPr>
        <w:adjustRightInd w:val="0"/>
        <w:snapToGrid w:val="0"/>
        <w:spacing w:line="360" w:lineRule="auto"/>
        <w:outlineLvl w:val="1"/>
        <w:rPr>
          <w:rFonts w:ascii="宋体" w:hAnsi="宋体" w:cs="宋体"/>
          <w:b/>
          <w:color w:val="auto"/>
          <w:kern w:val="0"/>
          <w:sz w:val="24"/>
          <w:szCs w:val="32"/>
          <w:highlight w:val="none"/>
        </w:rPr>
      </w:pPr>
    </w:p>
    <w:p>
      <w:pPr>
        <w:adjustRightInd w:val="0"/>
        <w:snapToGrid w:val="0"/>
        <w:spacing w:line="360" w:lineRule="auto"/>
        <w:ind w:firstLine="3036" w:firstLineChars="945"/>
        <w:outlineLvl w:val="1"/>
        <w:rPr>
          <w:rFonts w:ascii="宋体" w:hAnsi="宋体" w:cs="宋体"/>
          <w:b/>
          <w:color w:val="auto"/>
          <w:kern w:val="0"/>
          <w:sz w:val="32"/>
          <w:szCs w:val="32"/>
          <w:highlight w:val="none"/>
        </w:rPr>
      </w:pPr>
      <w:r>
        <w:rPr>
          <w:rFonts w:hint="eastAsia" w:ascii="宋体" w:hAnsi="宋体" w:cs="宋体"/>
          <w:b/>
          <w:color w:val="auto"/>
          <w:kern w:val="0"/>
          <w:sz w:val="32"/>
          <w:szCs w:val="32"/>
          <w:highlight w:val="none"/>
        </w:rPr>
        <w:t>七、合同争议、解除与终止</w:t>
      </w:r>
    </w:p>
    <w:p>
      <w:pPr>
        <w:adjustRightInd w:val="0"/>
        <w:snapToGrid w:val="0"/>
        <w:spacing w:line="360" w:lineRule="auto"/>
        <w:outlineLvl w:val="1"/>
        <w:rPr>
          <w:rFonts w:ascii="宋体" w:hAnsi="宋体" w:cs="宋体"/>
          <w:b/>
          <w:color w:val="auto"/>
          <w:kern w:val="0"/>
          <w:sz w:val="32"/>
          <w:szCs w:val="32"/>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86  合同争议</w:t>
      </w:r>
    </w:p>
    <w:p>
      <w:pPr>
        <w:adjustRightInd w:val="0"/>
        <w:snapToGrid w:val="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59968" behindDoc="0" locked="0" layoutInCell="1" allowOverlap="1">
                <wp:simplePos x="0" y="0"/>
                <wp:positionH relativeFrom="column">
                  <wp:posOffset>-114300</wp:posOffset>
                </wp:positionH>
                <wp:positionV relativeFrom="paragraph">
                  <wp:posOffset>284480</wp:posOffset>
                </wp:positionV>
                <wp:extent cx="914400" cy="469900"/>
                <wp:effectExtent l="0" t="0" r="0" b="0"/>
                <wp:wrapNone/>
                <wp:docPr id="34" name="文本框 34"/>
                <wp:cNvGraphicFramePr/>
                <a:graphic xmlns:a="http://schemas.openxmlformats.org/drawingml/2006/main">
                  <a:graphicData uri="http://schemas.microsoft.com/office/word/2010/wordprocessingShape">
                    <wps:wsp>
                      <wps:cNvSpPr txBox="1">
                        <a:spLocks noChangeArrowheads="1"/>
                      </wps:cNvSpPr>
                      <wps:spPr bwMode="auto">
                        <a:xfrm>
                          <a:off x="0" y="0"/>
                          <a:ext cx="914400" cy="4699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2.4pt;height:37pt;width:72pt;z-index:251859968;mso-width-relative:page;mso-height-relative:page;" filled="f" stroked="f" coordsize="21600,21600" o:gfxdata="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CbDmrXAAAACgEAAA8AAAAAAAAAAQAgAAAAIgAAAGRycy9kb3ducmV2&#10;LnhtbFBLAQIUABQAAAAIAIdO4kCZORse/QEAANYDAAAOAAAAAAAAAAEAIAAAACY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认可暂定结果或产生争议</w:t>
                      </w:r>
                    </w:p>
                  </w:txbxContent>
                </v:textbox>
              </v:shape>
            </w:pict>
          </mc:Fallback>
        </mc:AlternateContent>
      </w:r>
      <w:r>
        <w:rPr>
          <w:rFonts w:hint="eastAsia" w:ascii="宋体" w:hAnsi="宋体" w:cs="宋体"/>
          <w:b/>
          <w:color w:val="auto"/>
          <w:kern w:val="0"/>
          <w:szCs w:val="21"/>
          <w:highlight w:val="none"/>
        </w:rPr>
        <w:t xml:space="preserve">86.1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履行期间，合同双方当事人应在收到监理工程师或造价工程师依据合同约定作出暂定结果之后的14天内，对暂定结果予以确认或提出意见。合同双方对暂定结果认可的，应以书面形式予以确认，暂定结果成为最终决定，对合同双方当事人都有约束力；合同双方或一方当事人不同意暂定结果的，应以书面形式向监理工程师或造价工程师提出，说明自己认为正确的结果，同时抄送另一方当事人，此时该暂定结果成为争议。除非本合同已解除，在暂定结果不实质影响合同双方当事人履约的前提下，合同双方当事人应实施该结果，直到其被改变为止。</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合同双方当事人在收到监理工程师或造价工程师的暂定结果之日起，超过14天，未对暂定结果予以确认也未提出意见的，视为合同双方当事人已认可暂定结果。</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86.2  </w:t>
      </w:r>
      <w:r>
        <w:rPr>
          <w:rFonts w:hint="eastAsia" w:ascii="宋体" w:hAnsi="宋体" w:cs="宋体"/>
          <w:b/>
          <w:color w:val="auto"/>
          <w:kern w:val="0"/>
          <w:szCs w:val="21"/>
          <w:highlight w:val="none"/>
          <w:u w:val="dotted"/>
        </w:rPr>
        <w:t xml:space="preserve">                                                                                                        </w:t>
      </w:r>
    </w:p>
    <w:p>
      <w:pPr>
        <w:tabs>
          <w:tab w:val="left" w:pos="1320"/>
        </w:tabs>
        <w:adjustRightInd w:val="0"/>
        <w:snapToGrid w:val="0"/>
        <w:spacing w:line="360" w:lineRule="auto"/>
        <w:ind w:left="1680" w:leftChars="800"/>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0992" behindDoc="0" locked="0" layoutInCell="1" allowOverlap="1">
                <wp:simplePos x="0" y="0"/>
                <wp:positionH relativeFrom="column">
                  <wp:posOffset>-114300</wp:posOffset>
                </wp:positionH>
                <wp:positionV relativeFrom="paragraph">
                  <wp:posOffset>26670</wp:posOffset>
                </wp:positionV>
                <wp:extent cx="800100" cy="373380"/>
                <wp:effectExtent l="0" t="0" r="0" b="0"/>
                <wp:wrapNone/>
                <wp:docPr id="33" name="文本框 33"/>
                <wp:cNvGraphicFramePr/>
                <a:graphic xmlns:a="http://schemas.openxmlformats.org/drawingml/2006/main">
                  <a:graphicData uri="http://schemas.microsoft.com/office/word/2010/wordprocessingShape">
                    <wps:wsp>
                      <wps:cNvSpPr txBox="1">
                        <a:spLocks noChangeArrowheads="1"/>
                      </wps:cNvSpPr>
                      <wps:spPr bwMode="auto">
                        <a:xfrm>
                          <a:off x="0" y="0"/>
                          <a:ext cx="800100" cy="3733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1pt;height:29.4pt;width:63pt;z-index:251860992;mso-width-relative:page;mso-height-relative:page;" filled="f" stroked="f" coordsize="21600,21600" o:gfxdata="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b9mWnUAAAACAEAAA8AAAAAAAAAAQAgAAAAIgAAAGRycy9kb3ducmV2&#10;LnhtbFBLAQIUABQAAAAIAIdO4kA13YyLAAIAANY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双方协商</w:t>
                      </w:r>
                    </w:p>
                  </w:txbxContent>
                </v:textbox>
              </v:shape>
            </w:pict>
          </mc:Fallback>
        </mc:AlternateContent>
      </w:r>
      <w:r>
        <w:rPr>
          <w:rFonts w:hint="eastAsia" w:ascii="宋体" w:hAnsi="宋体" w:cs="宋体"/>
          <w:color w:val="auto"/>
          <w:kern w:val="0"/>
          <w:szCs w:val="21"/>
          <w:highlight w:val="none"/>
        </w:rPr>
        <w:t>争议发生后的14天内，合同双方当事人可进一步进行协商。协商达成一致的，合同双方当事人应签订书面协议，并将结果抄送监理工程师或造价工程师；协商仍不能达成一致的，按照第86.3款至第86.6款规定进行调解或认定、仲裁或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2016" behindDoc="0" locked="0" layoutInCell="1" allowOverlap="1">
                <wp:simplePos x="0" y="0"/>
                <wp:positionH relativeFrom="column">
                  <wp:posOffset>-114300</wp:posOffset>
                </wp:positionH>
                <wp:positionV relativeFrom="paragraph">
                  <wp:posOffset>11430</wp:posOffset>
                </wp:positionV>
                <wp:extent cx="1028700" cy="325120"/>
                <wp:effectExtent l="0" t="0" r="0" b="0"/>
                <wp:wrapNone/>
                <wp:docPr id="32" name="文本框 32"/>
                <wp:cNvGraphicFramePr/>
                <a:graphic xmlns:a="http://schemas.openxmlformats.org/drawingml/2006/main">
                  <a:graphicData uri="http://schemas.microsoft.com/office/word/2010/wordprocessingShape">
                    <wps:wsp>
                      <wps:cNvSpPr txBox="1">
                        <a:spLocks noChangeArrowheads="1"/>
                      </wps:cNvSpPr>
                      <wps:spPr bwMode="auto">
                        <a:xfrm>
                          <a:off x="0" y="0"/>
                          <a:ext cx="1028700" cy="3251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pt;height:25.6pt;width:81pt;z-index:251862016;mso-width-relative:page;mso-height-relative:page;" filled="f" stroked="f" coordsize="21600,21600" o:gfxdata="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NXgIh1AAAAAgBAAAPAAAAAAAAAAEAIAAAACIAAABkcnMvZG93bnJl&#10;di54bWxQSwECFAAUAAAACACHTuJAXbc9h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解决争议方式</w:t>
                      </w:r>
                    </w:p>
                  </w:txbxContent>
                </v:textbox>
              </v:shape>
            </w:pict>
          </mc:Fallback>
        </mc:AlternateContent>
      </w:r>
      <w:r>
        <w:rPr>
          <w:rFonts w:hint="eastAsia" w:ascii="宋体" w:hAnsi="宋体" w:cs="宋体"/>
          <w:color w:val="auto"/>
          <w:kern w:val="0"/>
          <w:szCs w:val="21"/>
          <w:highlight w:val="none"/>
        </w:rPr>
        <w:t>合同双方当事人没有按照第86.2款规定进一步协商的，或虽然协商但未在规定期限内达成一致的，合同双方或一方当事人可在争议发生后的28天内，将争议提交争议调解或认定机构处理，或直接按照专用条款第86.6款规定提请仲裁或诉讼。</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86.4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3040" behindDoc="0" locked="0" layoutInCell="1" allowOverlap="1">
                <wp:simplePos x="0" y="0"/>
                <wp:positionH relativeFrom="column">
                  <wp:posOffset>-114300</wp:posOffset>
                </wp:positionH>
                <wp:positionV relativeFrom="paragraph">
                  <wp:posOffset>59690</wp:posOffset>
                </wp:positionV>
                <wp:extent cx="1028700" cy="378460"/>
                <wp:effectExtent l="0" t="0" r="0" b="0"/>
                <wp:wrapNone/>
                <wp:docPr id="31" name="文本框 31"/>
                <wp:cNvGraphicFramePr/>
                <a:graphic xmlns:a="http://schemas.openxmlformats.org/drawingml/2006/main">
                  <a:graphicData uri="http://schemas.microsoft.com/office/word/2010/wordprocessingShape">
                    <wps:wsp>
                      <wps:cNvSpPr txBox="1">
                        <a:spLocks noChangeArrowheads="1"/>
                      </wps:cNvSpPr>
                      <wps:spPr bwMode="auto">
                        <a:xfrm>
                          <a:off x="0" y="0"/>
                          <a:ext cx="1028700" cy="3784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7pt;height:29.8pt;width:81pt;z-index:251863040;mso-width-relative:page;mso-height-relative:page;" filled="f" stroked="f" coordsize="21600,21600" o:gfxdata="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VzhfmdUAAAAIAQAADwAAAAAAAAABACAAAAAiAAAAZHJzL2Rvd25y&#10;ZXYueG1sUEsBAhQAFAAAAAgAh07iQE0993w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w:t>
                      </w:r>
                    </w:p>
                  </w:txbxContent>
                </v:textbox>
              </v:shape>
            </w:pict>
          </mc:Fallback>
        </mc:AlternateContent>
      </w:r>
      <w:r>
        <w:rPr>
          <w:rFonts w:hint="eastAsia" w:ascii="宋体" w:hAnsi="宋体" w:cs="宋体"/>
          <w:color w:val="auto"/>
          <w:kern w:val="0"/>
          <w:szCs w:val="21"/>
          <w:highlight w:val="none"/>
        </w:rPr>
        <w:t>争议调解或认定机构在收到争议调解或认定请求后，可组织调查、勘察、计量等工作，合同双方当事人应为其开展工作提供便利和协助。争议调解或认定机构应就争议做出书面调解或认定结果，并通知合同双方当事人。除合同双方当事人认可并在专用条款约定外，下列机构为争议调解或认定机构：</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建设工程安全监督机构，负责有关工程安全方面争议的调解或认定；</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建设工程质量监督机构，负责有关工程质量方面争议的调解或认定；</w:t>
      </w:r>
    </w:p>
    <w:p>
      <w:pPr>
        <w:adjustRightInd w:val="0"/>
        <w:snapToGrid w:val="0"/>
        <w:spacing w:line="360" w:lineRule="auto"/>
        <w:ind w:left="1620"/>
        <w:rPr>
          <w:rFonts w:ascii="宋体" w:hAnsi="宋体" w:cs="宋体"/>
          <w:b/>
          <w:color w:val="auto"/>
          <w:kern w:val="0"/>
          <w:szCs w:val="21"/>
          <w:highlight w:val="none"/>
        </w:rPr>
      </w:pPr>
      <w:r>
        <w:rPr>
          <w:rFonts w:hint="eastAsia" w:ascii="宋体" w:hAnsi="宋体" w:cs="宋体"/>
          <w:color w:val="auto"/>
          <w:kern w:val="0"/>
          <w:szCs w:val="21"/>
          <w:highlight w:val="none"/>
        </w:rPr>
        <w:t>(3) 建设工程造价管理机构，负责有关工程造价方面争议的调解或认定。</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4064" behindDoc="0" locked="0" layoutInCell="1" allowOverlap="1">
                <wp:simplePos x="0" y="0"/>
                <wp:positionH relativeFrom="column">
                  <wp:posOffset>-114300</wp:posOffset>
                </wp:positionH>
                <wp:positionV relativeFrom="paragraph">
                  <wp:posOffset>32385</wp:posOffset>
                </wp:positionV>
                <wp:extent cx="914400" cy="464820"/>
                <wp:effectExtent l="0" t="0" r="0" b="0"/>
                <wp:wrapNone/>
                <wp:docPr id="30" name="文本框 30"/>
                <wp:cNvGraphicFramePr/>
                <a:graphic xmlns:a="http://schemas.openxmlformats.org/drawingml/2006/main">
                  <a:graphicData uri="http://schemas.microsoft.com/office/word/2010/wordprocessingShape">
                    <wps:wsp>
                      <wps:cNvSpPr txBox="1">
                        <a:spLocks noChangeArrowheads="1"/>
                      </wps:cNvSpPr>
                      <wps:spPr bwMode="auto">
                        <a:xfrm>
                          <a:off x="0" y="0"/>
                          <a:ext cx="914400" cy="4648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6.6pt;width:72pt;z-index:251864064;mso-width-relative:page;mso-height-relative:page;" filled="f" stroked="f" coordsize="21600,21600" o:gfxdata="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RltrTdUAAAAIAQAADwAAAAAAAAABACAAAAAiAAAAZHJzL2Rvd25yZXYu&#10;eG1sUEsBAhQAFAAAAAgAh07iQI/DYCX+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调解或认定结果的确认</w:t>
                      </w:r>
                    </w:p>
                  </w:txbxContent>
                </v:textbox>
              </v:shape>
            </w:pict>
          </mc:Fallback>
        </mc:AlternateContent>
      </w:r>
      <w:r>
        <w:rPr>
          <w:rFonts w:hint="eastAsia" w:ascii="宋体" w:hAnsi="宋体" w:cs="宋体"/>
          <w:color w:val="auto"/>
          <w:kern w:val="0"/>
          <w:szCs w:val="21"/>
          <w:highlight w:val="none"/>
        </w:rPr>
        <w:t>合同双方当事人应在收到争议调解或认定机构书面结果后的28天内，对调解或认定结果以书面形式予以确认。</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5088" behindDoc="0" locked="0" layoutInCell="1" allowOverlap="1">
                <wp:simplePos x="0" y="0"/>
                <wp:positionH relativeFrom="column">
                  <wp:posOffset>-114300</wp:posOffset>
                </wp:positionH>
                <wp:positionV relativeFrom="paragraph">
                  <wp:posOffset>12065</wp:posOffset>
                </wp:positionV>
                <wp:extent cx="1028700" cy="334645"/>
                <wp:effectExtent l="0" t="0" r="0" b="0"/>
                <wp:wrapNone/>
                <wp:docPr id="29" name="文本框 29"/>
                <wp:cNvGraphicFramePr/>
                <a:graphic xmlns:a="http://schemas.openxmlformats.org/drawingml/2006/main">
                  <a:graphicData uri="http://schemas.microsoft.com/office/word/2010/wordprocessingShape">
                    <wps:wsp>
                      <wps:cNvSpPr txBox="1">
                        <a:spLocks noChangeArrowheads="1"/>
                      </wps:cNvSpPr>
                      <wps:spPr bwMode="auto">
                        <a:xfrm>
                          <a:off x="0" y="0"/>
                          <a:ext cx="1028700" cy="33464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95pt;height:26.35pt;width:81pt;z-index:251865088;mso-width-relative:page;mso-height-relative:page;" filled="f" stroked="f" coordsize="21600,21600" o:gfxdata="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WCfqyNUAAAAIAQAADwAAAAAAAAABACAAAAAiAAAAZHJzL2Rvd25y&#10;ZXYueG1sUEsBAhQAFAAAAAgAh07iQF7dzSUBAgAA1wMAAA4AAAAAAAAAAQAgAAAAJA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仲裁或诉讼</w:t>
                      </w:r>
                    </w:p>
                  </w:txbxContent>
                </v:textbox>
              </v:shape>
            </w:pict>
          </mc:Fallback>
        </mc:AlternateContent>
      </w:r>
      <w:r>
        <w:rPr>
          <w:rFonts w:hint="eastAsia" w:ascii="宋体" w:hAnsi="宋体" w:cs="宋体"/>
          <w:color w:val="auto"/>
          <w:kern w:val="0"/>
          <w:szCs w:val="21"/>
          <w:highlight w:val="none"/>
        </w:rPr>
        <w:t>若合同双方或一方当事人在收到争议调解或认定机构的书面结果后明确表示不同意，或在28天内没有书面确认，任何一方均可按照专用条款约定的下列任一种方式解决争议：</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向约定的仲裁委员会申请仲裁；</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向有管辖权的人民法院提起诉讼。</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86.7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6112" behindDoc="0" locked="0" layoutInCell="1" allowOverlap="1">
                <wp:simplePos x="0" y="0"/>
                <wp:positionH relativeFrom="column">
                  <wp:posOffset>-114300</wp:posOffset>
                </wp:positionH>
                <wp:positionV relativeFrom="paragraph">
                  <wp:posOffset>15875</wp:posOffset>
                </wp:positionV>
                <wp:extent cx="914400" cy="460375"/>
                <wp:effectExtent l="0" t="0" r="0" b="0"/>
                <wp:wrapNone/>
                <wp:docPr id="28" name="文本框 28"/>
                <wp:cNvGraphicFramePr/>
                <a:graphic xmlns:a="http://schemas.openxmlformats.org/drawingml/2006/main">
                  <a:graphicData uri="http://schemas.microsoft.com/office/word/2010/wordprocessingShape">
                    <wps:wsp>
                      <wps:cNvSpPr txBox="1">
                        <a:spLocks noChangeArrowheads="1"/>
                      </wps:cNvSpPr>
                      <wps:spPr bwMode="auto">
                        <a:xfrm>
                          <a:off x="0" y="0"/>
                          <a:ext cx="914400" cy="46037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6.25pt;width:72pt;z-index:251866112;mso-width-relative:page;mso-height-relative:page;" filled="f" stroked="f" coordsize="21600,21600" o:gfxdata="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rqDlTVAAAACAEAAA8AAAAAAAAAAQAgAAAAIgAAAGRycy9kb3ducmV2&#10;LnhtbFBLAQIUABQAAAAIAIdO4kDVMmJP/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争议期间继续施工</w:t>
                      </w:r>
                    </w:p>
                  </w:txbxContent>
                </v:textbox>
              </v:shape>
            </w:pict>
          </mc:Fallback>
        </mc:AlternateContent>
      </w:r>
      <w:r>
        <w:rPr>
          <w:rFonts w:hint="eastAsia" w:ascii="宋体" w:hAnsi="宋体" w:cs="宋体"/>
          <w:color w:val="auto"/>
          <w:kern w:val="0"/>
          <w:szCs w:val="21"/>
          <w:highlight w:val="none"/>
        </w:rPr>
        <w:t>争议期间，除下列情况停止施工外，合同双方当事人都应继续履行合同，保持工程连续施工，保护好已完工程：</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(1) 合同双方当事人协商同意；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(2) 合同一方当事人违约导致合同无法履行；</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(3) 工程造价管理机构调解需要，且合同双方当事人同意；</w:t>
      </w:r>
    </w:p>
    <w:p>
      <w:pPr>
        <w:adjustRightInd w:val="0"/>
        <w:snapToGrid w:val="0"/>
        <w:spacing w:line="360" w:lineRule="auto"/>
        <w:ind w:left="1620"/>
        <w:rPr>
          <w:rFonts w:ascii="宋体" w:hAnsi="宋体" w:cs="宋体"/>
          <w:color w:val="auto"/>
          <w:kern w:val="0"/>
          <w:szCs w:val="21"/>
          <w:highlight w:val="none"/>
        </w:rPr>
      </w:pPr>
      <w:r>
        <w:rPr>
          <w:rFonts w:hint="eastAsia" w:ascii="宋体" w:hAnsi="宋体" w:cs="宋体"/>
          <w:color w:val="auto"/>
          <w:kern w:val="0"/>
          <w:szCs w:val="21"/>
          <w:highlight w:val="none"/>
        </w:rPr>
        <w:t>(4) 仲裁委员会仲裁需要，且合同双方当事人同意：</w:t>
      </w:r>
    </w:p>
    <w:p>
      <w:pPr>
        <w:adjustRightInd w:val="0"/>
        <w:snapToGrid w:val="0"/>
        <w:spacing w:line="360" w:lineRule="auto"/>
        <w:ind w:firstLine="1365" w:firstLineChars="650"/>
        <w:rPr>
          <w:rFonts w:ascii="宋体" w:hAnsi="宋体" w:cs="宋体"/>
          <w:color w:val="auto"/>
          <w:kern w:val="0"/>
          <w:szCs w:val="21"/>
          <w:highlight w:val="none"/>
        </w:rPr>
      </w:pPr>
      <w:r>
        <w:rPr>
          <w:rFonts w:hint="eastAsia" w:ascii="宋体" w:hAnsi="宋体" w:cs="宋体"/>
          <w:color w:val="auto"/>
          <w:kern w:val="0"/>
          <w:szCs w:val="21"/>
          <w:highlight w:val="none"/>
        </w:rPr>
        <w:t>(5) 人民法院诉讼需要。</w:t>
      </w:r>
    </w:p>
    <w:p>
      <w:pPr>
        <w:tabs>
          <w:tab w:val="left" w:pos="1620"/>
        </w:tabs>
        <w:adjustRightInd w:val="0"/>
        <w:snapToGrid w:val="0"/>
        <w:spacing w:line="240" w:lineRule="exact"/>
        <w:ind w:right="-24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48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87  合同解除</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7136" behindDoc="0" locked="0" layoutInCell="1" allowOverlap="1">
                <wp:simplePos x="0" y="0"/>
                <wp:positionH relativeFrom="column">
                  <wp:posOffset>-114300</wp:posOffset>
                </wp:positionH>
                <wp:positionV relativeFrom="paragraph">
                  <wp:posOffset>-3810</wp:posOffset>
                </wp:positionV>
                <wp:extent cx="1028700" cy="263525"/>
                <wp:effectExtent l="0" t="0" r="0" b="0"/>
                <wp:wrapNone/>
                <wp:docPr id="27" name="文本框 27"/>
                <wp:cNvGraphicFramePr/>
                <a:graphic xmlns:a="http://schemas.openxmlformats.org/drawingml/2006/main">
                  <a:graphicData uri="http://schemas.microsoft.com/office/word/2010/wordprocessingShape">
                    <wps:wsp>
                      <wps:cNvSpPr txBox="1">
                        <a:spLocks noChangeArrowheads="1"/>
                      </wps:cNvSpPr>
                      <wps:spPr bwMode="auto">
                        <a:xfrm>
                          <a:off x="0" y="0"/>
                          <a:ext cx="1028700" cy="2635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3pt;height:20.75pt;width:81pt;z-index:251867136;mso-width-relative:page;mso-height-relative:page;" filled="f" stroked="f" coordsize="21600,21600" o:gfxdata="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q7Jum1AAAAAgBAAAPAAAAAAAAAAEAIAAAACIAAABkcnMvZG93bnJl&#10;di54bWxQSwECFAAUAAAACACHTuJAAQt92QECAADXAwAADgAAAAAAAAABACAAAAAj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w:t>
                      </w:r>
                    </w:p>
                  </w:txbxContent>
                </v:textbox>
              </v:shape>
            </w:pict>
          </mc:Fallback>
        </mc:AlternateContent>
      </w:r>
      <w:r>
        <w:rPr>
          <w:rFonts w:hint="eastAsia" w:ascii="宋体" w:hAnsi="宋体" w:cs="宋体"/>
          <w:color w:val="auto"/>
          <w:kern w:val="0"/>
          <w:szCs w:val="21"/>
          <w:highlight w:val="none"/>
        </w:rPr>
        <w:t>合同双方当事人协商一致，可以解除合同。</w:t>
      </w:r>
    </w:p>
    <w:p>
      <w:pPr>
        <w:tabs>
          <w:tab w:val="left" w:pos="1320"/>
        </w:tabs>
        <w:adjustRightInd w:val="0"/>
        <w:snapToGrid w:val="0"/>
        <w:spacing w:line="360" w:lineRule="auto"/>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8160" behindDoc="0" locked="0" layoutInCell="1" allowOverlap="1">
                <wp:simplePos x="0" y="0"/>
                <wp:positionH relativeFrom="column">
                  <wp:posOffset>-114300</wp:posOffset>
                </wp:positionH>
                <wp:positionV relativeFrom="paragraph">
                  <wp:posOffset>160020</wp:posOffset>
                </wp:positionV>
                <wp:extent cx="914400" cy="47117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914400" cy="47117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6pt;height:37.1pt;width:72pt;z-index:251868160;mso-width-relative:page;mso-height-relative:page;" filled="f" stroked="f" coordsize="21600,21600" o:gfxdata="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a+vg9cAAAAJAQAADwAAAAAAAAABACAAAAAiAAAAZHJzL2Rvd25y&#10;ZXYueG1sUEsBAhQAFAAAAAgAh07iQJ7jq4P/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不可抗力导致解除</w:t>
                      </w:r>
                    </w:p>
                  </w:txbxContent>
                </v:textbox>
              </v:shape>
            </w:pict>
          </mc:Fallback>
        </mc:AlternateContent>
      </w:r>
      <w:r>
        <w:rPr>
          <w:rFonts w:hint="eastAsia" w:ascii="宋体" w:hAnsi="宋体" w:cs="宋体"/>
          <w:b/>
          <w:color w:val="auto"/>
          <w:kern w:val="0"/>
          <w:szCs w:val="21"/>
          <w:highlight w:val="none"/>
        </w:rPr>
        <w:t xml:space="preserve">87.2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因不可抗力事件致使合同无法继续履行的，合同双方当事人可以解除合同。</w:t>
      </w:r>
    </w:p>
    <w:p>
      <w:pPr>
        <w:tabs>
          <w:tab w:val="left" w:pos="1320"/>
        </w:tabs>
        <w:adjustRightInd w:val="0"/>
        <w:snapToGrid w:val="0"/>
        <w:spacing w:line="36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87.3 </w:t>
      </w:r>
      <w:r>
        <w:rPr>
          <w:rFonts w:hint="eastAsia" w:ascii="宋体" w:hAnsi="宋体" w:cs="宋体"/>
          <w:color w:val="auto"/>
          <w:kern w:val="0"/>
          <w:szCs w:val="21"/>
          <w:highlight w:val="none"/>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69184" behindDoc="0" locked="0" layoutInCell="1" allowOverlap="1">
                <wp:simplePos x="0" y="0"/>
                <wp:positionH relativeFrom="column">
                  <wp:posOffset>-114300</wp:posOffset>
                </wp:positionH>
                <wp:positionV relativeFrom="paragraph">
                  <wp:posOffset>37465</wp:posOffset>
                </wp:positionV>
                <wp:extent cx="914400" cy="404495"/>
                <wp:effectExtent l="0" t="0" r="0" b="0"/>
                <wp:wrapNone/>
                <wp:docPr id="25" name="文本框 25"/>
                <wp:cNvGraphicFramePr/>
                <a:graphic xmlns:a="http://schemas.openxmlformats.org/drawingml/2006/main">
                  <a:graphicData uri="http://schemas.microsoft.com/office/word/2010/wordprocessingShape">
                    <wps:wsp>
                      <wps:cNvSpPr txBox="1">
                        <a:spLocks noChangeArrowheads="1"/>
                      </wps:cNvSpPr>
                      <wps:spPr bwMode="auto">
                        <a:xfrm>
                          <a:off x="0" y="0"/>
                          <a:ext cx="914400" cy="40449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95pt;height:31.85pt;width:72pt;z-index:251869184;mso-width-relative:page;mso-height-relative:page;" filled="f" stroked="f" coordsize="21600,21600" o:gfxdata="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Ct/8+dUAAAAIAQAADwAAAAAAAAABACAAAAAiAAAAZHJzL2Rvd25yZXYu&#10;eG1sUEsBAhQAFAAAAAgAh07iQOv294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w:t>
                      </w:r>
                    </w:p>
                  </w:txbxContent>
                </v:textbox>
              </v:shape>
            </w:pict>
          </mc:Fallback>
        </mc:AlternateContent>
      </w:r>
      <w:r>
        <w:rPr>
          <w:rFonts w:hint="eastAsia" w:ascii="宋体" w:hAnsi="宋体" w:cs="宋体"/>
          <w:color w:val="auto"/>
          <w:kern w:val="0"/>
          <w:szCs w:val="21"/>
          <w:highlight w:val="none"/>
        </w:rPr>
        <w:t>承包人有下列情形之一者，发包人可以解除合同：</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承包人未能按照第34.2款规定的开工期限内开工，经监理工程师催告后的28天内仍未开工的；</w:t>
      </w:r>
    </w:p>
    <w:p>
      <w:pPr>
        <w:numPr>
          <w:ilvl w:val="0"/>
          <w:numId w:val="31"/>
        </w:numPr>
        <w:adjustRightInd w:val="0"/>
        <w:snapToGrid w:val="0"/>
        <w:spacing w:line="360" w:lineRule="auto"/>
        <w:ind w:left="1621" w:leftChars="771" w:hanging="2"/>
        <w:rPr>
          <w:rFonts w:ascii="宋体" w:hAnsi="宋体" w:cs="宋体"/>
          <w:color w:val="auto"/>
          <w:kern w:val="0"/>
          <w:szCs w:val="21"/>
          <w:highlight w:val="none"/>
        </w:rPr>
      </w:pPr>
      <w:r>
        <w:rPr>
          <w:rFonts w:hint="eastAsia" w:ascii="宋体" w:hAnsi="宋体" w:cs="宋体"/>
          <w:color w:val="auto"/>
          <w:kern w:val="0"/>
          <w:szCs w:val="21"/>
          <w:highlight w:val="none"/>
        </w:rPr>
        <w:t>按照第33条规定的进度计划未表明有停工且监理工程师也未按照第35.1款规定发出暂停施工令，但承包人停止施工时间持续达56天或累计停止施工时间达70天的；</w:t>
      </w:r>
    </w:p>
    <w:p>
      <w:pPr>
        <w:numPr>
          <w:ilvl w:val="0"/>
          <w:numId w:val="31"/>
        </w:numPr>
        <w:tabs>
          <w:tab w:val="left" w:pos="1680"/>
        </w:tabs>
        <w:adjustRightInd w:val="0"/>
        <w:snapToGrid w:val="0"/>
        <w:spacing w:line="360" w:lineRule="auto"/>
        <w:ind w:left="1659" w:leftChars="770" w:hanging="42"/>
        <w:rPr>
          <w:rFonts w:ascii="宋体" w:hAnsi="宋体" w:cs="宋体"/>
          <w:color w:val="auto"/>
          <w:kern w:val="0"/>
          <w:szCs w:val="21"/>
          <w:highlight w:val="none"/>
        </w:rPr>
      </w:pPr>
      <w:r>
        <w:rPr>
          <w:rFonts w:hint="eastAsia" w:ascii="宋体" w:hAnsi="宋体" w:cs="宋体"/>
          <w:color w:val="auto"/>
          <w:kern w:val="0"/>
          <w:szCs w:val="21"/>
          <w:highlight w:val="none"/>
        </w:rPr>
        <w:t>承包人违反第18.1款或第51.4款规定未经监理工程师批准，私自将已按照合同约定进入施工现场的施工设备、临时设施或材料运出施工现场  的；</w:t>
      </w:r>
    </w:p>
    <w:p>
      <w:pPr>
        <w:numPr>
          <w:ilvl w:val="0"/>
          <w:numId w:val="31"/>
        </w:numPr>
        <w:adjustRightInd w:val="0"/>
        <w:snapToGrid w:val="0"/>
        <w:spacing w:line="360" w:lineRule="auto"/>
        <w:ind w:left="1678" w:leftChars="799" w:firstLine="2"/>
        <w:rPr>
          <w:rFonts w:ascii="宋体" w:hAnsi="宋体" w:cs="宋体"/>
          <w:color w:val="auto"/>
          <w:kern w:val="0"/>
          <w:szCs w:val="21"/>
          <w:highlight w:val="none"/>
        </w:rPr>
      </w:pPr>
      <w:r>
        <w:rPr>
          <w:rFonts w:hint="eastAsia" w:ascii="宋体" w:hAnsi="宋体" w:cs="宋体"/>
          <w:color w:val="auto"/>
          <w:kern w:val="0"/>
          <w:szCs w:val="21"/>
          <w:highlight w:val="none"/>
        </w:rPr>
        <w:t xml:space="preserve">承包人拖延完工且能偿付的误期赔偿费已达到专用条款约定最高限额的； </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承包人转包工程、违法分包或未经许可擅自分包工程的；</w:t>
      </w:r>
    </w:p>
    <w:p>
      <w:pPr>
        <w:numPr>
          <w:ilvl w:val="0"/>
          <w:numId w:val="31"/>
        </w:numPr>
        <w:adjustRightInd w:val="0"/>
        <w:snapToGrid w:val="0"/>
        <w:spacing w:line="360" w:lineRule="auto"/>
        <w:ind w:left="1617" w:leftChars="770" w:firstLine="2"/>
        <w:rPr>
          <w:rFonts w:ascii="宋体" w:hAnsi="宋体" w:cs="宋体"/>
          <w:color w:val="auto"/>
          <w:kern w:val="0"/>
          <w:szCs w:val="21"/>
          <w:highlight w:val="none"/>
        </w:rPr>
      </w:pPr>
      <w:r>
        <w:rPr>
          <w:rFonts w:hint="eastAsia" w:ascii="宋体" w:hAnsi="宋体" w:cs="宋体"/>
          <w:color w:val="auto"/>
          <w:kern w:val="0"/>
          <w:szCs w:val="21"/>
          <w:highlight w:val="none"/>
        </w:rPr>
        <w:t>承包人未按照合同约定或监理工程师的指令，经监理工程师书面指出后仍未按要求改正的；</w:t>
      </w:r>
    </w:p>
    <w:p>
      <w:pPr>
        <w:numPr>
          <w:ilvl w:val="0"/>
          <w:numId w:val="31"/>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承包人履行合同期间有欺诈行为的；</w:t>
      </w:r>
    </w:p>
    <w:p>
      <w:pPr>
        <w:numPr>
          <w:ilvl w:val="0"/>
          <w:numId w:val="31"/>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承包人向任何人付给或企图付给任何贿赂、礼品、赏金、回扣或其他贵重物品，以引诱或报偿他人，但付给承包人相关人员的奖励则属例外；</w:t>
      </w:r>
    </w:p>
    <w:p>
      <w:pPr>
        <w:adjustRightInd w:val="0"/>
        <w:snapToGrid w:val="0"/>
        <w:spacing w:line="360" w:lineRule="auto"/>
        <w:ind w:left="1617"/>
        <w:rPr>
          <w:rFonts w:ascii="宋体" w:hAnsi="宋体" w:cs="宋体"/>
          <w:color w:val="auto"/>
          <w:kern w:val="0"/>
          <w:szCs w:val="21"/>
          <w:highlight w:val="none"/>
        </w:rPr>
      </w:pPr>
      <w:r>
        <w:rPr>
          <w:rFonts w:hint="eastAsia" w:ascii="宋体" w:hAnsi="宋体" w:cs="宋体"/>
          <w:color w:val="auto"/>
          <w:kern w:val="0"/>
          <w:szCs w:val="21"/>
          <w:highlight w:val="none"/>
        </w:rPr>
        <w:t>(9)承包人在缺陷责任期内未能对发生的缺陷进行修复，且又拒绝按照监理工程师指令再进行修补的；</w:t>
      </w:r>
    </w:p>
    <w:p>
      <w:pPr>
        <w:adjustRightInd w:val="0"/>
        <w:snapToGrid w:val="0"/>
        <w:spacing w:line="360" w:lineRule="auto"/>
        <w:ind w:left="1680" w:leftChars="800"/>
        <w:rPr>
          <w:rFonts w:ascii="宋体" w:hAnsi="宋体" w:cs="宋体"/>
          <w:color w:val="auto"/>
          <w:kern w:val="0"/>
          <w:szCs w:val="21"/>
          <w:highlight w:val="none"/>
        </w:rPr>
      </w:pPr>
      <w:r>
        <w:rPr>
          <w:rFonts w:hint="eastAsia" w:ascii="宋体" w:hAnsi="宋体" w:cs="宋体"/>
          <w:color w:val="auto"/>
          <w:kern w:val="0"/>
          <w:szCs w:val="21"/>
          <w:highlight w:val="none"/>
        </w:rPr>
        <w:t>(10)承包人无法继续履行、明确表示或以行为表明不履行合同约定主要义 务的；</w:t>
      </w:r>
    </w:p>
    <w:p>
      <w:pPr>
        <w:adjustRightInd w:val="0"/>
        <w:snapToGrid w:val="0"/>
        <w:spacing w:line="360" w:lineRule="auto"/>
        <w:ind w:left="1680"/>
        <w:rPr>
          <w:rFonts w:ascii="宋体" w:hAnsi="宋体" w:cs="宋体"/>
          <w:color w:val="auto"/>
          <w:kern w:val="0"/>
          <w:szCs w:val="21"/>
          <w:highlight w:val="none"/>
        </w:rPr>
      </w:pPr>
      <w:r>
        <w:rPr>
          <w:rFonts w:hint="eastAsia" w:ascii="宋体" w:hAnsi="宋体" w:cs="宋体"/>
          <w:color w:val="auto"/>
          <w:kern w:val="0"/>
          <w:szCs w:val="21"/>
          <w:highlight w:val="none"/>
        </w:rPr>
        <w:t>(11)承包人延迟履行合同约定主要义务，经催告后在合理期限内仍未履行 的；</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(12)承包人破产或清偿的，但以机构重组或联合为目的的除外；</w:t>
      </w:r>
    </w:p>
    <w:p>
      <w:pPr>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(13)承包人被认为是严重违反合同的其他违约行为。</w:t>
      </w:r>
    </w:p>
    <w:p>
      <w:pPr>
        <w:adjustRightInd w:val="0"/>
        <w:snapToGrid w:val="0"/>
        <w:spacing w:line="360" w:lineRule="auto"/>
        <w:ind w:left="1619" w:leftChars="771"/>
        <w:rPr>
          <w:rFonts w:ascii="宋体" w:hAnsi="宋体" w:cs="宋体"/>
          <w:b/>
          <w:color w:val="auto"/>
          <w:kern w:val="0"/>
          <w:szCs w:val="21"/>
          <w:highlight w:val="none"/>
        </w:rPr>
      </w:pPr>
      <w:r>
        <w:rPr>
          <w:rFonts w:hint="eastAsia" w:ascii="宋体" w:hAnsi="宋体" w:cs="宋体"/>
          <w:color w:val="auto"/>
          <w:kern w:val="0"/>
          <w:szCs w:val="21"/>
          <w:highlight w:val="none"/>
        </w:rPr>
        <w:t>在这种情况下，发包人可自行或委托第三方实施、完成合同工程或其任何部分，并可使用根据第18.2款留下的承包人施工设备、周转性材料和临时工程，直至永久工程完工为止。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0208" behindDoc="0" locked="0" layoutInCell="1" allowOverlap="1">
                <wp:simplePos x="0" y="0"/>
                <wp:positionH relativeFrom="column">
                  <wp:posOffset>-114300</wp:posOffset>
                </wp:positionH>
                <wp:positionV relativeFrom="paragraph">
                  <wp:posOffset>29845</wp:posOffset>
                </wp:positionV>
                <wp:extent cx="914400" cy="503555"/>
                <wp:effectExtent l="0" t="0" r="0" b="0"/>
                <wp:wrapNone/>
                <wp:docPr id="24" name="文本框 24"/>
                <wp:cNvGraphicFramePr/>
                <a:graphic xmlns:a="http://schemas.openxmlformats.org/drawingml/2006/main">
                  <a:graphicData uri="http://schemas.microsoft.com/office/word/2010/wordprocessingShape">
                    <wps:wsp>
                      <wps:cNvSpPr txBox="1">
                        <a:spLocks noChangeArrowheads="1"/>
                      </wps:cNvSpPr>
                      <wps:spPr bwMode="auto">
                        <a:xfrm>
                          <a:off x="0" y="0"/>
                          <a:ext cx="914400" cy="50355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35pt;height:39.65pt;width:72pt;z-index:251870208;mso-width-relative:page;mso-height-relative:page;" filled="f" stroked="f" coordsize="21600,21600" o:gfxdata="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mPLjjVAAAACAEAAA8AAAAAAAAAAQAgAAAAIgAAAGRycy9kb3ducmV2&#10;LnhtbFBLAQIUABQAAAAIAIdO4kDU80K2/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w:t>
                      </w:r>
                    </w:p>
                  </w:txbxContent>
                </v:textbox>
              </v:shape>
            </w:pict>
          </mc:Fallback>
        </mc:AlternateContent>
      </w:r>
      <w:r>
        <w:rPr>
          <w:rFonts w:hint="eastAsia" w:ascii="宋体" w:hAnsi="宋体" w:cs="宋体"/>
          <w:color w:val="auto"/>
          <w:kern w:val="0"/>
          <w:szCs w:val="21"/>
          <w:highlight w:val="none"/>
        </w:rPr>
        <w:t>发包人有下列情形之一者，承包人可以解除合同：</w:t>
      </w:r>
    </w:p>
    <w:p>
      <w:pPr>
        <w:numPr>
          <w:ilvl w:val="0"/>
          <w:numId w:val="32"/>
        </w:numPr>
        <w:tabs>
          <w:tab w:val="left" w:pos="2160"/>
        </w:tabs>
        <w:adjustRightInd w:val="0"/>
        <w:snapToGrid w:val="0"/>
        <w:spacing w:line="360" w:lineRule="auto"/>
        <w:ind w:left="1619" w:leftChars="771" w:firstLine="1"/>
        <w:rPr>
          <w:rFonts w:ascii="宋体" w:hAnsi="宋体" w:cs="宋体"/>
          <w:color w:val="auto"/>
          <w:kern w:val="0"/>
          <w:szCs w:val="21"/>
          <w:highlight w:val="none"/>
        </w:rPr>
      </w:pPr>
      <w:r>
        <w:rPr>
          <w:rFonts w:hint="eastAsia" w:ascii="宋体" w:hAnsi="宋体" w:cs="宋体"/>
          <w:color w:val="auto"/>
          <w:kern w:val="0"/>
          <w:szCs w:val="21"/>
          <w:highlight w:val="none"/>
        </w:rPr>
        <w:t>非承包人原因未按照第34.2款规定期限内发出开工令，经承包人催告后28天内仍未发出开工令的；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按照第35.3款规定非承包人原因造成暂停施工持续56天以上或累计停工时间超过了70天的；           </w:t>
      </w:r>
    </w:p>
    <w:p>
      <w:pPr>
        <w:numPr>
          <w:ilvl w:val="0"/>
          <w:numId w:val="32"/>
        </w:numPr>
        <w:tabs>
          <w:tab w:val="left" w:pos="180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发包人按照第5条规定提供的施工设计图纸存在缺陷或按照第48条规定供应的材料和工程设备不符合强制性标准，致使承包人无法施工，经承包人催告后28天内仍未修正或更换的；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监理工程师未按照合同约定及时发出工作指令，导致承包人无法继续施工的； </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发包人未按照第78.1款规定向承包人支付工程款，经承包人催告后28天内仍未支付的；</w:t>
      </w:r>
    </w:p>
    <w:p>
      <w:pPr>
        <w:numPr>
          <w:ilvl w:val="0"/>
          <w:numId w:val="32"/>
        </w:numPr>
        <w:tabs>
          <w:tab w:val="left" w:pos="2160"/>
        </w:tabs>
        <w:adjustRightInd w:val="0"/>
        <w:snapToGrid w:val="0"/>
        <w:spacing w:line="360" w:lineRule="auto"/>
        <w:ind w:left="1620" w:leftChars="771" w:hanging="1"/>
        <w:rPr>
          <w:rFonts w:ascii="宋体" w:hAnsi="宋体" w:cs="宋体"/>
          <w:color w:val="auto"/>
          <w:kern w:val="0"/>
          <w:szCs w:val="21"/>
          <w:highlight w:val="none"/>
        </w:rPr>
      </w:pPr>
      <w:r>
        <w:rPr>
          <w:rFonts w:hint="eastAsia" w:ascii="宋体" w:hAnsi="宋体" w:cs="宋体"/>
          <w:color w:val="auto"/>
          <w:kern w:val="0"/>
          <w:szCs w:val="21"/>
          <w:highlight w:val="none"/>
        </w:rPr>
        <w:t>发包人无法继续履行、明确表示或以行为表明不履行合同约定主要义务的；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(7)发包人延迟履行合同约定主要义务，经催告后在合理期限内仍未履行的；</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(8)发包人破产或清偿的，但以机构重组或联合为目的的除外；</w:t>
      </w:r>
    </w:p>
    <w:p>
      <w:pPr>
        <w:tabs>
          <w:tab w:val="left" w:pos="2160"/>
        </w:tabs>
        <w:adjustRightInd w:val="0"/>
        <w:snapToGrid w:val="0"/>
        <w:spacing w:line="360" w:lineRule="auto"/>
        <w:ind w:left="1619"/>
        <w:rPr>
          <w:rFonts w:ascii="宋体" w:hAnsi="宋体" w:cs="宋体"/>
          <w:color w:val="auto"/>
          <w:kern w:val="0"/>
          <w:szCs w:val="21"/>
          <w:highlight w:val="none"/>
        </w:rPr>
      </w:pPr>
      <w:r>
        <w:rPr>
          <w:rFonts w:hint="eastAsia" w:ascii="宋体" w:hAnsi="宋体" w:cs="宋体"/>
          <w:color w:val="auto"/>
          <w:kern w:val="0"/>
          <w:szCs w:val="21"/>
          <w:highlight w:val="none"/>
        </w:rPr>
        <w:t>(9)发包人被认为是严重违反合同的其他违约行为。</w:t>
      </w:r>
    </w:p>
    <w:p>
      <w:pPr>
        <w:tabs>
          <w:tab w:val="left" w:pos="1320"/>
        </w:tabs>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1232" behindDoc="0" locked="0" layoutInCell="1" allowOverlap="1">
                <wp:simplePos x="0" y="0"/>
                <wp:positionH relativeFrom="column">
                  <wp:posOffset>-114300</wp:posOffset>
                </wp:positionH>
                <wp:positionV relativeFrom="paragraph">
                  <wp:posOffset>202565</wp:posOffset>
                </wp:positionV>
                <wp:extent cx="914400" cy="396240"/>
                <wp:effectExtent l="0" t="0" r="0" b="0"/>
                <wp:wrapNone/>
                <wp:docPr id="23" name="文本框 2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5.95pt;height:31.2pt;width:72pt;z-index:251871232;mso-width-relative:page;mso-height-relative:page;" filled="f" stroked="f" coordsize="21600,21600" o:gfxdata="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kNbiNcAAAAJAQAADwAAAAAAAAABACAAAAAiAAAAZHJzL2Rvd25y&#10;ZXYueG1sUEsBAhQAFAAAAAgAh07iQMbtcLz/AQAA1gMAAA4AAAAAAAAAAQAgAAAAJgEAAGRycy9l&#10;Mm9Eb2MueG1sUEsFBgAAAAAGAAYAWQEAAJc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书面通知合同解除</w:t>
                      </w:r>
                    </w:p>
                  </w:txbxContent>
                </v:textbox>
              </v:shape>
            </w:pict>
          </mc:Fallback>
        </mc:AlternateContent>
      </w:r>
      <w:r>
        <w:rPr>
          <w:rFonts w:hint="eastAsia" w:ascii="宋体" w:hAnsi="宋体" w:cs="宋体"/>
          <w:b/>
          <w:color w:val="auto"/>
          <w:kern w:val="0"/>
          <w:szCs w:val="21"/>
          <w:highlight w:val="none"/>
        </w:rPr>
        <w:t xml:space="preserve">87.5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根据第87.2款至第87.4款规定要求解除合同的，解除方应以书面形式向另一方当事人发出解除合同的通知，另一方当事人收到通知时合同即告解除。对解除合同有争议的，应按照第86条规定处理。</w:t>
      </w:r>
    </w:p>
    <w:p>
      <w:pPr>
        <w:tabs>
          <w:tab w:val="left" w:pos="1320"/>
        </w:tabs>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87.6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2256" behindDoc="0" locked="0" layoutInCell="1" allowOverlap="1">
                <wp:simplePos x="0" y="0"/>
                <wp:positionH relativeFrom="column">
                  <wp:posOffset>-114300</wp:posOffset>
                </wp:positionH>
                <wp:positionV relativeFrom="paragraph">
                  <wp:posOffset>6985</wp:posOffset>
                </wp:positionV>
                <wp:extent cx="914400" cy="594360"/>
                <wp:effectExtent l="0" t="0" r="0" b="0"/>
                <wp:wrapNone/>
                <wp:docPr id="22" name="文本框 2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55pt;height:46.8pt;width:72pt;z-index:251872256;mso-width-relative:page;mso-height-relative:page;" filled="f" stroked="f" coordsize="21600,21600" o:gfxdata="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DGpytQAAAAIAQAADwAAAAAAAAABACAAAAAiAAAAZHJzL2Rvd25yZXYu&#10;eG1sUEsBAhQAFAAAAAgAh07iQAtOdUf/AQAA1g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合同解除后双方的责任和义务</w:t>
                      </w:r>
                    </w:p>
                  </w:txbxContent>
                </v:textbox>
              </v:shape>
            </w:pict>
          </mc:Fallback>
        </mc:AlternateContent>
      </w:r>
      <w:r>
        <w:rPr>
          <w:rFonts w:hint="eastAsia" w:ascii="宋体" w:hAnsi="宋体" w:cs="宋体"/>
          <w:color w:val="auto"/>
          <w:kern w:val="0"/>
          <w:szCs w:val="21"/>
          <w:highlight w:val="none"/>
        </w:rPr>
        <w:t>合同一旦解除，承包人应立即停止施工，保证现场安全，保护已完工程和已购材料、工程设备，尽快撤离现场，并将所有与本合同有关的施工文件、设计文件移交给监理工程师。发包人应为承包人的撤离提供便利和协助。</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ind w:right="-238" w:firstLine="420" w:firstLineChars="200"/>
        <w:rPr>
          <w:rFonts w:ascii="宋体" w:hAnsi="宋体" w:cs="宋体"/>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88  合同解除的支付</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3280" behindDoc="0" locked="0" layoutInCell="1" allowOverlap="1">
                <wp:simplePos x="0" y="0"/>
                <wp:positionH relativeFrom="column">
                  <wp:posOffset>-66675</wp:posOffset>
                </wp:positionH>
                <wp:positionV relativeFrom="paragraph">
                  <wp:posOffset>188595</wp:posOffset>
                </wp:positionV>
                <wp:extent cx="914400" cy="396240"/>
                <wp:effectExtent l="0" t="0" r="0" b="0"/>
                <wp:wrapNone/>
                <wp:docPr id="21" name="文本框 21"/>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14.85pt;height:31.2pt;width:72pt;z-index:251873280;mso-width-relative:page;mso-height-relative:page;" filled="f" stroked="f" coordsize="21600,21600" o:gfxdata="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45kRl1gAAAAkBAAAPAAAAAAAAAAEAIAAAACIAAABkcnMvZG93bnJl&#10;di54bWxQSwECFAAUAAAACACHTuJAoP95Qf8BAADW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协商一致解除的支付</w:t>
                      </w:r>
                    </w:p>
                  </w:txbxContent>
                </v:textbox>
              </v:shape>
            </w:pict>
          </mc:Fallback>
        </mc:AlternateContent>
      </w:r>
      <w:r>
        <w:rPr>
          <w:rFonts w:hint="eastAsia" w:ascii="宋体" w:hAnsi="宋体" w:cs="宋体"/>
          <w:b/>
          <w:color w:val="auto"/>
          <w:kern w:val="0"/>
          <w:szCs w:val="21"/>
          <w:highlight w:val="none"/>
        </w:rPr>
        <w:t xml:space="preserve">88.1     </w:t>
      </w:r>
    </w:p>
    <w:p>
      <w:pPr>
        <w:adjustRightInd w:val="0"/>
        <w:snapToGrid w:val="0"/>
        <w:spacing w:line="360" w:lineRule="auto"/>
        <w:ind w:firstLine="1470" w:firstLineChars="700"/>
        <w:rPr>
          <w:rFonts w:ascii="宋体" w:hAnsi="宋体" w:cs="宋体"/>
          <w:color w:val="auto"/>
          <w:kern w:val="0"/>
          <w:szCs w:val="21"/>
          <w:highlight w:val="none"/>
        </w:rPr>
      </w:pPr>
      <w:r>
        <w:rPr>
          <w:rFonts w:hint="eastAsia" w:ascii="宋体" w:hAnsi="宋体" w:cs="宋体"/>
          <w:color w:val="auto"/>
          <w:kern w:val="0"/>
          <w:szCs w:val="21"/>
          <w:highlight w:val="none"/>
        </w:rPr>
        <w:t>根据第87.1款规定解除合同的，按照达成的协议办理结算和支付工程款。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4304" behindDoc="0" locked="0" layoutInCell="1" allowOverlap="1">
                <wp:simplePos x="0" y="0"/>
                <wp:positionH relativeFrom="column">
                  <wp:posOffset>-114300</wp:posOffset>
                </wp:positionH>
                <wp:positionV relativeFrom="paragraph">
                  <wp:posOffset>15875</wp:posOffset>
                </wp:positionV>
                <wp:extent cx="914400" cy="693420"/>
                <wp:effectExtent l="0" t="0" r="0" b="0"/>
                <wp:wrapNone/>
                <wp:docPr id="20" name="文本框 20"/>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54.6pt;width:72pt;z-index:251874304;mso-width-relative:page;mso-height-relative:page;" filled="f" stroked="f" coordsize="21600,21600" o:gfxdata="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QPuPt9YAAAAJAQAADwAAAAAAAAABACAAAAAiAAAAZHJzL2Rvd25yZXYu&#10;eG1sUEsBAhQAFAAAAAgAh07iQNlSnNv9AQAA1g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不可抗力解除的支付</w:t>
                      </w:r>
                    </w:p>
                  </w:txbxContent>
                </v:textbox>
              </v:shape>
            </w:pict>
          </mc:Fallback>
        </mc:AlternateContent>
      </w:r>
      <w:r>
        <w:rPr>
          <w:rFonts w:hint="eastAsia" w:ascii="宋体" w:hAnsi="宋体" w:cs="宋体"/>
          <w:color w:val="auto"/>
          <w:kern w:val="0"/>
          <w:szCs w:val="21"/>
          <w:highlight w:val="none"/>
        </w:rPr>
        <w:t>根据第87.2款规定解除合同的，发包人应向承包人支付合同解除之日前已完成工程但尚未支付的工程款。此外，发包人还应支付下列款项：</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已实施或部分实施的措施项目应付款项；</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承包人为合同工程合理订购且已交付的材料和工程设备货款。发包人一经支付此项货款，该材料和工程设备即成为发包人的财产；</w:t>
      </w:r>
    </w:p>
    <w:p>
      <w:pPr>
        <w:numPr>
          <w:ilvl w:val="0"/>
          <w:numId w:val="33"/>
        </w:numPr>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承包人为完成合同工程而预期开支的任何合理款项，且该项款项未包括在本款其他各项支付之内；</w:t>
      </w:r>
    </w:p>
    <w:p>
      <w:pPr>
        <w:numPr>
          <w:ilvl w:val="0"/>
          <w:numId w:val="33"/>
        </w:numPr>
        <w:adjustRightInd w:val="0"/>
        <w:snapToGrid w:val="0"/>
        <w:spacing w:line="360" w:lineRule="auto"/>
        <w:ind w:left="2036" w:leftChars="771" w:hanging="417" w:hangingChars="199"/>
        <w:rPr>
          <w:rFonts w:ascii="宋体" w:hAnsi="宋体" w:cs="宋体"/>
          <w:color w:val="auto"/>
          <w:kern w:val="0"/>
          <w:szCs w:val="21"/>
          <w:highlight w:val="none"/>
        </w:rPr>
      </w:pPr>
      <w:r>
        <w:rPr>
          <w:rFonts w:hint="eastAsia" w:ascii="宋体" w:hAnsi="宋体" w:cs="宋体"/>
          <w:color w:val="auto"/>
          <w:kern w:val="0"/>
          <w:szCs w:val="21"/>
          <w:highlight w:val="none"/>
        </w:rPr>
        <w:t>根据第31.3款规定的任何工作应支付的款项；</w:t>
      </w:r>
    </w:p>
    <w:p>
      <w:pPr>
        <w:numPr>
          <w:ilvl w:val="0"/>
          <w:numId w:val="33"/>
        </w:numPr>
        <w:tabs>
          <w:tab w:val="left" w:pos="1980"/>
        </w:tabs>
        <w:adjustRightInd w:val="0"/>
        <w:snapToGrid w:val="0"/>
        <w:spacing w:line="360" w:lineRule="auto"/>
        <w:ind w:left="1618" w:leftChars="770" w:hanging="1"/>
        <w:rPr>
          <w:rFonts w:ascii="宋体" w:hAnsi="宋体" w:cs="宋体"/>
          <w:color w:val="auto"/>
          <w:kern w:val="0"/>
          <w:szCs w:val="21"/>
          <w:highlight w:val="none"/>
        </w:rPr>
      </w:pPr>
      <w:r>
        <w:rPr>
          <w:rFonts w:hint="eastAsia" w:ascii="宋体" w:hAnsi="宋体" w:cs="宋体"/>
          <w:color w:val="auto"/>
          <w:kern w:val="0"/>
          <w:szCs w:val="21"/>
          <w:highlight w:val="none"/>
        </w:rPr>
        <w:t xml:space="preserve"> 根据第87.6款规定承包人撤离现场所需的合理款项，包括雇员遣送费和临时工程拆除、施工设备运离现场的款项。</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按照第82条、第83条规定办理结算工程款，但应扣除合同解除之日前发包人向承包人收回的任何款项。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5328" behindDoc="0" locked="0" layoutInCell="1" allowOverlap="1">
                <wp:simplePos x="0" y="0"/>
                <wp:positionH relativeFrom="column">
                  <wp:posOffset>-114300</wp:posOffset>
                </wp:positionH>
                <wp:positionV relativeFrom="paragraph">
                  <wp:posOffset>49530</wp:posOffset>
                </wp:positionV>
                <wp:extent cx="914400" cy="693420"/>
                <wp:effectExtent l="0" t="0" r="0" b="0"/>
                <wp:wrapNone/>
                <wp:docPr id="19" name="文本框 19"/>
                <wp:cNvGraphicFramePr/>
                <a:graphic xmlns:a="http://schemas.openxmlformats.org/drawingml/2006/main">
                  <a:graphicData uri="http://schemas.microsoft.com/office/word/2010/wordprocessingShape">
                    <wps:wsp>
                      <wps:cNvSpPr txBox="1">
                        <a:spLocks noChangeArrowheads="1"/>
                      </wps:cNvSpPr>
                      <wps:spPr bwMode="auto">
                        <a:xfrm>
                          <a:off x="0" y="0"/>
                          <a:ext cx="914400" cy="6934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9pt;height:54.6pt;width:72pt;z-index:251875328;mso-width-relative:page;mso-height-relative:page;" filled="f" stroked="f" coordsize="21600,21600" o:gfxdata="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kBr53WAAAACQEAAA8AAAAAAAAAAQAgAAAAIgAAAGRycy9kb3ducmV2&#10;LnhtbFBLAQIUABQAAAAIAIdO4kAQtlz8/gEAANYDAAAOAAAAAAAAAAEAIAAAACU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因承包人的原因解除的支付</w:t>
                      </w:r>
                    </w:p>
                  </w:txbxContent>
                </v:textbox>
              </v:shape>
            </w:pict>
          </mc:Fallback>
        </mc:AlternateContent>
      </w:r>
      <w:r>
        <w:rPr>
          <w:rFonts w:hint="eastAsia" w:ascii="宋体" w:hAnsi="宋体" w:cs="宋体"/>
          <w:color w:val="auto"/>
          <w:kern w:val="0"/>
          <w:szCs w:val="21"/>
          <w:highlight w:val="none"/>
        </w:rPr>
        <w:t>根据第87.3款规定解除合同的，发包人暂停向承包人支付任何款项，造价工程师应在合同解除后28天内核实合同解除时承包人已完成的全部工程款以及已运至现场的材料和工程设备货款，并扣除误期赔偿费（如有）和发包人已支付给承包人的各项款项，同时将结果通知承包人并抄报发包人。合同双方当事人应在收到核实结果后的28天内予以确认或提出意见，并按照第82.4款规定办理结算工程款。如果发包人应扣除的款项超过了应支付的款项，则承包人应在合同解除后的56天内将其差额退还给发包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88.4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jc w:val="left"/>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6352" behindDoc="0" locked="0" layoutInCell="1" allowOverlap="1">
                <wp:simplePos x="0" y="0"/>
                <wp:positionH relativeFrom="column">
                  <wp:posOffset>-114300</wp:posOffset>
                </wp:positionH>
                <wp:positionV relativeFrom="paragraph">
                  <wp:posOffset>45720</wp:posOffset>
                </wp:positionV>
                <wp:extent cx="914400" cy="463550"/>
                <wp:effectExtent l="0" t="0" r="0" b="0"/>
                <wp:wrapNone/>
                <wp:docPr id="18" name="文本框 18"/>
                <wp:cNvGraphicFramePr/>
                <a:graphic xmlns:a="http://schemas.openxmlformats.org/drawingml/2006/main">
                  <a:graphicData uri="http://schemas.microsoft.com/office/word/2010/wordprocessingShape">
                    <wps:wsp>
                      <wps:cNvSpPr txBox="1">
                        <a:spLocks noChangeArrowheads="1"/>
                      </wps:cNvSpPr>
                      <wps:spPr bwMode="auto">
                        <a:xfrm>
                          <a:off x="0" y="0"/>
                          <a:ext cx="914400" cy="46355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3.6pt;height:36.5pt;width:72pt;z-index:251876352;mso-width-relative:page;mso-height-relative:page;" filled="f" stroked="f" coordsize="21600,21600" o:gfxdata="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A9E29dUAAAAIAQAADwAAAAAAAAABACAAAAAiAAAAZHJzL2Rvd25yZXYu&#10;eG1sUEsBAhQAFAAAAAgAh07iQH2jZtH+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因发包人的原因解除的支付</w:t>
                      </w:r>
                    </w:p>
                  </w:txbxContent>
                </v:textbox>
              </v:shape>
            </w:pict>
          </mc:Fallback>
        </mc:AlternateContent>
      </w:r>
      <w:r>
        <w:rPr>
          <w:rFonts w:hint="eastAsia" w:ascii="宋体" w:hAnsi="宋体" w:cs="宋体"/>
          <w:color w:val="auto"/>
          <w:kern w:val="0"/>
          <w:szCs w:val="21"/>
          <w:highlight w:val="none"/>
        </w:rPr>
        <w:t>根据第87.4款规定解除合同的，发包人除应按照第88.2款规定向承包人支付各项款项外，还应支付给承包人由于解除合同而引起的损失或损害的款项。该笔款项由承包人提出，造价工程师核实后与合同双方当事人协商确定，并在确定后的7天内由造价工程师向发包人签发支付证书，抄送承包人。协商不能达成一致的，按照第86条规定处理。</w:t>
      </w:r>
    </w:p>
    <w:p>
      <w:pPr>
        <w:adjustRightInd w:val="0"/>
        <w:snapToGrid w:val="0"/>
        <w:spacing w:line="360" w:lineRule="auto"/>
        <w:jc w:val="lef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jc w:val="left"/>
        <w:rPr>
          <w:rFonts w:ascii="宋体" w:hAnsi="宋体" w:cs="宋体"/>
          <w:b/>
          <w:color w:val="auto"/>
          <w:kern w:val="0"/>
          <w:szCs w:val="21"/>
          <w:highlight w:val="none"/>
        </w:rPr>
      </w:pPr>
    </w:p>
    <w:p>
      <w:pPr>
        <w:adjustRightInd w:val="0"/>
        <w:snapToGrid w:val="0"/>
        <w:spacing w:line="36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89  合同终止</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7376" behindDoc="0" locked="0" layoutInCell="1" allowOverlap="1">
                <wp:simplePos x="0" y="0"/>
                <wp:positionH relativeFrom="column">
                  <wp:posOffset>-114300</wp:posOffset>
                </wp:positionH>
                <wp:positionV relativeFrom="paragraph">
                  <wp:posOffset>15875</wp:posOffset>
                </wp:positionV>
                <wp:extent cx="914400" cy="396240"/>
                <wp:effectExtent l="0" t="0" r="0" b="0"/>
                <wp:wrapNone/>
                <wp:docPr id="17" name="文本框 17"/>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31.2pt;width:72pt;z-index:251877376;mso-width-relative:page;mso-height-relative:page;" filled="f" stroked="f" coordsize="21600,21600" o:gfxdata="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D8/wcNUAAAAIAQAADwAAAAAAAAABACAAAAAiAAAAZHJzL2Rvd25yZXYu&#10;eG1sUEsBAhQAFAAAAAgAh07iQKvnkYb+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合同解除后的终止</w:t>
                      </w:r>
                    </w:p>
                  </w:txbxContent>
                </v:textbox>
              </v:shape>
            </w:pict>
          </mc:Fallback>
        </mc:AlternateContent>
      </w:r>
      <w:r>
        <w:rPr>
          <w:rFonts w:hint="eastAsia" w:ascii="宋体" w:hAnsi="宋体" w:cs="宋体"/>
          <w:color w:val="auto"/>
          <w:kern w:val="0"/>
          <w:szCs w:val="21"/>
          <w:highlight w:val="none"/>
        </w:rPr>
        <w:t>合同解除后，除合同双方当事人享有第86条至第88条规定的权利外，本合同即告终止，但不因一方当事人在此以前的任何违约而损害另一方当事人应享有的权利，也不影响合同双方当事人履行本合同结算和清算条款的效力。</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2069888" behindDoc="0" locked="0" layoutInCell="1" allowOverlap="1">
                <wp:simplePos x="0" y="0"/>
                <wp:positionH relativeFrom="column">
                  <wp:posOffset>-114300</wp:posOffset>
                </wp:positionH>
                <wp:positionV relativeFrom="paragraph">
                  <wp:posOffset>635</wp:posOffset>
                </wp:positionV>
                <wp:extent cx="914400" cy="851535"/>
                <wp:effectExtent l="0" t="0" r="0" b="0"/>
                <wp:wrapNone/>
                <wp:docPr id="16" name="文本框 16"/>
                <wp:cNvGraphicFramePr/>
                <a:graphic xmlns:a="http://schemas.openxmlformats.org/drawingml/2006/main">
                  <a:graphicData uri="http://schemas.microsoft.com/office/word/2010/wordprocessingShape">
                    <wps:wsp>
                      <wps:cNvSpPr txBox="1">
                        <a:spLocks noChangeArrowheads="1"/>
                      </wps:cNvSpPr>
                      <wps:spPr bwMode="auto">
                        <a:xfrm>
                          <a:off x="0" y="0"/>
                          <a:ext cx="914400" cy="85153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67.05pt;width:72pt;z-index:252069888;mso-width-relative:page;mso-height-relative:page;" filled="f" stroked="f" coordsize="21600,21600" o:gfxdata="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Cqn7VAAAACAEAAA8AAAAAAAAAAQAgAAAAIgAAAGRycy9kb3ducmV2&#10;LnhtbFBLAQIUABQAAAAIAIdO4kBRD7la/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双方履行完全部义务后的终止</w:t>
                      </w:r>
                    </w:p>
                  </w:txbxContent>
                </v:textbox>
              </v:shape>
            </w:pict>
          </mc:Fallback>
        </mc:AlternateContent>
      </w:r>
      <w:r>
        <w:rPr>
          <w:rFonts w:hint="eastAsia" w:ascii="宋体" w:hAnsi="宋体" w:cs="宋体"/>
          <w:color w:val="auto"/>
          <w:kern w:val="0"/>
          <w:szCs w:val="21"/>
          <w:highlight w:val="none"/>
        </w:rPr>
        <w:t>除第59条和第84条规定的质量保修条款外，合同双方当事人履行完本合同全部义务，发包人向承包人支付完竣工结算款，承包人向发包人交付竣工工程后，本合同即告终止。</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89.3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78400" behindDoc="0" locked="0" layoutInCell="1" allowOverlap="1">
                <wp:simplePos x="0" y="0"/>
                <wp:positionH relativeFrom="column">
                  <wp:posOffset>-114300</wp:posOffset>
                </wp:positionH>
                <wp:positionV relativeFrom="paragraph">
                  <wp:posOffset>13335</wp:posOffset>
                </wp:positionV>
                <wp:extent cx="914400" cy="415925"/>
                <wp:effectExtent l="0" t="0" r="0" b="0"/>
                <wp:wrapNone/>
                <wp:docPr id="15" name="文本框 15"/>
                <wp:cNvGraphicFramePr/>
                <a:graphic xmlns:a="http://schemas.openxmlformats.org/drawingml/2006/main">
                  <a:graphicData uri="http://schemas.microsoft.com/office/word/2010/wordprocessingShape">
                    <wps:wsp>
                      <wps:cNvSpPr txBox="1">
                        <a:spLocks noChangeArrowheads="1"/>
                      </wps:cNvSpPr>
                      <wps:spPr bwMode="auto">
                        <a:xfrm>
                          <a:off x="0" y="0"/>
                          <a:ext cx="914400" cy="41592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05pt;height:32.75pt;width:72pt;z-index:251878400;mso-width-relative:page;mso-height-relative:page;" filled="f" stroked="f" coordsize="21600,21600" o:gfxdata="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EyWpNUAAAAIAQAADwAAAAAAAAABACAAAAAiAAAAZHJzL2Rvd25yZXYu&#10;eG1sUEsBAhQAFAAAAAgAh07iQNl9XML+AQAA1gMAAA4AAAAAAAAAAQAgAAAAJA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合同终止后双方的义务</w:t>
                      </w:r>
                    </w:p>
                  </w:txbxContent>
                </v:textbox>
              </v:shape>
            </w:pict>
          </mc:Fallback>
        </mc:AlternateContent>
      </w:r>
      <w:r>
        <w:rPr>
          <w:rFonts w:hint="eastAsia" w:ascii="宋体" w:hAnsi="宋体" w:cs="宋体"/>
          <w:color w:val="auto"/>
          <w:kern w:val="0"/>
          <w:szCs w:val="21"/>
          <w:highlight w:val="none"/>
        </w:rPr>
        <w:t>本合同的权利义务终止后，合同双方当事人仍应遵循诚实信用原则，继续履行合同约定的通知、协助、保密等义务。</w:t>
      </w:r>
    </w:p>
    <w:p>
      <w:pPr>
        <w:adjustRightInd w:val="0"/>
        <w:snapToGrid w:val="0"/>
        <w:spacing w:line="480" w:lineRule="auto"/>
        <w:ind w:right="-238"/>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                                                                                 </w:t>
      </w: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2992" w:firstLineChars="1247"/>
        <w:outlineLvl w:val="1"/>
        <w:rPr>
          <w:rFonts w:ascii="宋体" w:hAnsi="宋体" w:cs="宋体"/>
          <w:bCs/>
          <w:color w:val="auto"/>
          <w:kern w:val="0"/>
          <w:sz w:val="24"/>
          <w:szCs w:val="18"/>
          <w:highlight w:val="none"/>
          <w:u w:val="single"/>
        </w:rPr>
      </w:pPr>
    </w:p>
    <w:p>
      <w:pPr>
        <w:adjustRightInd w:val="0"/>
        <w:snapToGrid w:val="0"/>
        <w:spacing w:line="360" w:lineRule="auto"/>
        <w:ind w:firstLine="4006" w:firstLineChars="1247"/>
        <w:outlineLvl w:val="1"/>
        <w:rPr>
          <w:rFonts w:ascii="宋体" w:hAnsi="宋体" w:cs="宋体"/>
          <w:b/>
          <w:bCs/>
          <w:color w:val="auto"/>
          <w:kern w:val="0"/>
          <w:sz w:val="32"/>
          <w:szCs w:val="28"/>
          <w:highlight w:val="none"/>
        </w:rPr>
      </w:pPr>
      <w:r>
        <w:rPr>
          <w:rFonts w:hint="eastAsia" w:ascii="宋体" w:hAnsi="宋体" w:cs="宋体"/>
          <w:b/>
          <w:bCs/>
          <w:color w:val="auto"/>
          <w:kern w:val="0"/>
          <w:sz w:val="32"/>
          <w:szCs w:val="28"/>
          <w:highlight w:val="none"/>
        </w:rPr>
        <w:t>八、其  他</w:t>
      </w:r>
    </w:p>
    <w:p>
      <w:pPr>
        <w:adjustRightInd w:val="0"/>
        <w:snapToGrid w:val="0"/>
        <w:spacing w:line="360" w:lineRule="auto"/>
        <w:jc w:val="center"/>
        <w:outlineLvl w:val="1"/>
        <w:rPr>
          <w:rFonts w:ascii="宋体" w:hAnsi="宋体" w:cs="宋体"/>
          <w:b/>
          <w:bCs/>
          <w:color w:val="auto"/>
          <w:kern w:val="0"/>
          <w:sz w:val="32"/>
          <w:szCs w:val="28"/>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90  缴纳税费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合同双方当事人</w:t>
      </w:r>
      <w:r>
        <w:rPr>
          <w:rFonts w:ascii="宋体" w:hAnsi="宋体" w:cs="宋体"/>
          <w:color w:val="auto"/>
          <w:kern w:val="0"/>
          <w:szCs w:val="21"/>
          <w:highlight w:val="none"/>
        </w:rPr>
        <mc:AlternateContent>
          <mc:Choice Requires="wps">
            <w:drawing>
              <wp:anchor distT="0" distB="0" distL="114300" distR="114300" simplePos="0" relativeHeight="251879424" behindDoc="0" locked="0" layoutInCell="1" allowOverlap="1">
                <wp:simplePos x="0" y="0"/>
                <wp:positionH relativeFrom="column">
                  <wp:posOffset>-114300</wp:posOffset>
                </wp:positionH>
                <wp:positionV relativeFrom="paragraph">
                  <wp:posOffset>635</wp:posOffset>
                </wp:positionV>
                <wp:extent cx="914400" cy="484505"/>
                <wp:effectExtent l="0" t="0" r="0" b="0"/>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914400" cy="48450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05pt;height:38.15pt;width:72pt;z-index:251879424;mso-width-relative:page;mso-height-relative:page;" filled="f" stroked="f" coordsize="21600,21600" o:gfxdata="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AKWgr1AAAAAcBAAAPAAAAAAAAAAEAIAAAACIAAABkcnMvZG93bnJldi54&#10;bWxQSwECFAAUAAAACACHTuJABAr63P4BAADW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约定缴纳一切税费</w:t>
                      </w:r>
                    </w:p>
                  </w:txbxContent>
                </v:textbox>
              </v:shape>
            </w:pict>
          </mc:Fallback>
        </mc:AlternateContent>
      </w:r>
      <w:r>
        <w:rPr>
          <w:rFonts w:hint="eastAsia" w:ascii="宋体" w:hAnsi="宋体" w:cs="宋体"/>
          <w:color w:val="auto"/>
          <w:kern w:val="0"/>
          <w:szCs w:val="21"/>
          <w:highlight w:val="none"/>
        </w:rPr>
        <w:t>应按照国家现行税法和有关部门现行规定缴纳合同工程需缴的一切税费。</w:t>
      </w:r>
    </w:p>
    <w:p>
      <w:pPr>
        <w:tabs>
          <w:tab w:val="left" w:pos="1320"/>
        </w:tabs>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90.2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0448" behindDoc="0" locked="0" layoutInCell="1" allowOverlap="1">
                <wp:simplePos x="0" y="0"/>
                <wp:positionH relativeFrom="column">
                  <wp:posOffset>-114300</wp:posOffset>
                </wp:positionH>
                <wp:positionV relativeFrom="paragraph">
                  <wp:posOffset>32385</wp:posOffset>
                </wp:positionV>
                <wp:extent cx="914400" cy="396240"/>
                <wp:effectExtent l="0" t="0" r="0" b="0"/>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55pt;height:31.2pt;width:72pt;z-index:251880448;mso-width-relative:page;mso-height-relative:page;" filled="f" stroked="f" coordsize="21600,21600" o:gfxdata="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xMpLLSs0e7rw+7bj933L4JtPKDO+Zzj7h1Hhv4l9hycyHp3&#10;i+qjFxavarArfUmEXa2h5AYnMTM7Sh1wfARZdm+w5EKwDpiA+oraOD2eh2B0Fmp7EEf3QSg2nk9m&#10;szF7FLtOzk+nsyReBvljsiMfXmlsRbwUklj7BA6bWx9iM5A/hsRaFm9M0yT9G/ubgQMHi04LtM+O&#10;VGL3A4/QL/v9aJZYbpkU4bBc/Bn4UiN9lqLjxSqk/7QG0lI0ry0PJvHgTUyP2f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qj8jPVAAAACAEAAA8AAAAAAAAAAQAgAAAAIgAAAGRycy9kb3ducmV2&#10;LnhtbFBLAQIUABQAAAAIAIdO4kAmxfKn/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没交或少交税费的责任</w:t>
                      </w:r>
                    </w:p>
                  </w:txbxContent>
                </v:textbox>
              </v:shape>
            </w:pict>
          </mc:Fallback>
        </mc:AlternateContent>
      </w:r>
      <w:r>
        <w:rPr>
          <w:rFonts w:hint="eastAsia" w:ascii="宋体" w:hAnsi="宋体" w:cs="宋体"/>
          <w:color w:val="auto"/>
          <w:kern w:val="0"/>
          <w:szCs w:val="21"/>
          <w:highlight w:val="none"/>
        </w:rPr>
        <w:t>合同任何一方当事人没交或少交合同工程需缴税费的，违法方应足额补交，并承担相应的法律责任；给另一方当事人造成损失的，违法方应赔偿损失。</w:t>
      </w:r>
    </w:p>
    <w:p>
      <w:pPr>
        <w:adjustRightInd w:val="0"/>
        <w:snapToGrid w:val="0"/>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1620"/>
        </w:tabs>
        <w:rPr>
          <w:rFonts w:ascii="宋体" w:hAnsi="宋体" w:cs="宋体"/>
          <w:color w:val="auto"/>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1472" behindDoc="0" locked="0" layoutInCell="1" allowOverlap="1">
                <wp:simplePos x="0" y="0"/>
                <wp:positionH relativeFrom="column">
                  <wp:posOffset>-114300</wp:posOffset>
                </wp:positionH>
                <wp:positionV relativeFrom="paragraph">
                  <wp:posOffset>34290</wp:posOffset>
                </wp:positionV>
                <wp:extent cx="914400" cy="594360"/>
                <wp:effectExtent l="0" t="0" r="0" b="0"/>
                <wp:wrapNone/>
                <wp:docPr id="12" name="文本框 12"/>
                <wp:cNvGraphicFramePr/>
                <a:graphic xmlns:a="http://schemas.openxmlformats.org/drawingml/2006/main">
                  <a:graphicData uri="http://schemas.microsoft.com/office/word/2010/wordprocessingShape">
                    <wps:wsp>
                      <wps:cNvSpPr txBox="1">
                        <a:spLocks noChangeArrowheads="1"/>
                      </wps:cNvSpPr>
                      <wps:spPr bwMode="auto">
                        <a:xfrm>
                          <a:off x="0" y="0"/>
                          <a:ext cx="914400" cy="59436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2.7pt;height:46.8pt;width:72pt;z-index:251881472;mso-width-relative:page;mso-height-relative:page;" filled="f" stroked="f" coordsize="21600,21600" o:gfxdata="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tmtfXVAAAACAEAAA8AAAAAAAAAAQAgAAAAIgAAAGRycy9kb3ducmV2&#10;LnhtbFBLAQIUABQAAAAIAIdO4kDrZvdc/wEAANY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提供保密信息和履行保密义务</w:t>
                      </w:r>
                    </w:p>
                  </w:txbxContent>
                </v:textbox>
              </v:shape>
            </w:pict>
          </mc:Fallback>
        </mc:AlternateContent>
      </w:r>
      <w:r>
        <w:rPr>
          <w:rFonts w:hint="eastAsia" w:ascii="宋体" w:hAnsi="宋体" w:cs="宋体"/>
          <w:color w:val="auto"/>
          <w:kern w:val="0"/>
          <w:szCs w:val="21"/>
          <w:highlight w:val="none"/>
        </w:rPr>
        <w:t>合同双方当事人应在专用条款约定期限内提供保密信息。自收到对方当事人提供的保密信息之日起，合同双方当事人应履行保密义务。合同双方当事人履行保密义务，并不因本合同终止而结束。</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2496" behindDoc="0" locked="0" layoutInCell="1" allowOverlap="1">
                <wp:simplePos x="0" y="0"/>
                <wp:positionH relativeFrom="column">
                  <wp:posOffset>-114300</wp:posOffset>
                </wp:positionH>
                <wp:positionV relativeFrom="paragraph">
                  <wp:posOffset>68580</wp:posOffset>
                </wp:positionV>
                <wp:extent cx="914400" cy="495300"/>
                <wp:effectExtent l="0" t="0" r="0" b="0"/>
                <wp:wrapNone/>
                <wp:docPr id="11" name="文本框 11"/>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4pt;height:39pt;width:72pt;z-index:251882496;mso-width-relative:page;mso-height-relative:page;" filled="f" stroked="f" coordsize="21600,21600" o:gfxdata="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AWKC71QAAAAkBAAAPAAAAAAAAAAEAIAAAACIAAABkcnMvZG93bnJldi54&#10;bWxQSwECFAAUAAAACACHTuJA5mwrQP0BAADWAwAADgAAAAAAAAABACAAAAAk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保密信息知悉权限</w:t>
                      </w:r>
                    </w:p>
                  </w:txbxContent>
                </v:textbox>
              </v:shape>
            </w:pict>
          </mc:Fallback>
        </mc:AlternateContent>
      </w:r>
      <w:r>
        <w:rPr>
          <w:rFonts w:hint="eastAsia" w:ascii="宋体" w:hAnsi="宋体" w:cs="宋体"/>
          <w:color w:val="auto"/>
          <w:kern w:val="0"/>
          <w:szCs w:val="21"/>
          <w:highlight w:val="none"/>
        </w:rPr>
        <w:t>合同双方当事人仅允许因履行本合同而使用另一方当事人提供的保密信息。除合同双方当事人书面委派履行本合同应知悉保密信息的人员外，合同任何一方当事人不得将另一方当事人相关的或属于另一方当事人所有的保密信息泄露或提供给第三方，也不得超出允许范围从另一方当事人复制、摘录或转移任何保密信息。任何保密信息的公布，均应事先征得提供方的书面同意。</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91.3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3520" behindDoc="0" locked="0" layoutInCell="1" allowOverlap="1">
                <wp:simplePos x="0" y="0"/>
                <wp:positionH relativeFrom="column">
                  <wp:posOffset>-114300</wp:posOffset>
                </wp:positionH>
                <wp:positionV relativeFrom="paragraph">
                  <wp:posOffset>3175</wp:posOffset>
                </wp:positionV>
                <wp:extent cx="1028700" cy="300990"/>
                <wp:effectExtent l="0" t="0" r="0" b="0"/>
                <wp:wrapNone/>
                <wp:docPr id="10"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028700" cy="3009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25pt;height:23.7pt;width:81pt;z-index:251883520;mso-width-relative:page;mso-height-relative:page;" filled="f" stroked="f" coordsize="21600,21600" o:gfxdata="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5yYKjUAAAABwEAAA8AAAAAAAAAAQAgAAAAIgAAAGRycy9kb3ducmV2&#10;LnhtbFBLAQIUABQAAAAIAIdO4kDo9jIlAAIAANcDAAAOAAAAAAAAAAEAIAAAACM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签订保密协议</w:t>
                      </w:r>
                    </w:p>
                  </w:txbxContent>
                </v:textbox>
              </v:shape>
            </w:pict>
          </mc:Fallback>
        </mc:AlternateContent>
      </w:r>
      <w:r>
        <w:rPr>
          <w:rFonts w:hint="eastAsia" w:ascii="宋体" w:hAnsi="宋体" w:cs="宋体"/>
          <w:color w:val="auto"/>
          <w:kern w:val="0"/>
          <w:szCs w:val="21"/>
          <w:highlight w:val="none"/>
        </w:rPr>
        <w:t>合同双方当事人应与履行本合同知悉保密信息的人员签订保密协议，并将其中一份及时提交给另一方当事人。合同双方当事人应以保护自身秘密的谨慎态度采取有效措施保护另一方当事人的保密信息，避免保密信息被不当公开或使用。合同任何一方当事人发现有第三方盗用或滥用另一方当事人保密信息的，应及时通知另一方当事人。</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91.4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4544" behindDoc="0" locked="0" layoutInCell="1" allowOverlap="1">
                <wp:simplePos x="0" y="0"/>
                <wp:positionH relativeFrom="column">
                  <wp:posOffset>-114300</wp:posOffset>
                </wp:positionH>
                <wp:positionV relativeFrom="paragraph">
                  <wp:posOffset>65405</wp:posOffset>
                </wp:positionV>
                <wp:extent cx="914400" cy="727710"/>
                <wp:effectExtent l="0" t="0" r="0" b="0"/>
                <wp:wrapNone/>
                <wp:docPr id="9" name="文本框 9"/>
                <wp:cNvGraphicFramePr/>
                <a:graphic xmlns:a="http://schemas.openxmlformats.org/drawingml/2006/main">
                  <a:graphicData uri="http://schemas.microsoft.com/office/word/2010/wordprocessingShape">
                    <wps:wsp>
                      <wps:cNvSpPr txBox="1">
                        <a:spLocks noChangeArrowheads="1"/>
                      </wps:cNvSpPr>
                      <wps:spPr bwMode="auto">
                        <a:xfrm>
                          <a:off x="0" y="0"/>
                          <a:ext cx="914400" cy="72771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5.15pt;height:57.3pt;width:72pt;z-index:251884544;mso-width-relative:page;mso-height-relative:page;" filled="f" stroked="f" coordsize="21600,21600" o:gfxdata="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iehvZ9YAAAAKAQAADwAAAAAAAAABACAAAAAiAAAAZHJzL2Rvd25yZXYu&#10;eG1sUEsBAhQAFAAAAAgAh07iQEz+W739AQAA1AMAAA4AAAAAAAAAAQAgAAAAJQ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配合政府要求并做好保密工作</w:t>
                      </w:r>
                    </w:p>
                  </w:txbxContent>
                </v:textbox>
              </v:shape>
            </w:pict>
          </mc:Fallback>
        </mc:AlternateContent>
      </w:r>
      <w:r>
        <w:rPr>
          <w:rFonts w:hint="eastAsia" w:ascii="宋体" w:hAnsi="宋体" w:cs="宋体"/>
          <w:color w:val="auto"/>
          <w:kern w:val="0"/>
          <w:szCs w:val="21"/>
          <w:highlight w:val="none"/>
        </w:rPr>
        <w:t>如果法律或政府执法、监督管理等有要求，合同双方当事人应予配合和支持，并提供需要的保密信息。需提供另一方当事人保密信息的，应立即书面通知另一方当事人，以便另一方当事人及时履行义务。若另一方当事人未能及时作出回应的，除依法应提供另一方当事人信息外，应积极维护另一方当事人合法权益。</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91.5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5568" behindDoc="0" locked="0" layoutInCell="1" allowOverlap="1">
                <wp:simplePos x="0" y="0"/>
                <wp:positionH relativeFrom="column">
                  <wp:posOffset>-114300</wp:posOffset>
                </wp:positionH>
                <wp:positionV relativeFrom="paragraph">
                  <wp:posOffset>22225</wp:posOffset>
                </wp:positionV>
                <wp:extent cx="914400" cy="495300"/>
                <wp:effectExtent l="0" t="0" r="0" b="0"/>
                <wp:wrapNone/>
                <wp:docPr id="8" name="文本框 8"/>
                <wp:cNvGraphicFramePr/>
                <a:graphic xmlns:a="http://schemas.openxmlformats.org/drawingml/2006/main">
                  <a:graphicData uri="http://schemas.microsoft.com/office/word/2010/wordprocessingShape">
                    <wps:wsp>
                      <wps:cNvSpPr txBox="1">
                        <a:spLocks noChangeArrowheads="1"/>
                      </wps:cNvSpPr>
                      <wps:spPr bwMode="auto">
                        <a:xfrm>
                          <a:off x="0" y="0"/>
                          <a:ext cx="914400" cy="49530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75pt;height:39pt;width:72pt;z-index:251885568;mso-width-relative:page;mso-height-relative:page;" filled="f" stroked="f" coordsize="21600,21600" o:gfxdata="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NgUjOjVAAAACAEAAA8AAAAAAAAAAQAgAAAAIgAAAGRycy9kb3ducmV2Lnht&#10;bFBLAQIUABQAAAAIAIdO4kCTRksE/AEAANQDAAAOAAAAAAAAAAEAIAAAACQ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书面说明保密程度</w:t>
                      </w:r>
                    </w:p>
                  </w:txbxContent>
                </v:textbox>
              </v:shape>
            </w:pict>
          </mc:Fallback>
        </mc:AlternateContent>
      </w:r>
      <w:r>
        <w:rPr>
          <w:rFonts w:hint="eastAsia" w:ascii="宋体" w:hAnsi="宋体" w:cs="宋体"/>
          <w:color w:val="auto"/>
          <w:kern w:val="0"/>
          <w:szCs w:val="21"/>
          <w:highlight w:val="none"/>
        </w:rPr>
        <w:t>保密信息应由提供方以书面形式说明保密程度；以口头形式提供的，则提供方应在提供后28天内以书面形式予以确认。保密信息不但包括合同双方当事人确认的信息，还包括与材料和工程设备产品、价格、工程设计、图纸、技术、工艺和财务等相关信息。但不包括下述信息：</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提供前已由合同双方当事人所持有的；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已公开发表或非对方当事人原因向公众公开的；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已由各相关方书面同意其公开的；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在未获取保密信息前由对方当事人独立开发的；</w:t>
      </w:r>
    </w:p>
    <w:p>
      <w:pPr>
        <w:numPr>
          <w:ilvl w:val="1"/>
          <w:numId w:val="32"/>
        </w:numPr>
        <w:tabs>
          <w:tab w:val="left" w:pos="1320"/>
          <w:tab w:val="left" w:pos="1620"/>
          <w:tab w:val="left" w:pos="2340"/>
          <w:tab w:val="left" w:pos="2700"/>
        </w:tabs>
        <w:adjustRightInd w:val="0"/>
        <w:snapToGrid w:val="0"/>
        <w:spacing w:line="360" w:lineRule="auto"/>
        <w:ind w:left="771" w:firstLine="849"/>
        <w:rPr>
          <w:rFonts w:ascii="宋体" w:hAnsi="宋体" w:cs="宋体"/>
          <w:color w:val="auto"/>
          <w:kern w:val="0"/>
          <w:szCs w:val="21"/>
          <w:highlight w:val="none"/>
        </w:rPr>
      </w:pPr>
      <w:r>
        <w:rPr>
          <w:rFonts w:hint="eastAsia" w:ascii="宋体" w:hAnsi="宋体" w:cs="宋体"/>
          <w:color w:val="auto"/>
          <w:kern w:val="0"/>
          <w:szCs w:val="21"/>
          <w:highlight w:val="none"/>
        </w:rPr>
        <w:t>对方当事人从对保密信息不承担保密义务的第三方处合法获得的。</w:t>
      </w:r>
    </w:p>
    <w:p>
      <w:pPr>
        <w:tabs>
          <w:tab w:val="left" w:pos="1620"/>
        </w:tabs>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firstLine="602"/>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92  廉政建设</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92.1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6592"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7" name="文本框 7"/>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886592;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CSL/2Q/wEAANQDAAAOAAAAAAAAAAEAIAAAACQBAABkcnMvZTJv&#10;RG9jLnhtbFBLBQYAAAAABgAGAFkBAACV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廉政建设</w:t>
                      </w:r>
                    </w:p>
                  </w:txbxContent>
                </v:textbox>
              </v:shape>
            </w:pict>
          </mc:Fallback>
        </mc:AlternateContent>
      </w:r>
      <w:r>
        <w:rPr>
          <w:rFonts w:hint="eastAsia" w:ascii="宋体" w:hAnsi="宋体" w:cs="宋体"/>
          <w:color w:val="auto"/>
          <w:kern w:val="0"/>
          <w:szCs w:val="21"/>
          <w:highlight w:val="none"/>
        </w:rPr>
        <w:t>合同双方当事人在签订本合同时，应同时签订廉政合同，作为本合同的附件。合同双方当事人在合同履行期间应遵守国家和政府有关廉政方面的规定和要求，禁止任何腐败行为。</w:t>
      </w:r>
    </w:p>
    <w:p>
      <w:pPr>
        <w:adjustRightInd w:val="0"/>
        <w:snapToGrid w:val="0"/>
        <w:spacing w:line="36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92.2  </w:t>
      </w:r>
      <w:r>
        <w:rPr>
          <w:rFonts w:hint="eastAsia" w:ascii="宋体" w:hAnsi="宋体" w:cs="宋体"/>
          <w:b/>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7616" behindDoc="0" locked="0" layoutInCell="1" allowOverlap="1">
                <wp:simplePos x="0" y="0"/>
                <wp:positionH relativeFrom="column">
                  <wp:posOffset>-114300</wp:posOffset>
                </wp:positionH>
                <wp:positionV relativeFrom="paragraph">
                  <wp:posOffset>53975</wp:posOffset>
                </wp:positionV>
                <wp:extent cx="800100" cy="316865"/>
                <wp:effectExtent l="0" t="0" r="0" b="0"/>
                <wp:wrapNone/>
                <wp:docPr id="6" name="文本框 6"/>
                <wp:cNvGraphicFramePr/>
                <a:graphic xmlns:a="http://schemas.openxmlformats.org/drawingml/2006/main">
                  <a:graphicData uri="http://schemas.microsoft.com/office/word/2010/wordprocessingShape">
                    <wps:wsp>
                      <wps:cNvSpPr txBox="1">
                        <a:spLocks noChangeArrowheads="1"/>
                      </wps:cNvSpPr>
                      <wps:spPr bwMode="auto">
                        <a:xfrm>
                          <a:off x="0" y="0"/>
                          <a:ext cx="800100" cy="316865"/>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4.25pt;height:24.95pt;width:63pt;z-index:251887616;mso-width-relative:page;mso-height-relative:page;" filled="f" stroked="f" coordsize="21600,21600" o:gfxdata="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1zHYJ9QAAAAIAQAADwAAAAAAAAABACAAAAAiAAAAZHJzL2Rvd25yZXYu&#10;eG1sUEsBAhQAFAAAAAgAh07iQFGs/X//AQAA1AMAAA4AAAAAAAAAAQAgAAAAIwEAAGRycy9lMm9E&#10;b2MueG1sUEsFBgAAAAAGAAYAWQEAAJQFA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违反责任</w:t>
                      </w:r>
                    </w:p>
                  </w:txbxContent>
                </v:textbox>
              </v:shape>
            </w:pict>
          </mc:Fallback>
        </mc:AlternateContent>
      </w:r>
      <w:r>
        <w:rPr>
          <w:rFonts w:hint="eastAsia" w:ascii="宋体" w:hAnsi="宋体" w:cs="宋体"/>
          <w:color w:val="auto"/>
          <w:kern w:val="0"/>
          <w:szCs w:val="21"/>
          <w:highlight w:val="none"/>
        </w:rPr>
        <w:t>如果承包人违反廉政建设有关规定，采用不正当手段，贿赂或变相贿赂了包括监理工程师、造价工程师在内的发包人工作人员，以求获得或已获得不当利益的，则发包人除保留追究其工作人员责任外，因承包人上述行为造成发包人损失或工程损害的，承包人应予赔偿，并承担相应的法律责任。发包人有权按照第87.3款规定解除合同，并按照第88.3款规定办理合同解除的支付。</w:t>
      </w:r>
    </w:p>
    <w:p>
      <w:pPr>
        <w:adjustRightInd w:val="0"/>
        <w:snapToGrid w:val="0"/>
        <w:spacing w:line="240" w:lineRule="exact"/>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93  禁止转让</w:t>
      </w: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93.1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1981824" behindDoc="0" locked="0" layoutInCell="1" allowOverlap="1">
                <wp:simplePos x="0" y="0"/>
                <wp:positionH relativeFrom="column">
                  <wp:posOffset>-114300</wp:posOffset>
                </wp:positionH>
                <wp:positionV relativeFrom="paragraph">
                  <wp:posOffset>15875</wp:posOffset>
                </wp:positionV>
                <wp:extent cx="800100" cy="297180"/>
                <wp:effectExtent l="0" t="0" r="0" b="0"/>
                <wp:wrapNone/>
                <wp:docPr id="5" name="文本框 5"/>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宋体" w:hAnsi="宋体"/>
                                <w:b/>
                                <w:bCs/>
                                <w:sz w:val="18"/>
                                <w:szCs w:val="18"/>
                              </w:rPr>
                            </w:pPr>
                            <w:r>
                              <w:rPr>
                                <w:rFonts w:hint="eastAsia" w:ascii="楷体_GB2312" w:hAnsi="宋体"/>
                                <w:b/>
                                <w:bCs/>
                                <w:sz w:val="18"/>
                                <w:szCs w:val="18"/>
                              </w:rPr>
                              <w:t>履行合同</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25pt;height:23.4pt;width:63pt;z-index:251981824;mso-width-relative:page;mso-height-relative:page;" filled="f" stroked="f" coordsize="21600,21600" o:gfxdata="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WHbJHVAAAACAEAAA8AAAAAAAAAAQAgAAAAIgAAAGRycy9kb3ducmV2&#10;LnhtbFBLAQIUABQAAAAIAIdO4kDiAuzf/wEAANQDAAAOAAAAAAAAAAEAIAAAACQBAABkcnMvZTJv&#10;RG9jLnhtbFBLBQYAAAAABgAGAFkBAACVBQAAAAA=&#10;">
                <v:fill on="f" focussize="0,0"/>
                <v:stroke on="f"/>
                <v:imagedata o:title=""/>
                <o:lock v:ext="edit" aspectratio="f"/>
                <v:textbox>
                  <w:txbxContent>
                    <w:p>
                      <w:pPr>
                        <w:spacing w:line="240" w:lineRule="exact"/>
                        <w:rPr>
                          <w:rFonts w:ascii="宋体" w:hAnsi="宋体"/>
                          <w:b/>
                          <w:bCs/>
                          <w:sz w:val="18"/>
                          <w:szCs w:val="18"/>
                        </w:rPr>
                      </w:pPr>
                      <w:r>
                        <w:rPr>
                          <w:rFonts w:hint="eastAsia" w:ascii="楷体_GB2312" w:hAnsi="宋体"/>
                          <w:b/>
                          <w:bCs/>
                          <w:sz w:val="18"/>
                          <w:szCs w:val="18"/>
                        </w:rPr>
                        <w:t>履行合同</w:t>
                      </w:r>
                    </w:p>
                  </w:txbxContent>
                </v:textbox>
              </v:shape>
            </w:pict>
          </mc:Fallback>
        </mc:AlternateContent>
      </w:r>
      <w:r>
        <w:rPr>
          <w:rFonts w:hint="eastAsia" w:ascii="宋体" w:hAnsi="宋体" w:cs="宋体"/>
          <w:color w:val="auto"/>
          <w:szCs w:val="21"/>
          <w:highlight w:val="none"/>
        </w:rPr>
        <w:t>本合同一经签署，合同双方当事人均应按照本合同规定行使各自的权利、履行各自的义务。</w:t>
      </w:r>
    </w:p>
    <w:p>
      <w:pPr>
        <w:adjustRightInd w:val="0"/>
        <w:snapToGrid w:val="0"/>
        <w:spacing w:line="480" w:lineRule="auto"/>
        <w:rPr>
          <w:rFonts w:ascii="宋体" w:hAnsi="宋体" w:cs="宋体"/>
          <w:b/>
          <w:color w:val="auto"/>
          <w:kern w:val="0"/>
          <w:szCs w:val="21"/>
          <w:highlight w:val="none"/>
          <w:u w:val="dotted"/>
        </w:rPr>
      </w:pPr>
      <w:r>
        <w:rPr>
          <w:rFonts w:hint="eastAsia" w:ascii="宋体" w:hAnsi="宋体" w:cs="宋体"/>
          <w:b/>
          <w:color w:val="auto"/>
          <w:kern w:val="0"/>
          <w:szCs w:val="21"/>
          <w:highlight w:val="none"/>
        </w:rPr>
        <w:t xml:space="preserve">93.2  </w:t>
      </w:r>
      <w:r>
        <w:rPr>
          <w:rFonts w:hint="eastAsia" w:ascii="宋体" w:hAnsi="宋体" w:cs="宋体"/>
          <w:b/>
          <w:color w:val="auto"/>
          <w:kern w:val="0"/>
          <w:szCs w:val="21"/>
          <w:highlight w:val="none"/>
          <w:u w:val="dotted"/>
        </w:rPr>
        <w:t xml:space="preserve">                                                                                                       </w:t>
      </w:r>
    </w:p>
    <w:p>
      <w:pPr>
        <w:spacing w:line="360" w:lineRule="auto"/>
        <w:ind w:left="1619" w:leftChars="771"/>
        <w:rPr>
          <w:rFonts w:ascii="宋体" w:hAnsi="宋体" w:cs="宋体"/>
          <w:color w:val="auto"/>
          <w:szCs w:val="21"/>
          <w:highlight w:val="none"/>
        </w:rPr>
      </w:pPr>
      <w:r>
        <w:rPr>
          <w:rFonts w:ascii="宋体" w:hAnsi="宋体" w:cs="宋体"/>
          <w:color w:val="auto"/>
          <w:szCs w:val="21"/>
          <w:highlight w:val="none"/>
        </w:rPr>
        <mc:AlternateContent>
          <mc:Choice Requires="wps">
            <w:drawing>
              <wp:anchor distT="0" distB="0" distL="114300" distR="114300" simplePos="0" relativeHeight="252057600" behindDoc="0" locked="0" layoutInCell="1" allowOverlap="1">
                <wp:simplePos x="0" y="0"/>
                <wp:positionH relativeFrom="column">
                  <wp:posOffset>-114300</wp:posOffset>
                </wp:positionH>
                <wp:positionV relativeFrom="paragraph">
                  <wp:posOffset>98425</wp:posOffset>
                </wp:positionV>
                <wp:extent cx="800100" cy="297180"/>
                <wp:effectExtent l="0" t="0" r="0" b="0"/>
                <wp:wrapNone/>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800100" cy="29718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7.75pt;height:23.4pt;width:63pt;z-index:252057600;mso-width-relative:page;mso-height-relative:page;" filled="f" stroked="f" coordsize="21600,21600" o:gfxdata="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AR7Jo1gAAAAkBAAAPAAAAAAAAAAEAIAAAACIAAABkcnMvZG93bnJl&#10;di54bWxQSwECFAAUAAAACACHTuJAWpRk+P8BAADUAwAADgAAAAAAAAABACAAAAAlAQAAZHJzL2Uy&#10;b0RvYy54bWxQSwUGAAAAAAYABgBZAQAAlg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不得转让</w:t>
                      </w:r>
                    </w:p>
                  </w:txbxContent>
                </v:textbox>
              </v:shape>
            </w:pict>
          </mc:Fallback>
        </mc:AlternateContent>
      </w:r>
      <w:r>
        <w:rPr>
          <w:rFonts w:hint="eastAsia" w:ascii="宋体" w:hAnsi="宋体" w:cs="宋体"/>
          <w:color w:val="auto"/>
          <w:szCs w:val="21"/>
          <w:highlight w:val="none"/>
        </w:rPr>
        <w:t>除合同另有约定外，未经另一方当事人同意，合同一方当事人不得将本合同的全部或部分权利、义务转让给第三方。</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u w:val="single"/>
        </w:rPr>
        <w:t xml:space="preserve">                                                                                </w:t>
      </w:r>
    </w:p>
    <w:p>
      <w:pPr>
        <w:tabs>
          <w:tab w:val="left" w:pos="540"/>
        </w:tabs>
        <w:adjustRightInd w:val="0"/>
        <w:snapToGrid w:val="0"/>
        <w:spacing w:beforeLines="100" w:line="240" w:lineRule="exact"/>
        <w:ind w:right="-238"/>
        <w:rPr>
          <w:rFonts w:ascii="宋体" w:hAnsi="宋体" w:cs="宋体"/>
          <w:b/>
          <w:color w:val="auto"/>
          <w:kern w:val="0"/>
          <w:szCs w:val="21"/>
          <w:highlight w:val="none"/>
        </w:rPr>
      </w:pPr>
    </w:p>
    <w:p>
      <w:pPr>
        <w:tabs>
          <w:tab w:val="left" w:pos="540"/>
        </w:tabs>
        <w:adjustRightInd w:val="0"/>
        <w:snapToGrid w:val="0"/>
        <w:spacing w:beforeLines="100" w:line="360" w:lineRule="auto"/>
        <w:ind w:right="-238"/>
        <w:rPr>
          <w:rFonts w:ascii="宋体" w:hAnsi="宋体" w:cs="宋体"/>
          <w:b/>
          <w:color w:val="auto"/>
          <w:kern w:val="0"/>
          <w:szCs w:val="21"/>
          <w:highlight w:val="none"/>
        </w:rPr>
      </w:pPr>
      <w:r>
        <w:rPr>
          <w:rFonts w:hint="eastAsia" w:ascii="宋体" w:hAnsi="宋体" w:cs="宋体"/>
          <w:b/>
          <w:color w:val="auto"/>
          <w:kern w:val="0"/>
          <w:szCs w:val="21"/>
          <w:highlight w:val="none"/>
        </w:rPr>
        <w:t>94  合同份数</w:t>
      </w:r>
    </w:p>
    <w:p>
      <w:pPr>
        <w:adjustRightInd w:val="0"/>
        <w:snapToGrid w:val="0"/>
        <w:spacing w:line="360" w:lineRule="auto"/>
        <w:ind w:left="1383" w:hanging="1383" w:hangingChars="656"/>
        <w:rPr>
          <w:rFonts w:ascii="宋体" w:hAnsi="宋体" w:cs="宋体"/>
          <w:b/>
          <w:color w:val="auto"/>
          <w:kern w:val="0"/>
          <w:szCs w:val="21"/>
          <w:highlight w:val="none"/>
        </w:rPr>
      </w:pPr>
      <w:r>
        <w:rPr>
          <w:rFonts w:hint="eastAsia" w:ascii="宋体" w:hAnsi="宋体" w:cs="宋体"/>
          <w:b/>
          <w:color w:val="auto"/>
          <w:kern w:val="0"/>
          <w:szCs w:val="21"/>
          <w:highlight w:val="none"/>
        </w:rPr>
        <w:t xml:space="preserve">94.1        </w:t>
      </w:r>
    </w:p>
    <w:p>
      <w:pPr>
        <w:adjustRightInd w:val="0"/>
        <w:snapToGrid w:val="0"/>
        <w:spacing w:line="360" w:lineRule="auto"/>
        <w:ind w:left="1682" w:leftChars="800" w:hanging="2"/>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888640" behindDoc="0" locked="0" layoutInCell="1" allowOverlap="1">
                <wp:simplePos x="0" y="0"/>
                <wp:positionH relativeFrom="column">
                  <wp:posOffset>-66675</wp:posOffset>
                </wp:positionH>
                <wp:positionV relativeFrom="paragraph">
                  <wp:posOffset>10160</wp:posOffset>
                </wp:positionV>
                <wp:extent cx="914400" cy="396240"/>
                <wp:effectExtent l="0" t="0" r="0" b="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914400" cy="39624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5.25pt;margin-top:0.8pt;height:31.2pt;width:72pt;z-index:251888640;mso-width-relative:page;mso-height-relative:page;" filled="f" stroked="f" coordsize="21600,21600" o:gfxdata="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JYh/HUAAAACAEAAA8AAAAAAAAAAQAgAAAAIgAAAGRycy9kb3ducmV2Lnht&#10;bFBLAQIUABQAAAAIAIdO4kB89TeR/QEAANQDAAAOAAAAAAAAAAEAIAAAACMBAABkcnMvZTJvRG9j&#10;LnhtbFBLBQYAAAAABgAGAFkBAACS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约定提供合同文本</w:t>
                      </w:r>
                    </w:p>
                  </w:txbxContent>
                </v:textbox>
              </v:shape>
            </w:pict>
          </mc:Fallback>
        </mc:AlternateContent>
      </w:r>
      <w:r>
        <w:rPr>
          <w:rFonts w:hint="eastAsia" w:ascii="宋体" w:hAnsi="宋体" w:cs="宋体"/>
          <w:color w:val="auto"/>
          <w:kern w:val="0"/>
          <w:szCs w:val="21"/>
          <w:highlight w:val="none"/>
        </w:rPr>
        <w:t>除专用条款另有约定外，发包人应按照第94.2款规定的份数免费为承包人提供合同文本。</w:t>
      </w:r>
    </w:p>
    <w:p>
      <w:pPr>
        <w:adjustRightInd w:val="0"/>
        <w:snapToGrid w:val="0"/>
        <w:spacing w:line="480" w:lineRule="auto"/>
        <w:rPr>
          <w:rFonts w:ascii="宋体" w:hAnsi="宋体" w:cs="宋体"/>
          <w:color w:val="auto"/>
          <w:kern w:val="0"/>
          <w:szCs w:val="21"/>
          <w:highlight w:val="none"/>
        </w:rPr>
      </w:pPr>
      <w:r>
        <w:rPr>
          <w:rFonts w:hint="eastAsia" w:ascii="宋体" w:hAnsi="宋体" w:cs="宋体"/>
          <w:b/>
          <w:color w:val="auto"/>
          <w:kern w:val="0"/>
          <w:szCs w:val="21"/>
          <w:highlight w:val="none"/>
        </w:rPr>
        <w:t xml:space="preserve">94.2  </w:t>
      </w:r>
      <w:r>
        <w:rPr>
          <w:rFonts w:hint="eastAsia" w:ascii="宋体" w:hAnsi="宋体" w:cs="宋体"/>
          <w:b/>
          <w:color w:val="auto"/>
          <w:kern w:val="0"/>
          <w:szCs w:val="21"/>
          <w:highlight w:val="none"/>
          <w:u w:val="dotted"/>
        </w:rPr>
        <w:t xml:space="preserve"> </w:t>
      </w:r>
      <w:r>
        <w:rPr>
          <w:rFonts w:hint="eastAsia" w:ascii="宋体" w:hAnsi="宋体" w:cs="宋体"/>
          <w:color w:val="auto"/>
          <w:kern w:val="0"/>
          <w:szCs w:val="21"/>
          <w:highlight w:val="none"/>
          <w:u w:val="dotted"/>
        </w:rPr>
        <w:t xml:space="preserve">                                                                                                       </w:t>
      </w:r>
    </w:p>
    <w:p>
      <w:pPr>
        <w:adjustRightInd w:val="0"/>
        <w:snapToGrid w:val="0"/>
        <w:spacing w:line="360" w:lineRule="auto"/>
        <w:ind w:left="1619" w:leftChars="771"/>
        <w:rPr>
          <w:rFonts w:ascii="宋体" w:hAnsi="宋体" w:cs="宋体"/>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5920" behindDoc="0" locked="0" layoutInCell="1" allowOverlap="1">
                <wp:simplePos x="0" y="0"/>
                <wp:positionH relativeFrom="column">
                  <wp:posOffset>-114300</wp:posOffset>
                </wp:positionH>
                <wp:positionV relativeFrom="paragraph">
                  <wp:posOffset>8255</wp:posOffset>
                </wp:positionV>
                <wp:extent cx="800100" cy="29972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800100" cy="29972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0.65pt;height:23.6pt;width:63pt;z-index:251985920;mso-width-relative:page;mso-height-relative:page;" filled="f" stroked="f" coordsize="21600,21600" o:gfxdata="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f3b61AAAAAgBAAAPAAAAAAAAAAEAIAAAACIAAABkcnMvZG93bnJldi54&#10;bWxQSwECFAAUAAAACACHTuJAmlLRe/4BAADUAwAADgAAAAAAAAABACAAAAAjAQAAZHJzL2Uyb0Rv&#10;Yy54bWxQSwUGAAAAAAYABgBZAQAAkwU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正副本效力</w:t>
                      </w:r>
                    </w:p>
                  </w:txbxContent>
                </v:textbox>
              </v:shape>
            </w:pict>
          </mc:Fallback>
        </mc:AlternateContent>
      </w:r>
      <w:r>
        <w:rPr>
          <w:rFonts w:hint="eastAsia" w:ascii="宋体" w:hAnsi="宋体" w:cs="宋体"/>
          <w:color w:val="auto"/>
          <w:kern w:val="0"/>
          <w:szCs w:val="21"/>
          <w:highlight w:val="none"/>
        </w:rPr>
        <w:t>本合同正、副本份数，由合同双方当事人根据需要在专用条款中约定。正本与副本具有同等效力，当正本与副本不一致时，以正本为准。</w:t>
      </w:r>
    </w:p>
    <w:p>
      <w:pPr>
        <w:adjustRightInd w:val="0"/>
        <w:snapToGrid w:val="0"/>
        <w:spacing w:line="480" w:lineRule="auto"/>
        <w:rPr>
          <w:rFonts w:ascii="宋体" w:hAnsi="宋体" w:cs="宋体"/>
          <w:b/>
          <w:color w:val="auto"/>
          <w:kern w:val="0"/>
          <w:szCs w:val="21"/>
          <w:highlight w:val="none"/>
          <w:u w:val="single"/>
        </w:rPr>
      </w:pPr>
      <w:r>
        <w:rPr>
          <w:rFonts w:hint="eastAsia" w:ascii="宋体" w:hAnsi="宋体" w:cs="宋体"/>
          <w:b/>
          <w:color w:val="auto"/>
          <w:kern w:val="0"/>
          <w:szCs w:val="21"/>
          <w:highlight w:val="none"/>
          <w:u w:val="single"/>
        </w:rPr>
        <w:t xml:space="preserve">                                                                                 </w:t>
      </w:r>
    </w:p>
    <w:p>
      <w:pPr>
        <w:adjustRightInd w:val="0"/>
        <w:snapToGrid w:val="0"/>
        <w:spacing w:line="360" w:lineRule="auto"/>
        <w:rPr>
          <w:rFonts w:ascii="宋体" w:hAnsi="宋体" w:cs="宋体"/>
          <w:b/>
          <w:color w:val="auto"/>
          <w:kern w:val="0"/>
          <w:szCs w:val="21"/>
          <w:highlight w:val="none"/>
        </w:rPr>
      </w:pPr>
    </w:p>
    <w:p>
      <w:pPr>
        <w:adjustRightInd w:val="0"/>
        <w:snapToGrid w:val="0"/>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95  合同备案</w:t>
      </w:r>
    </w:p>
    <w:p>
      <w:pPr>
        <w:adjustRightInd w:val="0"/>
        <w:snapToGrid w:val="0"/>
        <w:spacing w:line="360" w:lineRule="auto"/>
        <w:rPr>
          <w:rFonts w:ascii="宋体" w:hAnsi="宋体" w:cs="宋体"/>
          <w:b/>
          <w:color w:val="auto"/>
          <w:kern w:val="0"/>
          <w:szCs w:val="21"/>
          <w:highlight w:val="none"/>
        </w:rPr>
      </w:pPr>
      <w:r>
        <w:rPr>
          <w:rFonts w:ascii="宋体" w:hAnsi="宋体" w:cs="宋体"/>
          <w:color w:val="auto"/>
          <w:kern w:val="0"/>
          <w:szCs w:val="21"/>
          <w:highlight w:val="none"/>
        </w:rPr>
        <mc:AlternateContent>
          <mc:Choice Requires="wps">
            <w:drawing>
              <wp:anchor distT="0" distB="0" distL="114300" distR="114300" simplePos="0" relativeHeight="251986944" behindDoc="0" locked="0" layoutInCell="1" allowOverlap="1">
                <wp:simplePos x="0" y="0"/>
                <wp:positionH relativeFrom="column">
                  <wp:posOffset>-114300</wp:posOffset>
                </wp:positionH>
                <wp:positionV relativeFrom="paragraph">
                  <wp:posOffset>208915</wp:posOffset>
                </wp:positionV>
                <wp:extent cx="1039495" cy="52959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9495" cy="529590"/>
                        </a:xfrm>
                        <a:prstGeom prst="rect">
                          <a:avLst/>
                        </a:prstGeom>
                        <a:noFill/>
                        <a:ln>
                          <a:noFill/>
                        </a:ln>
                        <a:effectLst/>
                      </wps:spPr>
                      <wps:txb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9pt;margin-top:16.45pt;height:41.7pt;width:81.85pt;z-index:251986944;mso-width-relative:page;mso-height-relative:page;" filled="f" stroked="f" coordsize="21600,21600" o:gfxdata="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u6rNjYAAAACgEAAA8AAAAAAAAAAQAgAAAAIgAAAGRycy9kb3du&#10;cmV2LnhtbFBLAQIUABQAAAAIAIdO4kAmZGzJ/wEAANUDAAAOAAAAAAAAAAEAIAAAACcBAABkcnMv&#10;ZTJvRG9jLnhtbFBLBQYAAAAABgAGAFkBAACYBQAAAAA=&#10;">
                <v:fill on="f" focussize="0,0"/>
                <v:stroke on="f"/>
                <v:imagedata o:title=""/>
                <o:lock v:ext="edit" aspectratio="f"/>
                <v:textbox>
                  <w:txbxContent>
                    <w:p>
                      <w:pPr>
                        <w:spacing w:line="240" w:lineRule="exact"/>
                        <w:rPr>
                          <w:rFonts w:ascii="楷体_GB2312" w:hAnsi="宋体"/>
                          <w:b/>
                          <w:bCs/>
                          <w:sz w:val="18"/>
                          <w:szCs w:val="18"/>
                        </w:rPr>
                      </w:pPr>
                      <w:r>
                        <w:rPr>
                          <w:rFonts w:hint="eastAsia" w:ascii="楷体_GB2312" w:hAnsi="宋体"/>
                          <w:b/>
                          <w:bCs/>
                          <w:sz w:val="18"/>
                          <w:szCs w:val="18"/>
                        </w:rPr>
                        <w:t>合同备案及限</w:t>
                      </w:r>
                    </w:p>
                    <w:p>
                      <w:pPr>
                        <w:spacing w:line="240" w:lineRule="exact"/>
                        <w:rPr>
                          <w:rFonts w:ascii="楷体_GB2312" w:hAnsi="宋体"/>
                          <w:b/>
                          <w:bCs/>
                          <w:sz w:val="18"/>
                          <w:szCs w:val="18"/>
                        </w:rPr>
                      </w:pPr>
                      <w:r>
                        <w:rPr>
                          <w:rFonts w:hint="eastAsia" w:ascii="楷体_GB2312" w:hAnsi="宋体"/>
                          <w:b/>
                          <w:bCs/>
                          <w:sz w:val="18"/>
                          <w:szCs w:val="18"/>
                        </w:rPr>
                        <w:t>制</w:t>
                      </w:r>
                    </w:p>
                  </w:txbxContent>
                </v:textbox>
              </v:shape>
            </w:pict>
          </mc:Fallback>
        </mc:AlternateContent>
      </w:r>
      <w:r>
        <w:rPr>
          <w:rFonts w:hint="eastAsia" w:ascii="宋体" w:hAnsi="宋体" w:cs="宋体"/>
          <w:b/>
          <w:color w:val="auto"/>
          <w:kern w:val="0"/>
          <w:szCs w:val="21"/>
          <w:highlight w:val="none"/>
        </w:rPr>
        <w:t xml:space="preserve">95.1  </w:t>
      </w:r>
    </w:p>
    <w:p>
      <w:pPr>
        <w:adjustRightInd w:val="0"/>
        <w:snapToGrid w:val="0"/>
        <w:spacing w:line="360" w:lineRule="auto"/>
        <w:ind w:left="1619" w:leftChars="771"/>
        <w:rPr>
          <w:rFonts w:ascii="宋体" w:hAnsi="宋体" w:cs="宋体"/>
          <w:color w:val="auto"/>
          <w:kern w:val="0"/>
          <w:szCs w:val="21"/>
          <w:highlight w:val="none"/>
        </w:rPr>
      </w:pPr>
      <w:r>
        <w:rPr>
          <w:rFonts w:hint="eastAsia" w:ascii="宋体" w:hAnsi="宋体" w:cs="宋体"/>
          <w:color w:val="auto"/>
          <w:kern w:val="0"/>
          <w:szCs w:val="21"/>
          <w:highlight w:val="none"/>
        </w:rPr>
        <w:t>本合同签署后，发包人应在办理施工许可证前，将本合同一式两份报送工程所在地建设行政主管部门备案（其中一份报送工程造价管理机构备案）。除合同双方当事人同意修改外，未按照本合同所有条款规定的合同，不予备案。</w:t>
      </w:r>
    </w:p>
    <w:p>
      <w:pPr>
        <w:adjustRightInd w:val="0"/>
        <w:snapToGrid w:val="0"/>
        <w:spacing w:line="480" w:lineRule="auto"/>
        <w:rPr>
          <w:rFonts w:ascii="宋体" w:hAnsi="宋体" w:cs="宋体"/>
          <w:b/>
          <w:color w:val="auto"/>
          <w:kern w:val="0"/>
          <w:szCs w:val="21"/>
          <w:highlight w:val="none"/>
        </w:rPr>
      </w:pPr>
      <w:r>
        <w:rPr>
          <w:rFonts w:hint="eastAsia" w:ascii="宋体" w:hAnsi="宋体" w:cs="宋体"/>
          <w:b/>
          <w:color w:val="auto"/>
          <w:kern w:val="0"/>
          <w:szCs w:val="21"/>
          <w:highlight w:val="none"/>
        </w:rPr>
        <w:t xml:space="preserve">95.2  </w:t>
      </w:r>
      <w:r>
        <w:rPr>
          <w:rFonts w:hint="eastAsia" w:ascii="宋体" w:hAnsi="宋体" w:cs="宋体"/>
          <w:b/>
          <w:color w:val="auto"/>
          <w:kern w:val="0"/>
          <w:szCs w:val="21"/>
          <w:highlight w:val="none"/>
          <w:u w:val="dotted"/>
        </w:rPr>
        <w:t xml:space="preserve">                                                                                 </w:t>
      </w:r>
    </w:p>
    <w:p>
      <w:pPr>
        <w:spacing w:line="360" w:lineRule="auto"/>
        <w:ind w:left="1840" w:hanging="1840" w:hangingChars="873"/>
        <w:rPr>
          <w:rFonts w:ascii="宋体" w:hAnsi="宋体" w:cs="宋体"/>
          <w:color w:val="auto"/>
          <w:szCs w:val="21"/>
          <w:highlight w:val="none"/>
        </w:rPr>
      </w:pPr>
      <w:r>
        <w:rPr>
          <w:rFonts w:hint="eastAsia" w:ascii="宋体" w:hAnsi="宋体" w:cs="宋体"/>
          <w:b/>
          <w:bCs/>
          <w:color w:val="auto"/>
          <w:szCs w:val="21"/>
          <w:highlight w:val="none"/>
        </w:rPr>
        <w:t xml:space="preserve">合同管理         </w:t>
      </w:r>
      <w:r>
        <w:rPr>
          <w:rFonts w:hint="eastAsia" w:ascii="宋体" w:hAnsi="宋体" w:cs="宋体"/>
          <w:color w:val="auto"/>
          <w:szCs w:val="21"/>
          <w:highlight w:val="none"/>
        </w:rPr>
        <w:t>合同双方当事人应按照第22条至第25条的职责划分，督促各自人员认真履行合同管理职责，加强合同管理。</w:t>
      </w:r>
    </w:p>
    <w:p>
      <w:pPr>
        <w:spacing w:line="360" w:lineRule="auto"/>
        <w:ind w:left="1592" w:leftChars="758"/>
        <w:rPr>
          <w:rFonts w:ascii="宋体" w:hAnsi="宋体" w:cs="宋体"/>
          <w:color w:val="auto"/>
          <w:szCs w:val="21"/>
          <w:highlight w:val="none"/>
        </w:rPr>
      </w:pPr>
      <w:r>
        <w:rPr>
          <w:rFonts w:hint="eastAsia" w:ascii="宋体" w:hAnsi="宋体" w:cs="宋体"/>
          <w:color w:val="auto"/>
          <w:szCs w:val="21"/>
          <w:highlight w:val="none"/>
        </w:rPr>
        <w:t xml:space="preserve">经备案的本合同，作为处理合同纠纷、结算工程款的依据。涉及国有资金投资的工程，建设行政主管部门、工程造价管理机构应依据备案的本合同实施合同监督管理；合同双方当事人应随时接受执法人员对本合同的监督管理，并为监督管理活动提供配合和协助。      </w:t>
      </w:r>
    </w:p>
    <w:p>
      <w:pPr>
        <w:rPr>
          <w:rFonts w:ascii="宋体" w:hAnsi="宋体" w:cs="宋体"/>
          <w:b/>
          <w:color w:val="auto"/>
          <w:szCs w:val="21"/>
          <w:highlight w:val="none"/>
          <w:u w:val="single"/>
        </w:rPr>
      </w:pPr>
      <w:r>
        <w:rPr>
          <w:rFonts w:hint="eastAsia" w:ascii="宋体" w:hAnsi="宋体" w:cs="宋体"/>
          <w:b/>
          <w:color w:val="auto"/>
          <w:szCs w:val="21"/>
          <w:highlight w:val="none"/>
          <w:u w:val="single"/>
        </w:rPr>
        <w:t xml:space="preserve">                                                                        </w:t>
      </w:r>
    </w:p>
    <w:p>
      <w:pPr>
        <w:rPr>
          <w:rFonts w:ascii="宋体" w:hAnsi="宋体" w:cs="宋体"/>
          <w:b/>
          <w:color w:val="auto"/>
          <w:szCs w:val="21"/>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rPr>
          <w:rFonts w:ascii="宋体" w:hAnsi="宋体" w:cs="宋体"/>
          <w:b/>
          <w:color w:val="auto"/>
          <w:sz w:val="24"/>
          <w:szCs w:val="18"/>
          <w:highlight w:val="none"/>
          <w:u w:val="single"/>
        </w:rPr>
      </w:pPr>
    </w:p>
    <w:p>
      <w:pPr>
        <w:spacing w:line="360" w:lineRule="auto"/>
        <w:jc w:val="center"/>
        <w:outlineLvl w:val="0"/>
        <w:rPr>
          <w:rFonts w:ascii="宋体" w:hAnsi="宋体" w:cs="宋体"/>
          <w:b/>
          <w:color w:val="auto"/>
          <w:sz w:val="32"/>
          <w:szCs w:val="32"/>
          <w:highlight w:val="none"/>
        </w:rPr>
      </w:pPr>
      <w:r>
        <w:rPr>
          <w:rFonts w:hint="eastAsia" w:ascii="宋体" w:hAnsi="宋体" w:cs="宋体"/>
          <w:b/>
          <w:color w:val="auto"/>
          <w:sz w:val="32"/>
          <w:szCs w:val="32"/>
          <w:highlight w:val="none"/>
        </w:rPr>
        <w:br w:type="page"/>
      </w:r>
      <w:r>
        <w:rPr>
          <w:rFonts w:hint="eastAsia" w:ascii="宋体" w:hAnsi="宋体" w:cs="宋体"/>
          <w:b/>
          <w:color w:val="auto"/>
          <w:sz w:val="32"/>
          <w:szCs w:val="32"/>
          <w:highlight w:val="none"/>
        </w:rPr>
        <w:t>第三部分  专用条款</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 定义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1.53 所采用的书面形式包括：</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■文书；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■传真；</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□电子邮件；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□其他：</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2. 合同文件及解释</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 组成本合同文件的优先解释顺序如下：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(1)本合同协议书及附件（含合同谈判中澄清文件）；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(2)履行本合同的相关补充协议（含工程洽商记录、会议纪要、工程变更、现场签证、索赔和合同价款调整报告等修正文件）；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(3)中标通知书；</w:t>
      </w:r>
      <w:r>
        <w:rPr>
          <w:rFonts w:hint="eastAsia" w:ascii="宋体" w:hAnsi="宋体" w:cs="宋体"/>
          <w:bCs/>
          <w:color w:val="auto"/>
          <w:szCs w:val="21"/>
          <w:highlight w:val="none"/>
        </w:rPr>
        <w:tab/>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(4)保证书；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(6)通用条款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(7)标准、规范及有关技术文件；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(9)响应文件及其附件（含评标期间的澄清文件和补充资料）；</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(10)标价的工程量清单；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(11)招标文件及投标咨询答疑会议纪要、补遗书；</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(12)廉政合同；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(13)构成本合同组成部分的其他文件。</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4. 语言及适用的法律、标准与规范</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4.3 约定适用的标准、规范的名称：</w:t>
      </w:r>
      <w:r>
        <w:rPr>
          <w:rFonts w:hint="eastAsia" w:ascii="宋体" w:hAnsi="宋体" w:cs="宋体"/>
          <w:bCs/>
          <w:color w:val="auto"/>
          <w:szCs w:val="21"/>
          <w:highlight w:val="none"/>
          <w:u w:val="single"/>
        </w:rPr>
        <w:t xml:space="preserve"> 按照现行规定的最新标准与规范执行。</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5. 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5.1 发包人提供施工设计图纸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合同签订后1周内。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图纸提供的数量：</w:t>
      </w:r>
      <w:r>
        <w:rPr>
          <w:rFonts w:hint="eastAsia" w:ascii="宋体" w:hAnsi="宋体" w:cs="宋体"/>
          <w:bCs/>
          <w:color w:val="auto"/>
          <w:szCs w:val="21"/>
          <w:highlight w:val="none"/>
          <w:u w:val="single"/>
        </w:rPr>
        <w:t xml:space="preserve"> 3套。承包人要求额外提供图纸和资料的，发包人可予以提供，费用由承包人承担。承包人不得私自向设计单位购取图纸；承包人在本工程中使用的图纸都必须经过发包人的确认。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5.2 承包人提供施工设计图纸</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提供的时间：</w:t>
      </w:r>
      <w:r>
        <w:rPr>
          <w:rFonts w:hint="eastAsia" w:ascii="宋体" w:hAnsi="宋体" w:cs="宋体"/>
          <w:bCs/>
          <w:color w:val="auto"/>
          <w:szCs w:val="21"/>
          <w:highlight w:val="none"/>
          <w:u w:val="single"/>
        </w:rPr>
        <w:t xml:space="preserve"> 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提供的数量：</w:t>
      </w:r>
      <w:r>
        <w:rPr>
          <w:rFonts w:hint="eastAsia" w:ascii="宋体" w:hAnsi="宋体" w:cs="宋体"/>
          <w:bCs/>
          <w:color w:val="auto"/>
          <w:szCs w:val="21"/>
          <w:highlight w:val="none"/>
          <w:u w:val="single"/>
        </w:rPr>
        <w:t xml:space="preserve"> 无。</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6. 通讯联络</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6.2 各方通讯地址、收件人及其他送达方式</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各方通讯地址和收件人：</w:t>
      </w:r>
    </w:p>
    <w:p>
      <w:pPr>
        <w:spacing w:before="96" w:line="300" w:lineRule="auto"/>
        <w:ind w:firstLine="420" w:firstLineChars="200"/>
        <w:jc w:val="left"/>
        <w:rPr>
          <w:rFonts w:hint="eastAsia" w:ascii="宋体" w:hAnsi="宋体" w:eastAsia="宋体" w:cs="宋体"/>
          <w:bCs/>
          <w:color w:val="auto"/>
          <w:szCs w:val="21"/>
          <w:highlight w:val="none"/>
          <w:lang w:eastAsia="zh-CN"/>
        </w:rPr>
      </w:pPr>
      <w:r>
        <w:rPr>
          <w:rFonts w:hint="eastAsia" w:ascii="宋体" w:hAnsi="宋体" w:cs="宋体"/>
          <w:bCs/>
          <w:color w:val="auto"/>
          <w:szCs w:val="21"/>
          <w:highlight w:val="none"/>
        </w:rPr>
        <w:t>发包人:</w:t>
      </w:r>
      <w:r>
        <w:rPr>
          <w:rFonts w:hint="eastAsia" w:ascii="宋体" w:hAnsi="宋体" w:cs="宋体"/>
          <w:color w:val="auto"/>
          <w:szCs w:val="21"/>
          <w:highlight w:val="none"/>
          <w:u w:val="single"/>
          <w:lang w:eastAsia="zh-CN"/>
        </w:rPr>
        <w:t>广东省农科资产经营有限公司</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lang w:val="en-US" w:eastAsia="zh-CN"/>
        </w:rPr>
        <w:t xml:space="preserve">                     </w:t>
      </w:r>
      <w:r>
        <w:rPr>
          <w:rFonts w:hint="eastAsia" w:ascii="宋体" w:hAnsi="宋体" w:cs="宋体"/>
          <w:bCs/>
          <w:color w:val="auto"/>
          <w:szCs w:val="21"/>
          <w:highlight w:val="none"/>
        </w:rPr>
        <w:t xml:space="preserve">    </w:t>
      </w:r>
    </w:p>
    <w:p>
      <w:pPr>
        <w:spacing w:before="96" w:line="300" w:lineRule="auto"/>
        <w:ind w:firstLine="420" w:firstLineChars="200"/>
        <w:jc w:val="left"/>
        <w:rPr>
          <w:rFonts w:hint="default" w:ascii="宋体" w:hAnsi="宋体" w:eastAsia="宋体" w:cs="宋体"/>
          <w:bCs/>
          <w:color w:val="auto"/>
          <w:szCs w:val="21"/>
          <w:highlight w:val="none"/>
          <w:lang w:val="en-US" w:eastAsia="zh-CN"/>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r>
        <w:rPr>
          <w:rFonts w:hint="eastAsia" w:ascii="宋体" w:hAnsi="宋体" w:cs="宋体"/>
          <w:bCs/>
          <w:color w:val="auto"/>
          <w:szCs w:val="21"/>
          <w:highlight w:val="none"/>
          <w:u w:val="single"/>
          <w:lang w:val="en-US" w:eastAsia="zh-CN"/>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承包人：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邮编：</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监理人：</w:t>
      </w:r>
      <w:r>
        <w:rPr>
          <w:rFonts w:hint="eastAsia" w:ascii="宋体" w:hAnsi="宋体" w:cs="宋体"/>
          <w:color w:val="auto"/>
          <w:szCs w:val="21"/>
          <w:highlight w:val="none"/>
          <w:u w:val="single"/>
        </w:rPr>
        <w:t xml:space="preserve">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工程造价咨询人：</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通讯地址：       收件人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 xml:space="preserve"> 邮编：</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视为送达的其他方式：</w:t>
      </w:r>
      <w:r>
        <w:rPr>
          <w:rFonts w:hint="eastAsia" w:ascii="宋体" w:hAnsi="宋体" w:cs="宋体"/>
          <w:bCs/>
          <w:color w:val="auto"/>
          <w:szCs w:val="21"/>
          <w:highlight w:val="none"/>
          <w:u w:val="single"/>
        </w:rPr>
        <w:t xml:space="preserve"> 无。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7. 工程分包</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7.2指定分包工程名称：</w:t>
      </w:r>
      <w:r>
        <w:rPr>
          <w:rFonts w:hint="eastAsia" w:ascii="宋体" w:hAnsi="宋体" w:cs="宋体"/>
          <w:bCs/>
          <w:color w:val="auto"/>
          <w:szCs w:val="21"/>
          <w:highlight w:val="none"/>
          <w:u w:val="single"/>
        </w:rPr>
        <w:t xml:space="preserve"> 无。 </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7.4 分包工程款的支付方式：</w:t>
      </w:r>
      <w:r>
        <w:rPr>
          <w:rFonts w:hint="eastAsia" w:ascii="宋体" w:hAnsi="宋体" w:cs="宋体"/>
          <w:bCs/>
          <w:color w:val="auto"/>
          <w:szCs w:val="21"/>
          <w:highlight w:val="none"/>
          <w:u w:val="single"/>
        </w:rPr>
        <w:t xml:space="preserve"> /。</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12．事故处理</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12.4 承包人若在本工程实施过程中发生重特大安全事故，除接受上级行政主管部门的处罚外，还要视情节轻重接受发包人对承包人按合同总造价5-10‰的经济处罚。</w:t>
      </w:r>
    </w:p>
    <w:p>
      <w:pPr>
        <w:spacing w:before="96" w:line="300" w:lineRule="auto"/>
        <w:jc w:val="left"/>
        <w:rPr>
          <w:rFonts w:ascii="宋体" w:hAnsi="宋体" w:cs="宋体"/>
          <w:b/>
          <w:color w:val="auto"/>
          <w:szCs w:val="21"/>
          <w:highlight w:val="none"/>
        </w:rPr>
      </w:pPr>
      <w:r>
        <w:rPr>
          <w:rFonts w:hint="eastAsia" w:ascii="宋体" w:hAnsi="宋体" w:cs="宋体"/>
          <w:b/>
          <w:color w:val="auto"/>
          <w:szCs w:val="21"/>
          <w:highlight w:val="none"/>
        </w:rPr>
        <w:t>13．交通运输</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13.1 办理道路通行权和修建场外设施的费用：</w:t>
      </w:r>
      <w:r>
        <w:rPr>
          <w:rFonts w:hint="eastAsia" w:ascii="宋体" w:hAnsi="宋体" w:cs="宋体"/>
          <w:bCs/>
          <w:color w:val="auto"/>
          <w:szCs w:val="21"/>
          <w:highlight w:val="none"/>
          <w:u w:val="single"/>
        </w:rPr>
        <w:t xml:space="preserve"> 发包人协助承包人办理道路通行权和取得为实施合同工程所需修建场外设施的权利，但费用由承包人承担。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 xml:space="preserve">13.2 </w:t>
      </w:r>
      <w:r>
        <w:rPr>
          <w:rFonts w:hint="eastAsia" w:ascii="宋体" w:hAnsi="宋体" w:cs="宋体"/>
          <w:bCs/>
          <w:color w:val="auto"/>
          <w:szCs w:val="21"/>
          <w:highlight w:val="none"/>
        </w:rPr>
        <w:t>修建场内临时道路和交通设施的费用：</w:t>
      </w:r>
      <w:r>
        <w:rPr>
          <w:rFonts w:hint="eastAsia" w:ascii="宋体" w:hAnsi="宋体" w:cs="宋体"/>
          <w:bCs/>
          <w:color w:val="auto"/>
          <w:szCs w:val="21"/>
          <w:highlight w:val="none"/>
          <w:u w:val="single"/>
        </w:rPr>
        <w:t xml:space="preserve"> 费用由承包人承担。</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13.4 运输超大件和超重件的费用：</w:t>
      </w:r>
      <w:r>
        <w:rPr>
          <w:rFonts w:hint="eastAsia" w:ascii="宋体" w:hAnsi="宋体" w:cs="宋体"/>
          <w:bCs/>
          <w:color w:val="auto"/>
          <w:szCs w:val="21"/>
          <w:highlight w:val="none"/>
          <w:u w:val="single"/>
        </w:rPr>
        <w:t xml:space="preserve"> 按通用条款执行。</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13.7 承包人自进场施工起至项目竣工验收止，需保证临时道路（或通道）的畅通安全及整洁。保证沿线相关单位、居民的行车畅通，如封闭沿线单位、居民进入拟施工道路的出入口，需按原道路宽度，修建临时道路，解决沿线单位、居民出入拟施工道路的问题，相关费用包含在合同总价中，若承包人无法保证，则发包人可另行委托其他单位实施上述工作，相关费用从支付给承包人的工程款中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14．专项批准事件的签认</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14.2 专项批准事件的签认人选</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(1)监理工程师：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姓名：      印章样式：        签字样式：</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(3)建造师：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姓名：      印章样式：        签字样式：</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19、发包人</w:t>
      </w:r>
    </w:p>
    <w:p>
      <w:pPr>
        <w:tabs>
          <w:tab w:val="left" w:pos="112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19.2</w:t>
      </w:r>
      <w:r>
        <w:rPr>
          <w:rFonts w:hint="eastAsia" w:ascii="宋体" w:hAnsi="宋体" w:cs="宋体"/>
          <w:bCs/>
          <w:color w:val="auto"/>
          <w:szCs w:val="21"/>
          <w:highlight w:val="none"/>
        </w:rPr>
        <w:tab/>
      </w:r>
      <w:r>
        <w:rPr>
          <w:rFonts w:hint="eastAsia" w:ascii="宋体" w:hAnsi="宋体" w:cs="宋体"/>
          <w:bCs/>
          <w:color w:val="auto"/>
          <w:szCs w:val="21"/>
          <w:highlight w:val="none"/>
        </w:rPr>
        <w:t>发包人完成下列工作的约定</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(1)办理土地征用、拆迁、平整工作场地等工作的时间：</w:t>
      </w:r>
      <w:r>
        <w:rPr>
          <w:rFonts w:hint="eastAsia" w:ascii="宋体" w:hAnsi="宋体" w:cs="宋体"/>
          <w:bCs/>
          <w:color w:val="auto"/>
          <w:szCs w:val="21"/>
          <w:highlight w:val="none"/>
          <w:u w:val="single"/>
        </w:rPr>
        <w:t>不需要。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(2)完成施工所需水、电、通讯线路接驳的时间及地点：</w:t>
      </w:r>
      <w:r>
        <w:rPr>
          <w:rFonts w:hint="eastAsia" w:ascii="宋体" w:hAnsi="宋体" w:cs="宋体"/>
          <w:color w:val="auto"/>
          <w:szCs w:val="21"/>
          <w:highlight w:val="none"/>
          <w:u w:val="single"/>
        </w:rPr>
        <w:t>发包人仅就近提供水、电接驳点，其他由承包人自行解决，通讯由承包人自行负责。施工场地内接驳</w:t>
      </w:r>
      <w:r>
        <w:rPr>
          <w:rFonts w:hint="eastAsia" w:ascii="宋体" w:hAnsi="宋体" w:cs="宋体"/>
          <w:bCs/>
          <w:color w:val="auto"/>
          <w:szCs w:val="21"/>
          <w:highlight w:val="none"/>
          <w:u w:val="single"/>
        </w:rPr>
        <w:t>给排水管道</w:t>
      </w:r>
      <w:r>
        <w:rPr>
          <w:rFonts w:hint="eastAsia" w:ascii="宋体" w:hAnsi="宋体" w:cs="宋体"/>
          <w:color w:val="auto"/>
          <w:szCs w:val="21"/>
          <w:highlight w:val="none"/>
          <w:u w:val="single"/>
        </w:rPr>
        <w:t>、电力管线和用电、用水、通讯等费用已包含在本合同价款内，承包人安装独立的施工用水、用电计量表，按水表、电表实际用量缴回水电费给供给单位。承包人为保证工期和质量而采取的其他措施（包括自行发电、自行供水等）所发生的相关费用发包人不作补偿。</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w:t>
      </w:r>
      <w:r>
        <w:rPr>
          <w:rFonts w:hint="eastAsia" w:ascii="宋体" w:hAnsi="宋体" w:cs="宋体"/>
          <w:color w:val="auto"/>
          <w:szCs w:val="21"/>
          <w:highlight w:val="none"/>
        </w:rPr>
        <w:t>开通施工现场与城乡公共道路间的通道的时间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 xml:space="preserve">  已开通 。</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(4)提供</w:t>
      </w:r>
      <w:r>
        <w:rPr>
          <w:rFonts w:hint="eastAsia" w:ascii="宋体" w:hAnsi="宋体" w:cs="宋体"/>
          <w:color w:val="auto"/>
          <w:szCs w:val="21"/>
          <w:highlight w:val="none"/>
        </w:rPr>
        <w:t>施工所需的</w:t>
      </w:r>
      <w:r>
        <w:rPr>
          <w:rFonts w:hint="eastAsia" w:ascii="宋体" w:hAnsi="宋体" w:cs="宋体"/>
          <w:bCs/>
          <w:color w:val="auto"/>
          <w:szCs w:val="21"/>
          <w:highlight w:val="none"/>
        </w:rPr>
        <w:t>有关资料的时间：</w:t>
      </w:r>
      <w:r>
        <w:rPr>
          <w:rFonts w:hint="eastAsia" w:ascii="宋体" w:hAnsi="宋体" w:cs="宋体"/>
          <w:bCs/>
          <w:color w:val="auto"/>
          <w:szCs w:val="21"/>
          <w:highlight w:val="none"/>
          <w:u w:val="single"/>
        </w:rPr>
        <w:t>开工前三天现场甲方管辖的水电管线走向；施工场地及周围的地下管线（包括煤气管道）、建筑物、构筑物（含文物保护建筑）、名树名木的资料由承包人自行调查核实，费用已包含在合同价款中，发包人不另行计量支付，发包人可提供可能的协助和方便。</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(5)</w:t>
      </w:r>
      <w:r>
        <w:rPr>
          <w:rFonts w:hint="eastAsia" w:ascii="宋体" w:hAnsi="宋体" w:cs="宋体"/>
          <w:color w:val="auto"/>
          <w:szCs w:val="21"/>
          <w:highlight w:val="none"/>
        </w:rPr>
        <w:t>办理施工所需的有关证件和批准手续的时间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不需要。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(6)现场交验的时间：</w:t>
      </w:r>
      <w:r>
        <w:rPr>
          <w:rFonts w:hint="eastAsia" w:ascii="宋体" w:hAnsi="宋体" w:cs="宋体"/>
          <w:bCs/>
          <w:color w:val="auto"/>
          <w:szCs w:val="21"/>
          <w:highlight w:val="none"/>
          <w:u w:val="single"/>
        </w:rPr>
        <w:t>签订合同后3天。</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(7)</w:t>
      </w:r>
      <w:r>
        <w:rPr>
          <w:rFonts w:hint="eastAsia" w:ascii="宋体" w:hAnsi="宋体" w:cs="宋体"/>
          <w:color w:val="auto"/>
          <w:szCs w:val="21"/>
          <w:highlight w:val="none"/>
        </w:rPr>
        <w:t>提供标准与规范的时间</w:t>
      </w:r>
      <w:r>
        <w:rPr>
          <w:rFonts w:hint="eastAsia" w:ascii="宋体" w:hAnsi="宋体" w:cs="宋体"/>
          <w:bCs/>
          <w:color w:val="auto"/>
          <w:szCs w:val="21"/>
          <w:highlight w:val="none"/>
        </w:rPr>
        <w:t>：</w:t>
      </w:r>
      <w:r>
        <w:rPr>
          <w:rFonts w:hint="eastAsia" w:ascii="宋体" w:hAnsi="宋体" w:cs="宋体"/>
          <w:bCs/>
          <w:color w:val="auto"/>
          <w:szCs w:val="21"/>
          <w:highlight w:val="none"/>
          <w:u w:val="single"/>
        </w:rPr>
        <w:t>由承包人自行购买。</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(8)组织图纸会审和设计交底的时间：</w:t>
      </w:r>
      <w:r>
        <w:rPr>
          <w:rFonts w:hint="eastAsia" w:ascii="宋体" w:hAnsi="宋体" w:cs="宋体"/>
          <w:bCs/>
          <w:color w:val="auto"/>
          <w:szCs w:val="21"/>
          <w:highlight w:val="none"/>
          <w:u w:val="single"/>
        </w:rPr>
        <w:t>合同签订后7日内，具体时间由发包人以书面形式通知承包人。后续设计变更如需图纸会审，按施工进度要求分阶段完成。</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(9)协调处理施工场地周围地形关系问题和做好邻近建筑物等的保护工作的约定：</w:t>
      </w:r>
      <w:r>
        <w:rPr>
          <w:rFonts w:hint="eastAsia" w:ascii="宋体" w:hAnsi="宋体" w:cs="宋体"/>
          <w:bCs/>
          <w:color w:val="auto"/>
          <w:szCs w:val="21"/>
          <w:highlight w:val="none"/>
          <w:u w:val="single"/>
        </w:rPr>
        <w:t>由承包人承担施工场地及周围的地下管线（包括供水、供电、供气、电讯、油管等）、建筑物、构筑物（含文物保护建筑）、名树名木的保护工作。并且由承包人承担在施工过程造成其损伤而引起的责任和损失，费用已包含在合同价款中，发包人不另行计量支付。</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委托给承包人负责的部分工作有：</w:t>
      </w:r>
      <w:r>
        <w:rPr>
          <w:rFonts w:hint="eastAsia" w:ascii="宋体" w:hAnsi="宋体" w:cs="宋体"/>
          <w:bCs/>
          <w:color w:val="auto"/>
          <w:szCs w:val="21"/>
          <w:highlight w:val="none"/>
          <w:u w:val="single"/>
        </w:rPr>
        <w:t>施工场地及周围的地下管线（包括煤气管道）、建筑物、构筑物（含文物保护建筑）、名树名木的资料的调查核实。</w:t>
      </w:r>
      <w:r>
        <w:rPr>
          <w:rFonts w:hint="eastAsia" w:ascii="宋体" w:hAnsi="宋体" w:cs="宋体"/>
          <w:b/>
          <w:bCs/>
          <w:color w:val="auto"/>
          <w:szCs w:val="21"/>
          <w:highlight w:val="none"/>
          <w:u w:val="single"/>
        </w:rPr>
        <w:t>对通用条款中应由发包人承担的工作而发包人委托承包人承担的，承包人已在投标时审慎报价，有关费用已包含在合同总价，发包人不再作补偿。</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19.3 提供施工场地的时间：</w:t>
      </w:r>
      <w:r>
        <w:rPr>
          <w:rFonts w:hint="eastAsia" w:ascii="宋体" w:hAnsi="宋体" w:cs="宋体"/>
          <w:bCs/>
          <w:color w:val="auto"/>
          <w:szCs w:val="21"/>
          <w:highlight w:val="none"/>
          <w:u w:val="single"/>
        </w:rPr>
        <w:t>发包人在施工合同签订后一周内按现状提供施工场地，但发包人保留其工作人员、雇员、发包人有关合作单位和相关执法人员进入和使用施工场地的权利。</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19.4 支付款项</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 工程款支付期限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按通用条款第80.3款、第81.3款、第83.3款等规定期限支付。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按合同专用条款中81.1执行。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工程款支付方式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按协议书所注明的银行账户转账。本项目发包人为业主单位，发票须以业主单位名称开具。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支票支付。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其他方式：</w:t>
      </w:r>
    </w:p>
    <w:p>
      <w:pPr>
        <w:autoSpaceDE w:val="0"/>
        <w:autoSpaceDN w:val="0"/>
        <w:spacing w:before="96" w:line="300" w:lineRule="auto"/>
        <w:ind w:right="-40"/>
        <w:jc w:val="left"/>
        <w:rPr>
          <w:rFonts w:ascii="宋体" w:hAnsi="宋体" w:cs="宋体"/>
          <w:b/>
          <w:color w:val="auto"/>
          <w:szCs w:val="21"/>
          <w:highlight w:val="none"/>
        </w:rPr>
      </w:pPr>
      <w:r>
        <w:rPr>
          <w:rFonts w:hint="eastAsia" w:ascii="宋体" w:hAnsi="宋体" w:cs="宋体"/>
          <w:b/>
          <w:color w:val="auto"/>
          <w:szCs w:val="21"/>
          <w:highlight w:val="none"/>
        </w:rPr>
        <w:t>20．承包人</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20.2 承包人完成下列工作的约定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(3)提交支付申请和工程款额报告期限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按通用条款第80.2款、第81.1款、第83.1款等规定期限提交。</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(5)向发包人提供施工现场办公和生活的房屋设施的时间和要求：</w:t>
      </w:r>
      <w:r>
        <w:rPr>
          <w:rFonts w:hint="eastAsia" w:ascii="宋体" w:hAnsi="宋体" w:cs="宋体"/>
          <w:color w:val="auto"/>
          <w:kern w:val="0"/>
          <w:szCs w:val="21"/>
          <w:highlight w:val="none"/>
          <w:u w:val="single"/>
        </w:rPr>
        <w:t>不需要。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(6)办完施工场地交通、环境保护、施工噪声、安全文明施工等手续的时间：</w:t>
      </w:r>
      <w:r>
        <w:rPr>
          <w:rFonts w:hint="eastAsia" w:ascii="宋体" w:hAnsi="宋体" w:cs="宋体"/>
          <w:color w:val="auto"/>
          <w:szCs w:val="21"/>
          <w:highlight w:val="none"/>
          <w:u w:val="single"/>
        </w:rPr>
        <w:t>开工前完成。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(8)做好施工场地地下管线和邻近建筑物、构筑物（包括文物保护建筑）、古树名木保护工作的约定：</w:t>
      </w:r>
      <w:r>
        <w:rPr>
          <w:rFonts w:hint="eastAsia" w:ascii="宋体" w:hAnsi="宋体" w:cs="宋体"/>
          <w:color w:val="auto"/>
          <w:kern w:val="0"/>
          <w:szCs w:val="21"/>
          <w:highlight w:val="none"/>
          <w:u w:val="single"/>
        </w:rPr>
        <w:t>由承包人自行勘查和负责保护，在开工前进行房屋及构筑物等鉴定工作，有关费用包含在本合同总价款内，发包人不再承担任何费用。因施工过程造成的破坏，由承包人负责其翻修费用、鉴定费用及赔偿责任。</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(9)保证施工场地的清洁和做好交工前施工现场清理工作的约定：</w:t>
      </w:r>
      <w:r>
        <w:rPr>
          <w:rFonts w:hint="eastAsia" w:ascii="宋体" w:hAnsi="宋体" w:cs="宋体"/>
          <w:color w:val="auto"/>
          <w:kern w:val="0"/>
          <w:szCs w:val="21"/>
          <w:highlight w:val="none"/>
          <w:u w:val="single"/>
        </w:rPr>
        <w:t>承包人必须按广州市文明施工管理有关规定执行，做好施工场地的文明施工措施，符合有关部门的文明施工要求；在竣工后搬走所有施工机械、垃圾及剩余材料，并确保竣工现场干净、整齐。有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(10)提交竣工验收申请报告和竣工结算文件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按通用条款第82.2款规定提交。</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(11)承包人正式开工前向总监提供整体项目进度计划及相应施工方案，并于每月25日前</w:t>
      </w:r>
      <w:r>
        <w:rPr>
          <w:rFonts w:hint="eastAsia" w:ascii="宋体" w:hAnsi="宋体" w:cs="宋体"/>
          <w:bCs/>
          <w:color w:val="auto"/>
          <w:szCs w:val="21"/>
          <w:highlight w:val="none"/>
        </w:rPr>
        <w:t>向总监理工程师提供如下计划、报表，经监理单位审核后，报发包人批准后实施：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a、当月应完成的工程进度和实际完成进度统计报表一式六份（说明提前或拖延原因（时间从上月25日至当月24日）；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b、当月完成的工程量申报,要求分细项申报,并有完成金额一式六份（时间从上月25日至当月24日）；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c、下月资金使用计划一式六份（时间从本月25日至下月24日）；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d、下月施工进度计划一式六份（时间从本月25日至下月24日）；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e、下月施工拟投入设备、劳动力计划一式六份（时间从本月25日至下月24日）；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f、当月工程质量、安全生产、文明施工情况报告一式六份（时间从上月25日至当月24日）；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g、承包人负责向发包人提供工程事故报告一式六份（如果发生时）。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h、承包人应在每月的25日前递交上月的工程进度款《资金使用反馈表》，由监理工程师核实确认资金落实情况，保证承包人及平行分包专业应将工程进度款专用于实施本合同工程所需的材料及人工费用、施工机械、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i、承包人应在每月25日前向发包人提交对各专业间的组织管理、协调、配合等方面情况及所出现问题的专项报告。</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注：所述的计划、报表的具体格式，由监理提供并须经发包人审定，不足的先由承包人提出格式建议，经监理单位和发包人调整后按统一格式执行。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(12)承包人需配合由发包人委托的桩基等检测项目的检测工作，负责按检测单位要求提供水源、电源、脚手架、场地、钻芯孔回灌封闭所需的水泥等、相关预埋件的埋设、结构实体检测后的恢复工作等准备、配合工作，所发生相关费用由承包人负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(13)根据工程需要，承包人提供和维修白天或夜间施工使用的照明、围栏设施，并负责安全保卫。若承包人未履行上述义务造成工程、财产、人身损害等，由承包人承担责任及因此所发生的一切费用。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在承包人进场后，承包人应作为本项目施工场地总负责人，负责施工场地安全和文明施工管理，承担一切安全保卫义务，要求符合《广州市建设工程文明施工管理方法（试行）》穗建筑[1999]175号规定。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(14)需承包人办理的有关场地交通、环卫和施工噪音管理等手续：按工程所在地政府的规定办理并承担由此发生的费用，并在开工后1个月内以书面形式知会发包人。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(15)已完工程成品保护的特殊要求及费用承担：未移交后续施工单位使用前或未移交养护单位养护前，对自行施工的已完工工程的保护工作及费用均由承包人负责，发生损坏由承包人自费修复；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(16)承包人应对施工场地及周围的地下管线、建筑物、构筑物（含文物保护建筑）、古树名木之状况进行勘察，根据勘察结果确定具体的保护措施并承担有关费用。本项目经过城镇居民住宅区，应充分考虑施工准备措施和施工方案，加强安全文明施工，避免扰民和发生纠纷。因此，发包人要求：①施工前后应对周边的房屋进行安全鉴定并制定相应的安全保护措施；②按规定需要围蔽施工的必须围蔽施工；③应限制作业时间避免扰民并制定可行措施保证周边居民接受施工。承包人应将上述可能发生的鉴定费和措施费考虑在合同报价中，任何由于承包人未按照上述要求进行安全文明施工所引起的纠纷由承包人负责并保证发包人免于任何可能的指控和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对上述内容所采取的保护措施进行监测及维护，并应根据监测结果及时反馈信息指导施工，以确保上述受保护物件及作业人员、居民的安全。因承包人原因，受保护物件发生损坏的，由承包人承担责任并负责赔偿。</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(17)施工场地清洁卫生的要求：承包人须按发包人批准的施工组织设计进行施工现场布置、放置材料机械及其他设施，完成场地硬体化、排水管道化，及时将施工垃圾、余泥运出场外，达到省、市文明施工样板工地标准，保证施工场地清洁符合环境卫生管理的有关规定，若承包人施工场地要求达不到上述要求，发包人有权委托相关单位进行清理，所需费用从工程进度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交工前清理现场要求：工程竣工验收后10天内，承包人应对施工场地进行清理。施工场地的清理应达到发包人及监理单位的规定要求。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(18)散体物料运输车辆的要求：承包人必须遵守《关于加强我市建筑工地散体物料运输车辆管理的通知》（穗建筑[2007]576号）、广州市建设委员会2009年8月27日发布的《建设工地余泥渣土运输与排放源头管理工作实施意见》及近期省市建设主管部门出台的有关规定要求，对出入工地的散体物料运输车辆进行严格管理，坚决执行“一不准进，三不准出”的管理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(19)承包人应做的其他工作：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(1)保证执行承包人投标时所承诺的施工组织设计中的资源投入计划，将工程施工所需的机械设备、人员、材料等资源，根据工程进度计划按时、按标准、足额投入。否则，按规定承担违反投标承诺的违约责任。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各分项工程开工前，承包人必须在施工组织设计中编制资源投入计划，报总监理工程师和发包人批准后实施。特别是施工所需的机械设备（包括自有和租赁），应与承包人投标时填报的品牌、数量、质量、规格、性能相符且具备正常施工功能，并配有明显的承包人单位标志，且为合法使用设备（如年检证、使用证等），便于发包人检查承包人施工设备投入情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施工过程中，承包人因特殊原因需变更资源投入计划或者对已投入的资源进行调整的，应当提前7天提出申请，报总监理工程师和发包人批准。允许机械、设备调整的原则为：所调整机械、设备，规格、标准只能比原计划提高，不能降低；数量原则上不允许减少，如确因更换先进设备提高了工效，可考虑在总工作能力不降低的前提下同意调整。未经发包人许可，承包人开工后已进场的机械设备在任何情况下都不得在计划使用期间撤出现场。若施工机械、设备在施工过程中发生损坏的情况，承包人必须在3天内修复或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设计变更、施工现场情况变化造成工程内容、工程量变化，须调整机械、设备的规格、数量的，承包人须在变更或变化确定后3天内，提出完整的更新施工方案和资源投入计划，报总监理工程师和发包人批准后实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承包人擅自变更资源投入计划或者对已投入的资源进行调整的，按规定承担违约责任。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(2)严格遵守国家、省、市有关防火、爆破和施工安全以及文明施工、夜间施工、环卫和城管等规定，建立规章制度和防护措施，并承担由于自身措施不力造成事故的责任和发生的费用。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(3)对施工图、技术资料认真地复核和检查，有预见性的发现和指正设计缺陷和错误，应提出能实质性地节约资金和缩短工期的建议和措施。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工人的意外事故或伤害。对于承包人或其分包人所雇用的工人出现的伤亡事故或损失，应由承包人自行负责（但由于发包人或监理单位的行为失误所造成的除外）。对于这类伤亡或损失，发包人不负责任，不负担涉及这类伤亡或损失的索赔、诉讼、损害赔偿及其它费用。对分包单位出现的工人意外事故或伤害，由于分包单位原因造成的，承包人同样需承担连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(5)干扰与协调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a、承包人应当清楚地预计到施工期间对外界可能产生的必需的不可能避免的干扰，并为此保证主动努力减少这些干扰对外界的影响，且应当积极主动与外界进行协调。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b、除必须发包人出面的情况外，承包人应负责协调施工期间外界的各种干扰。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c、发包人将在承包人的配合下，充分运用自己对各方面的影响力，尽可能地将外界对工程的干扰减少到最少程度。这种协调并不解除承包人的各项责任与义务。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d、承包人应按合同规定或监理工程师的指令，为下述人员从事其工作提供配合和协助：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1)发包人的工作人员；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2)发包人的雇员；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3)任何政府及监督管理机构的执法人员。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此类指令增加了承包人的工作或支出，包括使用了承包人的设备、临时工程或通行道路等，由承包人自行承担相关费用，已包含在合同总价中。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根据工程需要，承包人应采用计算机信息管理技术建立相应的信息技术网络，以便与发包人、各有关单位及各专业分包单位进行数据交换，提高工作效率，如政府相关主管部门要求在工地现场装备实时监控系统时，承包人应按要求安装配备并承担相关费用（包括接入发包人办公室的视频监控系统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(21)承包人项目管理机构中各级管理人员和所使用的机械设备的标准与数量不得低于其响应文件的标准与数量，否则，视为违约，并按相应专用条款承担违约责任。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(22)承包人应当按照国家及广东省、广州市的有关规定和本合同的有关约定加强其参与本合同工程建设人员（包括农民工）的管理。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(1)实行平安卡管理制度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a、承包人应按广东省、广州市的有关规定，对其参与本合同工程建设的所有管理人员和作业人员（包括农民工）实行平安卡管理制度，上岗时一律佩带平安卡。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b、承包人应按广东省、广州市的有关规定牵头负责其承包管理范围内所有专业单位和分包单位实行平安卡管理制度的工作并予以落实。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c、发包人及监理单位将不定期抽查承包人及其所管辖的专业单位和分包单位实行平安卡管理制度的情况，如发现违反本合同有关约定的，由承包人按本合同专用条款第28.9款的约定承担违约责任。如发现有冒名顶替或人不到场而代为刷卡等弄虚作假现象的，由承包人按本合同专用条款28.9款的约定承担违约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(23)按时足额支付农民工工资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(1)承包人应当根据劳动合同约定的农民工工资标准等内容，按照依法签订的集体合同或劳动合同约定的日期按月支付工资，并不得低于本地最低工资标准。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(2)承包人应每月编制农民工工资支付表，如实记录支付时间、支付对象、支付金额等工资支付情况，并于每月底在其现场管理机构办公场所显眼位置公示，自觉接受发包人、监理等单位的检查监督。</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(3)承包人应对其专业分包或劳务分包单位工资支付进行监督，督促其依法支付农民工工资。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(4)承包人应贯彻落实《广东省建设领域工人工资支付分账管理暂行办法的通知》（粤人社[2015]3号）、《关于印发广州市建设领域工人工资支付分账管理实施细则的通知》（穗建规字〔2017〕10号）文件要求。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承包人应按上述要求及国家、地方有关规定按时足额支付农民工工资，否则视同违约，应按合同专用条款28.9款的约定承担违约责任。若因农民工工资支付原因造成劳资纠纷或由此引起社会不稳定因素（停工、集体上访、媒体曝光、聚集围阻发包人办公地点甚至政府办公部门等过激行为，对本项目造成不良社会影响的），承包人须承担一切经济和法律责任，发包人有权在承包人的工程款中扣除先行支付相关费用，解决劳资纠纷，直至解除合同。同时履约保证金不予退还。</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(24)承包人应自备足够数量的备用发电机，以满足工程施工的需要，不得以停电为理由拖延工期。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20.3 承包人提供施工所需劳务、材料、国产设备、施工设备和其他物品的约定：</w:t>
      </w:r>
      <w:r>
        <w:rPr>
          <w:rFonts w:hint="eastAsia" w:ascii="宋体" w:hAnsi="宋体" w:cs="宋体"/>
          <w:color w:val="auto"/>
          <w:kern w:val="0"/>
          <w:szCs w:val="21"/>
          <w:highlight w:val="none"/>
          <w:u w:val="single"/>
        </w:rPr>
        <w:t>按通用条款要求。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20.4 增加以下内容：承包人应根据现场实际情况考虑切实可行的施工方案及费用，发包人不对承包人因施工方案改变而引起的任何费用的增加进行补偿。施工过程中由于承包人的施工方案未考虑周全而造成的经济损失（包括调整施工方案所增加的费用）及法律责任均由承包人承担，情况严重时发包人有权终止合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21. 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21.1 发包人现场管理人员任命和更换：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21.2 承包人代表任命和更换：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21.3 监理工程师代表任命和撤回：</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造价工程师代表任命和撤回：</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21.4 承包人代表授权人选任命和撤回：</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22．发包人代表</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22.1 发包人代表及其权力的限制</w:t>
      </w:r>
    </w:p>
    <w:p>
      <w:pPr>
        <w:tabs>
          <w:tab w:val="left" w:pos="3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发包人任命（李晋耀）为发包人代表，其联络通讯地址如下：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10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(2) 发包人对发包人代表权力做如下限制：</w:t>
      </w:r>
      <w:r>
        <w:rPr>
          <w:rFonts w:hint="eastAsia" w:ascii="宋体" w:hAnsi="宋体" w:cs="宋体"/>
          <w:bCs/>
          <w:color w:val="auto"/>
          <w:szCs w:val="21"/>
          <w:highlight w:val="none"/>
          <w:u w:val="single"/>
        </w:rPr>
        <w:t>代表发包人监督检查工程施工进度、质量、安全文明施工，负责现场有关报表、报告的签认及与发包人相关的现场协调工作，与本工程相关的文件、资料须由发包人盖章确认后方可生效。发包人调整现场代表职责范围时，提前7天通知承包人。</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23．监理工程师</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23.1 负责合同工程的监理单位及任命的监理工程师</w:t>
      </w:r>
    </w:p>
    <w:p>
      <w:pPr>
        <w:tabs>
          <w:tab w:val="left" w:pos="5175"/>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监理单位</w:t>
      </w:r>
      <w:r>
        <w:rPr>
          <w:rFonts w:hint="eastAsia" w:ascii="宋体" w:hAnsi="宋体" w:cs="宋体"/>
          <w:color w:val="auto"/>
          <w:szCs w:val="21"/>
          <w:highlight w:val="none"/>
        </w:rPr>
        <w:t>：</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法定代表人：</w:t>
      </w:r>
      <w:r>
        <w:rPr>
          <w:rFonts w:hint="eastAsia" w:ascii="宋体" w:hAnsi="宋体" w:cs="宋体"/>
          <w:bCs/>
          <w:color w:val="auto"/>
          <w:szCs w:val="21"/>
          <w:highlight w:val="none"/>
          <w:u w:val="single"/>
        </w:rPr>
        <w:t xml:space="preserve">      </w:t>
      </w:r>
    </w:p>
    <w:p>
      <w:pPr>
        <w:tabs>
          <w:tab w:val="left" w:pos="3260"/>
          <w:tab w:val="left" w:pos="59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任命（</w:t>
      </w:r>
      <w:r>
        <w:rPr>
          <w:rFonts w:hint="eastAsia" w:ascii="宋体" w:hAnsi="宋体" w:cs="宋体"/>
          <w:bCs/>
          <w:color w:val="auto"/>
          <w:szCs w:val="21"/>
          <w:highlight w:val="none"/>
        </w:rPr>
        <w:tab/>
      </w:r>
      <w:r>
        <w:rPr>
          <w:rFonts w:hint="eastAsia" w:ascii="宋体" w:hAnsi="宋体" w:cs="宋体"/>
          <w:bCs/>
          <w:color w:val="auto"/>
          <w:szCs w:val="21"/>
          <w:highlight w:val="none"/>
        </w:rPr>
        <w:t>）为监理工程师，其联络通讯地址如下：</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23.3（12）需要发包人批准的其他事项：</w:t>
      </w:r>
      <w:r>
        <w:rPr>
          <w:rFonts w:hint="eastAsia" w:ascii="宋体" w:hAnsi="宋体" w:cs="宋体"/>
          <w:bCs/>
          <w:color w:val="auto"/>
          <w:szCs w:val="21"/>
          <w:highlight w:val="none"/>
          <w:u w:val="single"/>
        </w:rPr>
        <w:tab/>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24．造价工程师</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24.1 负责合同工程的造价咨询单位及任命的造价工程师</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工程造价咨询人：                   法定代表人：</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 任命（              ）为造价工程师，其通讯方式为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24.3 （7）需要发包人批准的其他事项：</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25．承包人代表</w:t>
      </w:r>
    </w:p>
    <w:p>
      <w:pPr>
        <w:tabs>
          <w:tab w:val="left" w:pos="1240"/>
          <w:tab w:val="left" w:pos="4120"/>
          <w:tab w:val="left" w:pos="586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25.1 承包人任命（</w:t>
      </w:r>
      <w:r>
        <w:rPr>
          <w:rFonts w:hint="eastAsia" w:ascii="宋体" w:hAnsi="宋体" w:cs="宋体"/>
          <w:bCs/>
          <w:color w:val="auto"/>
          <w:szCs w:val="21"/>
          <w:highlight w:val="none"/>
        </w:rPr>
        <w:tab/>
      </w:r>
      <w:r>
        <w:rPr>
          <w:rFonts w:hint="eastAsia" w:ascii="宋体" w:hAnsi="宋体" w:cs="宋体"/>
          <w:bCs/>
          <w:color w:val="auto"/>
          <w:szCs w:val="21"/>
          <w:highlight w:val="none"/>
        </w:rPr>
        <w:t>）为承包人代表，其通讯</w:t>
      </w:r>
      <w:r>
        <w:rPr>
          <w:rFonts w:hint="eastAsia" w:ascii="宋体" w:hAnsi="宋体" w:cs="宋体"/>
          <w:color w:val="auto"/>
          <w:szCs w:val="21"/>
          <w:highlight w:val="none"/>
        </w:rPr>
        <w:t>方式为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通讯地址：</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邮政编码：</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联系电话：</w:t>
      </w:r>
      <w:r>
        <w:rPr>
          <w:rFonts w:hint="eastAsia" w:ascii="宋体" w:hAnsi="宋体" w:cs="宋体"/>
          <w:bCs/>
          <w:color w:val="auto"/>
          <w:szCs w:val="21"/>
          <w:highlight w:val="none"/>
          <w:u w:val="single"/>
        </w:rPr>
        <w:tab/>
      </w:r>
      <w:r>
        <w:rPr>
          <w:rFonts w:hint="eastAsia" w:ascii="宋体" w:hAnsi="宋体" w:cs="宋体"/>
          <w:bCs/>
          <w:color w:val="auto"/>
          <w:szCs w:val="21"/>
          <w:highlight w:val="none"/>
        </w:rPr>
        <w:t>传真号码：</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26．指定分包人</w:t>
      </w:r>
    </w:p>
    <w:p>
      <w:pPr>
        <w:tabs>
          <w:tab w:val="left" w:pos="51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26.1 依法指定的分包人及其有关规定：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实施、完成任何永久工程的分包人：</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 提供本合同工程材料和工程设备、服务的分包人：</w:t>
      </w:r>
      <w:r>
        <w:rPr>
          <w:rFonts w:hint="eastAsia" w:ascii="宋体" w:hAnsi="宋体" w:cs="宋体"/>
          <w:bCs/>
          <w:color w:val="auto"/>
          <w:szCs w:val="21"/>
          <w:highlight w:val="none"/>
          <w:u w:val="single"/>
        </w:rPr>
        <w:t>无</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28．工程担保</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28.1 承包人提供履约担保的约定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(1)提供履约担保的金额：</w:t>
      </w:r>
      <w:r>
        <w:rPr>
          <w:rFonts w:hint="eastAsia" w:ascii="宋体" w:hAnsi="宋体" w:cs="宋体"/>
          <w:bCs/>
          <w:color w:val="auto"/>
          <w:szCs w:val="21"/>
          <w:highlight w:val="none"/>
          <w:u w:val="single"/>
        </w:rPr>
        <w:t>承包人须以转账或支票形式向发包人交付履约担保，履约</w:t>
      </w:r>
      <w:r>
        <w:rPr>
          <w:rFonts w:hint="eastAsia" w:ascii="宋体" w:hAnsi="宋体" w:cs="宋体"/>
          <w:color w:val="auto"/>
          <w:szCs w:val="21"/>
          <w:highlight w:val="none"/>
          <w:u w:val="single"/>
        </w:rPr>
        <w:t>担保</w:t>
      </w:r>
      <w:r>
        <w:rPr>
          <w:rFonts w:hint="eastAsia" w:ascii="宋体" w:hAnsi="宋体" w:cs="宋体"/>
          <w:bCs/>
          <w:color w:val="auto"/>
          <w:szCs w:val="21"/>
          <w:highlight w:val="none"/>
          <w:u w:val="single"/>
        </w:rPr>
        <w:t>金为中标价的10%。</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(2)提供履约担保的时间：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另作约定：在收到中标通知书后的15日内并在本合同签订前。</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kern w:val="0"/>
          <w:szCs w:val="21"/>
          <w:highlight w:val="none"/>
        </w:rPr>
        <w:t>(3)提供履约担保金的方式：</w:t>
      </w:r>
      <w:r>
        <w:rPr>
          <w:rFonts w:hint="eastAsia" w:ascii="宋体" w:hAnsi="宋体" w:cs="宋体"/>
          <w:color w:val="auto"/>
          <w:kern w:val="0"/>
          <w:szCs w:val="21"/>
          <w:highlight w:val="none"/>
          <w:u w:val="single"/>
        </w:rPr>
        <w:t>以支票或现金转账等有效形式提供。从承包人开户银行帐户中转帐或汇款到发包人以下的银行帐户内﹙收款单位：</w:t>
      </w:r>
      <w:r>
        <w:rPr>
          <w:rFonts w:hint="eastAsia" w:ascii="宋体" w:hAnsi="宋体" w:cs="宋体"/>
          <w:color w:val="auto"/>
          <w:kern w:val="0"/>
          <w:szCs w:val="21"/>
          <w:highlight w:val="none"/>
          <w:u w:val="single"/>
          <w:lang w:eastAsia="zh-CN"/>
        </w:rPr>
        <w:t>广东省农科资产经营有限公司</w:t>
      </w:r>
      <w:r>
        <w:rPr>
          <w:rFonts w:hint="eastAsia" w:ascii="宋体" w:hAnsi="宋体" w:cs="宋体"/>
          <w:color w:val="auto"/>
          <w:kern w:val="0"/>
          <w:szCs w:val="21"/>
          <w:highlight w:val="none"/>
          <w:u w:val="single"/>
        </w:rPr>
        <w:t>，银行帐号：      ，开户银行：            ﹚。</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28.4 发包人提供支付担保的约定</w:t>
      </w:r>
    </w:p>
    <w:p>
      <w:pPr>
        <w:tabs>
          <w:tab w:val="left" w:pos="6620"/>
          <w:tab w:val="left" w:pos="902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(1)支付担保的金额：</w:t>
      </w:r>
      <w:r>
        <w:rPr>
          <w:rFonts w:hint="eastAsia" w:ascii="宋体" w:hAnsi="宋体" w:cs="宋体"/>
          <w:bCs/>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(2)提供支付担保的时间：</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签订本合同时。</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另作约定：</w:t>
      </w:r>
      <w:r>
        <w:rPr>
          <w:rFonts w:hint="eastAsia" w:ascii="宋体" w:hAnsi="宋体" w:cs="宋体"/>
          <w:color w:val="auto"/>
          <w:szCs w:val="21"/>
          <w:highlight w:val="none"/>
          <w:u w:val="single"/>
        </w:rPr>
        <w:t xml:space="preserve">  /  </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bCs/>
          <w:color w:val="auto"/>
          <w:szCs w:val="21"/>
          <w:highlight w:val="none"/>
        </w:rPr>
        <w:t>(3)  出具支付担保的</w:t>
      </w:r>
      <w:r>
        <w:rPr>
          <w:rFonts w:hint="eastAsia" w:ascii="宋体" w:hAnsi="宋体" w:cs="宋体"/>
          <w:color w:val="auto"/>
          <w:kern w:val="0"/>
          <w:szCs w:val="21"/>
          <w:highlight w:val="none"/>
        </w:rPr>
        <w:t>担保人</w:t>
      </w:r>
      <w:r>
        <w:rPr>
          <w:rFonts w:hint="eastAsia" w:ascii="宋体" w:hAnsi="宋体" w:cs="宋体"/>
          <w:bCs/>
          <w:color w:val="auto"/>
          <w:szCs w:val="21"/>
          <w:highlight w:val="none"/>
        </w:rPr>
        <w:t>：</w:t>
      </w:r>
      <w:r>
        <w:rPr>
          <w:rFonts w:hint="eastAsia" w:ascii="宋体" w:hAnsi="宋体" w:cs="宋体"/>
          <w:color w:val="auto"/>
          <w:szCs w:val="21"/>
          <w:highlight w:val="none"/>
          <w:u w:val="single"/>
        </w:rPr>
        <w:t>无</w:t>
      </w:r>
    </w:p>
    <w:p>
      <w:pPr>
        <w:autoSpaceDE w:val="0"/>
        <w:autoSpaceDN w:val="0"/>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28.6 本条款不适用</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color w:val="auto"/>
          <w:szCs w:val="21"/>
          <w:highlight w:val="none"/>
        </w:rPr>
        <w:t>28.7 在承包人按照合同要求实施和完成本合同工程之前，履约担保一直有效。</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28.8 担保内容、方式和责任等事项的约定：</w:t>
      </w:r>
      <w:r>
        <w:rPr>
          <w:rFonts w:hint="eastAsia" w:ascii="宋体" w:hAnsi="宋体" w:cs="宋体"/>
          <w:bCs/>
          <w:color w:val="auto"/>
          <w:szCs w:val="21"/>
          <w:highlight w:val="none"/>
          <w:u w:val="single"/>
        </w:rPr>
        <w:t xml:space="preserve">  /  </w:t>
      </w:r>
    </w:p>
    <w:p>
      <w:pPr>
        <w:tabs>
          <w:tab w:val="left" w:pos="1260"/>
          <w:tab w:val="left" w:pos="1395"/>
        </w:tabs>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28.9 </w:t>
      </w:r>
      <w:r>
        <w:rPr>
          <w:rFonts w:hint="eastAsia" w:ascii="宋体" w:hAnsi="宋体" w:cs="宋体"/>
          <w:color w:val="auto"/>
          <w:szCs w:val="21"/>
          <w:highlight w:val="none"/>
        </w:rPr>
        <w:t>承包人违约与履约担保金的扣除</w:t>
      </w:r>
    </w:p>
    <w:p>
      <w:pPr>
        <w:spacing w:before="96" w:line="300" w:lineRule="auto"/>
        <w:ind w:firstLine="420" w:firstLineChars="200"/>
        <w:jc w:val="left"/>
        <w:rPr>
          <w:rFonts w:ascii="宋体" w:hAnsi="宋体" w:cs="宋体"/>
          <w:snapToGrid w:val="0"/>
          <w:color w:val="auto"/>
          <w:szCs w:val="21"/>
          <w:highlight w:val="none"/>
        </w:rPr>
      </w:pPr>
      <w:r>
        <w:rPr>
          <w:rFonts w:hint="eastAsia" w:ascii="宋体" w:hAnsi="宋体" w:cs="宋体"/>
          <w:snapToGrid w:val="0"/>
          <w:color w:val="auto"/>
          <w:szCs w:val="21"/>
          <w:highlight w:val="none"/>
        </w:rPr>
        <w:t>如果承包人违反国家法律法规，或监理工程师向发包人证明承包人有下述行为时：</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(1)已不再承认合同或无正当理由中途退场；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(2)无正当理由而未能：</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①按时开工；</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②按发包人、监理工程师根据合同条款的规定，要求其加快工程进度；</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③按合同规定的工期完工(除非合同另有规定)；</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(3)对监理工程师按规定发出的整改指示，未采取相应的改正措施； </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(4)对发包人、监理工程师指出的施工质量不合格或有缺陷的工程，未能补救或返工重建；</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(5)无视发包人、监理工程师事先书面警告，仍一贯或公然忽视履行合同责任;</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(6)违反合同规定没有派投标书中承诺的主要施工管理人员到场组织施工，或没有经发包人同意，替换不合格的施工管理人员（如发生此情况将按补充条款96.7款处理）；</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(7)违反合同规定不使用投标书中承诺的关键施工机械；</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(8)违反合同规定转包或分包主体工程；</w:t>
      </w:r>
    </w:p>
    <w:p>
      <w:pPr>
        <w:tabs>
          <w:tab w:val="left" w:pos="720"/>
          <w:tab w:val="left" w:pos="851"/>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(9)未按规定按时足额支付农民工工资；</w:t>
      </w:r>
    </w:p>
    <w:p>
      <w:pPr>
        <w:tabs>
          <w:tab w:val="left" w:pos="720"/>
          <w:tab w:val="left" w:pos="851"/>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(10)未按规定实行平安卡管理制度，或有冒名顶替或人不到场而代为刷卡等弄虚作假现象的。</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则发包人在向承包人发出通知的10天内未见纠正的，可以视情况扣除全部或部分履约担保金，或取消承包人承包的权利，另行发包。</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28.10 履约担保金的退回</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以现金或支票等方式提交的，工程完工并经竣工验收合格后28天内无息退回履约担保金；如以银行保函方式提供的，则工程完工并经竣工验收合格后28天内退回银行保函原件。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29．发包人风险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29.2（5）关于地质、邻近建筑物、古树名木和物价上涨等原因是否属于承包人风险按专用条款20.2和76条规定执行。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31．不可抗力</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31.1（4）不可抗力的其他情形：</w:t>
      </w:r>
      <w:r>
        <w:rPr>
          <w:rFonts w:hint="eastAsia" w:ascii="宋体" w:hAnsi="宋体" w:cs="宋体"/>
          <w:color w:val="auto"/>
          <w:szCs w:val="21"/>
          <w:highlight w:val="none"/>
          <w:u w:val="single"/>
        </w:rPr>
        <w:t xml:space="preserve"> 无。</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32．保险</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32.1 发包人委托承包人办理保险事项有：</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合同通用条款第32.1款的第（1）项；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合同通用条款第32.1款的第（2）项；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合同通用条款第32.1款的第（3）项；</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w:t>
      </w:r>
      <w:r>
        <w:rPr>
          <w:rFonts w:hint="eastAsia" w:ascii="宋体" w:hAnsi="宋体" w:cs="宋体"/>
          <w:color w:val="auto"/>
          <w:szCs w:val="21"/>
          <w:highlight w:val="none"/>
        </w:rPr>
        <w:t xml:space="preserve"> 合同通用条款第32.1款的第（4）项。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32.8 担保内容、保险金、保险期限和责任等事项的约定：</w:t>
      </w:r>
      <w:r>
        <w:rPr>
          <w:rFonts w:hint="eastAsia" w:ascii="宋体" w:hAnsi="宋体" w:cs="宋体"/>
          <w:bCs/>
          <w:color w:val="auto"/>
          <w:szCs w:val="21"/>
          <w:highlight w:val="none"/>
          <w:u w:val="single"/>
        </w:rPr>
        <w:t>按合同通用条款第32.1款的第（1）、（2）、（3）项所列投保内容投保；保险费用由承包人承担并包含在合同总价款内，承包人必须在开工前把投保单送发包人备案，否则不得开工，工期不予顺延。</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33．进度计划和报告</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33.3 承包人编制施工进度报告和修订进度计划的约定：</w:t>
      </w:r>
      <w:r>
        <w:rPr>
          <w:rFonts w:hint="eastAsia" w:ascii="宋体" w:hAnsi="宋体" w:cs="宋体"/>
          <w:bCs/>
          <w:color w:val="auto"/>
          <w:szCs w:val="21"/>
          <w:highlight w:val="none"/>
          <w:u w:val="single"/>
        </w:rPr>
        <w:t>按通用条款约定。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34．开工</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34.2 监理工程师在本合同签订后的（</w:t>
      </w:r>
      <w:r>
        <w:rPr>
          <w:rFonts w:hint="eastAsia" w:ascii="宋体" w:hAnsi="宋体" w:cs="宋体"/>
          <w:bCs/>
          <w:color w:val="auto"/>
          <w:szCs w:val="21"/>
          <w:highlight w:val="none"/>
        </w:rPr>
        <w:tab/>
      </w:r>
      <w:r>
        <w:rPr>
          <w:rFonts w:hint="eastAsia" w:ascii="宋体" w:hAnsi="宋体" w:cs="宋体"/>
          <w:bCs/>
          <w:color w:val="auto"/>
          <w:szCs w:val="21"/>
          <w:highlight w:val="none"/>
        </w:rPr>
        <w:t>）内签发开工令。</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按合同通用条款规定的 42 天。</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另作约定：</w:t>
      </w:r>
      <w:r>
        <w:rPr>
          <w:rFonts w:hint="eastAsia" w:ascii="宋体" w:hAnsi="宋体" w:cs="宋体"/>
          <w:bCs/>
          <w:color w:val="auto"/>
          <w:szCs w:val="21"/>
          <w:highlight w:val="none"/>
          <w:u w:val="single"/>
        </w:rPr>
        <w:t xml:space="preserve"> 承包人应在签订本合同后的7天内，向监理工程师提交开工申请书，并附上表明已做好开工准备的有关资料。在具备法规规定的开工条件后，监理工程师应在3天内报发包人批准后向承包人发出开工令。</w:t>
      </w:r>
      <w:r>
        <w:rPr>
          <w:rFonts w:hint="eastAsia" w:ascii="宋体" w:hAnsi="宋体" w:cs="宋体"/>
          <w:color w:val="auto"/>
          <w:kern w:val="0"/>
          <w:szCs w:val="21"/>
          <w:highlight w:val="none"/>
          <w:u w:val="single"/>
        </w:rPr>
        <w:t>承包人应在接到开工令后的3天内开工，若在签订本合同后第15天承包人仍不具备开工条件的，发包人有权立即解除合同，没收承包人的履约担保金，并且承包人需向发包人赔偿因此而造成的一切损失。</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35．暂停施工和复工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35.1 为了保证工程质量安全，凡出现下列情况之一（不限于此）的，总监理工程师有权下达停工令，责令承包人停工整改，由此造成的损失由承包人自行负责，造成工期延误的承包人按约定承担违约责任。</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(1)拒绝监理单位管理；</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(2)施工组织设计（方案）未获总监理工程师批准而进行施工；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(3)未经监理单位检验而进行下一道工序作业者；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(4)擅自采用未经监理单位及发包人认可或批准的材料的，或者使用的原材料、构配件不合格或未经检查确认的，或者擅自采用未经认可的代用材料的；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(5)擅自变更设计图纸的要求；</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(6)转包工程；</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(7)擅自让未经总监理工程师批准的分包单位进场作业；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(8)存在安全隐患，未按监理单位要求及时进行整改；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(9)未按双方约定的资料上报要求上报所需资料的。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35.4 因发包人原因引起的暂停施工造成工期延误的，承包人有权要求顺延工期，但费用不作补偿。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因承包人下列原因引起的暂停施工，增加的费用和（或）延误的工期由承包人承担：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(1)工作失误或违约造成的；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(2)为合同工程合理施工和安全保障所必需的；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(3)施工现场气候条件（除不可抗力停工外）导致的；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(4)擅自停工的；</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(5)专用条款约定的其他原因情形。</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承包人原因造成暂停施工的其他原因：</w:t>
      </w:r>
      <w:r>
        <w:rPr>
          <w:rFonts w:hint="eastAsia" w:ascii="宋体" w:hAnsi="宋体" w:cs="宋体"/>
          <w:color w:val="auto"/>
          <w:kern w:val="0"/>
          <w:szCs w:val="21"/>
          <w:highlight w:val="none"/>
          <w:u w:val="single"/>
        </w:rPr>
        <w:t xml:space="preserve"> 由于政府部门基于包括但不限于政府部门举行的特殊活动等原因引起的工程停工，承包人的服务期顺延，发包人和承包人各自承担损失，施工报酬不因此增加，承包人也不得因此向委托人主张任何赔偿或其他法律责任。</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36．工期及工期延误</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36.1 合同工程的工期约定为（  ）日历天。</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(1)（工程名称）单位工程的工期约定为天。</w:t>
      </w:r>
    </w:p>
    <w:p>
      <w:pPr>
        <w:tabs>
          <w:tab w:val="left" w:pos="1240"/>
          <w:tab w:val="left" w:pos="50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(2)（工程名称）单位工程的工期约定为天。</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36.3 合同履行期间，由于下列原因造成工期延误的，承包人有权要求发包人顺延工期，但费用不作补偿。本款发生顺延的工期，由承包人提出，经监理工程师核实后由合同双方当事人协商确定；协商不能达成一致的，由监理工程师暂定，通知承包人并抄报发包人。构成争议的，由合同双方当事人按照第86条规定处理。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(1)发包人未能按照专用条款的约定提供施工设计图纸及其它开工条件；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(2)发包人未能按照专用条款约定的时间支付工程预付款、安全文明施工费和进度款；</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(3)发包人代表或施工现场发包人雇用的其他人员造成的人为因素；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(4)监理工程师未按照合同约定及时提供所需指令、回复等；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(5)工程变更（含增加合同工作内容、改变合同的任何一项工作等）；</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(6)工程量增加；</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(7)一周内非承包人原因停水、停电、停气造成停工累计超过8小时；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(8)不可抗力；</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(9)发包人风险事件；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(10)因发包人原因导致的暂停施工；</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(11)非承包人失误、违约，以及监理工程师同意的工期顺延。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(12)发包人造成工期延误的其他原因。补充：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注：如果受影响的工程不是处在工程进度网络计划的关键线路上，发包人不会顺延工期，且不作补偿。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36.7 监理工程师应在收到承包人按照第36.4款和第36.5款（发生时）规定提交（最终）工期顺延报告和详细资料后的28天内，按照第36.3款规定予以核实，或要求承包人进一步补充顺延工期的理由。合同双方当事人一旦协商确定顺延的工期，将作为调整工期的依据，但费用不作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如果监理工程师在收到上述报告和资料后的28天内未予核实也未对承包人作出进一步要求，则视为监理工程师已认可承包人上述报告中提出的顺延工期天数。</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38．竣工日期</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38.1 计划竣工日期：</w:t>
      </w:r>
      <w:r>
        <w:rPr>
          <w:rFonts w:hint="eastAsia" w:ascii="宋体" w:hAnsi="宋体" w:cs="宋体"/>
          <w:bCs/>
          <w:color w:val="auto"/>
          <w:szCs w:val="21"/>
          <w:highlight w:val="none"/>
          <w:u w:val="single"/>
        </w:rPr>
        <w:t xml:space="preserve">              。</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42．质量标准</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42.1 约定的工程质量标准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(1) 合同工程质量标准：</w:t>
      </w:r>
      <w:r>
        <w:rPr>
          <w:rFonts w:hint="eastAsia" w:ascii="宋体" w:hAnsi="宋体" w:cs="宋体"/>
          <w:color w:val="auto"/>
          <w:szCs w:val="21"/>
          <w:highlight w:val="none"/>
          <w:u w:val="single"/>
        </w:rPr>
        <w:t xml:space="preserve"> 达到合格等级。</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(2) 工程质量验收标准：</w:t>
      </w:r>
      <w:r>
        <w:rPr>
          <w:rFonts w:hint="eastAsia" w:ascii="宋体" w:hAnsi="宋体" w:cs="宋体"/>
          <w:color w:val="auto"/>
          <w:szCs w:val="21"/>
          <w:highlight w:val="none"/>
          <w:u w:val="single"/>
        </w:rPr>
        <w:t>按照国家或行业现行有关工程质量验收标准执行。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45．安全文明施工</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45.1 安全文明施工的内容：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应执行《建筑施工安全检查标准》（JGJ59-99）和《广州市建设现场文明施工管理办法》（穗建筑[1999]175号）的规定、《关于规范建筑施工安全管理标准的通知》穗建筑[2005]652号及现行的省、市关于安全文明施工的相关规定。</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(1)施工场地的占用与管理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(1.1)在工程实施期间，施工场地一经移交给承包人，承包人即对施工场地负有全过程、全面的管理责任，必须对施工场地范围内的治安秩序、安全保卫、环境卫生以及周围房屋、市政设施等负全责，对施工场地范围内的交通道路、用水、用电、场地内的施工协调负责。承包人需对其施工场地布置、人员的管理、交通组织制订详细的方案，并配合房建施工工作，对施工时段做出合理安排，必须采用全封闭施工方案，确保不对周边环境、道路、行人和相邻施工现场造成不利影响，不得干扰周围居民的正常生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(1.2)承包人必须在工程竣工初验后30天内或发包人规定的时间内（发包人将提前通知承包人），无条件清退所有施工场地。拒不清退的，发包人除向承包人收取租金（租金为每天1.0元/m2）外，还有权暂停计价支付、工程结算、工程验收等工作，并由承包人承担由此而产生的一切后果（包括发包人因此而被第三方索赔所产生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(1.3)承包人必须服从发包人执法检查和处罚，并按照检查结果进行整改。</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(2)安全施工与检查</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(2.1)安全施工措施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(2.1.1)承包人应建立健全建筑施工安全生产组织机构和安全保证体系，落实安全生产责任制，按照工程建设安全生产的有关管理规定，采取相应措施，负责现场全部作业的安全，并对此承担全部责任。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(2.1.2)承包人在施工中必须加强对自身及各专业分包单位在安全施工方面的检查、监督管理；若被发现存在严重安全隐患的，按照本合同条款约定承担违约责任。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(3)安全防护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(3.1)安全防护措施费用</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本工程的所有安全防护措施费用已包含在合同价款之中。</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(3.2)安全防护措施</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承包人采取严格的安全防护措施，在工程的施工、完工及修补缺陷的整个过程中，都应当做到：</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(3.2.1)全面关照所有留在现场上的人员的安全，保护其管辖范围内的现场以及尚未完工的和发包人尚未占用的工程处于有条不紊和良好的状态。</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(3.2.2)在需要的时间和地点，根据总监理工程师、发包人或者当地政府的要求，自费提供和维持所有的照明灯光、护板、围墙、栅栏、警告信号标志和值班人员，对工程进行保护和为公众提供安全和方便。</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(3.2.3)承包人应自费采取适当措施，确保其工作人员和劳务人员的身体健康，遵照当地卫生部门的要求保证在施工的全过程中，在工地、宿舍和工棚，备有医疗人员、急救设施、药品和治疗室等，并为预防传染病和一切必要的福利、卫生要求作出安排，建立“疾病应急小组”，制订应急措施。若出现任何重大或恶性传染性的疾病（如：非典型性肺炎、甲型流感H1N1）时，承包人必须遵守并执行省、市卫生部门为处理和控制上述传染病而制定的规章、命令和要求，迅速向发包人和广州市疾病控制中心报告。</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(4)事故处理</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(4.1 )因承包人责任过失造成工程质量安全事故的，除按照国家规定由行政主管部门给予承包人处罚外，承包人还应负责赔偿发包人损失，并承担违约责任。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(4.2)承包人应保证发包人免于受到或承担应由承包人负责的因承包人现场施工所引起的或与之有关的索赔、诉讼以及其他开支；若有证据证实发包人因此发生了索赔、诉讼以及其他开支，承包人必须在接到发包人通知后二天内据实补偿发包人因此所受到的损失。</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(5)文明施工与环境保护</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(5.1)承包人必须严格按照《广州市建设工程现场文明施工管理办法》（穗建筑[1999]175号）及广州市对现场文明施工的其它管理规定在施工组织设计中专章编制文明施工措施，将投标时承诺的文明施工措施落实到位。</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承包人不落实文明施工措施的，按照约定承担违约责任。</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(5.2)承包人应在进入现场前提交一式六份施工期间的环境保护方案，经监理工程师批准后实施。环境保护方案必须包括：施工现场所必须的照明灯光、暗室通风、护板、围护、栅栏、警告标志和值班人员名单，以及建筑垃圾、施工和生活污水、噪音、粉尘的处理排放。方案在实施过程中所采用的材料、设备等应使监理工程师和发包人满意。</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承包人施工过程中造成的环境污染问题，经发包人或者监理工程师指出后，承包人未能在24小时之内采取整治措施，或者所采取的整治措施未有效消除污染的，发包人可以自行或者委托他人代为整治，由此所产生的一切损失、费用均由承包人承担。</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u w:val="single"/>
        </w:rPr>
        <w:t>对于专业分包单位在施工过程中造成的环境污染（包括文明施工混乱），承包人必须配合发包人及监理单位，督促该分包单位立即采取整治措施，如果分包单位不服从承包人的整治要求，承包人必须自行组织及时完成环境污染的整治工作并向监理工程师及发包人书面汇报其过程及效果，由此产生的费用经监理工程师及发包人审核确认，从该分包单位的工程款项中扣除，由发包人将该笔款项支付给承包人。而由于承包人管理督促不力或漠视不理，以致分包单位未能及时整治或不进行整治而造成的一切损失，承包人必须承担相应的违约责任。</w:t>
      </w:r>
    </w:p>
    <w:p>
      <w:pPr>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45.5 治安管理：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46．测量放线</w:t>
      </w:r>
    </w:p>
    <w:p>
      <w:pPr>
        <w:spacing w:before="96" w:line="300" w:lineRule="auto"/>
        <w:ind w:firstLine="420" w:firstLineChars="200"/>
        <w:jc w:val="left"/>
        <w:outlineLvl w:val="0"/>
        <w:rPr>
          <w:rFonts w:ascii="宋体" w:hAnsi="宋体" w:cs="宋体"/>
          <w:color w:val="auto"/>
          <w:kern w:val="0"/>
          <w:szCs w:val="21"/>
          <w:highlight w:val="none"/>
        </w:rPr>
      </w:pPr>
      <w:bookmarkStart w:id="304" w:name="_Toc416853056"/>
      <w:r>
        <w:rPr>
          <w:rFonts w:hint="eastAsia" w:ascii="宋体" w:hAnsi="宋体" w:cs="宋体"/>
          <w:color w:val="auto"/>
          <w:kern w:val="0"/>
          <w:szCs w:val="21"/>
          <w:highlight w:val="none"/>
        </w:rPr>
        <w:t>46.1 承包人提交施工控制网资料的时间：</w:t>
      </w:r>
      <w:r>
        <w:rPr>
          <w:rFonts w:hint="eastAsia" w:ascii="宋体" w:hAnsi="宋体" w:cs="宋体"/>
          <w:color w:val="auto"/>
          <w:kern w:val="0"/>
          <w:szCs w:val="21"/>
          <w:highlight w:val="none"/>
          <w:u w:val="single"/>
        </w:rPr>
        <w:t xml:space="preserve"> 监理工程师提供基础资料后的7天内。</w:t>
      </w:r>
      <w:bookmarkEnd w:id="304"/>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46.4 测量放线误差的约定：</w:t>
      </w:r>
      <w:r>
        <w:rPr>
          <w:rFonts w:hint="eastAsia" w:ascii="宋体" w:hAnsi="宋体" w:cs="宋体"/>
          <w:color w:val="auto"/>
          <w:kern w:val="0"/>
          <w:szCs w:val="21"/>
          <w:highlight w:val="none"/>
          <w:u w:val="single"/>
        </w:rPr>
        <w:t xml:space="preserve"> 按有关规范规定。</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48．发包人供应材料和工程设备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48.1 发包人是否供应材料设备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■发包人不供应材料和工程设备，本条不适用。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□发包人供应材料和工程设备的，约定“发包人供应材料设备一览表”，作为本合同的附件。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48.8发包人供应材料和工程设备的合同工程结算方式：</w:t>
      </w:r>
      <w:r>
        <w:rPr>
          <w:rFonts w:hint="eastAsia" w:ascii="宋体" w:hAnsi="宋体" w:cs="宋体"/>
          <w:color w:val="auto"/>
          <w:kern w:val="0"/>
          <w:szCs w:val="21"/>
          <w:highlight w:val="none"/>
          <w:u w:val="single"/>
        </w:rPr>
        <w:t xml:space="preserve"> 无。</w:t>
      </w:r>
    </w:p>
    <w:p>
      <w:pPr>
        <w:autoSpaceDE w:val="0"/>
        <w:autoSpaceDN w:val="0"/>
        <w:spacing w:before="96" w:line="300" w:lineRule="auto"/>
        <w:ind w:left="101"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49.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49.1 承包人采购材料和工程设备</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按通用条款规定，由承包人负责运输和保管。</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outlineLvl w:val="0"/>
        <w:rPr>
          <w:rFonts w:ascii="宋体" w:hAnsi="宋体" w:cs="宋体"/>
          <w:color w:val="auto"/>
          <w:szCs w:val="21"/>
          <w:highlight w:val="none"/>
          <w:u w:val="single"/>
        </w:rPr>
      </w:pPr>
      <w:r>
        <w:rPr>
          <w:rFonts w:hint="eastAsia" w:ascii="宋体" w:hAnsi="宋体" w:cs="宋体"/>
          <w:bCs/>
          <w:color w:val="auto"/>
          <w:szCs w:val="21"/>
          <w:highlight w:val="none"/>
        </w:rPr>
        <w:t>49.2 承包人供货要求：属于承包人自行采购的主要材料、设备进场以前，承包人必须向监理工程师提交生产厂商出具的质量合格证书和承包人检验合格证书，证明材料、设备质量符合本合同技术规范的规定，以供监理工程师批准。</w:t>
      </w:r>
      <w:r>
        <w:rPr>
          <w:rFonts w:hint="eastAsia" w:ascii="宋体" w:hAnsi="宋体" w:cs="宋体"/>
          <w:color w:val="auto"/>
          <w:szCs w:val="21"/>
          <w:highlight w:val="none"/>
          <w:u w:val="single"/>
        </w:rPr>
        <w:t>承包人供应材料(设备)看样定板程序及时间：</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(1)申报：承包人供应材料(设备)看样定板申报原则上由承包人根据设计图纸要求，招标文件提出的质量档次，推荐三到五家同档次的合格供应商及合格产品。承包人应在使用前尽早成批次向监理工程师申报。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(2)申报资料：</w:t>
      </w:r>
      <w:r>
        <w:rPr>
          <w:rFonts w:hint="eastAsia" w:ascii="宋体" w:hAnsi="宋体" w:cs="宋体"/>
          <w:bCs/>
          <w:color w:val="auto"/>
          <w:szCs w:val="21"/>
          <w:highlight w:val="none"/>
          <w:u w:val="single"/>
        </w:rPr>
        <w:tab/>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1)材料样板(份数按发包人要求定)；</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2)各材料（设备）需提供供应商资料；</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3)营业执照（复印件）；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4)税务登记证（复印件）；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5)产品名目、技术、质量标准（含规格、型号、参数、颜色、功能等）；</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6)产品质量检测报告（CMA认证机构质检报告）及出厂合格证（复印件）；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7)国家环保产品认证证书及相关检测报告（复印件，必要时提供原件）；</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8)使用说明、安装指导、调试、服务承诺及供货保证措施；</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(3)初审：初审由监理工程师主持，初审参与单位有承包人、监理工程师及发包人驻场代表。主要任务是初步对承包人申报的供应商进行符合性及强制性标准审查。初审自收到申报表5天内完成，初审完成后由监理工程师将申报资料及初审意见汇总后向发包人报审。</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1)凡不符合第42.1（1）、（2）条者，均不能推荐为合格供应商；</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2)拟购材料不符合设计的质量技术标准或不符合合格产品条件的，均不能推荐为合格产品；</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(4)看样定板：看样定板由发包人组织。发包人收到监理工程师的报审资料后，对提交的供应商及产品进行确认、封板工作，必要时可根据需要组织设计、专家等有关人员参加，重要的装饰装修材料（设备）原则上应进行考察、市场调查。对影响工程质量、造价较大及影响外部景观的一类材料，由发包人最终确定。看样定板工作原则上自收到初审资料后10天内完成。</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(5)备案：经确定为合格供应商及合格产品的材料（设备）的样板由发包人进行封板，作为承包人采购进货及验收的依据。申报资料作为原始资料由发包人归档。</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(6)质量与检查：</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1)承包人每次材料进场，必须按监理规范要求报监理工程师验收按规定抽样送检；</w:t>
      </w:r>
    </w:p>
    <w:p>
      <w:pPr>
        <w:spacing w:before="96" w:line="300" w:lineRule="auto"/>
        <w:ind w:firstLine="420" w:firstLineChars="200"/>
        <w:jc w:val="left"/>
        <w:outlineLvl w:val="0"/>
        <w:rPr>
          <w:rFonts w:ascii="宋体" w:hAnsi="宋体" w:cs="宋体"/>
          <w:bCs/>
          <w:color w:val="auto"/>
          <w:szCs w:val="21"/>
          <w:highlight w:val="none"/>
          <w:u w:val="single"/>
        </w:rPr>
      </w:pPr>
      <w:r>
        <w:rPr>
          <w:rFonts w:hint="eastAsia" w:ascii="宋体" w:hAnsi="宋体" w:cs="宋体"/>
          <w:bCs/>
          <w:color w:val="auto"/>
          <w:szCs w:val="21"/>
          <w:highlight w:val="none"/>
          <w:u w:val="single"/>
        </w:rPr>
        <w:t>2)发包人保留委托有资质的独立第三方对材料进行检测的权利；</w:t>
      </w:r>
    </w:p>
    <w:p>
      <w:pPr>
        <w:spacing w:before="96" w:line="300" w:lineRule="auto"/>
        <w:ind w:firstLine="420" w:firstLineChars="200"/>
        <w:jc w:val="left"/>
        <w:outlineLvl w:val="0"/>
        <w:rPr>
          <w:rFonts w:ascii="宋体" w:hAnsi="宋体" w:cs="宋体"/>
          <w:bCs/>
          <w:color w:val="auto"/>
          <w:szCs w:val="21"/>
          <w:highlight w:val="none"/>
        </w:rPr>
      </w:pPr>
      <w:r>
        <w:rPr>
          <w:rFonts w:hint="eastAsia" w:ascii="宋体" w:hAnsi="宋体" w:cs="宋体"/>
          <w:bCs/>
          <w:color w:val="auto"/>
          <w:szCs w:val="21"/>
          <w:highlight w:val="none"/>
          <w:u w:val="single"/>
        </w:rPr>
        <w:t>3)未经检测合格的产品不准使用于工程上，否则必须无条件拆除并承担相应责任；</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49.8 发包人依法指定的生产厂家和供应商：</w:t>
      </w:r>
      <w:r>
        <w:rPr>
          <w:rFonts w:hint="eastAsia" w:ascii="宋体" w:hAnsi="宋体" w:cs="宋体"/>
          <w:bCs/>
          <w:color w:val="auto"/>
          <w:szCs w:val="21"/>
          <w:highlight w:val="none"/>
          <w:u w:val="single"/>
        </w:rPr>
        <w:t xml:space="preserve"> 无。</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49.9 </w:t>
      </w:r>
      <w:r>
        <w:rPr>
          <w:rFonts w:hint="eastAsia" w:ascii="宋体" w:hAnsi="宋体" w:cs="宋体"/>
          <w:color w:val="auto"/>
          <w:kern w:val="0"/>
          <w:szCs w:val="21"/>
          <w:highlight w:val="none"/>
        </w:rPr>
        <w:t>在使用前需经发包人和监理单位确认后方可实施，否则发包人有权不认可。</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本项目所使用的材料、设备其质量档次应不低于或相当于招标文件要求的品牌厂家的质量档次（未提及的材料按国产中档产品执行），本项目各计价品牌产品均要求为正厂优等品，不同颜色或型号的价差属投标风险范围由承包单位自行考虑。凡承包人不按规定注明选用材料品牌和规格的,在施工过程中由招标人指定适合本工程使用的品牌和规格，相关投标单价不予调整。</w:t>
      </w:r>
    </w:p>
    <w:p>
      <w:pPr>
        <w:spacing w:before="96" w:line="300" w:lineRule="auto"/>
        <w:ind w:firstLine="105" w:firstLineChars="50"/>
        <w:jc w:val="left"/>
        <w:outlineLvl w:val="0"/>
        <w:rPr>
          <w:rFonts w:ascii="宋体" w:hAnsi="宋体" w:cs="宋体"/>
          <w:b/>
          <w:bCs/>
          <w:color w:val="auto"/>
          <w:kern w:val="0"/>
          <w:szCs w:val="21"/>
          <w:highlight w:val="none"/>
        </w:rPr>
      </w:pPr>
      <w:bookmarkStart w:id="305" w:name="_Toc416853057"/>
      <w:r>
        <w:rPr>
          <w:rFonts w:hint="eastAsia" w:ascii="宋体" w:hAnsi="宋体" w:cs="宋体"/>
          <w:b/>
          <w:bCs/>
          <w:color w:val="auto"/>
          <w:kern w:val="0"/>
          <w:szCs w:val="21"/>
          <w:highlight w:val="none"/>
        </w:rPr>
        <w:t>50. 材料和工程设备的检验试验</w:t>
      </w:r>
      <w:bookmarkEnd w:id="305"/>
    </w:p>
    <w:p>
      <w:pPr>
        <w:spacing w:before="96" w:line="300" w:lineRule="auto"/>
        <w:ind w:right="210" w:rightChars="100" w:firstLine="420" w:firstLineChars="200"/>
        <w:jc w:val="left"/>
        <w:outlineLvl w:val="0"/>
        <w:rPr>
          <w:rFonts w:ascii="宋体" w:hAnsi="宋体" w:cs="宋体"/>
          <w:color w:val="auto"/>
          <w:kern w:val="0"/>
          <w:szCs w:val="21"/>
          <w:highlight w:val="none"/>
        </w:rPr>
      </w:pPr>
      <w:bookmarkStart w:id="306" w:name="_Toc416853058"/>
      <w:r>
        <w:rPr>
          <w:rFonts w:hint="eastAsia" w:ascii="宋体" w:hAnsi="宋体" w:cs="宋体"/>
          <w:color w:val="auto"/>
          <w:kern w:val="0"/>
          <w:szCs w:val="21"/>
          <w:highlight w:val="none"/>
        </w:rPr>
        <w:t>50.2 见证取样检验试验的材料和工程设备</w:t>
      </w:r>
      <w:bookmarkEnd w:id="306"/>
    </w:p>
    <w:p>
      <w:pPr>
        <w:spacing w:before="96" w:line="300" w:lineRule="auto"/>
        <w:ind w:right="210" w:rightChars="100"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(1)种类：</w:t>
      </w:r>
      <w:r>
        <w:rPr>
          <w:rFonts w:hint="eastAsia" w:ascii="宋体" w:hAnsi="宋体" w:cs="宋体"/>
          <w:color w:val="auto"/>
          <w:kern w:val="0"/>
          <w:szCs w:val="21"/>
          <w:highlight w:val="none"/>
          <w:u w:val="single"/>
        </w:rPr>
        <w:t xml:space="preserve"> 按通用条款规定。</w:t>
      </w:r>
    </w:p>
    <w:p>
      <w:pPr>
        <w:autoSpaceDE w:val="0"/>
        <w:autoSpaceDN w:val="0"/>
        <w:spacing w:before="96" w:line="300" w:lineRule="auto"/>
        <w:ind w:right="210" w:rightChars="100"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(2)检测机构：</w:t>
      </w:r>
      <w:r>
        <w:rPr>
          <w:rFonts w:hint="eastAsia" w:ascii="宋体" w:hAnsi="宋体" w:cs="宋体"/>
          <w:color w:val="auto"/>
          <w:kern w:val="0"/>
          <w:szCs w:val="21"/>
          <w:highlight w:val="none"/>
          <w:u w:val="single"/>
        </w:rPr>
        <w:t xml:space="preserve"> 按通用条款规定。</w:t>
      </w:r>
    </w:p>
    <w:p>
      <w:pPr>
        <w:spacing w:line="300" w:lineRule="auto"/>
        <w:ind w:firstLine="105" w:firstLineChars="50"/>
        <w:jc w:val="left"/>
        <w:rPr>
          <w:rFonts w:ascii="宋体" w:hAnsi="宋体" w:cs="宋体"/>
          <w:color w:val="auto"/>
          <w:szCs w:val="21"/>
          <w:highlight w:val="none"/>
        </w:rPr>
      </w:pPr>
      <w:r>
        <w:rPr>
          <w:rFonts w:hint="eastAsia" w:ascii="宋体" w:hAnsi="宋体" w:cs="宋体"/>
          <w:b/>
          <w:bCs/>
          <w:color w:val="auto"/>
          <w:szCs w:val="21"/>
          <w:highlight w:val="none"/>
        </w:rPr>
        <w:t>51. 施工设备和临时设施</w:t>
      </w:r>
    </w:p>
    <w:p>
      <w:pPr>
        <w:spacing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51.1 承包人配置施工设备和临时设施</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按通用条款规定，承包人承担修建临时设施的费用。</w:t>
      </w:r>
    </w:p>
    <w:p>
      <w:pPr>
        <w:spacing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51.2 发包人提供的施工设备和临时设施：</w:t>
      </w:r>
      <w:r>
        <w:rPr>
          <w:rFonts w:hint="eastAsia" w:ascii="宋体" w:hAnsi="宋体" w:cs="宋体"/>
          <w:color w:val="auto"/>
          <w:kern w:val="0"/>
          <w:szCs w:val="21"/>
          <w:highlight w:val="none"/>
          <w:u w:val="single"/>
        </w:rPr>
        <w:t xml:space="preserve">      /    </w:t>
      </w:r>
    </w:p>
    <w:p>
      <w:pPr>
        <w:autoSpaceDE w:val="0"/>
        <w:autoSpaceDN w:val="0"/>
        <w:spacing w:before="96" w:line="300" w:lineRule="auto"/>
        <w:ind w:left="101" w:right="-20"/>
        <w:jc w:val="left"/>
        <w:rPr>
          <w:rFonts w:ascii="宋体" w:hAnsi="宋体" w:cs="宋体"/>
          <w:b/>
          <w:color w:val="auto"/>
          <w:szCs w:val="21"/>
          <w:highlight w:val="none"/>
        </w:rPr>
      </w:pPr>
      <w:r>
        <w:rPr>
          <w:rFonts w:hint="eastAsia" w:ascii="宋体" w:hAnsi="宋体" w:cs="宋体"/>
          <w:b/>
          <w:color w:val="auto"/>
          <w:szCs w:val="21"/>
          <w:highlight w:val="none"/>
        </w:rPr>
        <w:t>53．隐蔽工程和中间验收</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53.1 中间验收的部位有：</w:t>
      </w:r>
      <w:r>
        <w:rPr>
          <w:rFonts w:hint="eastAsia" w:ascii="宋体" w:hAnsi="宋体" w:cs="宋体"/>
          <w:color w:val="auto"/>
          <w:kern w:val="0"/>
          <w:szCs w:val="21"/>
          <w:highlight w:val="none"/>
          <w:u w:val="single"/>
        </w:rPr>
        <w:t xml:space="preserve"> 按工程验收规定。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53.2 隐蔽工程在隐蔽前，必须经承包人质检人员进行三级验收、签字确认，然后提前24小时书面通知监理工程师会同验收，验收合格后签字确认，才能隐蔽和进行下一道工序的作业。监理工程师在接到通知后24小时内派出人员进行验收，否则承包人可自行验收并填写隐蔽工程验收记录，进行隐蔽作业，监理工程师应予承认。凡不按上述程序办理，无承包人质检人员验收签字确认的资料或无书面通知监理工程师会同验收的，监理工程师可拒绝验收签认；凡无通知发包人验收签认的工程，或监理工程师合法拒绝签认的工程，若承包人擅自隐蔽的，工程师将视该部分工程为不合格，并拒绝拨付该部分工程进度款，监理工程师也不得颁发下续工序的施工令，由此发生的一切责任全部由承包人负责。</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53.4 承包人应对隐蔽工程进行拍摄或照相或留存样本，保证监理工程师、发包人能充分检查和测量覆盖或隐蔽的工程，并将结果保存作为日后检查之用，否则后果由承包人承担。</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55．工程试车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55.1 是否需要试车</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■不需要试车的，本条不适用。</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□需要试车的，试车的内容和要求：</w:t>
      </w:r>
    </w:p>
    <w:p>
      <w:pPr>
        <w:autoSpaceDE w:val="0"/>
        <w:autoSpaceDN w:val="0"/>
        <w:spacing w:before="96" w:line="300" w:lineRule="auto"/>
        <w:ind w:right="-23"/>
        <w:jc w:val="left"/>
        <w:rPr>
          <w:rFonts w:ascii="宋体" w:hAnsi="宋体" w:cs="宋体"/>
          <w:b/>
          <w:color w:val="auto"/>
          <w:szCs w:val="21"/>
          <w:highlight w:val="none"/>
        </w:rPr>
      </w:pPr>
      <w:r>
        <w:rPr>
          <w:rFonts w:hint="eastAsia" w:ascii="宋体" w:hAnsi="宋体" w:cs="宋体"/>
          <w:b/>
          <w:color w:val="auto"/>
          <w:szCs w:val="21"/>
          <w:highlight w:val="none"/>
        </w:rPr>
        <w:t>56．工程变更</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7" w:name="_Toc416853059"/>
      <w:r>
        <w:rPr>
          <w:rFonts w:hint="eastAsia" w:ascii="宋体" w:hAnsi="宋体" w:cs="宋体"/>
          <w:color w:val="auto"/>
          <w:kern w:val="0"/>
          <w:szCs w:val="21"/>
          <w:highlight w:val="none"/>
        </w:rPr>
        <w:t>56.4 承包人提出工程变更建议</w:t>
      </w:r>
      <w:bookmarkEnd w:id="307"/>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8" w:name="_Toc416853060"/>
      <w:r>
        <w:rPr>
          <w:rFonts w:hint="eastAsia" w:ascii="宋体" w:hAnsi="宋体" w:cs="宋体"/>
          <w:color w:val="auto"/>
          <w:kern w:val="0"/>
          <w:szCs w:val="21"/>
          <w:highlight w:val="none"/>
        </w:rPr>
        <w:t>发包人采纳承包人建议带来利益的计奖方法：</w:t>
      </w:r>
      <w:r>
        <w:rPr>
          <w:rFonts w:hint="eastAsia" w:ascii="宋体" w:hAnsi="宋体" w:cs="宋体"/>
          <w:color w:val="auto"/>
          <w:kern w:val="0"/>
          <w:szCs w:val="21"/>
          <w:highlight w:val="none"/>
          <w:u w:val="single"/>
        </w:rPr>
        <w:t xml:space="preserve"> 无。</w:t>
      </w:r>
      <w:bookmarkEnd w:id="308"/>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58．竣工验收</w:t>
      </w:r>
    </w:p>
    <w:p>
      <w:pPr>
        <w:autoSpaceDE w:val="0"/>
        <w:autoSpaceDN w:val="0"/>
        <w:spacing w:before="96" w:line="300" w:lineRule="auto"/>
        <w:ind w:firstLine="420" w:firstLineChars="200"/>
        <w:jc w:val="left"/>
        <w:rPr>
          <w:rFonts w:ascii="宋体" w:hAnsi="宋体" w:cs="宋体"/>
          <w:color w:val="auto"/>
          <w:kern w:val="0"/>
          <w:szCs w:val="21"/>
          <w:highlight w:val="none"/>
        </w:rPr>
      </w:pPr>
      <w:bookmarkStart w:id="309" w:name="_Toc416853061"/>
      <w:r>
        <w:rPr>
          <w:rFonts w:hint="eastAsia" w:ascii="宋体" w:hAnsi="宋体" w:cs="宋体"/>
          <w:color w:val="auto"/>
          <w:kern w:val="0"/>
          <w:szCs w:val="21"/>
          <w:highlight w:val="none"/>
        </w:rPr>
        <w:t>58.1 竣工验收标准</w:t>
      </w:r>
      <w:bookmarkEnd w:id="309"/>
    </w:p>
    <w:p>
      <w:pPr>
        <w:spacing w:before="96" w:line="300" w:lineRule="auto"/>
        <w:ind w:firstLine="420" w:firstLineChars="200"/>
        <w:jc w:val="left"/>
        <w:outlineLvl w:val="0"/>
        <w:rPr>
          <w:rFonts w:ascii="宋体" w:hAnsi="宋体" w:cs="宋体"/>
          <w:color w:val="auto"/>
          <w:szCs w:val="21"/>
          <w:highlight w:val="none"/>
          <w:u w:val="single"/>
        </w:rPr>
      </w:pPr>
      <w:bookmarkStart w:id="310" w:name="_Toc416853062"/>
      <w:r>
        <w:rPr>
          <w:rFonts w:hint="eastAsia" w:ascii="宋体" w:hAnsi="宋体" w:cs="宋体"/>
          <w:color w:val="auto"/>
          <w:kern w:val="0"/>
          <w:szCs w:val="21"/>
          <w:highlight w:val="none"/>
        </w:rPr>
        <w:t>合同工程竣工验收标准：</w:t>
      </w:r>
      <w:r>
        <w:rPr>
          <w:rFonts w:hint="eastAsia" w:ascii="宋体" w:hAnsi="宋体" w:cs="宋体"/>
          <w:color w:val="auto"/>
          <w:szCs w:val="21"/>
          <w:highlight w:val="none"/>
          <w:u w:val="single"/>
        </w:rPr>
        <w:t>按照国家或行业现行的质量验收标准执行。</w:t>
      </w:r>
      <w:bookmarkEnd w:id="310"/>
    </w:p>
    <w:p>
      <w:pPr>
        <w:tabs>
          <w:tab w:val="left" w:pos="0"/>
        </w:tabs>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szCs w:val="21"/>
          <w:highlight w:val="none"/>
        </w:rPr>
        <w:t>58.2（2）</w:t>
      </w:r>
      <w:r>
        <w:rPr>
          <w:rFonts w:hint="eastAsia" w:ascii="宋体" w:hAnsi="宋体" w:cs="宋体"/>
          <w:color w:val="auto"/>
          <w:kern w:val="0"/>
          <w:szCs w:val="21"/>
          <w:highlight w:val="none"/>
        </w:rPr>
        <w:t>经监理人对工程质量进行评估，提出《工程质量评估报告》，经总监理工程师签署意见和监理人法定代表人审核签名并加盖公章后，在计划竣工验收10个工作日前报送发包人。</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 xml:space="preserve">58.3 </w:t>
      </w:r>
      <w:r>
        <w:rPr>
          <w:rFonts w:hint="eastAsia" w:ascii="宋体" w:hAnsi="宋体" w:cs="宋体"/>
          <w:color w:val="auto"/>
          <w:szCs w:val="21"/>
          <w:highlight w:val="none"/>
        </w:rPr>
        <w:t xml:space="preserve">发包人对符合竣工验收要求的工程，组织、勘察、设计、施工、监理等单位和其他有关方面的专家组成验收组，制定验收方案。并在计划竣工验收15个工作日前将验收组成员名单、验收方案连同工程技术资料和《工程竣工验收条件审核表》提交质监机构检查，并按原计划如期进行验收。对不符合验收条件的，发出整改通知书，待整改完毕后，再行验收。 </w:t>
      </w:r>
    </w:p>
    <w:p>
      <w:pPr>
        <w:tabs>
          <w:tab w:val="left" w:pos="0"/>
        </w:tabs>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承包人在竣工验收后十个工作天内向发包人提供完整竣工验收资料4套、安全文明施工管理竣工资料4套（按《广东省建筑施工安全管理资料统一用表》要求编制），竣工验收报告4份、竣工图纸4套、竣工图电子文件光盘2套。竣工验收资料须按工程档案管理的有关要求编制成册，制作费用已包含在合同总价款内。</w:t>
      </w:r>
    </w:p>
    <w:p>
      <w:pPr>
        <w:spacing w:before="96" w:line="300" w:lineRule="auto"/>
        <w:ind w:firstLine="420" w:firstLineChars="200"/>
        <w:jc w:val="left"/>
        <w:outlineLvl w:val="0"/>
        <w:rPr>
          <w:rFonts w:ascii="宋体" w:hAnsi="宋体" w:cs="宋体"/>
          <w:color w:val="auto"/>
          <w:kern w:val="0"/>
          <w:szCs w:val="21"/>
          <w:highlight w:val="none"/>
        </w:rPr>
      </w:pPr>
      <w:bookmarkStart w:id="311" w:name="_Toc416853063"/>
      <w:r>
        <w:rPr>
          <w:rFonts w:hint="eastAsia" w:ascii="宋体" w:hAnsi="宋体" w:cs="宋体"/>
          <w:color w:val="auto"/>
          <w:kern w:val="0"/>
          <w:szCs w:val="21"/>
          <w:highlight w:val="none"/>
        </w:rPr>
        <w:t>58.8 单位工程和工程部位验收</w:t>
      </w:r>
      <w:bookmarkEnd w:id="311"/>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合同工程无单位工程、无工程部位提前验收的，本款不适用。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合同工程单位工程或工程部位需提前验收的，各单位工程或工程部位的名称、竣工验收时间和范围如下：</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(1)（名称）工程或部位，竣工验收时间为，其范围包括：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(2)（名称）工程或部位，竣工验收时间为，其范围包括：</w:t>
      </w:r>
    </w:p>
    <w:p>
      <w:pPr>
        <w:spacing w:before="96" w:line="300" w:lineRule="auto"/>
        <w:ind w:firstLine="420" w:firstLineChars="200"/>
        <w:jc w:val="left"/>
        <w:outlineLvl w:val="0"/>
        <w:rPr>
          <w:rFonts w:ascii="宋体" w:hAnsi="宋体" w:cs="宋体"/>
          <w:color w:val="auto"/>
          <w:kern w:val="0"/>
          <w:szCs w:val="21"/>
          <w:highlight w:val="none"/>
        </w:rPr>
      </w:pPr>
      <w:bookmarkStart w:id="312" w:name="_Toc416853064"/>
      <w:r>
        <w:rPr>
          <w:rFonts w:hint="eastAsia" w:ascii="宋体" w:hAnsi="宋体" w:cs="宋体"/>
          <w:color w:val="auto"/>
          <w:kern w:val="0"/>
          <w:szCs w:val="21"/>
          <w:highlight w:val="none"/>
        </w:rPr>
        <w:t>58.9 施工期运行</w:t>
      </w:r>
      <w:bookmarkEnd w:id="31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合同工程无单位工程、无工程部位在施工期运行的，本款不适用。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合同工程单位工程或工程部位需在施工期运行的，各单位工程或工程部位的名称、运行时间如下：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(1)（名称）工程或部位，运行时间为；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（名称）工程或部位，运行时间为。</w:t>
      </w:r>
    </w:p>
    <w:p>
      <w:pPr>
        <w:spacing w:before="96" w:line="300" w:lineRule="auto"/>
        <w:ind w:firstLine="420" w:firstLineChars="200"/>
        <w:jc w:val="left"/>
        <w:outlineLvl w:val="0"/>
        <w:rPr>
          <w:rFonts w:ascii="宋体" w:hAnsi="宋体" w:cs="宋体"/>
          <w:color w:val="auto"/>
          <w:kern w:val="0"/>
          <w:szCs w:val="21"/>
          <w:highlight w:val="none"/>
        </w:rPr>
      </w:pPr>
      <w:bookmarkStart w:id="313" w:name="_Toc416853065"/>
      <w:r>
        <w:rPr>
          <w:rFonts w:hint="eastAsia" w:ascii="宋体" w:hAnsi="宋体" w:cs="宋体"/>
          <w:color w:val="auto"/>
          <w:kern w:val="0"/>
          <w:szCs w:val="21"/>
          <w:highlight w:val="none"/>
        </w:rPr>
        <w:t>58.10 竣工清场</w:t>
      </w:r>
      <w:bookmarkEnd w:id="31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 另作约定： </w:t>
      </w:r>
    </w:p>
    <w:p>
      <w:pPr>
        <w:spacing w:before="96" w:line="300" w:lineRule="auto"/>
        <w:ind w:firstLine="420" w:firstLineChars="200"/>
        <w:jc w:val="left"/>
        <w:outlineLvl w:val="0"/>
        <w:rPr>
          <w:rFonts w:ascii="宋体" w:hAnsi="宋体" w:cs="宋体"/>
          <w:color w:val="auto"/>
          <w:kern w:val="0"/>
          <w:szCs w:val="21"/>
          <w:highlight w:val="none"/>
        </w:rPr>
      </w:pPr>
      <w:bookmarkStart w:id="314" w:name="_Toc416853066"/>
      <w:r>
        <w:rPr>
          <w:rFonts w:hint="eastAsia" w:ascii="宋体" w:hAnsi="宋体" w:cs="宋体"/>
          <w:color w:val="auto"/>
          <w:kern w:val="0"/>
          <w:szCs w:val="21"/>
          <w:highlight w:val="none"/>
        </w:rPr>
        <w:t>58.11 施工队伍的撤离</w:t>
      </w:r>
      <w:bookmarkEnd w:id="31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按通用条款规定，承包人的人员和施工设备全部撤离施工现场。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59．缺陷责任与质量保修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59.1 缺陷责任期计算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缺陷责任期：</w:t>
      </w:r>
      <w:r>
        <w:rPr>
          <w:rFonts w:hint="eastAsia" w:ascii="宋体" w:hAnsi="宋体" w:cs="宋体"/>
          <w:color w:val="auto"/>
          <w:kern w:val="0"/>
          <w:szCs w:val="21"/>
          <w:highlight w:val="none"/>
          <w:u w:val="single"/>
        </w:rPr>
        <w:t xml:space="preserve">  2年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59.8 质量保修期计算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质量保修期：</w:t>
      </w:r>
      <w:r>
        <w:rPr>
          <w:rFonts w:hint="eastAsia" w:ascii="宋体" w:hAnsi="宋体" w:cs="宋体"/>
          <w:color w:val="auto"/>
          <w:kern w:val="0"/>
          <w:szCs w:val="21"/>
          <w:highlight w:val="none"/>
          <w:u w:val="single"/>
        </w:rPr>
        <w:t xml:space="preserve"> 按质量保修书规定执行。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60．资金计划和安排</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60.2 本款不适用。</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61. 工程量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61.1 清单工程量包括的工作内容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w:t>
      </w:r>
    </w:p>
    <w:p>
      <w:pPr>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另作约定：</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63．暂列金额</w:t>
      </w:r>
    </w:p>
    <w:p>
      <w:pPr>
        <w:tabs>
          <w:tab w:val="left" w:pos="1240"/>
          <w:tab w:val="left" w:pos="568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63.1 合同工程的暂列金额为：</w:t>
      </w:r>
      <w:r>
        <w:rPr>
          <w:rFonts w:hint="eastAsia" w:ascii="宋体" w:hAnsi="宋体" w:cs="宋体"/>
          <w:bCs/>
          <w:color w:val="auto"/>
          <w:szCs w:val="21"/>
          <w:highlight w:val="none"/>
          <w:u w:val="single"/>
        </w:rPr>
        <w:t xml:space="preserve">          </w:t>
      </w:r>
      <w:r>
        <w:rPr>
          <w:rFonts w:hint="eastAsia" w:ascii="宋体" w:hAnsi="宋体" w:cs="宋体"/>
          <w:bCs/>
          <w:color w:val="auto"/>
          <w:szCs w:val="21"/>
          <w:highlight w:val="none"/>
        </w:rPr>
        <w:t>元。</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65．暂估价</w:t>
      </w:r>
    </w:p>
    <w:p>
      <w:pPr>
        <w:spacing w:before="96" w:line="300" w:lineRule="auto"/>
        <w:ind w:firstLine="420" w:firstLineChars="200"/>
        <w:jc w:val="left"/>
        <w:outlineLvl w:val="0"/>
        <w:rPr>
          <w:rFonts w:ascii="宋体" w:hAnsi="宋体" w:cs="宋体"/>
          <w:color w:val="auto"/>
          <w:kern w:val="0"/>
          <w:szCs w:val="21"/>
          <w:highlight w:val="none"/>
        </w:rPr>
      </w:pPr>
      <w:bookmarkStart w:id="315" w:name="_Toc416853067"/>
      <w:r>
        <w:rPr>
          <w:rFonts w:hint="eastAsia" w:ascii="宋体" w:hAnsi="宋体" w:cs="宋体"/>
          <w:color w:val="auto"/>
          <w:kern w:val="0"/>
          <w:szCs w:val="21"/>
          <w:highlight w:val="none"/>
        </w:rPr>
        <w:t>65.1 招标暂估价项目</w:t>
      </w:r>
      <w:bookmarkEnd w:id="315"/>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必须招标暂估价项目合同双方当事人的权利、义务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材料、工程设备：</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专业工程：</w:t>
      </w:r>
      <w:r>
        <w:rPr>
          <w:rFonts w:hint="eastAsia" w:ascii="宋体" w:hAnsi="宋体" w:cs="宋体"/>
          <w:color w:val="auto"/>
          <w:kern w:val="0"/>
          <w:szCs w:val="21"/>
          <w:highlight w:val="none"/>
          <w:u w:val="single"/>
        </w:rPr>
        <w:t xml:space="preserve">        /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65.3 非招标专业工程款的确定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按通用条款规定，由造价工程师与分包人确定。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66．提前竣工奖与误期赔偿费</w:t>
      </w:r>
    </w:p>
    <w:p>
      <w:pPr>
        <w:spacing w:before="96" w:line="300" w:lineRule="auto"/>
        <w:ind w:firstLine="420" w:firstLineChars="200"/>
        <w:jc w:val="left"/>
        <w:rPr>
          <w:rFonts w:ascii="宋体" w:hAnsi="宋体" w:cs="宋体"/>
          <w:color w:val="auto"/>
          <w:kern w:val="0"/>
          <w:szCs w:val="21"/>
          <w:highlight w:val="none"/>
        </w:rPr>
      </w:pPr>
      <w:bookmarkStart w:id="316" w:name="_Toc416853068"/>
      <w:r>
        <w:rPr>
          <w:rFonts w:hint="eastAsia" w:ascii="宋体" w:hAnsi="宋体" w:cs="宋体"/>
          <w:color w:val="auto"/>
          <w:kern w:val="0"/>
          <w:szCs w:val="21"/>
          <w:highlight w:val="none"/>
        </w:rPr>
        <w:t>66.1 提前竣工奖</w:t>
      </w:r>
      <w:bookmarkEnd w:id="316"/>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提起竣工奖额度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没约定提前竣工奖的，本款不适用。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约定提前竣工奖的，每日历天应奖额度为    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提前竣工奖的最高限额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按通用条款规定为合同价款的5%，即元。</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不设提前竣工奖。</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66.2 误期赔偿费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如果承包人由于自身的原因，未能按合同规定的工期完成合同工程，承包人必须向发包人支付误期赔偿费，时间从合同规定的竣工日期起至实际竣工日期止(即实际工期-合同工期=延长工期)，按天计算，若拖延工期在10天内（含10天），每天赔偿中标合同价的0.2%，超过10天，每天赔偿中标合同价的0.3%，误期赔偿费最高限额为合同价的5%，因承包人原因累计拖延工期超过20天的，发包人可以解除合同并追究承包人相关责任。误期赔偿费列入竣工结算文件中，在结算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若由于重大变更使得工程量发生变化，发包人有权根据实际情况相应调整合同工期。</w:t>
      </w:r>
    </w:p>
    <w:p>
      <w:pPr>
        <w:spacing w:before="96" w:line="300" w:lineRule="auto"/>
        <w:jc w:val="left"/>
        <w:outlineLvl w:val="0"/>
        <w:rPr>
          <w:rFonts w:ascii="宋体" w:hAnsi="宋体" w:cs="宋体"/>
          <w:b/>
          <w:bCs/>
          <w:color w:val="auto"/>
          <w:kern w:val="0"/>
          <w:szCs w:val="21"/>
          <w:highlight w:val="none"/>
        </w:rPr>
      </w:pPr>
      <w:bookmarkStart w:id="317" w:name="_Toc416853069"/>
      <w:r>
        <w:rPr>
          <w:rFonts w:hint="eastAsia" w:ascii="宋体" w:hAnsi="宋体" w:cs="宋体"/>
          <w:b/>
          <w:bCs/>
          <w:color w:val="auto"/>
          <w:kern w:val="0"/>
          <w:szCs w:val="21"/>
          <w:highlight w:val="none"/>
        </w:rPr>
        <w:t>67. 工程优质费</w:t>
      </w:r>
      <w:bookmarkEnd w:id="317"/>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67.1 工程优质费的计算方法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没约定工程优质费的，本款不适用。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约定工程优质费的，其计算方法：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67.2 工程优质费的计算额度：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另作约定（合同工程同时获得下列多个奖项的，只按最高奖项的额度计算）：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国家级质量奖，合同价款的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省级质量奖，合同价款的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市级质量奖，合同价款的</w:t>
      </w:r>
      <w:r>
        <w:rPr>
          <w:rFonts w:hint="eastAsia" w:ascii="宋体" w:hAnsi="宋体" w:cs="宋体"/>
          <w:color w:val="auto"/>
          <w:kern w:val="0"/>
          <w:szCs w:val="21"/>
          <w:highlight w:val="none"/>
          <w:u w:val="single"/>
        </w:rPr>
        <w:t xml:space="preserve"> 0 </w:t>
      </w:r>
      <w:r>
        <w:rPr>
          <w:rFonts w:hint="eastAsia" w:ascii="宋体" w:hAnsi="宋体" w:cs="宋体"/>
          <w:color w:val="auto"/>
          <w:kern w:val="0"/>
          <w:szCs w:val="21"/>
          <w:highlight w:val="none"/>
        </w:rPr>
        <w:t>%。</w:t>
      </w:r>
    </w:p>
    <w:p>
      <w:pPr>
        <w:spacing w:before="96" w:line="300" w:lineRule="auto"/>
        <w:jc w:val="left"/>
        <w:outlineLvl w:val="0"/>
        <w:rPr>
          <w:rFonts w:ascii="宋体" w:hAnsi="宋体" w:cs="宋体"/>
          <w:b/>
          <w:bCs/>
          <w:color w:val="auto"/>
          <w:kern w:val="0"/>
          <w:szCs w:val="21"/>
          <w:highlight w:val="none"/>
        </w:rPr>
      </w:pPr>
      <w:bookmarkStart w:id="318" w:name="_Toc416853070"/>
      <w:r>
        <w:rPr>
          <w:rFonts w:hint="eastAsia" w:ascii="宋体" w:hAnsi="宋体" w:cs="宋体"/>
          <w:b/>
          <w:bCs/>
          <w:color w:val="auto"/>
          <w:kern w:val="0"/>
          <w:szCs w:val="21"/>
          <w:highlight w:val="none"/>
        </w:rPr>
        <w:t>68. 合同价款的约定与调整</w:t>
      </w:r>
      <w:bookmarkEnd w:id="318"/>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68.2 合同价款的调整事件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按通用条款规定的调整事件。</w:t>
      </w:r>
    </w:p>
    <w:p>
      <w:pPr>
        <w:spacing w:before="96" w:line="300" w:lineRule="auto"/>
        <w:ind w:firstLine="420" w:firstLineChars="200"/>
        <w:jc w:val="left"/>
        <w:rPr>
          <w:rFonts w:ascii="宋体" w:hAnsi="宋体" w:cs="宋体"/>
          <w:color w:val="auto"/>
          <w:szCs w:val="21"/>
          <w:highlight w:val="none"/>
          <w:u w:val="single"/>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合同总价包括了完成本工程招标范围内的所有工程的费用，包括但不限于在以下费用：承包人进、退场费，施工准备费用，临时用地费用(包含超出清单部分)、赶工措施费、施工报建费用、施工期间的交通安全设施费用、周边道路及现场由于施工改道所发生的交通疏导维护等费用，工程保险费，工程施工和修补缺陷的全部（含临时工程和设施）费用，完工后清场费用，缺陷责任期的保修以及编制竣工文件等费用，同时还包括了税金、保险。除以下四项调整事件可调整合同价款外，在施工过程中，承包人必须按施工承包合同、设计图纸以及技术规范的要求包干完成所有工程内容。调整事件只包括：①工程量的偏差；②工程变更事件；③现场签证事件；④费用索赔事件。</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70. 项目特征描述不符事件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70.1 合同双方当事人约定：承包人认可本项目清单工程量，以及工程量清单已包含招标图纸中的全部工程内容。承包人不得以项目特征描述不准确、不全面、与实际施工要求不相符合为由提出调整合同价款。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70.3 本款不适用。</w:t>
      </w:r>
    </w:p>
    <w:p>
      <w:pPr>
        <w:autoSpaceDE w:val="0"/>
        <w:autoSpaceDN w:val="0"/>
        <w:spacing w:before="96" w:line="300" w:lineRule="auto"/>
        <w:ind w:right="-20"/>
        <w:jc w:val="left"/>
        <w:rPr>
          <w:rFonts w:ascii="宋体" w:hAnsi="宋体" w:cs="宋体"/>
          <w:color w:val="auto"/>
          <w:kern w:val="0"/>
          <w:szCs w:val="21"/>
          <w:highlight w:val="none"/>
        </w:rPr>
      </w:pPr>
      <w:r>
        <w:rPr>
          <w:rFonts w:hint="eastAsia" w:ascii="宋体" w:hAnsi="宋体" w:cs="宋体"/>
          <w:b/>
          <w:bCs/>
          <w:color w:val="auto"/>
          <w:kern w:val="0"/>
          <w:szCs w:val="21"/>
          <w:highlight w:val="none"/>
        </w:rPr>
        <w:t>71. 分部分项工程量清单缺项漏项事件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71.1 合同双方当事人约定：承包人应在投标时仔细核对施工图与工程量清单，如工程量清单出现漏算、错算或少算的情况，以施工图为准，在招标答疑期间提出异议。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71.2 本款不适用。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72.3 本款不适用。</w:t>
      </w:r>
    </w:p>
    <w:p>
      <w:pPr>
        <w:autoSpaceDE w:val="0"/>
        <w:autoSpaceDN w:val="0"/>
        <w:spacing w:before="96" w:line="300" w:lineRule="auto"/>
        <w:ind w:right="-20"/>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72．工程变更事件</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72.2 严格控制工程变更，确需变更的，必须经监理人和发包人同意确认后实施；对于无法在竣工图上反映的变更内容，变更工程完成后的十天内，现场签证单须交发包人、监理人确认；变更手续按发包人的工程变更管理办法审批，增加或减少工程量按以下办法确定价格：</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(1)中标的工程量清单中已有相同项目的、适用的综合单价，则沿用。</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(2)</w:t>
      </w:r>
      <w:r>
        <w:rPr>
          <w:rFonts w:hint="eastAsia" w:ascii="宋体" w:hAnsi="宋体" w:cs="宋体"/>
          <w:color w:val="auto"/>
          <w:szCs w:val="21"/>
          <w:highlight w:val="none"/>
        </w:rPr>
        <w:t xml:space="preserve"> </w:t>
      </w:r>
      <w:r>
        <w:rPr>
          <w:rFonts w:hint="eastAsia" w:ascii="宋体" w:hAnsi="宋体" w:cs="宋体"/>
          <w:color w:val="auto"/>
          <w:kern w:val="0"/>
          <w:szCs w:val="21"/>
          <w:highlight w:val="none"/>
        </w:rPr>
        <w:t>中标的响应文件工程量清单中已有类似项目的综合单价，则按类似项目的综合单价对相应子目、消耗量、单价等进行调整换算，原管理费、利润水平不变。如中标的响应文件工程量清单中类似项目的综合单价有两个以上，则由招标人按消耗量最少、管理费和利润取费最低的优先顺序选择类似项目综合单价进行换算。如换算时出现类似项目中没有的材料单价，按广州市造价管理站同期《广州地区建设工程常用材料税前综合价格》计算，《广州地区建设工程常用材料税前综合价格》没有的材料单价，凭承包人提交的有效发票经甲方、监理工程师按市场价原则审核后确认的材料单价计算。</w:t>
      </w:r>
    </w:p>
    <w:p>
      <w:pPr>
        <w:autoSpaceDE w:val="0"/>
        <w:autoSpaceDN w:val="0"/>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rPr>
        <w:t>(3) 新增项目（含变更部分）在中标的投标工程量清单内没有相同或类似项目的，综合单价按广州市建委颁布的现行有关定额、广州市建设工程造价管理站公布的施工同期材料价格信息计算，建筑工程部分按《广东省建设工程计价通则2010》、《广东省建筑、装饰工程工程量清单计价指引2010》和《广东省建筑与装饰工程综合定额2010》，安装工程部分按《广东省安装、市政、园林绿化工程工程量清单计价指引》和《广东省安装工程综合定额2010》，其他工程按省、市建委颁发的现行执行定额计算。材料单价中，主材价格按广州市建设工程造价管理站发布的施工同期的《广州地区建设工程常用材料税前综合价格》中的材料综合价格部分计算，《广州地区建设工程常用材料税前综合价格》材料综合价格没有的主材价格，凭承包人提交的有效发票经监理及甲方按市场价原则审核后确认的材料单价进行补差计算，综合单价所含利润标准按18%计算，措施项目费不另计算。新增项目（含变更部分）下浮率按投标下浮率（投标下浮率=（招标最高控制价-中标价）÷招标最高控制价×100%）作总价下浮计算，当下浮率不足8%时，下浮率按8%计算</w:t>
      </w:r>
      <w:r>
        <w:rPr>
          <w:rFonts w:hint="eastAsia" w:ascii="宋体" w:hAnsi="宋体" w:cs="宋体"/>
          <w:color w:val="auto"/>
          <w:szCs w:val="21"/>
          <w:highlight w:val="none"/>
        </w:rPr>
        <w:t>，但双方已经办理过定价手续的清单项目或主材所涉及费用不再参与下浮。没有上述计价依据的工程项目，由发包方和承包方协商。</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（4）当变更引起增减工程造价超过中标合同价10%时，双方须按上述计价原则签订补充合同，并作为进度款支付的依据。</w:t>
      </w:r>
    </w:p>
    <w:p>
      <w:pPr>
        <w:spacing w:before="96" w:line="300" w:lineRule="auto"/>
        <w:ind w:firstLine="420" w:firstLineChars="200"/>
        <w:jc w:val="left"/>
        <w:outlineLvl w:val="0"/>
        <w:rPr>
          <w:rFonts w:ascii="宋体" w:hAnsi="宋体" w:cs="宋体"/>
          <w:color w:val="auto"/>
          <w:kern w:val="0"/>
          <w:szCs w:val="21"/>
          <w:highlight w:val="none"/>
        </w:rPr>
      </w:pPr>
      <w:r>
        <w:rPr>
          <w:rFonts w:hint="eastAsia" w:ascii="宋体" w:hAnsi="宋体" w:cs="宋体"/>
          <w:color w:val="auto"/>
          <w:kern w:val="0"/>
          <w:szCs w:val="21"/>
          <w:highlight w:val="none"/>
        </w:rPr>
        <w:t>72.3工程变更引起措施项目发生变化的，凡可计算工程量的措施项目费，按照实际发生变化的措施项目的工程量乘以第72.2款规定的单价或合价调整。</w:t>
      </w:r>
    </w:p>
    <w:p>
      <w:pPr>
        <w:spacing w:before="96" w:line="300" w:lineRule="auto"/>
        <w:ind w:firstLine="420" w:firstLineChars="200"/>
        <w:jc w:val="left"/>
        <w:outlineLvl w:val="0"/>
        <w:rPr>
          <w:rFonts w:ascii="宋体" w:hAnsi="宋体" w:cs="宋体"/>
          <w:color w:val="auto"/>
          <w:kern w:val="0"/>
          <w:szCs w:val="21"/>
          <w:highlight w:val="none"/>
        </w:rPr>
      </w:pPr>
      <w:bookmarkStart w:id="319" w:name="_Toc416853071"/>
      <w:r>
        <w:rPr>
          <w:rFonts w:hint="eastAsia" w:ascii="宋体" w:hAnsi="宋体" w:cs="宋体"/>
          <w:color w:val="auto"/>
          <w:kern w:val="0"/>
          <w:szCs w:val="21"/>
          <w:highlight w:val="none"/>
        </w:rPr>
        <w:t>72.4 调整承包人报价偏差的方法</w:t>
      </w:r>
      <w:bookmarkEnd w:id="319"/>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通用条款的规定调整。</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按照下列方法调整：</w:t>
      </w:r>
      <w:r>
        <w:rPr>
          <w:rFonts w:hint="eastAsia" w:ascii="宋体" w:hAnsi="宋体" w:cs="宋体"/>
          <w:color w:val="auto"/>
          <w:szCs w:val="21"/>
          <w:highlight w:val="none"/>
          <w:u w:val="single"/>
        </w:rPr>
        <w:t>承包人投标时所报任何分部分项工程量清单项目的综合单价高于套用建设主管部门规定的相关专业定额价格30%以上时，发包人将认定该部分综合单价为恶意高价，在工程结算时，该部分项目的综合单价将按照本合同专用条款第72.2（3）“中标的工程量清单中没有适用或类似的”处理办法进行更正。</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bCs/>
          <w:color w:val="auto"/>
          <w:szCs w:val="21"/>
          <w:highlight w:val="none"/>
        </w:rPr>
        <w:t xml:space="preserve">72.5 </w:t>
      </w:r>
      <w:r>
        <w:rPr>
          <w:rFonts w:hint="eastAsia" w:ascii="宋体" w:hAnsi="宋体" w:cs="宋体"/>
          <w:color w:val="auto"/>
          <w:szCs w:val="21"/>
          <w:highlight w:val="none"/>
        </w:rPr>
        <w:t>删减工作或工程的补偿</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szCs w:val="21"/>
          <w:highlight w:val="none"/>
        </w:rPr>
        <w:t>发包人有权删减合同中的任何原定工作或工程，相应的合同价款对应减少，承包人不得以此提出费用索赔。</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73．工程量的偏差事件</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73.2工程量的偏差，导致分部分项工程费结算价调整的方法：</w:t>
      </w:r>
    </w:p>
    <w:p>
      <w:pPr>
        <w:autoSpaceDE w:val="0"/>
        <w:autoSpaceDN w:val="0"/>
        <w:spacing w:before="96" w:line="30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按合同通用条款的规定调整。</w:t>
      </w:r>
    </w:p>
    <w:p>
      <w:pPr>
        <w:spacing w:line="360" w:lineRule="auto"/>
        <w:jc w:val="left"/>
        <w:rPr>
          <w:rFonts w:ascii="宋体" w:hAnsi="宋体" w:cs="宋体"/>
          <w:bCs/>
          <w:color w:val="auto"/>
          <w:szCs w:val="21"/>
          <w:highlight w:val="none"/>
        </w:rPr>
      </w:pPr>
      <w:r>
        <w:rPr>
          <w:rFonts w:hint="eastAsia" w:ascii="宋体" w:hAnsi="宋体" w:cs="宋体"/>
          <w:bCs/>
          <w:color w:val="auto"/>
          <w:szCs w:val="21"/>
          <w:highlight w:val="none"/>
        </w:rPr>
        <w:t>■ 按以下方法调整：</w:t>
      </w:r>
    </w:p>
    <w:p>
      <w:pPr>
        <w:spacing w:line="360" w:lineRule="auto"/>
        <w:jc w:val="left"/>
        <w:rPr>
          <w:rFonts w:ascii="宋体" w:hAnsi="宋体" w:cs="宋体"/>
          <w:color w:val="auto"/>
          <w:kern w:val="0"/>
          <w:szCs w:val="21"/>
          <w:highlight w:val="none"/>
          <w:u w:val="single"/>
        </w:rPr>
      </w:pPr>
      <w:r>
        <w:rPr>
          <w:rFonts w:hint="eastAsia" w:ascii="宋体" w:hAnsi="宋体" w:cs="宋体"/>
          <w:color w:val="auto"/>
          <w:szCs w:val="21"/>
          <w:highlight w:val="none"/>
          <w:u w:val="single"/>
        </w:rPr>
        <w:t>对于任一分部分项工程量清单项目，如因清单计量不准或设计变更、方案调整等原因导致工程量偏差超过15%，则超过15%部分的综合单价</w:t>
      </w:r>
      <w:r>
        <w:rPr>
          <w:rFonts w:hint="eastAsia" w:ascii="宋体" w:hAnsi="宋体" w:cs="宋体"/>
          <w:color w:val="auto"/>
          <w:kern w:val="0"/>
          <w:szCs w:val="21"/>
          <w:highlight w:val="none"/>
          <w:u w:val="single"/>
        </w:rPr>
        <w:t>按照下列规定调整结算分部分项工程费：</w:t>
      </w:r>
    </w:p>
    <w:p>
      <w:pPr>
        <w:autoSpaceDE w:val="0"/>
        <w:autoSpaceDN w:val="0"/>
        <w:adjustRightInd w:val="0"/>
        <w:spacing w:before="38"/>
        <w:ind w:left="29"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1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①</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w:t>
      </w:r>
      <w:r>
        <w:rPr>
          <w:rFonts w:hint="eastAsia" w:ascii="宋体" w:hAnsi="宋体" w:cs="宋体"/>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i/>
          <w:iCs/>
          <w:color w:val="auto"/>
          <w:spacing w:val="-1"/>
          <w:kern w:val="0"/>
          <w:szCs w:val="21"/>
          <w:highlight w:val="none"/>
          <w:u w:val="single"/>
        </w:rPr>
        <w:t>-</w:t>
      </w:r>
      <w:r>
        <w:rPr>
          <w:rFonts w:hint="eastAsia" w:ascii="宋体" w:hAnsi="宋体" w:cs="宋体"/>
          <w:color w:val="auto"/>
          <w:kern w:val="0"/>
          <w:szCs w:val="21"/>
          <w:highlight w:val="none"/>
          <w:u w:val="single"/>
        </w:rPr>
        <w:t>1.15</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1=0.9</w:t>
      </w:r>
      <w:r>
        <w:rPr>
          <w:rFonts w:hint="eastAsia" w:ascii="宋体" w:hAnsi="宋体" w:cs="宋体"/>
          <w:i/>
          <w:iCs/>
          <w:color w:val="auto"/>
          <w:kern w:val="0"/>
          <w:szCs w:val="21"/>
          <w:highlight w:val="none"/>
          <w:u w:val="single"/>
        </w:rPr>
        <w:t xml:space="preserve"> P</w:t>
      </w:r>
      <w:r>
        <w:rPr>
          <w:rFonts w:hint="eastAsia" w:ascii="宋体" w:hAnsi="宋体" w:cs="宋体"/>
          <w:i/>
          <w:iCs/>
          <w:color w:val="auto"/>
          <w:spacing w:val="1"/>
          <w:kern w:val="0"/>
          <w:position w:val="-3"/>
          <w:szCs w:val="21"/>
          <w:highlight w:val="none"/>
          <w:u w:val="single"/>
        </w:rPr>
        <w:t>0</w:t>
      </w:r>
    </w:p>
    <w:p>
      <w:pPr>
        <w:autoSpaceDE w:val="0"/>
        <w:autoSpaceDN w:val="0"/>
        <w:adjustRightInd w:val="0"/>
        <w:spacing w:before="68"/>
        <w:ind w:right="-20"/>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fldChar w:fldCharType="begin"/>
      </w:r>
      <w:r>
        <w:rPr>
          <w:rFonts w:hint="eastAsia" w:ascii="宋体" w:hAnsi="宋体" w:cs="宋体"/>
          <w:color w:val="auto"/>
          <w:kern w:val="0"/>
          <w:szCs w:val="21"/>
          <w:highlight w:val="none"/>
          <w:u w:val="single"/>
        </w:rPr>
        <w:instrText xml:space="preserve">= 2 \* GB3</w:instrText>
      </w:r>
      <w:r>
        <w:rPr>
          <w:rFonts w:hint="eastAsia" w:ascii="宋体" w:hAnsi="宋体" w:cs="宋体"/>
          <w:color w:val="auto"/>
          <w:kern w:val="0"/>
          <w:szCs w:val="21"/>
          <w:highlight w:val="none"/>
          <w:u w:val="single"/>
        </w:rPr>
        <w:fldChar w:fldCharType="separate"/>
      </w:r>
      <w:r>
        <w:rPr>
          <w:rFonts w:hint="eastAsia" w:ascii="宋体" w:hAnsi="宋体" w:cs="宋体"/>
          <w:color w:val="auto"/>
          <w:kern w:val="0"/>
          <w:szCs w:val="21"/>
          <w:highlight w:val="none"/>
          <w:u w:val="single"/>
        </w:rPr>
        <w:t>②</w:t>
      </w:r>
      <w:r>
        <w:rPr>
          <w:rFonts w:hint="eastAsia" w:ascii="宋体" w:hAnsi="宋体" w:cs="宋体"/>
          <w:color w:val="auto"/>
          <w:kern w:val="0"/>
          <w:szCs w:val="21"/>
          <w:highlight w:val="none"/>
          <w:u w:val="single"/>
        </w:rPr>
        <w:fldChar w:fldCharType="end"/>
      </w:r>
      <w:r>
        <w:rPr>
          <w:rFonts w:hint="eastAsia" w:ascii="宋体" w:hAnsi="宋体" w:cs="宋体"/>
          <w:color w:val="auto"/>
          <w:kern w:val="0"/>
          <w:szCs w:val="21"/>
          <w:highlight w:val="none"/>
          <w:u w:val="single"/>
        </w:rPr>
        <w:t>当</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﹤0.85</w:t>
      </w:r>
      <w:r>
        <w:rPr>
          <w:rFonts w:hint="eastAsia" w:ascii="宋体" w:hAnsi="宋体" w:cs="宋体"/>
          <w:i/>
          <w:iCs/>
          <w:color w:val="auto"/>
          <w:spacing w:val="-1"/>
          <w:kern w:val="0"/>
          <w:szCs w:val="21"/>
          <w:highlight w:val="none"/>
          <w:u w:val="single"/>
        </w:rPr>
        <w:t>Q</w:t>
      </w:r>
      <w:r>
        <w:rPr>
          <w:rFonts w:hint="eastAsia" w:ascii="宋体" w:hAnsi="宋体" w:cs="宋体"/>
          <w:color w:val="auto"/>
          <w:spacing w:val="1"/>
          <w:kern w:val="0"/>
          <w:position w:val="-3"/>
          <w:szCs w:val="21"/>
          <w:highlight w:val="none"/>
          <w:u w:val="single"/>
        </w:rPr>
        <w:t>0</w:t>
      </w:r>
      <w:r>
        <w:rPr>
          <w:rFonts w:hint="eastAsia" w:ascii="宋体" w:hAnsi="宋体" w:cs="宋体"/>
          <w:color w:val="auto"/>
          <w:kern w:val="0"/>
          <w:szCs w:val="21"/>
          <w:highlight w:val="none"/>
          <w:u w:val="single"/>
        </w:rPr>
        <w:t>时，S</w:t>
      </w:r>
      <w:r>
        <w:rPr>
          <w:rFonts w:hint="eastAsia" w:ascii="宋体" w:hAnsi="宋体" w:cs="宋体"/>
          <w:i/>
          <w:iCs/>
          <w:color w:val="auto"/>
          <w:kern w:val="0"/>
          <w:szCs w:val="21"/>
          <w:highlight w:val="none"/>
          <w:u w:val="single"/>
        </w:rPr>
        <w:t>=</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i/>
          <w:iCs/>
          <w:color w:val="auto"/>
          <w:kern w:val="0"/>
          <w:szCs w:val="21"/>
          <w:highlight w:val="none"/>
          <w:u w:val="single"/>
        </w:rPr>
        <w:t xml:space="preserve">= </w:t>
      </w: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1, 其中</w:t>
      </w:r>
      <w:r>
        <w:rPr>
          <w:rFonts w:hint="eastAsia" w:ascii="宋体" w:hAnsi="宋体" w:cs="宋体"/>
          <w:i/>
          <w:iCs/>
          <w:color w:val="auto"/>
          <w:kern w:val="0"/>
          <w:szCs w:val="21"/>
          <w:highlight w:val="none"/>
          <w:u w:val="single"/>
        </w:rPr>
        <w:t>P</w:t>
      </w:r>
      <w:r>
        <w:rPr>
          <w:rFonts w:hint="eastAsia" w:ascii="宋体" w:hAnsi="宋体" w:cs="宋体"/>
          <w:i/>
          <w:iCs/>
          <w:color w:val="auto"/>
          <w:kern w:val="0"/>
          <w:position w:val="-3"/>
          <w:szCs w:val="21"/>
          <w:highlight w:val="none"/>
          <w:u w:val="single"/>
        </w:rPr>
        <w:t>0=</w:t>
      </w: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p>
    <w:p>
      <w:pPr>
        <w:spacing w:line="360" w:lineRule="auto"/>
        <w:jc w:val="left"/>
        <w:rPr>
          <w:rFonts w:ascii="宋体" w:hAnsi="宋体" w:cs="宋体"/>
          <w:color w:val="auto"/>
          <w:kern w:val="0"/>
          <w:szCs w:val="21"/>
          <w:highlight w:val="none"/>
          <w:u w:val="single"/>
        </w:rPr>
      </w:pPr>
      <w:r>
        <w:rPr>
          <w:rFonts w:hint="eastAsia" w:ascii="宋体" w:hAnsi="宋体" w:cs="宋体"/>
          <w:color w:val="auto"/>
          <w:kern w:val="0"/>
          <w:szCs w:val="21"/>
          <w:highlight w:val="none"/>
          <w:u w:val="single"/>
        </w:rPr>
        <w:t xml:space="preserve">式中   </w:t>
      </w:r>
      <w:r>
        <w:rPr>
          <w:rFonts w:hint="eastAsia" w:ascii="宋体" w:hAnsi="宋体" w:cs="宋体"/>
          <w:i/>
          <w:iCs/>
          <w:color w:val="auto"/>
          <w:kern w:val="0"/>
          <w:szCs w:val="21"/>
          <w:highlight w:val="none"/>
          <w:u w:val="single"/>
        </w:rPr>
        <w:t>S</w:t>
      </w:r>
      <w:r>
        <w:rPr>
          <w:rFonts w:hint="eastAsia" w:ascii="宋体" w:hAnsi="宋体" w:cs="宋体"/>
          <w:color w:val="auto"/>
          <w:kern w:val="0"/>
          <w:szCs w:val="21"/>
          <w:highlight w:val="none"/>
          <w:u w:val="single"/>
        </w:rPr>
        <w:t>——调整后的某一分部分项工程费结算价；</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——最终完成的工程量；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spacing w:val="-1"/>
          <w:kern w:val="0"/>
          <w:szCs w:val="21"/>
          <w:highlight w:val="none"/>
          <w:u w:val="single"/>
        </w:rPr>
        <w:t>Q</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——工程量清单中开列的工程量；</w:t>
      </w:r>
    </w:p>
    <w:p>
      <w:pPr>
        <w:spacing w:line="360" w:lineRule="auto"/>
        <w:jc w:val="left"/>
        <w:rPr>
          <w:rFonts w:ascii="宋体" w:hAnsi="宋体" w:cs="宋体"/>
          <w:color w:val="auto"/>
          <w:kern w:val="0"/>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1</w:t>
      </w:r>
      <w:r>
        <w:rPr>
          <w:rFonts w:hint="eastAsia" w:ascii="宋体" w:hAnsi="宋体" w:cs="宋体"/>
          <w:color w:val="auto"/>
          <w:kern w:val="0"/>
          <w:szCs w:val="21"/>
          <w:highlight w:val="none"/>
          <w:u w:val="single"/>
        </w:rPr>
        <w:t>——按照最终完成工程量重新调整后的综合单价；</w:t>
      </w:r>
    </w:p>
    <w:p>
      <w:pPr>
        <w:spacing w:line="360" w:lineRule="auto"/>
        <w:jc w:val="left"/>
        <w:rPr>
          <w:rFonts w:ascii="宋体" w:hAnsi="宋体" w:cs="宋体"/>
          <w:color w:val="auto"/>
          <w:szCs w:val="21"/>
          <w:highlight w:val="none"/>
          <w:u w:val="single"/>
        </w:rPr>
      </w:pPr>
      <w:r>
        <w:rPr>
          <w:rFonts w:hint="eastAsia" w:ascii="宋体" w:hAnsi="宋体" w:cs="宋体"/>
          <w:i/>
          <w:iCs/>
          <w:color w:val="auto"/>
          <w:kern w:val="0"/>
          <w:szCs w:val="21"/>
          <w:highlight w:val="none"/>
          <w:u w:val="single"/>
        </w:rPr>
        <w:t>P</w:t>
      </w:r>
      <w:r>
        <w:rPr>
          <w:rFonts w:hint="eastAsia" w:ascii="宋体" w:hAnsi="宋体" w:cs="宋体"/>
          <w:i/>
          <w:iCs/>
          <w:color w:val="auto"/>
          <w:spacing w:val="1"/>
          <w:kern w:val="0"/>
          <w:position w:val="-3"/>
          <w:szCs w:val="21"/>
          <w:highlight w:val="none"/>
          <w:u w:val="single"/>
        </w:rPr>
        <w:t>0</w:t>
      </w:r>
      <w:r>
        <w:rPr>
          <w:rFonts w:hint="eastAsia" w:ascii="宋体" w:hAnsi="宋体" w:cs="宋体"/>
          <w:color w:val="auto"/>
          <w:kern w:val="0"/>
          <w:szCs w:val="21"/>
          <w:highlight w:val="none"/>
          <w:u w:val="single"/>
        </w:rPr>
        <w:t>——承包人在工程量清单中填报的综合单价。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73.3工程量的偏差，导致措施项目费调整的方法：</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按合同通用条款的规定调整。</w:t>
      </w:r>
    </w:p>
    <w:p>
      <w:pPr>
        <w:autoSpaceDE w:val="0"/>
        <w:autoSpaceDN w:val="0"/>
        <w:spacing w:before="96" w:line="300" w:lineRule="auto"/>
        <w:ind w:firstLine="420" w:firstLineChars="200"/>
        <w:jc w:val="left"/>
        <w:rPr>
          <w:rFonts w:ascii="宋体" w:hAnsi="宋体" w:cs="宋体"/>
          <w:bCs/>
          <w:color w:val="auto"/>
          <w:szCs w:val="21"/>
          <w:highlight w:val="none"/>
          <w:u w:val="single"/>
        </w:rPr>
      </w:pPr>
      <w:r>
        <w:rPr>
          <w:rFonts w:hint="eastAsia" w:ascii="宋体" w:hAnsi="宋体" w:cs="宋体"/>
          <w:bCs/>
          <w:color w:val="auto"/>
          <w:szCs w:val="21"/>
          <w:highlight w:val="none"/>
        </w:rPr>
        <w:t>■ 按以下方法调整：</w:t>
      </w:r>
      <w:r>
        <w:rPr>
          <w:rFonts w:hint="eastAsia" w:ascii="宋体" w:hAnsi="宋体" w:cs="宋体"/>
          <w:bCs/>
          <w:color w:val="auto"/>
          <w:szCs w:val="21"/>
          <w:highlight w:val="none"/>
          <w:u w:val="single"/>
        </w:rPr>
        <w:t xml:space="preserve"> 不作调整。</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75．现场签证事件</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0" w:name="_Toc416853072"/>
      <w:r>
        <w:rPr>
          <w:rFonts w:hint="eastAsia" w:ascii="宋体" w:hAnsi="宋体" w:cs="宋体"/>
          <w:bCs/>
          <w:color w:val="auto"/>
          <w:szCs w:val="21"/>
          <w:highlight w:val="none"/>
        </w:rPr>
        <w:t>75.3 现场签证报告的确认</w:t>
      </w:r>
      <w:bookmarkEnd w:id="320"/>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提交现场签证报告的时间：</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按通用条款的规定的时间提交。</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76．物价涨落事件</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76.1 投标材料、人工、机械台班等均不予调整价差。</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76.2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76.3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76.4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76.5 本款不适用。</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76.6 本款不适用</w:t>
      </w:r>
    </w:p>
    <w:p>
      <w:pPr>
        <w:autoSpaceDE w:val="0"/>
        <w:autoSpaceDN w:val="0"/>
        <w:spacing w:before="96" w:line="300" w:lineRule="auto"/>
        <w:ind w:right="-20"/>
        <w:jc w:val="left"/>
        <w:rPr>
          <w:rFonts w:ascii="宋体" w:hAnsi="宋体" w:cs="宋体"/>
          <w:bCs/>
          <w:color w:val="auto"/>
          <w:szCs w:val="21"/>
          <w:highlight w:val="none"/>
        </w:rPr>
      </w:pPr>
      <w:r>
        <w:rPr>
          <w:rFonts w:hint="eastAsia" w:ascii="宋体" w:hAnsi="宋体" w:cs="宋体"/>
          <w:b/>
          <w:color w:val="auto"/>
          <w:szCs w:val="21"/>
          <w:highlight w:val="none"/>
        </w:rPr>
        <w:t>78．支付事项</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78.2 计算利息的利率</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□按照中国人民银行发布的同期同类贷款利率。</w:t>
      </w:r>
    </w:p>
    <w:p>
      <w:pPr>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r>
        <w:rPr>
          <w:rFonts w:hint="eastAsia" w:ascii="宋体" w:hAnsi="宋体" w:cs="宋体"/>
          <w:color w:val="auto"/>
          <w:kern w:val="0"/>
          <w:szCs w:val="21"/>
          <w:highlight w:val="none"/>
          <w:u w:val="single"/>
        </w:rPr>
        <w:t xml:space="preserve"> 不计算利息。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78.5 本项目的付款时间是指发包人向政府财政支付部门提出付款申请的时间，不含其审核和支付的时间，承包人不得因财政部门审批和支付工程进度款滞后而提出任何索赔。</w:t>
      </w:r>
    </w:p>
    <w:p>
      <w:pPr>
        <w:autoSpaceDE w:val="0"/>
        <w:autoSpaceDN w:val="0"/>
        <w:spacing w:before="96" w:line="300" w:lineRule="auto"/>
        <w:ind w:right="-20" w:firstLine="482"/>
        <w:jc w:val="left"/>
        <w:rPr>
          <w:rFonts w:ascii="宋体" w:hAnsi="宋体" w:cs="宋体"/>
          <w:b/>
          <w:color w:val="auto"/>
          <w:szCs w:val="21"/>
          <w:highlight w:val="none"/>
        </w:rPr>
      </w:pPr>
      <w:r>
        <w:rPr>
          <w:rFonts w:hint="eastAsia" w:ascii="宋体" w:hAnsi="宋体" w:cs="宋体"/>
          <w:b/>
          <w:color w:val="auto"/>
          <w:szCs w:val="21"/>
          <w:highlight w:val="none"/>
        </w:rPr>
        <w:t>79．预付款</w:t>
      </w:r>
    </w:p>
    <w:p>
      <w:pPr>
        <w:autoSpaceDE w:val="0"/>
        <w:autoSpaceDN w:val="0"/>
        <w:spacing w:before="96" w:line="300" w:lineRule="auto"/>
        <w:ind w:firstLine="420" w:firstLineChars="200"/>
        <w:jc w:val="left"/>
        <w:rPr>
          <w:rFonts w:ascii="宋体" w:hAnsi="宋体" w:cs="宋体"/>
          <w:bCs/>
          <w:color w:val="auto"/>
          <w:szCs w:val="21"/>
          <w:highlight w:val="none"/>
        </w:rPr>
      </w:pPr>
      <w:bookmarkStart w:id="321" w:name="_Toc416853073"/>
      <w:r>
        <w:rPr>
          <w:rFonts w:hint="eastAsia" w:ascii="宋体" w:hAnsi="宋体" w:cs="宋体"/>
          <w:bCs/>
          <w:color w:val="auto"/>
          <w:szCs w:val="21"/>
          <w:highlight w:val="none"/>
        </w:rPr>
        <w:t>79.1 预付款的约定及管理</w:t>
      </w:r>
      <w:bookmarkEnd w:id="321"/>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 预付款的约定</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没约定预付款的，本条不适用。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约定预付款的，预付款的金额为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 xml:space="preserve">的30% </w:t>
      </w:r>
      <w:r>
        <w:rPr>
          <w:rFonts w:hint="eastAsia" w:ascii="宋体" w:hAnsi="宋体" w:cs="宋体"/>
          <w:color w:val="auto"/>
          <w:kern w:val="0"/>
          <w:szCs w:val="21"/>
          <w:highlight w:val="none"/>
        </w:rPr>
        <w:t>，其支付办法和抵扣方式，按本条有关专用条款的约定。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预付款的最高限额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按通用条款规定为合同价款的30%，即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■另作约定：预付款的金额为</w:t>
      </w:r>
      <w:r>
        <w:rPr>
          <w:rFonts w:hint="eastAsia" w:ascii="宋体" w:hAnsi="宋体" w:cs="宋体"/>
          <w:color w:val="auto"/>
          <w:kern w:val="0"/>
          <w:szCs w:val="21"/>
          <w:highlight w:val="none"/>
          <w:u w:val="single"/>
        </w:rPr>
        <w:t>合同</w:t>
      </w:r>
      <w:r>
        <w:rPr>
          <w:rFonts w:hint="eastAsia" w:ascii="宋体" w:hAnsi="宋体" w:cs="宋体"/>
          <w:color w:val="auto"/>
          <w:kern w:val="0"/>
          <w:szCs w:val="21"/>
          <w:highlight w:val="none"/>
          <w:u w:val="single"/>
          <w:lang w:val="en-US" w:eastAsia="zh-CN"/>
        </w:rPr>
        <w:t>金额</w:t>
      </w:r>
      <w:r>
        <w:rPr>
          <w:rFonts w:hint="eastAsia" w:ascii="宋体" w:hAnsi="宋体" w:cs="宋体"/>
          <w:color w:val="auto"/>
          <w:kern w:val="0"/>
          <w:szCs w:val="21"/>
          <w:highlight w:val="none"/>
          <w:u w:val="single"/>
        </w:rPr>
        <w:t>的30%</w:t>
      </w:r>
      <w:r>
        <w:rPr>
          <w:rFonts w:hint="eastAsia" w:ascii="宋体" w:hAnsi="宋体" w:cs="宋体"/>
          <w:color w:val="auto"/>
          <w:kern w:val="0"/>
          <w:szCs w:val="21"/>
          <w:highlight w:val="none"/>
        </w:rPr>
        <w:t>，即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spacing w:before="96" w:line="300" w:lineRule="auto"/>
        <w:ind w:firstLine="420" w:firstLineChars="200"/>
        <w:jc w:val="left"/>
        <w:outlineLvl w:val="0"/>
        <w:rPr>
          <w:rFonts w:ascii="宋体" w:hAnsi="宋体" w:cs="宋体"/>
          <w:color w:val="auto"/>
          <w:kern w:val="0"/>
          <w:szCs w:val="21"/>
          <w:highlight w:val="none"/>
        </w:rPr>
      </w:pPr>
      <w:bookmarkStart w:id="322" w:name="_Toc416853074"/>
      <w:r>
        <w:rPr>
          <w:rFonts w:hint="eastAsia" w:ascii="宋体" w:hAnsi="宋体" w:cs="宋体"/>
          <w:color w:val="auto"/>
          <w:kern w:val="0"/>
          <w:szCs w:val="21"/>
          <w:highlight w:val="none"/>
        </w:rPr>
        <w:t>79.2 提交预付款支付申请期限：</w:t>
      </w:r>
      <w:bookmarkEnd w:id="322"/>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按承包人在完成本款三项工作后的7天内。</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按承包人在完成本款三项工作，并按响应文件承诺的机械、人员、设备等进场到位且具备开工条件后的7天内支付。  </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79.4 预付款抵扣方式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预付款按照期中应支付工程款的</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%扣回，直到扣完为止。</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其他方式：</w:t>
      </w:r>
      <w:r>
        <w:rPr>
          <w:rFonts w:hint="eastAsia" w:ascii="宋体" w:hAnsi="宋体" w:cs="宋体"/>
          <w:color w:val="auto"/>
          <w:kern w:val="0"/>
          <w:szCs w:val="21"/>
          <w:highlight w:val="none"/>
          <w:u w:val="single"/>
        </w:rPr>
        <w:t xml:space="preserve"> 平均分三次扣回。</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80．安全文明施工费</w:t>
      </w:r>
    </w:p>
    <w:p>
      <w:pPr>
        <w:spacing w:before="96" w:line="300" w:lineRule="auto"/>
        <w:ind w:firstLine="420" w:firstLineChars="200"/>
        <w:jc w:val="left"/>
        <w:rPr>
          <w:rFonts w:ascii="宋体" w:hAnsi="宋体" w:cs="宋体"/>
          <w:color w:val="auto"/>
          <w:kern w:val="0"/>
          <w:szCs w:val="21"/>
          <w:highlight w:val="none"/>
        </w:rPr>
      </w:pPr>
      <w:bookmarkStart w:id="323" w:name="_Toc416853075"/>
      <w:r>
        <w:rPr>
          <w:rFonts w:hint="eastAsia" w:ascii="宋体" w:hAnsi="宋体" w:cs="宋体"/>
          <w:color w:val="auto"/>
          <w:kern w:val="0"/>
          <w:szCs w:val="21"/>
          <w:highlight w:val="none"/>
        </w:rPr>
        <w:t>80.1 安全文明施工费的内容、范围和金额</w:t>
      </w:r>
      <w:bookmarkEnd w:id="323"/>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内容和范围</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按通用条款的规定，以现行广东省统一工程计价依据规定为准。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安全文明施工费的总金额为元。</w:t>
      </w:r>
    </w:p>
    <w:p>
      <w:pPr>
        <w:spacing w:before="96" w:line="300" w:lineRule="auto"/>
        <w:ind w:firstLine="420" w:firstLineChars="200"/>
        <w:jc w:val="left"/>
        <w:outlineLvl w:val="0"/>
        <w:rPr>
          <w:rFonts w:ascii="宋体" w:hAnsi="宋体" w:cs="宋体"/>
          <w:color w:val="auto"/>
          <w:kern w:val="0"/>
          <w:szCs w:val="21"/>
          <w:highlight w:val="none"/>
        </w:rPr>
      </w:pPr>
      <w:bookmarkStart w:id="324" w:name="_Toc416853076"/>
      <w:r>
        <w:rPr>
          <w:rFonts w:hint="eastAsia" w:ascii="宋体" w:hAnsi="宋体" w:cs="宋体"/>
          <w:color w:val="auto"/>
          <w:kern w:val="0"/>
          <w:szCs w:val="21"/>
          <w:highlight w:val="none"/>
        </w:rPr>
        <w:t>80.2 支付申请的提交与核实</w:t>
      </w:r>
      <w:bookmarkEnd w:id="324"/>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80.3 费用支付</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安全文明施工费的支付办法和抵扣方式：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w:t>
      </w:r>
    </w:p>
    <w:p>
      <w:pPr>
        <w:spacing w:before="96" w:line="300" w:lineRule="auto"/>
        <w:ind w:firstLine="420" w:firstLineChars="200"/>
        <w:jc w:val="left"/>
        <w:rPr>
          <w:rFonts w:hint="eastAsia" w:ascii="宋体" w:hAnsi="宋体" w:eastAsia="宋体" w:cs="宋体"/>
          <w:color w:val="auto"/>
          <w:kern w:val="0"/>
          <w:szCs w:val="21"/>
          <w:highlight w:val="none"/>
          <w:u w:val="single"/>
          <w:lang w:eastAsia="zh-CN"/>
        </w:rPr>
      </w:pPr>
      <w:r>
        <w:rPr>
          <w:rFonts w:hint="eastAsia" w:ascii="宋体" w:hAnsi="宋体" w:cs="宋体"/>
          <w:color w:val="auto"/>
          <w:kern w:val="0"/>
          <w:szCs w:val="21"/>
          <w:highlight w:val="none"/>
        </w:rPr>
        <w:t>■ 另作约定：</w:t>
      </w:r>
      <w:r>
        <w:rPr>
          <w:rFonts w:hint="eastAsia" w:ascii="宋体" w:hAnsi="宋体" w:cs="宋体"/>
          <w:color w:val="auto"/>
          <w:kern w:val="0"/>
          <w:szCs w:val="21"/>
          <w:highlight w:val="none"/>
          <w:u w:val="single"/>
        </w:rPr>
        <w:t>①合同签订生效后，甲方支付乙方合同金额30%预付款</w:t>
      </w:r>
      <w:r>
        <w:rPr>
          <w:rFonts w:hint="eastAsia" w:ascii="宋体" w:hAnsi="宋体" w:cs="宋体"/>
          <w:color w:val="auto"/>
          <w:kern w:val="0"/>
          <w:szCs w:val="21"/>
          <w:highlight w:val="none"/>
          <w:u w:val="single"/>
          <w:lang w:eastAsia="zh-CN"/>
        </w:rPr>
        <w:t>；</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color w:val="auto"/>
          <w:kern w:val="0"/>
          <w:szCs w:val="21"/>
          <w:highlight w:val="none"/>
          <w:u w:val="single"/>
        </w:rPr>
        <w:t>②项目完成合同金额60%的工作量并经甲方确认，甲方按合同金额向乙方支付至50%的款项；</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color w:val="auto"/>
          <w:kern w:val="0"/>
          <w:szCs w:val="21"/>
          <w:highlight w:val="none"/>
          <w:u w:val="single"/>
        </w:rPr>
        <w:t>③项目完工并经甲方及上级主管部门验收合格，甲方按合同金额向乙方支付至85%的款项；</w:t>
      </w:r>
    </w:p>
    <w:p>
      <w:pPr>
        <w:spacing w:before="96" w:line="300" w:lineRule="auto"/>
        <w:ind w:firstLine="420" w:firstLineChars="200"/>
        <w:jc w:val="left"/>
        <w:rPr>
          <w:rFonts w:hint="eastAsia" w:ascii="宋体" w:hAnsi="宋体" w:eastAsia="宋体" w:cs="宋体"/>
          <w:color w:val="auto"/>
          <w:kern w:val="0"/>
          <w:szCs w:val="21"/>
          <w:highlight w:val="none"/>
          <w:u w:val="single"/>
          <w:lang w:eastAsia="zh-CN"/>
        </w:rPr>
      </w:pPr>
      <w:r>
        <w:rPr>
          <w:rFonts w:hint="eastAsia" w:ascii="宋体" w:hAnsi="宋体" w:cs="宋体"/>
          <w:color w:val="auto"/>
          <w:kern w:val="0"/>
          <w:szCs w:val="21"/>
          <w:highlight w:val="none"/>
          <w:u w:val="single"/>
        </w:rPr>
        <w:t>④项目完成结算确认手续后10个工作日内，支付至结算金额的95%，余下5%作为本项目质保金，质保期到期后无责免息支付给乙方</w:t>
      </w:r>
      <w:r>
        <w:rPr>
          <w:rFonts w:hint="eastAsia" w:ascii="宋体" w:hAnsi="宋体" w:cs="宋体"/>
          <w:color w:val="auto"/>
          <w:kern w:val="0"/>
          <w:szCs w:val="21"/>
          <w:highlight w:val="none"/>
          <w:u w:val="single"/>
          <w:lang w:eastAsia="zh-CN"/>
        </w:rPr>
        <w:t>；</w:t>
      </w:r>
    </w:p>
    <w:p>
      <w:pPr>
        <w:spacing w:before="96" w:line="300" w:lineRule="auto"/>
        <w:ind w:firstLine="420" w:firstLineChars="200"/>
        <w:jc w:val="left"/>
        <w:rPr>
          <w:rFonts w:hint="eastAsia" w:ascii="宋体" w:hAnsi="宋体" w:eastAsia="宋体" w:cs="宋体"/>
          <w:color w:val="auto"/>
          <w:kern w:val="0"/>
          <w:szCs w:val="21"/>
          <w:highlight w:val="none"/>
          <w:u w:val="single"/>
          <w:lang w:eastAsia="zh-CN"/>
        </w:rPr>
      </w:pPr>
      <w:r>
        <w:rPr>
          <w:rFonts w:hint="eastAsia" w:ascii="宋体" w:hAnsi="宋体" w:cs="宋体"/>
          <w:color w:val="auto"/>
          <w:kern w:val="0"/>
          <w:szCs w:val="21"/>
          <w:highlight w:val="none"/>
          <w:u w:val="single"/>
        </w:rPr>
        <w:t>⑤水、电费扣除：要求</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安装独立施工用水、电计量表。并按实际用量及</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出租用水用电价格向</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缴纳水电费。施工场地内水电管线由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根据施工需要自行解决,如供电满足不了施工在满负荷时所需电量，则由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根据施工工期要求自行自费解决</w:t>
      </w:r>
      <w:r>
        <w:rPr>
          <w:rFonts w:hint="eastAsia" w:ascii="宋体" w:hAnsi="宋体" w:cs="宋体"/>
          <w:color w:val="auto"/>
          <w:kern w:val="0"/>
          <w:szCs w:val="21"/>
          <w:highlight w:val="none"/>
          <w:u w:val="single"/>
          <w:lang w:eastAsia="zh-CN"/>
        </w:rPr>
        <w:t>；</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⑥安全生产文明施工措施费的支付方式：按广州市穗建筑（2006）199号文执行。每次付款时，在</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支付工程款项申请表和合法工程发票（金额为</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审定确认的金额），审核批准后14天内支付。</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81．进度款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81.1 约定支付期限和提交支付申请</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(1) 支付期限</w:t>
      </w:r>
    </w:p>
    <w:p>
      <w:pPr>
        <w:spacing w:before="96" w:line="300" w:lineRule="auto"/>
        <w:ind w:firstLine="420" w:firstLineChars="200"/>
        <w:jc w:val="left"/>
        <w:rPr>
          <w:rFonts w:ascii="宋体" w:hAnsi="宋体" w:cs="宋体"/>
          <w:color w:val="auto"/>
          <w:kern w:val="0"/>
          <w:position w:val="-3"/>
          <w:szCs w:val="21"/>
          <w:highlight w:val="none"/>
          <w:u w:val="single"/>
        </w:rPr>
      </w:pPr>
      <w:r>
        <w:rPr>
          <w:rFonts w:hint="eastAsia" w:ascii="宋体" w:hAnsi="宋体" w:cs="宋体"/>
          <w:color w:val="auto"/>
          <w:kern w:val="0"/>
          <w:szCs w:val="21"/>
          <w:highlight w:val="none"/>
        </w:rPr>
        <w:t>□ 以月为单位。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以季度为单位。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vanish/>
          <w:color w:val="auto"/>
          <w:szCs w:val="21"/>
          <w:highlight w:val="none"/>
        </w:rPr>
        <w:t xml:space="preserve"> 括</w:t>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vanish/>
          <w:color w:val="auto"/>
          <w:szCs w:val="21"/>
          <w:highlight w:val="none"/>
        </w:rPr>
        <w:pgNum/>
      </w: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以形象进度为准，具体为：</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（1）分部分项工程</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1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①</w:t>
      </w:r>
      <w:r>
        <w:rPr>
          <w:rFonts w:hint="eastAsia" w:ascii="宋体" w:hAnsi="宋体"/>
          <w:color w:val="auto"/>
          <w:szCs w:val="21"/>
          <w:highlight w:val="none"/>
        </w:rPr>
        <w:fldChar w:fldCharType="end"/>
      </w:r>
      <w:r>
        <w:rPr>
          <w:rFonts w:hint="eastAsia" w:ascii="宋体" w:hAnsi="宋体"/>
          <w:color w:val="auto"/>
          <w:szCs w:val="21"/>
          <w:highlight w:val="none"/>
        </w:rPr>
        <w:t>合同签订生效后，甲方支付乙方合同金额30%预付款</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2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②</w:t>
      </w:r>
      <w:r>
        <w:rPr>
          <w:rFonts w:hint="eastAsia" w:ascii="宋体" w:hAnsi="宋体"/>
          <w:color w:val="auto"/>
          <w:szCs w:val="21"/>
          <w:highlight w:val="none"/>
        </w:rPr>
        <w:fldChar w:fldCharType="end"/>
      </w:r>
      <w:r>
        <w:rPr>
          <w:rFonts w:hint="eastAsia" w:ascii="宋体" w:hAnsi="宋体"/>
          <w:color w:val="auto"/>
          <w:szCs w:val="21"/>
          <w:highlight w:val="none"/>
        </w:rPr>
        <w:t>项目完成合同金额60%的工作量并经甲方确认，甲方按合同金额向乙方支付至50%的款项；</w:t>
      </w:r>
    </w:p>
    <w:p>
      <w:pPr>
        <w:spacing w:line="440" w:lineRule="exact"/>
        <w:ind w:firstLine="420" w:firstLineChars="200"/>
        <w:rPr>
          <w:rFonts w:hint="eastAsia" w:ascii="宋体" w:hAnsi="宋体"/>
          <w:color w:val="auto"/>
          <w:szCs w:val="21"/>
          <w:highlight w:val="none"/>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3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③</w:t>
      </w:r>
      <w:r>
        <w:rPr>
          <w:rFonts w:hint="eastAsia" w:ascii="宋体" w:hAnsi="宋体"/>
          <w:color w:val="auto"/>
          <w:szCs w:val="21"/>
          <w:highlight w:val="none"/>
        </w:rPr>
        <w:fldChar w:fldCharType="end"/>
      </w:r>
      <w:r>
        <w:rPr>
          <w:rFonts w:hint="eastAsia" w:ascii="宋体" w:hAnsi="宋体"/>
          <w:color w:val="auto"/>
          <w:szCs w:val="21"/>
          <w:highlight w:val="none"/>
        </w:rPr>
        <w:t>项目完工并经甲方及上级主管部门验收合格，甲方按合同金额向乙方支付至85%的款项；</w:t>
      </w:r>
    </w:p>
    <w:p>
      <w:pPr>
        <w:spacing w:line="440" w:lineRule="exact"/>
        <w:ind w:firstLine="420" w:firstLineChars="200"/>
        <w:rPr>
          <w:rFonts w:hint="eastAsia" w:ascii="宋体" w:hAnsi="宋体" w:eastAsia="宋体"/>
          <w:color w:val="auto"/>
          <w:szCs w:val="21"/>
          <w:highlight w:val="none"/>
          <w:lang w:val="zh-CN" w:eastAsia="zh-CN"/>
        </w:rPr>
      </w:pPr>
      <w:r>
        <w:rPr>
          <w:rFonts w:hint="eastAsia" w:ascii="宋体" w:hAnsi="宋体"/>
          <w:color w:val="auto"/>
          <w:szCs w:val="21"/>
          <w:highlight w:val="none"/>
        </w:rPr>
        <w:fldChar w:fldCharType="begin"/>
      </w:r>
      <w:r>
        <w:rPr>
          <w:rFonts w:hint="eastAsia" w:ascii="宋体" w:hAnsi="宋体"/>
          <w:color w:val="auto"/>
          <w:szCs w:val="21"/>
          <w:highlight w:val="none"/>
        </w:rPr>
        <w:instrText xml:space="preserve"> = 4 \* GB3 \* MERGEFORMAT </w:instrText>
      </w:r>
      <w:r>
        <w:rPr>
          <w:rFonts w:hint="eastAsia" w:ascii="宋体" w:hAnsi="宋体"/>
          <w:color w:val="auto"/>
          <w:szCs w:val="21"/>
          <w:highlight w:val="none"/>
        </w:rPr>
        <w:fldChar w:fldCharType="separate"/>
      </w:r>
      <w:r>
        <w:rPr>
          <w:rFonts w:hint="eastAsia" w:ascii="宋体" w:hAnsi="宋体"/>
          <w:color w:val="auto"/>
          <w:szCs w:val="21"/>
          <w:highlight w:val="none"/>
        </w:rPr>
        <w:t>④</w:t>
      </w:r>
      <w:r>
        <w:rPr>
          <w:rFonts w:hint="eastAsia" w:ascii="宋体" w:hAnsi="宋体"/>
          <w:color w:val="auto"/>
          <w:szCs w:val="21"/>
          <w:highlight w:val="none"/>
        </w:rPr>
        <w:fldChar w:fldCharType="end"/>
      </w:r>
      <w:r>
        <w:rPr>
          <w:rFonts w:hint="eastAsia" w:ascii="宋体" w:hAnsi="宋体"/>
          <w:color w:val="auto"/>
          <w:szCs w:val="21"/>
          <w:highlight w:val="none"/>
        </w:rPr>
        <w:t>项目完成结算确认手续后10个工作日内，支付至结算金额的95%，余下5%作为本项目质保金，质保期到期后无责免息支付给乙方</w:t>
      </w:r>
      <w:r>
        <w:rPr>
          <w:rFonts w:hint="eastAsia" w:ascii="宋体" w:hAnsi="宋体"/>
          <w:color w:val="auto"/>
          <w:szCs w:val="21"/>
          <w:highlight w:val="none"/>
          <w:lang w:eastAsia="zh-CN"/>
        </w:rPr>
        <w:t>；</w:t>
      </w:r>
    </w:p>
    <w:p>
      <w:pPr>
        <w:spacing w:line="440" w:lineRule="exact"/>
        <w:ind w:firstLine="420" w:firstLineChars="200"/>
        <w:rPr>
          <w:rFonts w:hint="eastAsia" w:ascii="宋体" w:hAnsi="宋体"/>
          <w:color w:val="auto"/>
          <w:szCs w:val="21"/>
          <w:highlight w:val="none"/>
          <w:lang w:val="zh-CN" w:eastAsia="zh-CN"/>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5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⑤</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水、电费扣除：要求乙方安装独立施工用水、电计量表。并按实际用量及甲方出租用水用电价格向甲方缴纳水电费。施工场地内水电管线由乙方根据施工需要自行解决,如供电满足不了施工在满负荷时所需电量，则由乙方根据施工工期要求自行自费解决；</w:t>
      </w:r>
    </w:p>
    <w:p>
      <w:pPr>
        <w:spacing w:line="440" w:lineRule="exact"/>
        <w:ind w:firstLine="420" w:firstLineChars="200"/>
        <w:rPr>
          <w:rFonts w:ascii="宋体" w:hAnsi="宋体" w:cs="宋体"/>
          <w:color w:val="auto"/>
          <w:kern w:val="0"/>
          <w:szCs w:val="21"/>
          <w:highlight w:val="none"/>
        </w:rPr>
      </w:pPr>
      <w:r>
        <w:rPr>
          <w:rFonts w:hint="eastAsia" w:ascii="宋体" w:hAnsi="宋体"/>
          <w:color w:val="auto"/>
          <w:szCs w:val="21"/>
          <w:highlight w:val="none"/>
          <w:lang w:val="zh-CN" w:eastAsia="zh-CN"/>
        </w:rPr>
        <w:fldChar w:fldCharType="begin"/>
      </w:r>
      <w:r>
        <w:rPr>
          <w:rFonts w:hint="eastAsia" w:ascii="宋体" w:hAnsi="宋体"/>
          <w:color w:val="auto"/>
          <w:szCs w:val="21"/>
          <w:highlight w:val="none"/>
          <w:lang w:val="zh-CN" w:eastAsia="zh-CN"/>
        </w:rPr>
        <w:instrText xml:space="preserve"> = 6 \* GB3 \* MERGEFORMAT </w:instrText>
      </w:r>
      <w:r>
        <w:rPr>
          <w:rFonts w:hint="eastAsia" w:ascii="宋体" w:hAnsi="宋体"/>
          <w:color w:val="auto"/>
          <w:szCs w:val="21"/>
          <w:highlight w:val="none"/>
          <w:lang w:val="zh-CN" w:eastAsia="zh-CN"/>
        </w:rPr>
        <w:fldChar w:fldCharType="separate"/>
      </w:r>
      <w:r>
        <w:rPr>
          <w:rFonts w:hint="eastAsia" w:ascii="宋体" w:hAnsi="宋体"/>
          <w:color w:val="auto"/>
          <w:szCs w:val="21"/>
          <w:highlight w:val="none"/>
        </w:rPr>
        <w:t>⑥</w:t>
      </w:r>
      <w:r>
        <w:rPr>
          <w:rFonts w:hint="eastAsia" w:ascii="宋体" w:hAnsi="宋体"/>
          <w:color w:val="auto"/>
          <w:szCs w:val="21"/>
          <w:highlight w:val="none"/>
          <w:lang w:val="zh-CN" w:eastAsia="zh-CN"/>
        </w:rPr>
        <w:fldChar w:fldCharType="end"/>
      </w:r>
      <w:r>
        <w:rPr>
          <w:rFonts w:hint="eastAsia" w:ascii="宋体" w:hAnsi="宋体"/>
          <w:color w:val="auto"/>
          <w:szCs w:val="21"/>
          <w:highlight w:val="none"/>
          <w:lang w:val="zh-CN" w:eastAsia="zh-CN"/>
        </w:rPr>
        <w:t>安全生产文明施工措施费的支付方式：按广州市穗建筑（2006）199号文执行。每次付款时，在甲方收到乙方支付工程款</w:t>
      </w:r>
      <w:r>
        <w:rPr>
          <w:rFonts w:hint="eastAsia" w:ascii="宋体" w:hAnsi="宋体" w:cs="Times New Roman"/>
          <w:color w:val="auto"/>
          <w:highlight w:val="none"/>
          <w:lang w:val="zh-CN" w:eastAsia="zh-CN"/>
        </w:rPr>
        <w:t>项申请表和合法工程发票（金额为甲方审定确认的金额），审核批准后14天内支付。</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82. 竣工结算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82.1 竣工结算的程序和时限：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按通用条款的规定办理。</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另作约定：</w:t>
      </w:r>
      <w:r>
        <w:rPr>
          <w:rFonts w:hint="eastAsia" w:ascii="宋体" w:hAnsi="宋体" w:cs="宋体"/>
          <w:color w:val="auto"/>
          <w:kern w:val="0"/>
          <w:szCs w:val="21"/>
          <w:highlight w:val="none"/>
          <w:u w:val="single"/>
        </w:rPr>
        <w:t xml:space="preserve"> 详见专用条款82.3和82.4条规定。</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 xml:space="preserve">82.3 </w:t>
      </w:r>
      <w:r>
        <w:rPr>
          <w:rFonts w:hint="eastAsia" w:ascii="宋体" w:hAnsi="宋体" w:cs="宋体"/>
          <w:color w:val="auto"/>
          <w:szCs w:val="21"/>
          <w:highlight w:val="none"/>
        </w:rPr>
        <w:t>承包人在收到造价工程师提出的核实意见后的28天内，不确认也未提出异议的，视为造价工程师提出的核实意见已被认可。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82.4 造价工程师应在收到承包人按照第82.3款规定再次递交的竣工结算文件后的28天内予以复核，并将复核结果通知承包人、抄报发包人。</w:t>
      </w:r>
    </w:p>
    <w:p>
      <w:pPr>
        <w:spacing w:before="96" w:line="300" w:lineRule="auto"/>
        <w:ind w:firstLine="420" w:firstLineChars="200"/>
        <w:jc w:val="left"/>
        <w:rPr>
          <w:rFonts w:ascii="宋体" w:hAnsi="宋体" w:cs="宋体"/>
          <w:strike/>
          <w:color w:val="auto"/>
          <w:kern w:val="0"/>
          <w:szCs w:val="21"/>
          <w:highlight w:val="none"/>
        </w:rPr>
      </w:pPr>
      <w:r>
        <w:rPr>
          <w:rFonts w:hint="eastAsia" w:ascii="宋体" w:hAnsi="宋体" w:cs="宋体"/>
          <w:color w:val="auto"/>
          <w:kern w:val="0"/>
          <w:szCs w:val="21"/>
          <w:highlight w:val="none"/>
        </w:rPr>
        <w:t>(1)经复核无误的，将按原核定造价作为结算价。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(2)经复核认为有误的，由造价工程师与合同双方当事人协商解决，或按照第86条规定处理。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82.7承包人报送的结算金额必须真实准确，若承包人报送的结算总金额或结算单项金额超过最终审定金额的8％，则发包人可按照超过部分金额的10％在结算款中扣罚。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82.8承包人投标时所报任何分部分项工程量清单项目的综合单价高于套用建设主管部门规定的相关专业定额价格的30%以上时，发包人有权认为此报价为恶意高价，在工程结算时，该项目的综合单价将按建设主管部门规定的相关专业定额价格进行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83. 结算款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83.1 提交竣工支付申请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竣工支付期限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按通用条款的规定，在造价工程师签发竣工结算支付证书后的28天内。</w:t>
      </w:r>
    </w:p>
    <w:p>
      <w:pPr>
        <w:spacing w:before="96" w:line="300" w:lineRule="auto"/>
        <w:ind w:firstLine="420" w:firstLineChars="200"/>
        <w:jc w:val="left"/>
        <w:rPr>
          <w:rFonts w:hint="eastAsia"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另有约定：</w:t>
      </w:r>
      <w:r>
        <w:rPr>
          <w:rFonts w:hint="default" w:ascii="宋体" w:hAnsi="宋体" w:cs="宋体"/>
          <w:color w:val="auto"/>
          <w:kern w:val="0"/>
          <w:szCs w:val="21"/>
          <w:highlight w:val="none"/>
          <w:u w:val="single"/>
        </w:rPr>
        <w:t>①</w:t>
      </w:r>
      <w:r>
        <w:rPr>
          <w:rFonts w:hint="eastAsia" w:ascii="宋体" w:hAnsi="宋体" w:cs="宋体"/>
          <w:color w:val="auto"/>
          <w:kern w:val="0"/>
          <w:szCs w:val="21"/>
          <w:highlight w:val="none"/>
          <w:u w:val="single"/>
        </w:rPr>
        <w:t>在完成竣工结算审核，且</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按时完成资料整理并完整移交工程竣工档案并提供支付申请后，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在15个工作日内支付至结算造价的95%；留下结算造价的5%作为工程质量保金。</w:t>
      </w:r>
    </w:p>
    <w:p>
      <w:pPr>
        <w:spacing w:before="96" w:line="300" w:lineRule="auto"/>
        <w:ind w:firstLine="420" w:firstLineChars="200"/>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②</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报送的结算金额必须真实准确，若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报送的结算总金额或结算单项金额超过最终审定金额的8％，则</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可按照超过部分金额的10％在结算款中扣罚。</w:t>
      </w:r>
    </w:p>
    <w:p>
      <w:pPr>
        <w:spacing w:before="96" w:line="300" w:lineRule="auto"/>
        <w:ind w:firstLine="420" w:firstLineChars="200"/>
        <w:jc w:val="left"/>
        <w:rPr>
          <w:rFonts w:hint="eastAsia" w:ascii="宋体" w:hAnsi="宋体" w:cs="宋体"/>
          <w:color w:val="auto"/>
          <w:kern w:val="0"/>
          <w:szCs w:val="21"/>
          <w:highlight w:val="none"/>
          <w:u w:val="single"/>
        </w:rPr>
      </w:pPr>
      <w:r>
        <w:rPr>
          <w:rFonts w:hint="default" w:ascii="宋体" w:hAnsi="宋体" w:cs="宋体"/>
          <w:color w:val="auto"/>
          <w:kern w:val="0"/>
          <w:szCs w:val="21"/>
          <w:highlight w:val="none"/>
          <w:u w:val="single"/>
        </w:rPr>
        <w:t>③</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投标时所报任何分部分项工程量清单项目的综合单价高于套用建设主管部门规定的相关专业定额价格的30%以上时，</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有权认为此报价为恶意高价，在工程结算时，该项目的综合单价将按建设主管部门规定的相关专业定额价格进行结算。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政府资金投资工程的支付期、支付办法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另作约定：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u w:val="single"/>
        </w:rPr>
        <w:t xml:space="preserve">本项目的付款时间是指发包人向政府财政支付部门提出付款申请的时间，不含其审核和支付的时间。 </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84．质量保证金</w:t>
      </w:r>
    </w:p>
    <w:p>
      <w:pPr>
        <w:tabs>
          <w:tab w:val="left" w:pos="1240"/>
        </w:tabs>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84.2 质量保证金的约定及扣留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质量保证金的约定</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按通用条款规定为合同价款的3%，即</w:t>
      </w:r>
      <w:r>
        <w:rPr>
          <w:rFonts w:hint="eastAsia" w:ascii="宋体" w:hAnsi="宋体" w:cs="宋体"/>
          <w:color w:val="auto"/>
          <w:kern w:val="0"/>
          <w:szCs w:val="21"/>
          <w:highlight w:val="none"/>
          <w:u w:val="single"/>
        </w:rPr>
        <w:t xml:space="preserve">        </w:t>
      </w:r>
      <w:r>
        <w:rPr>
          <w:rFonts w:hint="eastAsia" w:ascii="宋体" w:hAnsi="宋体" w:cs="宋体"/>
          <w:color w:val="auto"/>
          <w:kern w:val="0"/>
          <w:szCs w:val="21"/>
          <w:highlight w:val="none"/>
        </w:rPr>
        <w:t>元。</w:t>
      </w:r>
    </w:p>
    <w:p>
      <w:pPr>
        <w:tabs>
          <w:tab w:val="left" w:pos="370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留结算款的5%作为质量保证金。质保期满后，</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收到</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的支付工程款项申请，经审核后10个工作日内无息支付。在保修期内因施工质量而造成返修，其费用由</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负责，若</w:t>
      </w:r>
      <w:r>
        <w:rPr>
          <w:rFonts w:hint="eastAsia" w:ascii="宋体" w:hAnsi="宋体" w:cs="宋体"/>
          <w:color w:val="auto"/>
          <w:kern w:val="0"/>
          <w:szCs w:val="21"/>
          <w:highlight w:val="none"/>
          <w:u w:val="single"/>
          <w:lang w:eastAsia="zh-CN"/>
        </w:rPr>
        <w:t>乙方</w:t>
      </w:r>
      <w:r>
        <w:rPr>
          <w:rFonts w:hint="eastAsia" w:ascii="宋体" w:hAnsi="宋体" w:cs="宋体"/>
          <w:color w:val="auto"/>
          <w:kern w:val="0"/>
          <w:szCs w:val="21"/>
          <w:highlight w:val="none"/>
          <w:u w:val="single"/>
        </w:rPr>
        <w:t>在质量保证期内未完全履行缺陷保修义务的，</w:t>
      </w:r>
      <w:r>
        <w:rPr>
          <w:rFonts w:hint="eastAsia" w:ascii="宋体" w:hAnsi="宋体" w:cs="宋体"/>
          <w:color w:val="auto"/>
          <w:kern w:val="0"/>
          <w:szCs w:val="21"/>
          <w:highlight w:val="none"/>
          <w:u w:val="single"/>
          <w:lang w:eastAsia="zh-CN"/>
        </w:rPr>
        <w:t>甲方</w:t>
      </w:r>
      <w:r>
        <w:rPr>
          <w:rFonts w:hint="eastAsia" w:ascii="宋体" w:hAnsi="宋体" w:cs="宋体"/>
          <w:color w:val="auto"/>
          <w:kern w:val="0"/>
          <w:szCs w:val="21"/>
          <w:highlight w:val="none"/>
          <w:u w:val="single"/>
        </w:rPr>
        <w:t>有权扣除质量保证金，并保留进一步索赔的权利</w:t>
      </w:r>
      <w:r>
        <w:rPr>
          <w:rFonts w:hint="eastAsia" w:ascii="宋体" w:hAnsi="宋体"/>
          <w:color w:val="auto"/>
          <w:szCs w:val="21"/>
          <w:highlight w:val="none"/>
          <w:u w:val="single"/>
        </w:rPr>
        <w:t>。</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质量保证金的扣留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按通用条款的规定，按每支付期应支付给承包人的进度款和结算款的3%扣留。</w:t>
      </w:r>
    </w:p>
    <w:p>
      <w:pPr>
        <w:autoSpaceDE w:val="0"/>
        <w:autoSpaceDN w:val="0"/>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 xml:space="preserve"> 按专用条款83.1执行。</w:t>
      </w:r>
    </w:p>
    <w:p>
      <w:pPr>
        <w:spacing w:before="96" w:line="300" w:lineRule="auto"/>
        <w:jc w:val="left"/>
        <w:rPr>
          <w:rFonts w:ascii="宋体" w:hAnsi="宋体" w:cs="宋体"/>
          <w:b/>
          <w:bCs/>
          <w:color w:val="auto"/>
          <w:kern w:val="0"/>
          <w:szCs w:val="21"/>
          <w:highlight w:val="none"/>
        </w:rPr>
      </w:pPr>
      <w:r>
        <w:rPr>
          <w:rFonts w:hint="eastAsia" w:ascii="宋体" w:hAnsi="宋体" w:cs="宋体"/>
          <w:b/>
          <w:bCs/>
          <w:color w:val="auto"/>
          <w:kern w:val="0"/>
          <w:szCs w:val="21"/>
          <w:highlight w:val="none"/>
        </w:rPr>
        <w:t>85. 最终清算款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85.1 提交最终清算支付申请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 最终清算支付申请</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提交份数：</w:t>
      </w:r>
      <w:r>
        <w:rPr>
          <w:rFonts w:hint="eastAsia" w:ascii="宋体" w:hAnsi="宋体" w:cs="宋体"/>
          <w:color w:val="auto"/>
          <w:kern w:val="0"/>
          <w:szCs w:val="21"/>
          <w:highlight w:val="none"/>
          <w:u w:val="single"/>
        </w:rPr>
        <w:t xml:space="preserve">  一式四份。 </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提交期限：</w:t>
      </w:r>
      <w:r>
        <w:rPr>
          <w:rFonts w:hint="eastAsia" w:ascii="宋体" w:hAnsi="宋体" w:cs="宋体"/>
          <w:color w:val="auto"/>
          <w:kern w:val="0"/>
          <w:szCs w:val="21"/>
          <w:highlight w:val="none"/>
          <w:u w:val="single"/>
        </w:rPr>
        <w:t xml:space="preserve"> 缺陷责任期终止证书签发后28天内。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 最终清算支付时限</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按通用条款的规定，在造价工程师签发最终清算支付证书后的14天内。</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 xml:space="preserve">■ </w:t>
      </w:r>
      <w:r>
        <w:rPr>
          <w:rFonts w:hint="eastAsia" w:ascii="宋体" w:hAnsi="宋体" w:cs="宋体"/>
          <w:color w:val="auto"/>
          <w:kern w:val="0"/>
          <w:szCs w:val="21"/>
          <w:highlight w:val="none"/>
        </w:rPr>
        <w:t>另有约定：</w:t>
      </w:r>
      <w:r>
        <w:rPr>
          <w:rFonts w:hint="eastAsia" w:ascii="宋体" w:hAnsi="宋体" w:cs="宋体"/>
          <w:color w:val="auto"/>
          <w:kern w:val="0"/>
          <w:szCs w:val="21"/>
          <w:highlight w:val="none"/>
          <w:u w:val="single"/>
        </w:rPr>
        <w:t>按专用条款83.1执行。</w:t>
      </w:r>
    </w:p>
    <w:p>
      <w:pPr>
        <w:autoSpaceDE w:val="0"/>
        <w:autoSpaceDN w:val="0"/>
        <w:spacing w:before="96" w:line="300" w:lineRule="auto"/>
        <w:ind w:right="-20"/>
        <w:jc w:val="left"/>
        <w:rPr>
          <w:rFonts w:ascii="宋体" w:hAnsi="宋体" w:cs="宋体"/>
          <w:b/>
          <w:color w:val="auto"/>
          <w:szCs w:val="21"/>
          <w:highlight w:val="none"/>
        </w:rPr>
      </w:pPr>
      <w:r>
        <w:rPr>
          <w:rFonts w:hint="eastAsia" w:ascii="宋体" w:hAnsi="宋体" w:cs="宋体"/>
          <w:b/>
          <w:color w:val="auto"/>
          <w:szCs w:val="21"/>
          <w:highlight w:val="none"/>
        </w:rPr>
        <w:t>86．合同争议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86.4 调解或认定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争议调解或认定机构：</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86.6 仲裁或诉讼</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解决争议的最终方式：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向广州仲裁委员会申请仲裁。</w:t>
      </w:r>
    </w:p>
    <w:p>
      <w:pPr>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bCs/>
          <w:color w:val="auto"/>
          <w:szCs w:val="21"/>
          <w:highlight w:val="none"/>
        </w:rPr>
        <w:t>■</w:t>
      </w:r>
      <w:r>
        <w:rPr>
          <w:rFonts w:hint="eastAsia" w:ascii="宋体" w:hAnsi="宋体" w:cs="宋体"/>
          <w:color w:val="auto"/>
          <w:kern w:val="0"/>
          <w:szCs w:val="21"/>
          <w:highlight w:val="none"/>
          <w:u w:val="single"/>
        </w:rPr>
        <w:t>向广州市天河区人民法院提起诉讼。</w:t>
      </w:r>
    </w:p>
    <w:p>
      <w:pPr>
        <w:tabs>
          <w:tab w:val="left" w:pos="1240"/>
        </w:tabs>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86.7 </w:t>
      </w:r>
      <w:r>
        <w:rPr>
          <w:rFonts w:hint="eastAsia" w:ascii="宋体" w:hAnsi="宋体" w:cs="宋体"/>
          <w:color w:val="auto"/>
          <w:kern w:val="0"/>
          <w:szCs w:val="21"/>
          <w:highlight w:val="none"/>
          <w:u w:val="single"/>
        </w:rPr>
        <w:t>本合同在履行时如发生争议，承包人在协商解决过程中不得因此停止施工，否则，发包人为确保工程按时竣工，有权委托其他施工单位进行施工，发生的费用由承包人承担；情况严重时发包人有权终止合同解除本合同和要求承包人先行退场，退场后再进行工程结算。</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91. 保密要求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91.1 提供保密信息的期限：</w:t>
      </w:r>
      <w:r>
        <w:rPr>
          <w:rFonts w:hint="eastAsia" w:ascii="宋体" w:hAnsi="宋体" w:cs="宋体"/>
          <w:color w:val="auto"/>
          <w:kern w:val="0"/>
          <w:szCs w:val="21"/>
          <w:highlight w:val="none"/>
          <w:u w:val="single"/>
        </w:rPr>
        <w:t xml:space="preserve">     /     </w:t>
      </w:r>
    </w:p>
    <w:p>
      <w:pPr>
        <w:autoSpaceDE w:val="0"/>
        <w:autoSpaceDN w:val="0"/>
        <w:spacing w:before="96" w:line="300" w:lineRule="auto"/>
        <w:ind w:firstLine="420" w:firstLineChars="200"/>
        <w:jc w:val="left"/>
        <w:rPr>
          <w:rFonts w:ascii="宋体" w:hAnsi="宋体" w:cs="宋体"/>
          <w:bCs/>
          <w:color w:val="auto"/>
          <w:szCs w:val="21"/>
          <w:highlight w:val="none"/>
        </w:rPr>
      </w:pPr>
      <w:r>
        <w:rPr>
          <w:rFonts w:hint="eastAsia" w:ascii="宋体" w:hAnsi="宋体" w:cs="宋体"/>
          <w:color w:val="auto"/>
          <w:kern w:val="0"/>
          <w:szCs w:val="21"/>
          <w:highlight w:val="none"/>
        </w:rPr>
        <w:t xml:space="preserve">91.5 </w:t>
      </w:r>
      <w:r>
        <w:rPr>
          <w:rFonts w:hint="eastAsia" w:ascii="宋体" w:hAnsi="宋体" w:cs="宋体"/>
          <w:color w:val="auto"/>
          <w:kern w:val="0"/>
          <w:szCs w:val="21"/>
          <w:highlight w:val="none"/>
          <w:u w:val="single"/>
        </w:rPr>
        <w:t>承包人未经发包人同意， 不得将本工程图纸转给第三人。工程质量保修期满后，除承包人存档需要的图纸外，应将全部图纸退还给发包人。</w:t>
      </w:r>
    </w:p>
    <w:p>
      <w:pPr>
        <w:spacing w:before="96" w:line="300" w:lineRule="auto"/>
        <w:ind w:firstLine="482"/>
        <w:jc w:val="left"/>
        <w:rPr>
          <w:rFonts w:ascii="宋体" w:hAnsi="宋体" w:cs="宋体"/>
          <w:b/>
          <w:color w:val="auto"/>
          <w:kern w:val="0"/>
          <w:szCs w:val="21"/>
          <w:highlight w:val="none"/>
        </w:rPr>
      </w:pPr>
      <w:r>
        <w:rPr>
          <w:rFonts w:hint="eastAsia" w:ascii="宋体" w:hAnsi="宋体" w:cs="宋体"/>
          <w:b/>
          <w:color w:val="auto"/>
          <w:kern w:val="0"/>
          <w:szCs w:val="21"/>
          <w:highlight w:val="none"/>
        </w:rPr>
        <w:t>94．合同份数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94.1 约定提供合同文件</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提供合同文本：</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bCs/>
          <w:color w:val="auto"/>
          <w:szCs w:val="21"/>
          <w:highlight w:val="none"/>
        </w:rPr>
        <w:t>■</w:t>
      </w:r>
      <w:r>
        <w:rPr>
          <w:rFonts w:hint="eastAsia" w:ascii="宋体" w:hAnsi="宋体" w:cs="宋体"/>
          <w:color w:val="auto"/>
          <w:kern w:val="0"/>
          <w:szCs w:val="21"/>
          <w:highlight w:val="none"/>
        </w:rPr>
        <w:t xml:space="preserve"> 按通用条款的规定，由发包人向承包人提供。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 另有约定：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94.2 正副本效力</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合同的份数：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正本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肆 </w:t>
      </w:r>
      <w:r>
        <w:rPr>
          <w:rFonts w:hint="eastAsia" w:ascii="宋体" w:hAnsi="宋体" w:cs="宋体"/>
          <w:color w:val="auto"/>
          <w:kern w:val="0"/>
          <w:szCs w:val="21"/>
          <w:highlight w:val="none"/>
        </w:rPr>
        <w:t>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其中：发包人正本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tabs>
          <w:tab w:val="left" w:pos="1240"/>
          <w:tab w:val="left" w:pos="3640"/>
          <w:tab w:val="left" w:pos="6040"/>
          <w:tab w:val="left" w:pos="7960"/>
        </w:tabs>
        <w:autoSpaceDE w:val="0"/>
        <w:autoSpaceDN w:val="0"/>
        <w:spacing w:before="96" w:line="300" w:lineRule="auto"/>
        <w:ind w:firstLine="420" w:firstLineChars="200"/>
        <w:jc w:val="left"/>
        <w:rPr>
          <w:rFonts w:ascii="宋体" w:hAnsi="宋体" w:cs="宋体"/>
          <w:color w:val="auto"/>
          <w:kern w:val="0"/>
          <w:szCs w:val="21"/>
          <w:highlight w:val="none"/>
          <w:u w:val="single"/>
        </w:rPr>
      </w:pPr>
      <w:r>
        <w:rPr>
          <w:rFonts w:hint="eastAsia" w:ascii="宋体" w:hAnsi="宋体" w:cs="宋体"/>
          <w:color w:val="auto"/>
          <w:kern w:val="0"/>
          <w:szCs w:val="21"/>
          <w:highlight w:val="none"/>
        </w:rPr>
        <w:t>承包人正本</w:t>
      </w:r>
      <w:r>
        <w:rPr>
          <w:rFonts w:hint="eastAsia" w:ascii="宋体" w:hAnsi="宋体" w:cs="宋体"/>
          <w:color w:val="auto"/>
          <w:kern w:val="0"/>
          <w:szCs w:val="21"/>
          <w:highlight w:val="none"/>
          <w:u w:val="single"/>
        </w:rPr>
        <w:t xml:space="preserve"> 壹 </w:t>
      </w:r>
      <w:r>
        <w:rPr>
          <w:rFonts w:hint="eastAsia" w:ascii="宋体" w:hAnsi="宋体" w:cs="宋体"/>
          <w:color w:val="auto"/>
          <w:kern w:val="0"/>
          <w:szCs w:val="21"/>
          <w:highlight w:val="none"/>
        </w:rPr>
        <w:t>份，副本</w:t>
      </w:r>
      <w:r>
        <w:rPr>
          <w:rFonts w:hint="eastAsia" w:ascii="宋体" w:hAnsi="宋体" w:cs="宋体"/>
          <w:color w:val="auto"/>
          <w:kern w:val="0"/>
          <w:szCs w:val="21"/>
          <w:highlight w:val="none"/>
          <w:u w:val="single"/>
        </w:rPr>
        <w:t xml:space="preserve"> 贰 </w:t>
      </w:r>
      <w:r>
        <w:rPr>
          <w:rFonts w:hint="eastAsia" w:ascii="宋体" w:hAnsi="宋体" w:cs="宋体"/>
          <w:color w:val="auto"/>
          <w:kern w:val="0"/>
          <w:szCs w:val="21"/>
          <w:highlight w:val="none"/>
        </w:rPr>
        <w:t>份。</w:t>
      </w:r>
    </w:p>
    <w:p>
      <w:pPr>
        <w:spacing w:before="96" w:line="300" w:lineRule="auto"/>
        <w:jc w:val="left"/>
        <w:rPr>
          <w:rFonts w:ascii="宋体" w:hAnsi="宋体" w:cs="宋体"/>
          <w:b/>
          <w:color w:val="auto"/>
          <w:kern w:val="0"/>
          <w:szCs w:val="21"/>
          <w:highlight w:val="none"/>
        </w:rPr>
      </w:pPr>
      <w:r>
        <w:rPr>
          <w:rFonts w:hint="eastAsia" w:ascii="宋体" w:hAnsi="宋体" w:cs="宋体"/>
          <w:b/>
          <w:color w:val="auto"/>
          <w:kern w:val="0"/>
          <w:szCs w:val="21"/>
          <w:highlight w:val="none"/>
        </w:rPr>
        <w:t>96．补充条款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 承包人应按《广东省建设领域工人工资支付分账管理暂行办法的通知》（粤人社[2015]3号）、《关于印发广州市建设领域工人工资支付分账管理实施细则的通知》（穗建规字〔2017〕10号）中的要求，设立工人工资专用账户，并在每次申请工程进度款时明确工程进度款中所包括人工费金额，发包人将把当期最终核定工程进度款中的人工费转入承包人提供的工人工资专用账户内，以保证专款专用。如因承包人未按规定开立、使用、变更、撤销工人工资支付专用账户导致本工程施工许可证未能如期办理、拖欠或克扣工人工资造成群体性事件或其他不良行为的，由此引起的相关责任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96.2 由于承包人的原因，工程质量或工程进度无法满足合同要求，则在发包人发出书面警告后7天内，若承包人仍没有采取令发包人满意的措施，发包人有权要求承包人对部分工作量进行分包，交由其他承包人完成，承包人应无条件接受，否则发包人有权终止合同并没收履约担保金。承包人应无条件提供已有的临时设施（如便道、电力线路等）供分包人使用，承包人必须接受并不得为此要求增加任何费用。</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96.3 如发生设计变更,由发包人协调相关各方尽快签认变更手续，承包人应及时申报，变更发生之日起，逾期一年未提交完善的变更资料的，对增加的工程费用，发包人不予认可，对减少的工程费用，由监理工程师审定并经发包人同意后，按应减少金额的2倍从承包人的竣工结算价款中直接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96.4 施工现场不能满足工人生活区需要的，由承包人自行安排处理。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96.5现场管理人员到位管理细则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(1)监理工程师对承包人派驻施工现场的主要管理人员造册登记后上报发包人，发包人将统一制作工牌，实行挂牌上岗。</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监理工程师对承包人派驻施工现场的主要管理人员建立考勤制度，被考勤人员包括项目负责人、项目技术负责人、各专业工程师、安全负责人。考勤要求；被考勤人员在考勤表上签名确认出勤，负责考勤的监理人员记录当日考勤情况后由承包人的项目负责人签名确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(3)发包人的工程部与合约部将不定期地抽查考勤签到情况，当天的检查以发包人检查的管理人员到位情况为准。发包人如发现考勤弄虚作假的情况，将对负责考勤的监理人员进行处罚。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的项目负责人及技术负责人未到位或擅自更换的，发现一次处以1万元/人.次罚款，专业工程师及安全负责人未到位或擅自更换的，发现一次处以5000元/人.次罚款；如有特殊原因确需更换人员的，须报发包人和监理工程师批准后方可更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(5)发包人在向承包人发出整改通知起的14天内未见纠正的，视承包人违约并按合同履约金的条款处理，情况严重者发包人有权中止合同。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(6)项目负责人、技术负责人无故缺席会议处以500元/人.次的罚款。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项目负责人、技术负责人、专业工程师及安全负责人应常驻施工现场，离开施工现场2天以内应向监理工程师请假，离开施工现场超过2天应向发包人请假，并须获得批准，否则将视为无故缺席按以下标准进行罚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项目负责人及技术负责人500元/人·天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专业工程师及安全负责人200元/人·天</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(8)以上人员离开工地须按15.1.7条规定事先请假，且除特殊原因(如每年一次的探亲假等)，每星期不能连续请假超过3天且每月总请假天数不能超过当月天数减21天，否则按无故缺席处罚。</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(9)项目负责人与技术负责人不能同时请假，且在请假期间应有相应的授权书。</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(10)考勤表从上月25日起计至本月的25日止，要求与工程进度报表同时上报，发包人将根据统计的缺席情况在进度款支付时进行相应罚款，且根据当月及多月到位情况对人员到位表现差的承包人进行批评、警告、直至扣除履约担保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（11）施工方不文明施工或存在安全隐患，发包方或委托监理方可以视情节严重程度直接采取500-2000元处罚，情节严重的采取停工整顿等必要的措施。造成损失的由施工方承担一切后果。</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96.6施工进度控制管理办法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(1)为确保本项目按计划完成，特制定本办法，供双方遵照执行。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(2)施工单位应按施工合同规定的工期，在开工建设前编制完善合理的总体施工进度计划，报监理工程师及发包人审批。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(3)施工单位在开工前或每季度前一个月的25日前，根据总体施工计划编制下一季度的施工计划报监理工程师及发包人审批。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(4)施工单位在开工前或每月的25日前，根据季度施工计划编制下一月度的施工计划报监理工程师及发包人审批。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施工单位在编制施工计划（年度、季度、月度）时，应充分考虑总工期、工程量、征地拆迁的影响等因素，使计划切实可行，能均衡地施工。工程实行建安计划管理，每月建安计划由发包人按承包人施工组织计划，根据施工实际情况于上月底前发出，每月25日前由发包人组织各相关部门对承包人执行本月建安计划的情况进行考核，非承包人原因的，未达到本月建安计划81%～95%的，发包人对承包人进行书面警告；未达到本月建安计划80%的，给予承包人一般违约责任处罚；每月建安计划累计达到两次一般违约责任的，按严重违约责任处罚。上月建安计划未完成的，必须在本月建安计划内完成。一般违约责任每次扣罚2000元，严重违约责任每次扣罚5000元。同时在当月的25日前编制下月的调整计划报监理工程师及发包人审批，确保调整后计划仍能按期完工。</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监理工程师及发包人代表负责对施工单位的施工计划和实际施工进度进行监督。如发现实际施工进度与施工计划存在较大偏差时，监理工程师及发包人代表有权要求施工单位增加人员、机械设备，以满足工程施工计划的需要，施工单位必须根据工程的实际进度情况，作出相应的补救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96.7对工程的照管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从施工队伍进场之日起，承包人应负责全面照管与维护本合同工程和将用于或安装在本合同工程中的材料、设备，直到本合同工程竣工并移交管养止。在承包人负责照管与维护期间，如果本合同工程或其组成部分，或将用于或安装在本合同工程中的材料、设备等发生损失或损害，不论出于什么原因（第31.1款规定的风险除外），承包人均应自费修复并须达到合同和相关规范的要求。</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由于施工质量缺陷或竣工资料不完善等承包人自身的原因，致使本合同工程在竣工验收后不能及时移交管养单位，则本合同工程照管与维护的全部责任仍由承包人承担。由于照管不当造成的损失，不论出于什么原因（第31.1款规定的风险除外）均全部由承包人承担。如果承包人不能按发包人的要求及时进行修复，则发包人有权委托其他有资质的施工单位来完成此项工作，所需的费用由承包人负责并从其结算价款中扣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承包人在缺陷责任期内，对收尾工程和用于修补缺陷的材料、设备、人员等仍然由承包人照管，如照管不当造成的损失亦全部由承包人承担。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96.8 分包和劳务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除合同另有规定外，出现下列情况的，监理工程师有权拒绝验收和计量，发包人有权拒绝支付或视承包人严重违约而终止合同收回该工程。</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(1)承包人将工程分包给不具备相应资质条件的单位；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(2)承包人将建设工程主体结构或关键性工作的施工分包给其他单位；</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(3)分包人将其承包的建设工程再行分包；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(4)承包人分包合同累计的工程总价超过该合同总价的30%部分。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若由于承包人的原因，承包人无法满足工程质量或工程进度的要求时，发包人在向承包人发出书面警告通知14天后，仍无改善，发包人有权对承包人部分工作量进行分包，交由其他承包人完成，承包人应无条件接受，否则发包人有权终止合同并没收履约担保金。调整部分的造价按发包人与其他承包人确认的分包单价和分包工程数量计算，并对承包人的合同价作相应调整。承包人应按发包人要求提供已有的临时设施（如便道、电力线路等）供分包人使用，承包人必须接受并不得为此要求增加任何费用。上述分包并不免除承包人对工程的管理和质量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有权监督承包人所有分包合同的执行情况，承包人须严格执行合同（包括分包合同）条款，不得拖欠工人工资及分包商工程款，发包人如发现或接到有关上述行为的投诉，有权直接向工人或分包商支付承包人拖欠款项，该笔款项由发包人从承包人应收工程款中如数扣回，承包人不得有异议。</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可以将劳务作业分包给具有劳务分包资质的劳务分包人，但承包人必须依法签订劳动合同，并将劳动合同报监理工程师备案。承包人和劳务分包人必须按照有关法律、法规和劳务合同按时支付劳务工资，落实各项劳动保护措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和监理工程师有权检查承包人使用农民工的管理工作，对不签订劳动合同、非法使用农民工、或者拖延和克扣农民工工资的，要予以纠正。若因上述原因造成劳务人员上访、纠纷等情况，承包人须承担一切经济和法律责任，发包人有权从工程款中加倍扣除并直接支付农民工工资，同时按国家有关法律、法规、规章的规定对承包人进行违约处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96.9 承包人违约金</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任何违约惩罚金，除合同另有规定外，均从发包人向承包人支付的工程款中直接扣除。除非合同另有规定，发包人向承包人开出的任何违约金将导致承包人最终的应得结算价款相应地减少。承包人必须完全接受此条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发包人按合同规定向承包人开出的任何和违约金的扣除时间会在发包人任何合适的任何计量月中扣除。发包人扣除违约金时间的延迟或滞后并不代表对承包人当时各种行为的认可。</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本项目所有承包人的违约金均由发包人掌握使用，可用于本项目的工程质量评比和劳动竞赛等各项奖励。</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96.10 工程移交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承包人应在工程项目移交前将场地清理干净，将无关机械设备及材料撤离现场，保证移交的工程项目环境洁净、安全卫生。</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于工程竣工验收合格后15天内按要求提供相关资料，整理汇编成工程移交手册，协助发包人尽快熟悉工程项目各部分、各系统（包括但不限于电梯、消防、空调、供水、供电、市政、管线、弱电等）的情况，为发包人的接收、使用、维护、管理做准备。移交手册包括但不限于以下内容：</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(1)工程项目各部分、各系统的工程概况；</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(2)工程项目全部的图纸及相关图纸清单；</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(3)工程项目的各承包商、主要材料设备供货商清单、联系人及电话；</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(4)各系统的设计功能、使用功能或使用说明；</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(5)电梯、空调、发电机等主要设备的运行参数；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(7)工程、材料、设备的保修书（包括保修内容、期限、联系人、电话等）；</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承包人应在进行移交准备工作的同时编写工程项目移交计划，并于以上准备工作完成后3天内组织发包人、承包人、监理、相关专业施工单位等进行工程项目移交：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1)按移交手册的资料清单移交图纸、资料；</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2)按移交手册的数量清单清点主要材料设备的数量；</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3)按移交手册的设计、使用功能说明进行必要的功能性试验（或组织各方参加政府指定机构、第三方检测机构进行的功能性试验）；</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4)按移交手册的说明进行系统的试运行（或组织各方参加政府指定机构、第三方检测机构进行的功能性试验），测试主要设备的运行参数；</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5)组织发包人、承包人、监理、养护单位各方对上述移交过程进行签认；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6)对移交过程中发现的质量问题进行记录并及时组织责任方进行维修，验收合格后重新组织移交；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7)对于某些在操作上有专门要求的机电系统（如消防、智能化等）按承包合同要求对发包单位人员进行培训。</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96.11 竣工档案的整理和移交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按照国家《城市建设档案管理规定》、《广州市城市建设档案管理办法》和发包人有关整理工程档案的要求，在工程施工期间及时收集、汇总、整理、编制竣工档案，并于工程竣工验收前按广州市建设工程档案整理与移交办法向发包人、城建档案馆完整移交如下竣工档案：</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(1)竣工文件资料、竣工图档案（原件）各一式四份；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(2)与本款（1）项内容相同的电子版档案一式二份；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(3)声像档案一式二份。</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移交竣工档案的时限：承包人应于工程竣工验收后15天内将竣工档案提交工程监理单位审查。经工程监理单位审查合格后，承包人应及时将竣工档案移交给发包人归档并同时移交有关归档的证明文件。发包人经审查合格的，应在收到竣工档案后10天内签署档案验收意见；不合格的，要求承包人限期补正，直至合格为止。</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电子版竣工图的编制，以发包人提供的电子版施工图为基础。承包人在移交竣工档案时，应一并移交发包人提供的电子版施工图。</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电子版施工图和电子版竣工图的知识产权归属发包人所有，非经发包人许可，承包人不得以任何方式复制、备份、转让和利用。否则，由此引起的任何纠纷和责任由承包人承担。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承包人应督促其工程分包单位及时做好竣工资料整理工作，于分包工程竣工验收后25天内将全部档案资料移交给承包人，由承包人汇总、归档，并在承包人移交竣工档案时一并移交。</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承包人不按时移交竣工档案，或者移交的竣工档案不完整且在发包人规定的期限内不补充完整的，承包人承担贰拾万元的违约金。同时，并不免除承包人完整移交竣工档案的义务。</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因承包人的原因致使发包人未能按照国家规定向政府有关部门移交工程竣工档案而受到经济处罚的，由承包人承担全额赔偿责任。</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96.12本合同中涉及的所有应由发包人支付的款项，包括但不限于工程预付款、安全文明施工费、进度款、合同实施过程中发生的工程变更、调整、竣工验收进行的结算、质量保证金、最终清算款等，均以第三方审计或财政评审审定的结果为准。</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96.13因非承包人原因影响工期的，工期顺延，但发包人不承担任何补偿或赔偿责任，有关风险费用承包人考虑在合同总价内。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96.14根据工程需要，发包人将采用工程项目管理系统软件通过计算机网络进行项目管理，对计算机网络管理的有关要求和配置，承包人应积极配合并无条件接受。工程项目管理系统软件使用费、维护费、培训费、系统管理费等由承包人承担，</w:t>
      </w:r>
    </w:p>
    <w:p>
      <w:pPr>
        <w:spacing w:before="96" w:line="300" w:lineRule="auto"/>
        <w:ind w:firstLine="420" w:firstLineChars="200"/>
        <w:jc w:val="left"/>
        <w:rPr>
          <w:rFonts w:ascii="宋体" w:hAnsi="宋体" w:cs="宋体"/>
          <w:color w:val="auto"/>
          <w:kern w:val="0"/>
          <w:szCs w:val="21"/>
          <w:highlight w:val="none"/>
        </w:rPr>
      </w:pPr>
      <w:r>
        <w:rPr>
          <w:rFonts w:hint="eastAsia" w:ascii="宋体" w:hAnsi="宋体" w:cs="宋体"/>
          <w:color w:val="auto"/>
          <w:kern w:val="0"/>
          <w:szCs w:val="21"/>
          <w:highlight w:val="none"/>
        </w:rPr>
        <w:t>96.15本合同通用条款和专用条款的约定，如与补充条款约定有不同之处，以补充条款约定为准。</w:t>
      </w: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br w:type="page"/>
      </w:r>
      <w:r>
        <w:rPr>
          <w:rFonts w:hint="eastAsia" w:ascii="宋体" w:hAnsi="宋体" w:cs="宋体"/>
          <w:bCs/>
          <w:color w:val="auto"/>
          <w:sz w:val="24"/>
          <w:highlight w:val="none"/>
        </w:rPr>
        <w:t>附件一</w:t>
      </w:r>
    </w:p>
    <w:p>
      <w:pPr>
        <w:autoSpaceDE w:val="0"/>
        <w:autoSpaceDN w:val="0"/>
        <w:adjustRightInd w:val="0"/>
        <w:spacing w:line="200" w:lineRule="exact"/>
        <w:jc w:val="left"/>
        <w:rPr>
          <w:rFonts w:ascii="宋体" w:hAnsi="宋体" w:cs="宋体"/>
          <w:b/>
          <w:bCs/>
          <w:color w:val="auto"/>
          <w:sz w:val="24"/>
          <w:highlight w:val="none"/>
        </w:rPr>
      </w:pPr>
    </w:p>
    <w:p>
      <w:pPr>
        <w:adjustRightInd w:val="0"/>
        <w:snapToGrid w:val="0"/>
        <w:spacing w:line="360" w:lineRule="auto"/>
        <w:jc w:val="center"/>
        <w:rPr>
          <w:rFonts w:ascii="宋体" w:hAnsi="宋体" w:cs="宋体"/>
          <w:b/>
          <w:color w:val="auto"/>
          <w:spacing w:val="32"/>
          <w:sz w:val="36"/>
          <w:szCs w:val="36"/>
          <w:highlight w:val="none"/>
        </w:rPr>
      </w:pPr>
      <w:r>
        <w:rPr>
          <w:rFonts w:hint="eastAsia" w:ascii="宋体" w:hAnsi="宋体" w:cs="宋体"/>
          <w:b/>
          <w:color w:val="auto"/>
          <w:spacing w:val="32"/>
          <w:sz w:val="36"/>
          <w:szCs w:val="36"/>
          <w:highlight w:val="none"/>
        </w:rPr>
        <w:t>工程质量保修书</w:t>
      </w:r>
    </w:p>
    <w:p>
      <w:pPr>
        <w:spacing w:line="360" w:lineRule="auto"/>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广东省农科资产经营有限公司</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adjustRightInd w:val="0"/>
        <w:snapToGrid w:val="0"/>
        <w:spacing w:line="360" w:lineRule="auto"/>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为保证 </w:t>
      </w:r>
      <w:r>
        <w:rPr>
          <w:rFonts w:hint="eastAsia" w:ascii="宋体" w:hAnsi="宋体" w:cs="宋体"/>
          <w:color w:val="auto"/>
          <w:szCs w:val="21"/>
          <w:highlight w:val="none"/>
          <w:u w:val="single"/>
        </w:rPr>
        <w:t xml:space="preserve">                            工程</w:t>
      </w:r>
      <w:r>
        <w:rPr>
          <w:rFonts w:hint="eastAsia" w:ascii="宋体" w:hAnsi="宋体" w:cs="宋体"/>
          <w:color w:val="auto"/>
          <w:szCs w:val="21"/>
          <w:highlight w:val="none"/>
        </w:rPr>
        <w:t>在合理使用期限内正常使用，合同双方当事人根据《中华人民共和国建筑法》、《建设工程质量管理条例》和《房屋建筑工程质量保修办法》等规定，经协商一致，订立本质量保修书。</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质量保修范围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范围包括地基基础工程、主体结构工程、屋面防水工程、有防水要求的卫生间、房间、外墙面的防渗漏工程、电气管线工程、给排水管道工程、设备安装工程、供热、供冷系统工程、装饰装修工程以及双方约定其他项目。具体质量保修范围，合同双方当事人约定如下：</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1．1承包人施工范围内的所有分部分项工程。                                                                                    </w:t>
      </w:r>
    </w:p>
    <w:p>
      <w:pPr>
        <w:numPr>
          <w:ilvl w:val="0"/>
          <w:numId w:val="34"/>
        </w:numPr>
        <w:adjustRightInd w:val="0"/>
        <w:snapToGrid w:val="0"/>
        <w:spacing w:line="360" w:lineRule="auto"/>
        <w:ind w:left="902" w:leftChars="200" w:hanging="482"/>
        <w:jc w:val="left"/>
        <w:rPr>
          <w:rFonts w:ascii="宋体" w:hAnsi="宋体" w:cs="宋体"/>
          <w:b/>
          <w:color w:val="auto"/>
          <w:szCs w:val="21"/>
          <w:highlight w:val="none"/>
        </w:rPr>
      </w:pPr>
      <w:r>
        <w:rPr>
          <w:rFonts w:hint="eastAsia" w:ascii="宋体" w:hAnsi="宋体" w:cs="宋体"/>
          <w:b/>
          <w:color w:val="auto"/>
          <w:szCs w:val="21"/>
          <w:highlight w:val="none"/>
        </w:rPr>
        <w:t>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2.1 质量保修期从工程实际竣工之日算起。单项竣工验收的工程，按单项工程分别计算质量保修期。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2.2 </w:t>
      </w:r>
      <w:r>
        <w:rPr>
          <w:rFonts w:hint="eastAsia" w:ascii="宋体" w:hAnsi="宋体" w:cs="宋体"/>
          <w:color w:val="auto"/>
          <w:kern w:val="0"/>
          <w:szCs w:val="21"/>
          <w:highlight w:val="none"/>
          <w:lang w:val="zh-CN"/>
        </w:rPr>
        <w:t>合同工程质量保修期，合同双方当事人约定如下</w:t>
      </w:r>
      <w:r>
        <w:rPr>
          <w:rFonts w:hint="eastAsia" w:ascii="宋体" w:hAnsi="宋体" w:cs="宋体"/>
          <w:color w:val="auto"/>
          <w:szCs w:val="21"/>
          <w:highlight w:val="none"/>
        </w:rPr>
        <w:t>：</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1．地基基础工程、主体结构工程为设计文件规定的合理使用年限；</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2．屋面防水工程、有防水要求的卫生间、房间和外墙面的防渗漏工程为</w:t>
      </w:r>
      <w:r>
        <w:rPr>
          <w:rFonts w:hint="eastAsia" w:ascii="宋体" w:hAnsi="宋体" w:cs="宋体"/>
          <w:color w:val="auto"/>
          <w:szCs w:val="21"/>
          <w:highlight w:val="none"/>
          <w:u w:val="single"/>
        </w:rPr>
        <w:t xml:space="preserve">   伍  </w:t>
      </w:r>
      <w:r>
        <w:rPr>
          <w:rFonts w:hint="eastAsia" w:ascii="宋体" w:hAnsi="宋体" w:cs="宋体"/>
          <w:color w:val="auto"/>
          <w:szCs w:val="21"/>
          <w:highlight w:val="none"/>
        </w:rPr>
        <w:t>年；</w:t>
      </w:r>
    </w:p>
    <w:p>
      <w:pPr>
        <w:adjustRightInd w:val="0"/>
        <w:snapToGrid w:val="0"/>
        <w:spacing w:line="360" w:lineRule="auto"/>
        <w:ind w:firstLine="210" w:firstLineChars="100"/>
        <w:jc w:val="left"/>
        <w:rPr>
          <w:rFonts w:ascii="宋体" w:hAnsi="宋体" w:cs="宋体"/>
          <w:color w:val="auto"/>
          <w:szCs w:val="21"/>
          <w:highlight w:val="none"/>
        </w:rPr>
      </w:pPr>
      <w:r>
        <w:rPr>
          <w:rFonts w:hint="eastAsia" w:ascii="宋体" w:hAnsi="宋体" w:cs="宋体"/>
          <w:color w:val="auto"/>
          <w:szCs w:val="21"/>
          <w:highlight w:val="none"/>
        </w:rPr>
        <w:t xml:space="preserve">  3．电气管线工程、给排水管道工程、设备安装工程为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4．供热、供冷系统工程为 </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个采暖期、供冷期；</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5．装饰装修工程为</w:t>
      </w:r>
      <w:r>
        <w:rPr>
          <w:rFonts w:hint="eastAsia" w:ascii="宋体" w:hAnsi="宋体" w:cs="宋体"/>
          <w:color w:val="auto"/>
          <w:szCs w:val="21"/>
          <w:highlight w:val="none"/>
          <w:u w:val="single"/>
        </w:rPr>
        <w:t xml:space="preserve">  贰      </w:t>
      </w:r>
      <w:r>
        <w:rPr>
          <w:rFonts w:hint="eastAsia" w:ascii="宋体" w:hAnsi="宋体" w:cs="宋体"/>
          <w:color w:val="auto"/>
          <w:szCs w:val="21"/>
          <w:highlight w:val="none"/>
        </w:rPr>
        <w:t>年；</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6．其他项目</w:t>
      </w:r>
      <w:r>
        <w:rPr>
          <w:rFonts w:hint="eastAsia" w:ascii="宋体" w:hAnsi="宋体" w:cs="宋体"/>
          <w:color w:val="auto"/>
          <w:szCs w:val="21"/>
          <w:highlight w:val="none"/>
          <w:u w:val="single"/>
        </w:rPr>
        <w:t xml:space="preserve">         贰年                          </w:t>
      </w:r>
      <w:r>
        <w:rPr>
          <w:rFonts w:hint="eastAsia" w:ascii="宋体" w:hAnsi="宋体" w:cs="宋体"/>
          <w:color w:val="auto"/>
          <w:szCs w:val="21"/>
          <w:highlight w:val="none"/>
        </w:rPr>
        <w:t>。</w:t>
      </w:r>
    </w:p>
    <w:p>
      <w:pPr>
        <w:adjustRightInd w:val="0"/>
        <w:snapToGrid w:val="0"/>
        <w:spacing w:line="360" w:lineRule="auto"/>
        <w:ind w:left="480"/>
        <w:jc w:val="left"/>
        <w:rPr>
          <w:rFonts w:ascii="宋体" w:hAnsi="宋体" w:cs="宋体"/>
          <w:color w:val="auto"/>
          <w:szCs w:val="21"/>
          <w:highlight w:val="none"/>
        </w:rPr>
      </w:pPr>
      <w:r>
        <w:rPr>
          <w:rFonts w:hint="eastAsia" w:ascii="宋体" w:hAnsi="宋体" w:cs="宋体"/>
          <w:color w:val="auto"/>
          <w:szCs w:val="21"/>
          <w:highlight w:val="none"/>
        </w:rPr>
        <w:t xml:space="preserve">3． </w:t>
      </w:r>
      <w:r>
        <w:rPr>
          <w:rFonts w:hint="eastAsia" w:ascii="宋体" w:hAnsi="宋体" w:cs="宋体"/>
          <w:b/>
          <w:color w:val="auto"/>
          <w:szCs w:val="21"/>
          <w:highlight w:val="none"/>
        </w:rPr>
        <w:t>质量保修责任</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 xml:space="preserve">3.1  </w:t>
      </w:r>
      <w:r>
        <w:rPr>
          <w:rFonts w:hint="eastAsia" w:ascii="宋体" w:hAnsi="宋体" w:cs="宋体"/>
          <w:color w:val="auto"/>
          <w:kern w:val="0"/>
          <w:szCs w:val="21"/>
          <w:highlight w:val="none"/>
          <w:lang w:val="zh-CN"/>
        </w:rPr>
        <w:t>属于保修范围的项目，承包人应在接到发包人通知后的3天内派人保修。承包人未能在规定时间内派人保修的，发包人人可自行或委托第三方维修，所需费用在质保金中扣除或由承包人偿还发包人已支付的维修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3.2  发生紧急抢修事故的，承包人在接到通知后，应立即到达事故现场抢修。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3.3  在国家规定的工程合理使用期限内，承包人应确保地基基础工程和主体结构的质量和安全。凡出现其质量问题，应立即报告当地建设行政主管部门，经设计人提出保修方案后，承包人应立即实施保修。</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3.4  质量保修完成后，由发包人组织验收。</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4．质量保修费用</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质量保修等费用，由责任方承担。</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5．质量保证金</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质量保证金的约定、支付和使用与本合同第三部分《专用条款》第84条赋予的规定一致。</w:t>
      </w:r>
    </w:p>
    <w:p>
      <w:pPr>
        <w:adjustRightInd w:val="0"/>
        <w:snapToGrid w:val="0"/>
        <w:spacing w:line="360" w:lineRule="auto"/>
        <w:ind w:left="480"/>
        <w:jc w:val="left"/>
        <w:rPr>
          <w:rFonts w:ascii="宋体" w:hAnsi="宋体" w:cs="宋体"/>
          <w:b/>
          <w:color w:val="auto"/>
          <w:szCs w:val="21"/>
          <w:highlight w:val="none"/>
        </w:rPr>
      </w:pPr>
      <w:r>
        <w:rPr>
          <w:rFonts w:hint="eastAsia" w:ascii="宋体" w:hAnsi="宋体" w:cs="宋体"/>
          <w:b/>
          <w:color w:val="auto"/>
          <w:szCs w:val="21"/>
          <w:highlight w:val="none"/>
        </w:rPr>
        <w:t>6．其他</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6.1 合同双方当事人约定的其他质量保修事项：</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6.2 本质量保修书，由合同双方当事人在承包人向发包人提交竣工验收申请报告时签署，作为本合同的附件。</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6.3 本质量保修书，自合同双方当事人签署之日起生效，至质量保修期满后失效。</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adjustRightInd w:val="0"/>
        <w:snapToGrid w:val="0"/>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法定代表人：（签字）                     法定代表人：（签字）</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联系电话：                              联系电话：</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年   月     日                           年    月    日</w:t>
      </w:r>
    </w:p>
    <w:p>
      <w:pPr>
        <w:adjustRightInd w:val="0"/>
        <w:snapToGrid w:val="0"/>
        <w:spacing w:line="360" w:lineRule="auto"/>
        <w:ind w:firstLine="420" w:firstLineChars="200"/>
        <w:jc w:val="left"/>
        <w:rPr>
          <w:rFonts w:ascii="宋体" w:hAnsi="宋体" w:cs="宋体"/>
          <w:color w:val="auto"/>
          <w:szCs w:val="21"/>
          <w:highlight w:val="none"/>
        </w:rPr>
      </w:pPr>
    </w:p>
    <w:p>
      <w:pPr>
        <w:adjustRightInd w:val="0"/>
        <w:snapToGrid w:val="0"/>
        <w:spacing w:line="360" w:lineRule="auto"/>
        <w:ind w:firstLine="480" w:firstLineChars="200"/>
        <w:jc w:val="left"/>
        <w:rPr>
          <w:rFonts w:ascii="宋体" w:hAnsi="宋体" w:cs="宋体"/>
          <w:color w:val="auto"/>
          <w:sz w:val="24"/>
          <w:highlight w:val="none"/>
        </w:rPr>
      </w:pPr>
    </w:p>
    <w:p>
      <w:pPr>
        <w:autoSpaceDE w:val="0"/>
        <w:autoSpaceDN w:val="0"/>
        <w:adjustRightInd w:val="0"/>
        <w:spacing w:line="240" w:lineRule="exact"/>
        <w:ind w:left="4852" w:right="4940"/>
        <w:jc w:val="left"/>
        <w:rPr>
          <w:rFonts w:ascii="宋体" w:hAnsi="宋体" w:cs="宋体"/>
          <w:bCs/>
          <w:color w:val="auto"/>
          <w:sz w:val="24"/>
          <w:highlight w:val="none"/>
        </w:rPr>
        <w:sectPr>
          <w:headerReference r:id="rId18" w:type="default"/>
          <w:footerReference r:id="rId19" w:type="default"/>
          <w:endnotePr>
            <w:numFmt w:val="decimal"/>
          </w:endnotePr>
          <w:pgSz w:w="11920" w:h="16840"/>
          <w:pgMar w:top="1134" w:right="1134" w:bottom="567" w:left="1134" w:header="851" w:footer="851" w:gutter="0"/>
          <w:cols w:space="720" w:num="1"/>
          <w:docGrid w:type="lines" w:linePitch="312" w:charSpace="0"/>
        </w:sectPr>
      </w:pPr>
    </w:p>
    <w:p>
      <w:pPr>
        <w:autoSpaceDE w:val="0"/>
        <w:autoSpaceDN w:val="0"/>
        <w:adjustRightInd w:val="0"/>
        <w:spacing w:line="360" w:lineRule="exact"/>
        <w:jc w:val="left"/>
        <w:rPr>
          <w:rFonts w:ascii="宋体" w:hAnsi="宋体" w:cs="宋体"/>
          <w:bCs/>
          <w:color w:val="auto"/>
          <w:sz w:val="24"/>
          <w:highlight w:val="none"/>
        </w:rPr>
      </w:pPr>
      <w:r>
        <w:rPr>
          <w:rFonts w:hint="eastAsia" w:ascii="宋体" w:hAnsi="宋体" w:cs="宋体"/>
          <w:bCs/>
          <w:color w:val="auto"/>
          <w:sz w:val="24"/>
          <w:highlight w:val="none"/>
        </w:rPr>
        <w:t>附件二</w:t>
      </w:r>
    </w:p>
    <w:p>
      <w:pPr>
        <w:autoSpaceDE w:val="0"/>
        <w:autoSpaceDN w:val="0"/>
        <w:adjustRightInd w:val="0"/>
        <w:spacing w:line="200" w:lineRule="exact"/>
        <w:jc w:val="left"/>
        <w:rPr>
          <w:rFonts w:ascii="宋体" w:hAnsi="宋体" w:cs="宋体"/>
          <w:bCs/>
          <w:color w:val="auto"/>
          <w:sz w:val="24"/>
          <w:highlight w:val="none"/>
        </w:rPr>
      </w:pPr>
    </w:p>
    <w:p>
      <w:pPr>
        <w:spacing w:line="360" w:lineRule="auto"/>
        <w:jc w:val="center"/>
        <w:rPr>
          <w:rFonts w:ascii="宋体" w:hAnsi="宋体" w:cs="宋体"/>
          <w:b/>
          <w:color w:val="auto"/>
          <w:sz w:val="36"/>
          <w:szCs w:val="36"/>
          <w:highlight w:val="none"/>
        </w:rPr>
      </w:pPr>
      <w:r>
        <w:rPr>
          <w:rFonts w:hint="eastAsia" w:ascii="宋体" w:hAnsi="宋体" w:cs="宋体"/>
          <w:b/>
          <w:color w:val="auto"/>
          <w:sz w:val="36"/>
          <w:szCs w:val="36"/>
          <w:highlight w:val="none"/>
        </w:rPr>
        <w:t>廉 政 合 同</w:t>
      </w:r>
    </w:p>
    <w:p>
      <w:pPr>
        <w:spacing w:line="360" w:lineRule="auto"/>
        <w:jc w:val="left"/>
        <w:rPr>
          <w:rFonts w:ascii="宋体" w:hAnsi="宋体" w:cs="宋体"/>
          <w:color w:val="auto"/>
          <w:sz w:val="24"/>
          <w:highlight w:val="none"/>
        </w:rPr>
      </w:pP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发包人:（全称）</w:t>
      </w:r>
      <w:r>
        <w:rPr>
          <w:rFonts w:hint="eastAsia" w:ascii="宋体" w:hAnsi="宋体" w:cs="宋体"/>
          <w:color w:val="auto"/>
          <w:szCs w:val="21"/>
          <w:highlight w:val="none"/>
          <w:u w:val="single"/>
          <w:lang w:eastAsia="zh-CN"/>
        </w:rPr>
        <w:t>广东省农科资产经营有限公司</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r>
        <w:rPr>
          <w:rFonts w:hint="eastAsia" w:ascii="宋体" w:hAnsi="宋体" w:cs="宋体"/>
          <w:color w:val="auto"/>
          <w:szCs w:val="21"/>
          <w:highlight w:val="none"/>
        </w:rPr>
        <w:t>承包人:（全称）</w:t>
      </w:r>
      <w:r>
        <w:rPr>
          <w:rFonts w:hint="eastAsia" w:ascii="宋体" w:hAnsi="宋体" w:cs="宋体"/>
          <w:color w:val="auto"/>
          <w:szCs w:val="21"/>
          <w:highlight w:val="none"/>
          <w:u w:val="single"/>
        </w:rPr>
        <w:t xml:space="preserve">                   </w:t>
      </w:r>
    </w:p>
    <w:p>
      <w:pPr>
        <w:spacing w:line="360" w:lineRule="auto"/>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kern w:val="0"/>
          <w:szCs w:val="21"/>
          <w:highlight w:val="none"/>
          <w:lang w:val="zh-CN"/>
        </w:rPr>
        <w:t>根据国家、省有关廉政建设的规定，为做好合同工程的廉政建设，保证工程质量与施工安全，提高建设资金的有效使用和投资效益，合同双方当事人就加强合同工程的廉政建设，订立本合同</w:t>
      </w:r>
      <w:r>
        <w:rPr>
          <w:rFonts w:hint="eastAsia" w:ascii="宋体" w:hAnsi="宋体" w:cs="宋体"/>
          <w:color w:val="auto"/>
          <w:szCs w:val="21"/>
          <w:highlight w:val="none"/>
        </w:rPr>
        <w:t>。</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1  双方权利和义务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1.1 严格遵守国家、省有关法律法规的规定。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1.2 严格执行合同工程一切合同文件，自觉按合同办事。</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1.3 合同双方当事人的业务活动应坚持公平、公开、公正和诚信的原则（法律认定的商业 秘密和合同文件另有规定除外），不得损害国家和集体利益，不得违反工程建设管理规章制度。</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1.4 建立健全廉政制度，开展廉政教育，设立廉政告示牌，公布举报电话，监督并认真查处违法违纪行为。</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1.5 发现对方在业务活动中有违反廉政建设规定的行为，应及时给予提醒和纠正。</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1.6 发现对方严重违反合同的行为，有向其上级部门举报、建议给予处理并要求告知处理结果的权利。没有上级部门的，可按本合同第二部分《通用条款》第87条规定处。</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2  发包人义务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2.1 发包人及其工作人员不得索要或接受承包人的礼金、有价证券和贵重物品，不得在承包人报销任何应由发包人或工作人员个人支付的费用等。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2.2 发包人及其工作人员不得参加承包人安排的宴请（工作餐除外）和娱乐活动；不得接受承包人提供的通讯工具、交通工具和高档办公用品等。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2.3 发包人及其工作人员不得要求或者接受承包人为其住房装修、婚丧嫁娶活动、配偶子女的工作安排以及出国出境、旅游等提供方便等。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2.4 发包人及其工作人员不得以任何理由向承包人推荐分包人、推销材料和工程设备，不得要求承包人购买合同以外的材料和工程设备。</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2.5 发包人及其工作人员要秉公办事，不准营私舞弊，不准利用职权私自为合同工程安排施工队伍，也不得从事与合同工程有关的各种有偿中介活动。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2.6 发包人及其工作人员（含其配偶、子女）不得从事与合同工程有关的材料和工程设备供应、工程分包、劳务等经济活动。</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3  承包人义务</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3.1 承包人不得以任何理由向发包人及其工作人员行贿或馈赠礼金、有价证券、贵重礼品。</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3.2 承包人不得以任何名义为发包人及其工作人员报销应由发包人或工作人员个人支付的任何费用。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3.3 承包人不得以任何理由安排发包人及其工作人员参加宴请（工作餐除外）及娱乐活动。</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3.4 承包人不得为发包人和个人购置或提供通讯工具、交通工具和高档办公用品等。</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3.5 承包人不得为发包人及其工作人员的住房装修、婚丧嫁娶活动、配偶子女工作安排以及出国出境、旅游等提供方便。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4  违约责任</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4.1 发包人及其工作人员违反本合同第1条和第2条规定，应依据有关规定给予廉政建设规定的处分；涉嫌犯罪的，移交司法机关追究刑事责任；给承包人造成经济损失的，应予赔偿。</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4.2 承包人及其工作人员违反本合同第1条和第3条规定，应按照廉政建设的有关规定给予处分；情节严重的，给予承包人1～3年内不得进入工程建设市场的处罚；涉嫌犯罪的，移交司法机关追究刑事责任；给发包人造成损失的，应予赔偿；</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5  双方约定</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本合同由合同双方当事人或其上级部门负责监督执行，并由合同双方当事人或其上级部门相互约请对本合同执行情况进行检查。</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6  合同法律效力</w:t>
      </w:r>
    </w:p>
    <w:p>
      <w:pPr>
        <w:spacing w:line="360" w:lineRule="auto"/>
        <w:ind w:firstLine="420" w:firstLineChars="200"/>
        <w:jc w:val="left"/>
        <w:rPr>
          <w:rFonts w:ascii="宋体" w:hAnsi="宋体" w:cs="宋体"/>
          <w:color w:val="auto"/>
          <w:kern w:val="0"/>
          <w:szCs w:val="21"/>
          <w:highlight w:val="none"/>
          <w:lang w:val="zh-CN"/>
        </w:rPr>
      </w:pPr>
      <w:r>
        <w:rPr>
          <w:rFonts w:hint="eastAsia" w:ascii="宋体" w:hAnsi="宋体" w:cs="宋体"/>
          <w:color w:val="auto"/>
          <w:kern w:val="0"/>
          <w:szCs w:val="21"/>
          <w:highlight w:val="none"/>
          <w:lang w:val="zh-CN"/>
        </w:rPr>
        <w:t>本合同作为（工程名称）工程施工合同的附件，与施工合同具有同等的法律效力。</w:t>
      </w:r>
    </w:p>
    <w:p>
      <w:pPr>
        <w:spacing w:line="360" w:lineRule="auto"/>
        <w:ind w:firstLine="358" w:firstLineChars="170"/>
        <w:jc w:val="left"/>
        <w:rPr>
          <w:rFonts w:ascii="宋体" w:hAnsi="宋体" w:cs="宋体"/>
          <w:b/>
          <w:bCs/>
          <w:color w:val="auto"/>
          <w:szCs w:val="21"/>
          <w:highlight w:val="none"/>
        </w:rPr>
      </w:pPr>
      <w:r>
        <w:rPr>
          <w:rFonts w:hint="eastAsia" w:ascii="宋体" w:hAnsi="宋体" w:cs="宋体"/>
          <w:b/>
          <w:bCs/>
          <w:color w:val="auto"/>
          <w:szCs w:val="21"/>
          <w:highlight w:val="none"/>
        </w:rPr>
        <w:t>7  合同份数</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本合同一式份，合同双方当事人各执份。有上级部门的，合同双方当事人应送交其上级部门各一份。</w:t>
      </w:r>
    </w:p>
    <w:p>
      <w:pPr>
        <w:spacing w:line="360" w:lineRule="auto"/>
        <w:ind w:firstLine="420" w:firstLineChars="200"/>
        <w:jc w:val="left"/>
        <w:rPr>
          <w:rFonts w:ascii="宋体" w:hAnsi="宋体" w:cs="宋体"/>
          <w:color w:val="auto"/>
          <w:szCs w:val="21"/>
          <w:highlight w:val="none"/>
        </w:rPr>
      </w:pP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发 包 人：（盖章）                     承 包 人：（盖章）</w:t>
      </w:r>
    </w:p>
    <w:p>
      <w:pPr>
        <w:spacing w:line="360" w:lineRule="auto"/>
        <w:ind w:firstLine="420" w:firstLineChars="200"/>
        <w:jc w:val="left"/>
        <w:rPr>
          <w:rFonts w:ascii="宋体" w:hAnsi="宋体" w:cs="宋体"/>
          <w:color w:val="auto"/>
          <w:szCs w:val="21"/>
          <w:highlight w:val="none"/>
        </w:rPr>
      </w:pPr>
      <w:r>
        <w:rPr>
          <w:rFonts w:hint="eastAsia" w:ascii="宋体" w:hAnsi="宋体" w:cs="宋体"/>
          <w:color w:val="auto"/>
          <w:szCs w:val="21"/>
          <w:highlight w:val="none"/>
        </w:rPr>
        <w:t>法定代表人（负责人）：（签字）          法定代表人（负责人）：（签字）</w:t>
      </w:r>
    </w:p>
    <w:p>
      <w:pPr>
        <w:spacing w:line="360" w:lineRule="auto"/>
        <w:ind w:firstLine="420" w:firstLineChars="200"/>
        <w:jc w:val="left"/>
        <w:rPr>
          <w:rFonts w:ascii="宋体" w:hAnsi="宋体" w:cs="宋体"/>
          <w:color w:val="auto"/>
          <w:szCs w:val="21"/>
          <w:highlight w:val="none"/>
          <w:u w:val="single"/>
        </w:rPr>
      </w:pPr>
      <w:r>
        <w:rPr>
          <w:rFonts w:hint="eastAsia" w:ascii="宋体" w:hAnsi="宋体" w:cs="宋体"/>
          <w:color w:val="auto"/>
          <w:szCs w:val="21"/>
          <w:highlight w:val="none"/>
        </w:rPr>
        <w:t>联系电话：                            联系电话：</w:t>
      </w:r>
    </w:p>
    <w:p>
      <w:pPr>
        <w:spacing w:line="360" w:lineRule="auto"/>
        <w:ind w:firstLine="480" w:firstLineChars="200"/>
        <w:jc w:val="left"/>
        <w:rPr>
          <w:rFonts w:hint="eastAsia" w:asciiTheme="minorEastAsia" w:hAnsiTheme="minorEastAsia" w:eastAsiaTheme="minorEastAsia" w:cstheme="minorEastAsia"/>
          <w:color w:val="auto"/>
          <w:sz w:val="24"/>
          <w:highlight w:val="none"/>
        </w:rPr>
      </w:pPr>
    </w:p>
    <w:p>
      <w:pPr>
        <w:spacing w:line="360" w:lineRule="auto"/>
        <w:ind w:firstLine="480" w:firstLineChars="200"/>
        <w:jc w:val="left"/>
        <w:rPr>
          <w:rFonts w:ascii="宋体" w:hAnsi="宋体" w:cs="宋体"/>
          <w:color w:val="auto"/>
          <w:sz w:val="24"/>
          <w:highlight w:val="none"/>
        </w:rPr>
      </w:pPr>
    </w:p>
    <w:p>
      <w:pPr>
        <w:spacing w:line="360" w:lineRule="auto"/>
        <w:ind w:firstLine="480" w:firstLineChars="200"/>
        <w:jc w:val="left"/>
        <w:rPr>
          <w:rFonts w:ascii="宋体" w:hAnsi="宋体" w:cs="宋体"/>
          <w:color w:val="auto"/>
          <w:sz w:val="24"/>
          <w:highlight w:val="none"/>
        </w:rPr>
      </w:pPr>
    </w:p>
    <w:bookmarkEnd w:id="285"/>
    <w:bookmarkEnd w:id="286"/>
    <w:p>
      <w:pPr>
        <w:spacing w:line="360" w:lineRule="auto"/>
        <w:ind w:firstLine="480" w:firstLineChars="200"/>
        <w:jc w:val="left"/>
        <w:rPr>
          <w:rFonts w:ascii="宋体" w:hAnsi="宋体" w:cs="宋体"/>
          <w:color w:val="auto"/>
          <w:sz w:val="24"/>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autoSpaceDE w:val="0"/>
        <w:autoSpaceDN w:val="0"/>
        <w:adjustRightInd w:val="0"/>
        <w:spacing w:line="360" w:lineRule="exact"/>
        <w:jc w:val="left"/>
        <w:rPr>
          <w:rFonts w:ascii="宋体" w:hAnsi="宋体" w:cs="宋体"/>
          <w:color w:val="auto"/>
          <w:szCs w:val="22"/>
          <w:highlight w:val="none"/>
        </w:rPr>
      </w:pPr>
    </w:p>
    <w:p>
      <w:pPr>
        <w:spacing w:line="360" w:lineRule="auto"/>
        <w:rPr>
          <w:rFonts w:ascii="宋体" w:hAnsi="宋体" w:cs="宋体"/>
          <w:color w:val="auto"/>
          <w:kern w:val="0"/>
          <w:szCs w:val="21"/>
          <w:highlight w:val="none"/>
        </w:rPr>
      </w:pPr>
    </w:p>
    <w:p>
      <w:pPr>
        <w:rPr>
          <w:rFonts w:ascii="宋体" w:hAnsi="宋体" w:cs="宋体"/>
          <w:color w:val="auto"/>
          <w:kern w:val="0"/>
          <w:szCs w:val="21"/>
          <w:highlight w:val="none"/>
        </w:rPr>
      </w:pPr>
      <w:r>
        <w:rPr>
          <w:rFonts w:ascii="宋体" w:hAnsi="宋体" w:cs="宋体"/>
          <w:color w:val="auto"/>
          <w:kern w:val="0"/>
          <w:szCs w:val="21"/>
          <w:highlight w:val="none"/>
        </w:rPr>
        <w:br w:type="page"/>
      </w: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46"/>
        <w:rPr>
          <w:rFonts w:ascii="宋体" w:hAnsi="宋体" w:cs="宋体"/>
          <w:color w:val="auto"/>
          <w:kern w:val="0"/>
          <w:szCs w:val="21"/>
          <w:highlight w:val="none"/>
        </w:rPr>
      </w:pPr>
    </w:p>
    <w:p>
      <w:pPr>
        <w:pStyle w:val="47"/>
        <w:rPr>
          <w:rFonts w:ascii="宋体" w:hAnsi="宋体" w:cs="宋体"/>
          <w:color w:val="auto"/>
          <w:kern w:val="0"/>
          <w:szCs w:val="21"/>
          <w:highlight w:val="none"/>
        </w:rPr>
      </w:pPr>
    </w:p>
    <w:p>
      <w:pPr>
        <w:pStyle w:val="47"/>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spacing w:line="360" w:lineRule="auto"/>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pStyle w:val="2"/>
        <w:rPr>
          <w:rFonts w:ascii="宋体" w:hAnsi="宋体" w:cs="宋体"/>
          <w:color w:val="auto"/>
          <w:kern w:val="0"/>
          <w:szCs w:val="21"/>
          <w:highlight w:val="none"/>
        </w:rPr>
      </w:pPr>
    </w:p>
    <w:p>
      <w:pPr>
        <w:spacing w:line="360" w:lineRule="auto"/>
        <w:rPr>
          <w:rFonts w:ascii="宋体" w:hAnsi="宋体"/>
          <w:color w:val="auto"/>
          <w:szCs w:val="21"/>
          <w:highlight w:val="none"/>
        </w:rPr>
      </w:pPr>
      <w:bookmarkStart w:id="325" w:name="OLE_LINK4"/>
    </w:p>
    <w:p>
      <w:pPr>
        <w:pStyle w:val="4"/>
        <w:autoSpaceDE w:val="0"/>
        <w:rPr>
          <w:b w:val="0"/>
          <w:bCs w:val="0"/>
          <w:color w:val="auto"/>
          <w:sz w:val="44"/>
          <w:highlight w:val="none"/>
        </w:rPr>
      </w:pPr>
      <w:bookmarkStart w:id="326" w:name="_Toc475104528"/>
      <w:r>
        <w:rPr>
          <w:rFonts w:hint="eastAsia"/>
          <w:color w:val="auto"/>
          <w:sz w:val="44"/>
          <w:highlight w:val="none"/>
        </w:rPr>
        <w:t>第五章 评分体系与标准</w:t>
      </w:r>
      <w:bookmarkEnd w:id="326"/>
    </w:p>
    <w:p>
      <w:pPr>
        <w:spacing w:line="360" w:lineRule="auto"/>
        <w:ind w:firstLine="2164" w:firstLineChars="490"/>
        <w:rPr>
          <w:rFonts w:ascii="宋体" w:hAnsi="宋体"/>
          <w:b/>
          <w:bCs/>
          <w:color w:val="auto"/>
          <w:sz w:val="44"/>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27" w:name="_Toc475104529"/>
      <w:bookmarkStart w:id="328" w:name="_Toc42394513"/>
      <w:bookmarkStart w:id="329" w:name="_Toc98580289"/>
      <w:bookmarkStart w:id="330" w:name="_Toc98579007"/>
      <w:bookmarkStart w:id="331" w:name="_Toc101775128"/>
      <w:bookmarkStart w:id="332" w:name="_Toc98579606"/>
      <w:bookmarkStart w:id="333" w:name="_Toc98579065"/>
      <w:bookmarkStart w:id="334" w:name="_Toc101843128"/>
      <w:bookmarkStart w:id="335" w:name="_Toc101771375"/>
      <w:bookmarkStart w:id="336" w:name="_Toc101951266"/>
      <w:bookmarkStart w:id="337" w:name="_Toc264203535"/>
      <w:bookmarkStart w:id="338" w:name="_Toc50276153"/>
      <w:bookmarkStart w:id="339" w:name="_Toc42394669"/>
      <w:bookmarkStart w:id="340" w:name="_Toc41723931"/>
      <w:bookmarkStart w:id="341" w:name="_Toc42313167"/>
      <w:bookmarkStart w:id="342" w:name="_Toc41884701"/>
      <w:bookmarkStart w:id="343" w:name="_Toc131922503"/>
      <w:bookmarkStart w:id="344" w:name="_Toc95249607"/>
      <w:bookmarkStart w:id="345" w:name="_Toc67911942"/>
      <w:bookmarkStart w:id="346" w:name="_Toc101553556"/>
      <w:bookmarkStart w:id="347" w:name="_Toc108243616"/>
      <w:bookmarkStart w:id="348" w:name="_Toc66722112"/>
      <w:bookmarkStart w:id="349" w:name="_Toc131904930"/>
      <w:bookmarkStart w:id="350" w:name="_Toc113277292"/>
      <w:bookmarkStart w:id="351" w:name="_Toc104902929"/>
      <w:bookmarkStart w:id="352" w:name="_Toc124401382"/>
      <w:bookmarkStart w:id="353" w:name="_Toc150050902"/>
      <w:bookmarkStart w:id="354" w:name="_Toc124570687"/>
      <w:bookmarkStart w:id="355" w:name="_Toc148420070"/>
      <w:bookmarkStart w:id="356" w:name="_Toc169334816"/>
      <w:bookmarkStart w:id="357" w:name="_Toc35834934"/>
      <w:bookmarkStart w:id="358" w:name="_Toc148060906"/>
      <w:bookmarkStart w:id="359" w:name="_Toc68620012"/>
      <w:bookmarkStart w:id="360" w:name="_Toc125770208"/>
      <w:bookmarkStart w:id="361" w:name="_Toc108001800"/>
      <w:bookmarkStart w:id="362" w:name="_Toc104874465"/>
      <w:bookmarkStart w:id="363" w:name="_Toc34535380"/>
      <w:bookmarkStart w:id="364" w:name="_Toc95304223"/>
      <w:bookmarkStart w:id="365" w:name="_Toc28489533"/>
      <w:bookmarkStart w:id="366" w:name="_Toc101553661"/>
      <w:bookmarkStart w:id="367" w:name="_Toc138568672"/>
      <w:bookmarkStart w:id="368" w:name="_Toc28142601"/>
      <w:bookmarkStart w:id="369" w:name="_Toc102211724"/>
      <w:bookmarkStart w:id="370" w:name="_Toc138506092"/>
      <w:bookmarkStart w:id="371" w:name="_Toc124646434"/>
      <w:r>
        <w:rPr>
          <w:rFonts w:hint="eastAsia" w:ascii="宋体" w:hAnsi="宋体"/>
          <w:bCs/>
          <w:color w:val="auto"/>
          <w:szCs w:val="21"/>
          <w:highlight w:val="none"/>
        </w:rPr>
        <w:t>本评审办法采用综合评分法。</w:t>
      </w:r>
      <w:bookmarkEnd w:id="327"/>
    </w:p>
    <w:p>
      <w:pPr>
        <w:numPr>
          <w:ilvl w:val="0"/>
          <w:numId w:val="35"/>
        </w:numPr>
        <w:autoSpaceDE w:val="0"/>
        <w:autoSpaceDN w:val="0"/>
        <w:adjustRightInd w:val="0"/>
        <w:snapToGrid w:val="0"/>
        <w:spacing w:line="360" w:lineRule="auto"/>
        <w:outlineLvl w:val="0"/>
        <w:rPr>
          <w:rFonts w:ascii="宋体" w:cs="宋体"/>
          <w:color w:val="auto"/>
          <w:highlight w:val="none"/>
        </w:rPr>
      </w:pPr>
      <w:bookmarkStart w:id="372" w:name="_Toc475104530"/>
      <w:bookmarkStart w:id="373" w:name="_Toc475104531"/>
      <w:r>
        <w:rPr>
          <w:rFonts w:hint="eastAsia" w:ascii="宋体" w:hAnsi="宋体" w:cs="宋体"/>
          <w:color w:val="auto"/>
          <w:szCs w:val="21"/>
          <w:highlight w:val="none"/>
          <w:lang w:eastAsia="zh-TW"/>
        </w:rPr>
        <w:t>本次招标依法组建评标委员会。评标委员会由采购人的代表和从政府采购专家库随机抽取的专家组成，如采购人不派代表参加评审，则评标委员会全部由从政府采购专家库随机抽取的专家组成。评标委员会将本着公平、公正、科学、择优的原则，严格按照法律法规和招标文件设定的程序和规则推荐评审结果</w:t>
      </w:r>
      <w:r>
        <w:rPr>
          <w:rFonts w:hint="eastAsia" w:ascii="宋体" w:hAnsi="宋体" w:cs="宋体"/>
          <w:color w:val="auto"/>
          <w:szCs w:val="21"/>
          <w:highlight w:val="none"/>
        </w:rPr>
        <w:t>；</w:t>
      </w:r>
    </w:p>
    <w:p>
      <w:pPr>
        <w:numPr>
          <w:ilvl w:val="0"/>
          <w:numId w:val="35"/>
        </w:numPr>
        <w:autoSpaceDE w:val="0"/>
        <w:autoSpaceDN w:val="0"/>
        <w:adjustRightInd w:val="0"/>
        <w:snapToGrid w:val="0"/>
        <w:spacing w:line="360" w:lineRule="auto"/>
        <w:outlineLvl w:val="0"/>
        <w:rPr>
          <w:rFonts w:ascii="宋体" w:cs="宋体"/>
          <w:color w:val="auto"/>
          <w:highlight w:val="none"/>
        </w:rPr>
      </w:pPr>
      <w:r>
        <w:rPr>
          <w:rFonts w:hint="eastAsia" w:ascii="宋体" w:cs="宋体"/>
          <w:color w:val="auto"/>
          <w:highlight w:val="none"/>
        </w:rPr>
        <w:t>通过资格性和符合性检查的有效供应商方有资格提交最后报价及进行技术、商务及价格的详细评审，最后磋商小组出具竞争性磋商报告。</w:t>
      </w:r>
      <w:bookmarkEnd w:id="372"/>
    </w:p>
    <w:bookmarkEnd w:id="328"/>
    <w:bookmarkEnd w:id="329"/>
    <w:bookmarkEnd w:id="330"/>
    <w:bookmarkEnd w:id="331"/>
    <w:bookmarkEnd w:id="332"/>
    <w:bookmarkEnd w:id="333"/>
    <w:bookmarkEnd w:id="334"/>
    <w:bookmarkEnd w:id="335"/>
    <w:bookmarkEnd w:id="336"/>
    <w:bookmarkEnd w:id="337"/>
    <w:bookmarkEnd w:id="338"/>
    <w:bookmarkEnd w:id="339"/>
    <w:bookmarkEnd w:id="373"/>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bookmarkStart w:id="374" w:name="_Toc475104532"/>
      <w:r>
        <w:rPr>
          <w:rFonts w:hint="eastAsia" w:ascii="宋体" w:cs="宋体"/>
          <w:color w:val="auto"/>
          <w:highlight w:val="none"/>
        </w:rPr>
        <w:t>按照评审程序、评分标准以及权重分配的规定，磋商小组各成员分别就各个</w:t>
      </w:r>
      <w:r>
        <w:rPr>
          <w:rFonts w:hint="eastAsia" w:ascii="宋体" w:hAnsi="宋体"/>
          <w:bCs/>
          <w:color w:val="auto"/>
          <w:highlight w:val="none"/>
        </w:rPr>
        <w:t>供应商</w:t>
      </w:r>
      <w:r>
        <w:rPr>
          <w:rFonts w:hint="eastAsia" w:ascii="宋体" w:cs="宋体"/>
          <w:color w:val="auto"/>
          <w:highlight w:val="none"/>
        </w:rPr>
        <w:t>的技术状况、商务状况及其对竞争性磋商文件要求的响应情况进行评议和比较，评出其</w:t>
      </w:r>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cs="宋体"/>
          <w:color w:val="auto"/>
          <w:highlight w:val="none"/>
        </w:rPr>
        <w:t>评分、价格评分相加得出其综合得分。</w:t>
      </w:r>
    </w:p>
    <w:p>
      <w:pPr>
        <w:numPr>
          <w:ilvl w:val="0"/>
          <w:numId w:val="35"/>
        </w:numPr>
        <w:autoSpaceDE w:val="0"/>
        <w:autoSpaceDN w:val="0"/>
        <w:adjustRightInd w:val="0"/>
        <w:snapToGrid w:val="0"/>
        <w:spacing w:line="360" w:lineRule="auto"/>
        <w:outlineLvl w:val="0"/>
        <w:rPr>
          <w:rFonts w:ascii="宋体" w:hAnsi="宋体"/>
          <w:bCs/>
          <w:color w:val="auto"/>
          <w:szCs w:val="21"/>
          <w:highlight w:val="none"/>
        </w:rPr>
      </w:pPr>
      <w:r>
        <w:rPr>
          <w:rFonts w:hint="eastAsia" w:ascii="宋体" w:hAnsi="宋体"/>
          <w:color w:val="auto"/>
          <w:szCs w:val="21"/>
          <w:highlight w:val="none"/>
        </w:rPr>
        <w:t>评标以竞争性磋商文件规定的条件为依据。评分比重如下：</w:t>
      </w:r>
      <w:bookmarkEnd w:id="374"/>
    </w:p>
    <w:tbl>
      <w:tblPr>
        <w:tblStyle w:val="90"/>
        <w:tblpPr w:leftFromText="180" w:rightFromText="180" w:vertAnchor="text" w:tblpX="318" w:tblpY="2"/>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58"/>
        <w:gridCol w:w="1859"/>
        <w:gridCol w:w="1858"/>
        <w:gridCol w:w="1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bookmarkStart w:id="375" w:name="_Toc333236678"/>
            <w:bookmarkStart w:id="376" w:name="_Toc475104533"/>
            <w:r>
              <w:rPr>
                <w:rFonts w:hint="eastAsia" w:ascii="宋体" w:hAnsi="宋体" w:cs="宋体"/>
                <w:color w:val="auto"/>
                <w:highlight w:val="none"/>
              </w:rPr>
              <w:t>评分项目</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技术部分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商务部分</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价格部分</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权重</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30</w:t>
            </w:r>
            <w:r>
              <w:rPr>
                <w:rFonts w:hint="eastAsia" w:ascii="宋体" w:hAnsi="宋体" w:cs="宋体"/>
                <w:color w:val="auto"/>
                <w:highlight w:val="none"/>
              </w:rPr>
              <w:t>%</w:t>
            </w:r>
          </w:p>
        </w:tc>
        <w:tc>
          <w:tcPr>
            <w:tcW w:w="1858"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lang w:val="en-US" w:eastAsia="zh-CN"/>
              </w:rPr>
              <w:t>40</w:t>
            </w:r>
            <w:r>
              <w:rPr>
                <w:rFonts w:hint="eastAsia" w:ascii="宋体" w:hAnsi="宋体" w:cs="宋体"/>
                <w:color w:val="auto"/>
                <w:highlight w:val="none"/>
              </w:rPr>
              <w:t>%</w:t>
            </w:r>
          </w:p>
        </w:tc>
        <w:tc>
          <w:tcPr>
            <w:tcW w:w="1859" w:type="dxa"/>
            <w:vAlign w:val="center"/>
          </w:tcPr>
          <w:p>
            <w:pPr>
              <w:spacing w:line="360" w:lineRule="auto"/>
              <w:jc w:val="center"/>
              <w:rPr>
                <w:rFonts w:ascii="宋体" w:hAnsi="宋体" w:cs="宋体"/>
                <w:color w:val="auto"/>
                <w:highlight w:val="none"/>
              </w:rPr>
            </w:pPr>
            <w:r>
              <w:rPr>
                <w:rFonts w:hint="eastAsia" w:ascii="宋体" w:hAnsi="宋体" w:cs="宋体"/>
                <w:color w:val="auto"/>
                <w:highlight w:val="none"/>
              </w:rPr>
              <w:t>100%</w:t>
            </w:r>
          </w:p>
        </w:tc>
      </w:tr>
    </w:tbl>
    <w:p>
      <w:pPr>
        <w:numPr>
          <w:ilvl w:val="1"/>
          <w:numId w:val="35"/>
        </w:numPr>
        <w:tabs>
          <w:tab w:val="clear" w:pos="567"/>
        </w:tabs>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磋商响应文件中</w:t>
      </w:r>
      <w:r>
        <w:rPr>
          <w:rFonts w:hint="eastAsia" w:ascii="宋体" w:hAnsi="宋体" w:cs="宋体"/>
          <w:color w:val="auto"/>
          <w:kern w:val="0"/>
          <w:szCs w:val="21"/>
          <w:highlight w:val="none"/>
        </w:rPr>
        <w:t>竞争性磋商函</w:t>
      </w:r>
      <w:r>
        <w:rPr>
          <w:rFonts w:hint="eastAsia" w:ascii="宋体" w:hAnsi="宋体"/>
          <w:color w:val="auto"/>
          <w:szCs w:val="21"/>
          <w:highlight w:val="none"/>
        </w:rPr>
        <w:t>内容与磋商响应文件中明细表内容不一致的，以</w:t>
      </w:r>
      <w:r>
        <w:rPr>
          <w:rFonts w:hint="eastAsia" w:ascii="宋体" w:hAnsi="宋体" w:cs="宋体"/>
          <w:color w:val="auto"/>
          <w:kern w:val="0"/>
          <w:szCs w:val="21"/>
          <w:highlight w:val="none"/>
        </w:rPr>
        <w:t>竞争性磋商函</w:t>
      </w:r>
      <w:r>
        <w:rPr>
          <w:rFonts w:hint="eastAsia" w:ascii="宋体" w:hAnsi="宋体"/>
          <w:color w:val="auto"/>
          <w:szCs w:val="21"/>
          <w:highlight w:val="none"/>
        </w:rPr>
        <w:t>为准。磋商响应文件的总价金额与按单价汇总金额不一致的，以单价金额计算结果为准；大写金额和小写金额不一致的，以大写金额为准；单价金额小数点有明显错位的，应以总价为准，并修改单价；对不同文字文本磋商响应文件的解释发生异议的，以中文文本为准。</w:t>
      </w:r>
    </w:p>
    <w:bookmarkEnd w:id="375"/>
    <w:bookmarkEnd w:id="376"/>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7" w:name="_Toc475104534"/>
      <w:bookmarkStart w:id="378" w:name="_Toc333236680"/>
      <w:r>
        <w:rPr>
          <w:rFonts w:hint="eastAsia" w:ascii="宋体" w:hAnsi="宋体"/>
          <w:color w:val="auto"/>
          <w:szCs w:val="21"/>
          <w:highlight w:val="none"/>
        </w:rPr>
        <w:t>商务</w:t>
      </w:r>
      <w:r>
        <w:rPr>
          <w:rFonts w:hint="eastAsia" w:ascii="宋体" w:hAnsi="宋体"/>
          <w:color w:val="auto"/>
          <w:highlight w:val="none"/>
        </w:rPr>
        <w:t>技术</w:t>
      </w:r>
      <w:r>
        <w:rPr>
          <w:rFonts w:hint="eastAsia" w:ascii="宋体" w:hAnsi="宋体"/>
          <w:color w:val="auto"/>
          <w:szCs w:val="21"/>
          <w:highlight w:val="none"/>
        </w:rPr>
        <w:t>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由磋商小组对所有有效磋商响应文件的商务</w:t>
      </w:r>
      <w:r>
        <w:rPr>
          <w:rFonts w:hint="eastAsia" w:ascii="宋体" w:hAnsi="宋体"/>
          <w:color w:val="auto"/>
          <w:highlight w:val="none"/>
        </w:rPr>
        <w:t>技术</w:t>
      </w:r>
      <w:r>
        <w:rPr>
          <w:rFonts w:hint="eastAsia" w:ascii="宋体" w:hAnsi="宋体"/>
          <w:color w:val="auto"/>
          <w:szCs w:val="21"/>
          <w:highlight w:val="none"/>
        </w:rPr>
        <w:t>响应方案进行审核和分析，填写《商务响应评分表》和《</w:t>
      </w:r>
      <w:r>
        <w:rPr>
          <w:rFonts w:hint="eastAsia" w:ascii="宋体" w:hAnsi="宋体"/>
          <w:color w:val="auto"/>
          <w:highlight w:val="none"/>
        </w:rPr>
        <w:t>技术</w:t>
      </w:r>
      <w:r>
        <w:rPr>
          <w:rFonts w:hint="eastAsia" w:ascii="宋体" w:hAnsi="宋体"/>
          <w:color w:val="auto"/>
          <w:szCs w:val="21"/>
          <w:highlight w:val="none"/>
        </w:rPr>
        <w:t>响应评分表》。评审内容见附表。</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磋商小组各成员应当独立对每个有效响应的文件进行评价、打分，然后汇总每个供应商每项评分因素的得分。</w:t>
      </w:r>
      <w:r>
        <w:rPr>
          <w:rFonts w:hint="eastAsia" w:ascii="宋体" w:hAnsi="宋体"/>
          <w:bCs/>
          <w:color w:val="auto"/>
          <w:highlight w:val="none"/>
        </w:rPr>
        <w:t>（四舍五入后，</w:t>
      </w:r>
      <w:r>
        <w:rPr>
          <w:rFonts w:hint="eastAsia" w:ascii="Arial" w:hAnsi="Arial" w:cs="Arial"/>
          <w:color w:val="auto"/>
          <w:szCs w:val="20"/>
          <w:highlight w:val="none"/>
        </w:rPr>
        <w:t>小数点后保留两位有效数</w:t>
      </w:r>
      <w:r>
        <w:rPr>
          <w:rFonts w:hint="eastAsia" w:ascii="宋体" w:hAnsi="宋体"/>
          <w:bCs/>
          <w:color w:val="auto"/>
          <w:highlight w:val="none"/>
        </w:rPr>
        <w:t>）。</w:t>
      </w:r>
    </w:p>
    <w:bookmarkEnd w:id="340"/>
    <w:bookmarkEnd w:id="341"/>
    <w:bookmarkEnd w:id="342"/>
    <w:bookmarkEnd w:id="377"/>
    <w:bookmarkEnd w:id="378"/>
    <w:p>
      <w:pPr>
        <w:numPr>
          <w:ilvl w:val="0"/>
          <w:numId w:val="35"/>
        </w:numPr>
        <w:autoSpaceDE w:val="0"/>
        <w:autoSpaceDN w:val="0"/>
        <w:adjustRightInd w:val="0"/>
        <w:snapToGrid w:val="0"/>
        <w:spacing w:line="360" w:lineRule="auto"/>
        <w:outlineLvl w:val="0"/>
        <w:rPr>
          <w:rFonts w:ascii="宋体" w:hAnsi="宋体"/>
          <w:color w:val="auto"/>
          <w:szCs w:val="21"/>
          <w:highlight w:val="none"/>
        </w:rPr>
      </w:pPr>
      <w:bookmarkStart w:id="379" w:name="_Toc333236685"/>
      <w:bookmarkStart w:id="380" w:name="_Toc475104535"/>
      <w:r>
        <w:rPr>
          <w:rFonts w:hint="eastAsia" w:ascii="宋体" w:hAnsi="宋体"/>
          <w:color w:val="auto"/>
          <w:szCs w:val="21"/>
          <w:highlight w:val="none"/>
        </w:rPr>
        <w:t>价格评定</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价格核准：磋商小组对有效</w:t>
      </w:r>
      <w:r>
        <w:rPr>
          <w:rFonts w:hint="eastAsia" w:ascii="宋体" w:hAnsi="宋体"/>
          <w:bCs/>
          <w:color w:val="auto"/>
          <w:highlight w:val="none"/>
        </w:rPr>
        <w:t>供应商</w:t>
      </w:r>
      <w:r>
        <w:rPr>
          <w:rFonts w:hint="eastAsia" w:ascii="宋体" w:hAnsi="宋体"/>
          <w:color w:val="auto"/>
          <w:szCs w:val="21"/>
          <w:highlight w:val="none"/>
        </w:rPr>
        <w:t>的详细报价进行复核，看其是否有计算错误或供货范围上的错误，修正错误的原则参见第二章的25.3条。</w:t>
      </w:r>
    </w:p>
    <w:p>
      <w:pPr>
        <w:numPr>
          <w:ilvl w:val="1"/>
          <w:numId w:val="35"/>
        </w:numPr>
        <w:autoSpaceDE w:val="0"/>
        <w:autoSpaceDN w:val="0"/>
        <w:adjustRightInd w:val="0"/>
        <w:snapToGrid w:val="0"/>
        <w:spacing w:line="360" w:lineRule="auto"/>
        <w:jc w:val="left"/>
        <w:rPr>
          <w:rFonts w:ascii="宋体" w:hAnsi="宋体"/>
          <w:color w:val="auto"/>
          <w:szCs w:val="21"/>
          <w:highlight w:val="none"/>
        </w:rPr>
      </w:pPr>
      <w:r>
        <w:rPr>
          <w:rFonts w:hint="eastAsia" w:ascii="宋体" w:hAnsi="宋体"/>
          <w:color w:val="auto"/>
          <w:szCs w:val="21"/>
          <w:highlight w:val="none"/>
        </w:rPr>
        <w:t>价格评分：综合评分法中的价格分统一采用低价优先法计算，即满足磋商文件要求且最后报价最低的供应商的价格为磋商基准价，其价格分为满分。其他供应商的价格分统一按照下列公式计算：</w:t>
      </w:r>
    </w:p>
    <w:p>
      <w:pPr>
        <w:tabs>
          <w:tab w:val="left" w:pos="720"/>
        </w:tabs>
        <w:spacing w:line="360" w:lineRule="auto"/>
        <w:ind w:firstLine="630" w:firstLineChars="300"/>
        <w:rPr>
          <w:color w:val="auto"/>
          <w:szCs w:val="21"/>
          <w:highlight w:val="none"/>
        </w:rPr>
      </w:pPr>
      <w:r>
        <w:rPr>
          <w:rFonts w:hint="eastAsia" w:ascii="宋体" w:hAnsi="宋体"/>
          <w:color w:val="auto"/>
          <w:szCs w:val="21"/>
          <w:highlight w:val="none"/>
        </w:rPr>
        <w:t>　　磋商报价得分=（磋商基准价/最后磋商报价）×价格权值×100</w:t>
      </w:r>
    </w:p>
    <w:p>
      <w:pPr>
        <w:autoSpaceDE w:val="0"/>
        <w:autoSpaceDN w:val="0"/>
        <w:adjustRightInd w:val="0"/>
        <w:snapToGrid w:val="0"/>
        <w:spacing w:line="360" w:lineRule="auto"/>
        <w:ind w:firstLine="630" w:firstLineChars="300"/>
        <w:jc w:val="left"/>
        <w:rPr>
          <w:color w:val="auto"/>
          <w:szCs w:val="21"/>
          <w:highlight w:val="none"/>
        </w:rPr>
      </w:pPr>
      <w:r>
        <w:rPr>
          <w:rFonts w:hint="eastAsia"/>
          <w:color w:val="auto"/>
          <w:szCs w:val="21"/>
          <w:highlight w:val="none"/>
        </w:rPr>
        <w:t>磋商报价得分四舍五入后，小数点后保留两位有效数。</w:t>
      </w:r>
    </w:p>
    <w:p>
      <w:pPr>
        <w:pStyle w:val="161"/>
        <w:widowControl/>
        <w:spacing w:line="360" w:lineRule="auto"/>
        <w:jc w:val="left"/>
        <w:rPr>
          <w:color w:val="auto"/>
          <w:szCs w:val="21"/>
          <w:highlight w:val="none"/>
        </w:rPr>
      </w:pPr>
      <w:r>
        <w:rPr>
          <w:rFonts w:hint="eastAsia"/>
          <w:color w:val="auto"/>
          <w:szCs w:val="21"/>
          <w:highlight w:val="none"/>
        </w:rPr>
        <w:t>争性磋商中第二次报价作为</w:t>
      </w:r>
      <w:r>
        <w:rPr>
          <w:rFonts w:hint="eastAsia" w:ascii="宋体" w:hAnsi="宋体" w:cs="宋体"/>
          <w:color w:val="auto"/>
          <w:kern w:val="0"/>
          <w:szCs w:val="21"/>
          <w:highlight w:val="none"/>
        </w:rPr>
        <w:t>最终响应</w:t>
      </w:r>
      <w:r>
        <w:rPr>
          <w:rFonts w:hint="eastAsia"/>
          <w:color w:val="auto"/>
          <w:szCs w:val="21"/>
          <w:highlight w:val="none"/>
        </w:rPr>
        <w:t>，以供应商第二次报价作为基准，计算价格扣减作为供应商的价格评分，评标价只作为分值的计算，最终成交价格按照供应商第二次响应报价为准。</w:t>
      </w:r>
    </w:p>
    <w:p>
      <w:pPr>
        <w:pStyle w:val="161"/>
        <w:widowControl/>
        <w:spacing w:line="360" w:lineRule="auto"/>
        <w:jc w:val="left"/>
        <w:rPr>
          <w:rFonts w:ascii="宋体" w:hAnsi="宋体" w:cs="宋体"/>
          <w:color w:val="auto"/>
          <w:szCs w:val="21"/>
          <w:highlight w:val="none"/>
          <w:lang w:eastAsia="zh-TW"/>
        </w:rPr>
      </w:pPr>
      <w:r>
        <w:rPr>
          <w:rFonts w:hint="eastAsia" w:ascii="宋体" w:hAnsi="宋体" w:cs="宋体"/>
          <w:color w:val="auto"/>
          <w:szCs w:val="21"/>
          <w:highlight w:val="none"/>
        </w:rPr>
        <w:t>评标过程中，不得去掉报价中的最高报价和最低报价。因落实政府采购政策进行价格调整的，以调整后的价格计算评标基准价和投标报价。</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cs="宋体"/>
          <w:bCs/>
          <w:color w:val="auto"/>
          <w:szCs w:val="21"/>
          <w:highlight w:val="none"/>
        </w:rPr>
      </w:pPr>
      <w:r>
        <w:rPr>
          <w:rFonts w:hint="eastAsia" w:ascii="宋体" w:hAnsi="宋体" w:cs="宋体"/>
          <w:bCs/>
          <w:color w:val="auto"/>
          <w:szCs w:val="21"/>
          <w:highlight w:val="none"/>
        </w:rPr>
        <w:t>（1）根据财政部、工业和信息化部印发的《政府采购促进中小企业发展暂行办法》（财库[2011]181号）</w:t>
      </w:r>
      <w:r>
        <w:rPr>
          <w:rFonts w:hint="eastAsia" w:ascii="宋体" w:hAnsi="宋体"/>
          <w:bCs/>
          <w:color w:val="auto"/>
          <w:szCs w:val="21"/>
          <w:highlight w:val="none"/>
        </w:rPr>
        <w:t>和《广州市人民政府办公厅关于印发应对疫情影响进一步支持中小微企业健康发展若干措施的通知》（穗府办规〔2020〕9号）</w:t>
      </w:r>
      <w:r>
        <w:rPr>
          <w:rFonts w:hint="eastAsia" w:ascii="宋体" w:hAnsi="宋体" w:cs="宋体"/>
          <w:bCs/>
          <w:color w:val="auto"/>
          <w:szCs w:val="21"/>
          <w:highlight w:val="none"/>
        </w:rPr>
        <w:t>的规定，对小型和微型企业产品的价格给予</w:t>
      </w:r>
      <w:r>
        <w:rPr>
          <w:rFonts w:hint="eastAsia" w:ascii="宋体" w:hAnsi="宋体" w:cs="宋体"/>
          <w:bCs/>
          <w:color w:val="auto"/>
          <w:szCs w:val="21"/>
          <w:highlight w:val="none"/>
          <w:lang w:val="en-US" w:eastAsia="zh-CN"/>
        </w:rPr>
        <w:t>8</w:t>
      </w:r>
      <w:r>
        <w:rPr>
          <w:rFonts w:hint="eastAsia" w:ascii="宋体" w:hAnsi="宋体" w:cs="宋体"/>
          <w:bCs/>
          <w:color w:val="auto"/>
          <w:szCs w:val="21"/>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（2）《政府采购促进中小企业发展暂行办法》所称中小企业（含中型、小型、微型企业，下同）应当同时符合以下条件：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（3）符合中小企业划分标准，并以提供中小企业管理部门出具的证明为准；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（4）提供本企业制造的货物、承担的工程或者服务，或者提供其他中小企业制造的货物。本项所称货物不包括使用大型企业注册商标的货物。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（5）中小企业划分标准以《工业和信息化部、国家统计局、国家发展和改革委员会、财政部关于印发中小企业划型标准规定的通知》（工信部联企业[2011]300号）规定的划分标准为准。</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（6）小型、微型企业提供中型企业制造的货物的，视同为中型企业。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cs="宋体"/>
          <w:bCs/>
          <w:color w:val="auto"/>
          <w:szCs w:val="21"/>
          <w:highlight w:val="none"/>
        </w:rPr>
      </w:pPr>
      <w:r>
        <w:rPr>
          <w:rFonts w:hint="eastAsia" w:ascii="宋体" w:hAnsi="宋体" w:cs="宋体"/>
          <w:bCs/>
          <w:color w:val="auto"/>
          <w:szCs w:val="21"/>
          <w:highlight w:val="none"/>
        </w:rPr>
        <w:t>如投标人为非制造商，其代理产品的制造商也应同时提交《中小企业声明函》，否则评审时不能享受相应的价格扣除。</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（3）监狱企业参加政府采购活动时，应当提供由省级以上监狱管理局、戒毒管理局（含新疆生产建设兵团）出具的属于监狱企业的证明文件，否则不予认可。</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（1）残疾人福利性单位视同小型、微型企业，按上述小型微型条款享受评审中价格扣除。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cs="宋体"/>
          <w:bCs/>
          <w:color w:val="auto"/>
          <w:szCs w:val="21"/>
          <w:highlight w:val="none"/>
        </w:rPr>
      </w:pPr>
      <w:r>
        <w:rPr>
          <w:rFonts w:hint="eastAsia" w:ascii="宋体" w:hAnsi="宋体" w:cs="宋体"/>
          <w:bCs/>
          <w:color w:val="auto"/>
          <w:szCs w:val="21"/>
          <w:highlight w:val="none"/>
        </w:rPr>
        <w:t>（2）根据财政部、民政部、中国残疾人联合会印发的《关于促进残疾人就业政府采购政策的通知》（财库〔2017〕141号）的规定，符合条件的残疾人福利性单位在参加政府采购活动时，应当提供该通知规定的《残疾人福利性单位声明函》（格式见第六章响应文件格式），并对声明的真实性负责。一旦中标将在中标公告中公告其声明函，接受社会监督。投标人提供的《残疾人福利性单位声明函》与事实不符的，依照《政府采购法》第七十七条第一款的规定追究法律责任。</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cs="宋体"/>
          <w:bCs/>
          <w:color w:val="auto"/>
          <w:szCs w:val="21"/>
          <w:highlight w:val="none"/>
        </w:rPr>
      </w:pPr>
      <w:r>
        <w:rPr>
          <w:rFonts w:hint="eastAsia" w:ascii="宋体" w:hAnsi="宋体" w:cs="宋体"/>
          <w:bCs/>
          <w:color w:val="auto"/>
          <w:szCs w:val="21"/>
          <w:highlight w:val="none"/>
        </w:rPr>
        <w:t>投标产品依据国家确定的认证机构出具的、处于有效期之内的节能产品、环境标志产品，对获得节能产品认证证书或环境标志产品认证证书的产品价格给予5%的扣除，用扣除后的价格参与评审。（提供投标产品所获证书加盖投标人公章）。</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投标人同时为小型、微型企业、监狱企业、残疾人福利性单位任两种或以上情况的，评审中只享受一次价格扣除，不重复进行价格扣除。</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val="en-GB" w:eastAsia="zh-TW"/>
        </w:rPr>
        <w:t>投标人</w:t>
      </w:r>
      <w:r>
        <w:rPr>
          <w:rFonts w:hint="eastAsia" w:ascii="宋体" w:hAnsi="宋体" w:cs="宋体"/>
          <w:color w:val="auto"/>
          <w:szCs w:val="21"/>
          <w:highlight w:val="none"/>
          <w:lang w:eastAsia="zh-TW"/>
        </w:rPr>
        <w:t>应当提供《</w:t>
      </w:r>
      <w:r>
        <w:rPr>
          <w:rFonts w:hint="eastAsia" w:ascii="宋体" w:hAnsi="宋体" w:cs="宋体"/>
          <w:color w:val="auto"/>
          <w:szCs w:val="21"/>
          <w:highlight w:val="none"/>
          <w:lang w:val="en-GB" w:eastAsia="zh-TW"/>
        </w:rPr>
        <w:t>产品适用政府采购政策情况表</w:t>
      </w:r>
      <w:r>
        <w:rPr>
          <w:rFonts w:hint="eastAsia" w:ascii="宋体" w:hAnsi="宋体" w:cs="宋体"/>
          <w:color w:val="auto"/>
          <w:szCs w:val="21"/>
          <w:highlight w:val="none"/>
          <w:lang w:eastAsia="zh-TW"/>
        </w:rPr>
        <w:t>》（格式见第七章</w:t>
      </w:r>
      <w:r>
        <w:rPr>
          <w:rFonts w:hint="eastAsia" w:ascii="宋体" w:hAnsi="宋体" w:cs="宋体"/>
          <w:color w:val="auto"/>
          <w:szCs w:val="21"/>
          <w:highlight w:val="none"/>
        </w:rPr>
        <w:t>响应文件</w:t>
      </w:r>
      <w:r>
        <w:rPr>
          <w:rFonts w:hint="eastAsia" w:ascii="宋体" w:hAnsi="宋体" w:cs="宋体"/>
          <w:color w:val="auto"/>
          <w:szCs w:val="21"/>
          <w:highlight w:val="none"/>
          <w:lang w:eastAsia="zh-TW"/>
        </w:rPr>
        <w:t>格式）。</w:t>
      </w:r>
    </w:p>
    <w:p>
      <w:pPr>
        <w:numPr>
          <w:ilvl w:val="1"/>
          <w:numId w:val="35"/>
        </w:numPr>
        <w:autoSpaceDE w:val="0"/>
        <w:autoSpaceDN w:val="0"/>
        <w:adjustRightInd w:val="0"/>
        <w:snapToGrid w:val="0"/>
        <w:spacing w:beforeLines="50" w:line="360" w:lineRule="auto"/>
        <w:jc w:val="left"/>
        <w:rPr>
          <w:rFonts w:ascii="宋体" w:hAnsi="宋体" w:cs="宋体"/>
          <w:color w:val="auto"/>
          <w:szCs w:val="21"/>
          <w:highlight w:val="none"/>
        </w:rPr>
      </w:pPr>
      <w:r>
        <w:rPr>
          <w:rFonts w:hint="eastAsia" w:ascii="宋体" w:hAnsi="宋体" w:cs="宋体"/>
          <w:color w:val="auto"/>
          <w:szCs w:val="21"/>
          <w:highlight w:val="none"/>
        </w:rPr>
        <w:t>评标结果汇总完成后，除下列情形外，任何人不得修改评标结果：</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分值汇总计算错误的；</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分项评分超出评分标准范围的；</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评标委员会成员对客观评审因素评分不一致的；</w:t>
      </w:r>
    </w:p>
    <w:p>
      <w:pPr>
        <w:pStyle w:val="161"/>
        <w:widowControl/>
        <w:numPr>
          <w:ilvl w:val="2"/>
          <w:numId w:val="35"/>
        </w:numPr>
        <w:spacing w:line="360" w:lineRule="auto"/>
        <w:ind w:firstLineChars="0"/>
        <w:jc w:val="left"/>
        <w:rPr>
          <w:rFonts w:ascii="宋体" w:hAnsi="宋体" w:cs="宋体"/>
          <w:color w:val="auto"/>
          <w:szCs w:val="21"/>
          <w:highlight w:val="none"/>
          <w:lang w:eastAsia="zh-TW"/>
        </w:rPr>
      </w:pPr>
      <w:r>
        <w:rPr>
          <w:rFonts w:hint="eastAsia" w:ascii="宋体" w:hAnsi="宋体" w:cs="宋体"/>
          <w:color w:val="auto"/>
          <w:szCs w:val="21"/>
          <w:highlight w:val="none"/>
          <w:lang w:eastAsia="zh-TW"/>
        </w:rPr>
        <w:t>经评标委员会认定评分畸高、畸低的。</w:t>
      </w:r>
    </w:p>
    <w:p>
      <w:pPr>
        <w:autoSpaceDE w:val="0"/>
        <w:autoSpaceDN w:val="0"/>
        <w:adjustRightInd w:val="0"/>
        <w:snapToGrid w:val="0"/>
        <w:spacing w:line="360" w:lineRule="auto"/>
        <w:outlineLvl w:val="0"/>
        <w:rPr>
          <w:rFonts w:ascii="宋体" w:hAnsi="宋体" w:cs="宋体"/>
          <w:color w:val="auto"/>
          <w:szCs w:val="21"/>
          <w:highlight w:val="none"/>
          <w:lang w:eastAsia="zh-TW"/>
        </w:rPr>
      </w:pPr>
      <w:r>
        <w:rPr>
          <w:rFonts w:hint="eastAsia" w:ascii="宋体" w:hAnsi="宋体" w:cs="宋体"/>
          <w:color w:val="auto"/>
          <w:szCs w:val="21"/>
          <w:highlight w:val="none"/>
          <w:lang w:eastAsia="zh-TW"/>
        </w:rPr>
        <w:t>评标报告签署前</w:t>
      </w:r>
      <w:r>
        <w:rPr>
          <w:rFonts w:hint="eastAsia" w:ascii="宋体" w:hAnsi="宋体" w:cs="宋体"/>
          <w:color w:val="auto"/>
          <w:szCs w:val="21"/>
          <w:highlight w:val="none"/>
        </w:rPr>
        <w:t>，经复核发现存在以上情形之一的，评标委员会应当当场修改评标结果，并在评标报告中记载。</w:t>
      </w:r>
    </w:p>
    <w:p>
      <w:pPr>
        <w:numPr>
          <w:ilvl w:val="1"/>
          <w:numId w:val="35"/>
        </w:numPr>
        <w:autoSpaceDE w:val="0"/>
        <w:autoSpaceDN w:val="0"/>
        <w:adjustRightInd w:val="0"/>
        <w:snapToGrid w:val="0"/>
        <w:spacing w:line="360" w:lineRule="auto"/>
        <w:jc w:val="left"/>
        <w:rPr>
          <w:rFonts w:ascii="宋体" w:hAnsi="宋体" w:cs="宋体"/>
          <w:color w:val="auto"/>
          <w:szCs w:val="21"/>
          <w:highlight w:val="none"/>
        </w:rPr>
      </w:pPr>
      <w:r>
        <w:rPr>
          <w:rFonts w:hint="eastAsia" w:ascii="宋体" w:hAnsi="宋体" w:cs="宋体"/>
          <w:color w:val="auto"/>
          <w:szCs w:val="21"/>
          <w:highlight w:val="none"/>
        </w:rPr>
        <w:t>综合评分的计算</w:t>
      </w:r>
    </w:p>
    <w:p>
      <w:pPr>
        <w:numPr>
          <w:ilvl w:val="1"/>
          <w:numId w:val="35"/>
        </w:numPr>
        <w:autoSpaceDE w:val="0"/>
        <w:autoSpaceDN w:val="0"/>
        <w:adjustRightInd w:val="0"/>
        <w:snapToGrid w:val="0"/>
        <w:spacing w:line="360" w:lineRule="auto"/>
        <w:jc w:val="left"/>
        <w:rPr>
          <w:color w:val="auto"/>
          <w:szCs w:val="21"/>
          <w:highlight w:val="none"/>
        </w:rPr>
      </w:pPr>
      <w:r>
        <w:rPr>
          <w:rFonts w:hint="eastAsia" w:ascii="宋体" w:hAnsi="宋体" w:cs="宋体"/>
          <w:color w:val="auto"/>
          <w:szCs w:val="21"/>
          <w:highlight w:val="none"/>
        </w:rPr>
        <w:t>综合评分=商务得分</w:t>
      </w:r>
      <w:r>
        <w:rPr>
          <w:rFonts w:hint="eastAsia" w:ascii="宋体" w:hAnsi="宋体" w:cs="宋体"/>
          <w:bCs/>
          <w:color w:val="auto"/>
          <w:szCs w:val="21"/>
          <w:highlight w:val="none"/>
        </w:rPr>
        <w:t>+</w:t>
      </w:r>
      <w:r>
        <w:rPr>
          <w:rFonts w:hint="eastAsia" w:ascii="宋体" w:hAnsi="宋体" w:cs="宋体"/>
          <w:color w:val="auto"/>
          <w:szCs w:val="21"/>
          <w:highlight w:val="none"/>
        </w:rPr>
        <w:t>技术得分</w:t>
      </w:r>
      <w:r>
        <w:rPr>
          <w:rFonts w:hint="eastAsia" w:ascii="宋体" w:hAnsi="宋体" w:cs="宋体"/>
          <w:bCs/>
          <w:color w:val="auto"/>
          <w:szCs w:val="21"/>
          <w:highlight w:val="none"/>
        </w:rPr>
        <w:t>+</w:t>
      </w:r>
      <w:r>
        <w:rPr>
          <w:rFonts w:hint="eastAsia" w:ascii="宋体" w:hAnsi="宋体" w:cs="宋体"/>
          <w:color w:val="auto"/>
          <w:szCs w:val="21"/>
          <w:highlight w:val="none"/>
        </w:rPr>
        <w:t>价格</w:t>
      </w:r>
      <w:r>
        <w:rPr>
          <w:rFonts w:hint="eastAsia" w:ascii="宋体" w:hAnsi="宋体" w:cs="宋体"/>
          <w:bCs/>
          <w:color w:val="auto"/>
          <w:szCs w:val="21"/>
          <w:highlight w:val="none"/>
        </w:rPr>
        <w:t>得分。</w:t>
      </w:r>
      <w:r>
        <w:rPr>
          <w:rFonts w:hint="eastAsia" w:ascii="宋体" w:hAnsi="宋体" w:cs="宋体"/>
          <w:color w:val="auto"/>
          <w:szCs w:val="21"/>
          <w:highlight w:val="none"/>
        </w:rPr>
        <w:t>各项得分按四舍五入原则精确到小数点后两位。</w:t>
      </w:r>
    </w:p>
    <w:p>
      <w:pPr>
        <w:numPr>
          <w:ilvl w:val="0"/>
          <w:numId w:val="35"/>
        </w:numPr>
        <w:autoSpaceDE w:val="0"/>
        <w:autoSpaceDN w:val="0"/>
        <w:adjustRightInd w:val="0"/>
        <w:snapToGrid w:val="0"/>
        <w:spacing w:line="360" w:lineRule="auto"/>
        <w:outlineLvl w:val="0"/>
        <w:rPr>
          <w:rFonts w:ascii="宋体" w:hAnsi="宋体"/>
          <w:color w:val="auto"/>
          <w:szCs w:val="21"/>
          <w:highlight w:val="none"/>
        </w:rPr>
      </w:pPr>
      <w:r>
        <w:rPr>
          <w:rFonts w:hint="eastAsia" w:ascii="宋体" w:hAnsi="宋体"/>
          <w:color w:val="auto"/>
          <w:szCs w:val="21"/>
          <w:highlight w:val="none"/>
        </w:rPr>
        <w:t>附件</w:t>
      </w:r>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9"/>
      <w:bookmarkEnd w:id="380"/>
    </w:p>
    <w:p>
      <w:pPr>
        <w:spacing w:line="360" w:lineRule="auto"/>
        <w:ind w:firstLine="460" w:firstLineChars="192"/>
        <w:rPr>
          <w:rFonts w:ascii="宋体" w:hAnsi="宋体"/>
          <w:color w:val="auto"/>
          <w:kern w:val="0"/>
          <w:szCs w:val="21"/>
          <w:highlight w:val="none"/>
        </w:rPr>
      </w:pPr>
      <w:r>
        <w:rPr>
          <w:rFonts w:hint="eastAsia" w:ascii="宋体" w:hAnsi="宋体"/>
          <w:bCs/>
          <w:color w:val="auto"/>
          <w:sz w:val="24"/>
          <w:highlight w:val="none"/>
        </w:rPr>
        <w:t>本</w:t>
      </w:r>
      <w:r>
        <w:rPr>
          <w:rFonts w:hint="eastAsia" w:ascii="宋体" w:hAnsi="宋体"/>
          <w:color w:val="auto"/>
          <w:kern w:val="0"/>
          <w:szCs w:val="21"/>
          <w:highlight w:val="none"/>
        </w:rPr>
        <w:t>评标文件包括以下评标过程中所需文件附件：</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附件1  资格性审查及符合性检查表</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附件2  技术响应评分标准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附件3  商务响应评分标准</w:t>
      </w:r>
    </w:p>
    <w:p>
      <w:pPr>
        <w:spacing w:line="360" w:lineRule="auto"/>
        <w:ind w:left="720" w:leftChars="343"/>
        <w:rPr>
          <w:rFonts w:ascii="宋体" w:hAnsi="宋体"/>
          <w:color w:val="auto"/>
          <w:kern w:val="0"/>
          <w:szCs w:val="21"/>
          <w:highlight w:val="none"/>
        </w:rPr>
      </w:pPr>
      <w:r>
        <w:rPr>
          <w:rFonts w:hint="eastAsia" w:ascii="宋体" w:hAnsi="宋体"/>
          <w:color w:val="auto"/>
          <w:kern w:val="0"/>
          <w:szCs w:val="21"/>
          <w:highlight w:val="none"/>
        </w:rPr>
        <w:t>附件4  价格评审表</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附件1</w:t>
      </w:r>
    </w:p>
    <w:p>
      <w:pPr>
        <w:pStyle w:val="4"/>
        <w:rPr>
          <w:color w:val="auto"/>
          <w:sz w:val="24"/>
          <w:highlight w:val="none"/>
        </w:rPr>
      </w:pPr>
      <w:bookmarkStart w:id="381" w:name="_Toc475104536"/>
      <w:r>
        <w:rPr>
          <w:rFonts w:hint="eastAsia"/>
          <w:color w:val="auto"/>
          <w:sz w:val="24"/>
          <w:highlight w:val="none"/>
        </w:rPr>
        <w:t>资格性审查及符合性检查表</w:t>
      </w:r>
      <w:bookmarkEnd w:id="381"/>
    </w:p>
    <w:p>
      <w:pPr>
        <w:pStyle w:val="36"/>
        <w:tabs>
          <w:tab w:val="left" w:pos="735"/>
        </w:tabs>
        <w:snapToGrid w:val="0"/>
        <w:spacing w:line="360" w:lineRule="auto"/>
        <w:rPr>
          <w:rFonts w:ascii="宋体"/>
          <w:color w:val="auto"/>
          <w:highlight w:val="none"/>
        </w:rPr>
      </w:pPr>
      <w:r>
        <w:rPr>
          <w:rFonts w:hint="eastAsia" w:ascii="宋体" w:hAnsi="宋体"/>
          <w:bCs/>
          <w:color w:val="auto"/>
          <w:szCs w:val="21"/>
          <w:highlight w:val="none"/>
        </w:rPr>
        <w:t>　　　　　　　</w:t>
      </w:r>
    </w:p>
    <w:p>
      <w:pPr>
        <w:pStyle w:val="36"/>
        <w:tabs>
          <w:tab w:val="left" w:pos="735"/>
        </w:tabs>
        <w:snapToGrid w:val="0"/>
        <w:spacing w:line="360" w:lineRule="auto"/>
        <w:ind w:left="0" w:leftChars="0"/>
        <w:rPr>
          <w:color w:val="auto"/>
          <w:szCs w:val="21"/>
          <w:highlight w:val="none"/>
        </w:rPr>
      </w:pPr>
      <w:r>
        <w:rPr>
          <w:rFonts w:hint="eastAsia" w:ascii="宋体"/>
          <w:color w:val="auto"/>
          <w:highlight w:val="none"/>
        </w:rPr>
        <w:t>项目名称：                                                    项目编号：</w:t>
      </w:r>
    </w:p>
    <w:tbl>
      <w:tblPr>
        <w:tblStyle w:val="90"/>
        <w:tblW w:w="938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82"/>
        <w:gridCol w:w="3119"/>
        <w:gridCol w:w="850"/>
        <w:gridCol w:w="992"/>
        <w:gridCol w:w="851"/>
        <w:gridCol w:w="1134"/>
        <w:gridCol w:w="165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2"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119" w:type="dxa"/>
            <w:tcBorders>
              <w:top w:val="single" w:color="000000" w:sz="4" w:space="0"/>
              <w:left w:val="single" w:color="000000" w:sz="4" w:space="0"/>
              <w:bottom w:val="single" w:color="000000" w:sz="4" w:space="0"/>
              <w:right w:val="single" w:color="000000" w:sz="4" w:space="0"/>
              <w:tl2br w:val="single" w:color="auto" w:sz="4" w:space="0"/>
            </w:tcBorders>
            <w:vAlign w:val="bottom"/>
          </w:tcPr>
          <w:p>
            <w:pPr>
              <w:spacing w:line="360" w:lineRule="auto"/>
              <w:jc w:val="right"/>
              <w:rPr>
                <w:rFonts w:ascii="宋体" w:hAnsi="宋体"/>
                <w:color w:val="auto"/>
                <w:szCs w:val="21"/>
                <w:highlight w:val="none"/>
              </w:rPr>
            </w:pPr>
          </w:p>
          <w:p>
            <w:pPr>
              <w:spacing w:line="360" w:lineRule="auto"/>
              <w:ind w:right="105"/>
              <w:jc w:val="right"/>
              <w:rPr>
                <w:rFonts w:ascii="宋体" w:hAnsi="宋体"/>
                <w:color w:val="auto"/>
                <w:szCs w:val="21"/>
                <w:highlight w:val="none"/>
              </w:rPr>
            </w:pPr>
            <w:r>
              <w:rPr>
                <w:rFonts w:hint="eastAsia" w:ascii="宋体" w:hAnsi="宋体"/>
                <w:bCs/>
                <w:color w:val="auto"/>
                <w:highlight w:val="none"/>
              </w:rPr>
              <w:t>供应商</w:t>
            </w:r>
            <w:r>
              <w:rPr>
                <w:rFonts w:hint="eastAsia" w:ascii="宋体" w:hAnsi="宋体"/>
                <w:color w:val="auto"/>
                <w:szCs w:val="21"/>
                <w:highlight w:val="none"/>
              </w:rPr>
              <w:t>名称</w:t>
            </w:r>
          </w:p>
          <w:p>
            <w:pPr>
              <w:spacing w:line="360" w:lineRule="auto"/>
              <w:jc w:val="right"/>
              <w:rPr>
                <w:rFonts w:ascii="宋体" w:hAnsi="宋体"/>
                <w:color w:val="auto"/>
                <w:szCs w:val="21"/>
                <w:highlight w:val="none"/>
              </w:rPr>
            </w:pPr>
          </w:p>
          <w:p>
            <w:pPr>
              <w:spacing w:line="360" w:lineRule="auto"/>
              <w:ind w:right="525"/>
              <w:jc w:val="right"/>
              <w:rPr>
                <w:rFonts w:ascii="宋体" w:hAnsi="宋体"/>
                <w:color w:val="auto"/>
                <w:szCs w:val="21"/>
                <w:highlight w:val="none"/>
              </w:rPr>
            </w:pPr>
            <w:r>
              <w:rPr>
                <w:rFonts w:hint="eastAsia" w:ascii="宋体" w:hAnsi="宋体"/>
                <w:color w:val="auto"/>
                <w:szCs w:val="21"/>
                <w:highlight w:val="none"/>
              </w:rPr>
              <w:t>资格性审查及符合性内容</w:t>
            </w:r>
          </w:p>
        </w:tc>
        <w:tc>
          <w:tcPr>
            <w:tcW w:w="8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A</w:t>
            </w:r>
          </w:p>
        </w:tc>
        <w:tc>
          <w:tcPr>
            <w:tcW w:w="99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B</w:t>
            </w:r>
          </w:p>
        </w:tc>
        <w:tc>
          <w:tcPr>
            <w:tcW w:w="851"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w:t>
            </w:r>
          </w:p>
        </w:tc>
        <w:tc>
          <w:tcPr>
            <w:tcW w:w="113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结论</w:t>
            </w:r>
          </w:p>
        </w:tc>
        <w:tc>
          <w:tcPr>
            <w:tcW w:w="165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kern w:val="2"/>
                <w:highlight w:val="none"/>
              </w:rPr>
              <w:t>满足</w:t>
            </w:r>
            <w:r>
              <w:rPr>
                <w:rFonts w:hint="eastAsia"/>
                <w:bCs/>
                <w:color w:val="auto"/>
                <w:highlight w:val="none"/>
              </w:rPr>
              <w:t>供应商</w:t>
            </w:r>
            <w:r>
              <w:rPr>
                <w:rFonts w:hint="eastAsia"/>
                <w:color w:val="auto"/>
                <w:kern w:val="2"/>
                <w:highlight w:val="none"/>
              </w:rPr>
              <w:t>资格要求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4"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kern w:val="2"/>
                <w:highlight w:val="none"/>
              </w:rPr>
            </w:pPr>
            <w:r>
              <w:rPr>
                <w:rFonts w:hint="eastAsia"/>
                <w:color w:val="auto"/>
                <w:highlight w:val="none"/>
              </w:rPr>
              <w:t>磋商响应文件齐全，盖章、签字有效</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报价商务技术没有实质性不响应或重大偏离</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最后磋商报价固定唯一，且没有超</w:t>
            </w:r>
            <w:r>
              <w:rPr>
                <w:rFonts w:hint="eastAsia" w:cs="宋体"/>
                <w:color w:val="auto"/>
                <w:highlight w:val="none"/>
              </w:rPr>
              <w:t>采购项目预算金额</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3119" w:type="dxa"/>
            <w:tcBorders>
              <w:top w:val="single" w:color="000000" w:sz="4" w:space="0"/>
              <w:left w:val="single" w:color="000000" w:sz="4" w:space="0"/>
              <w:bottom w:val="single" w:color="000000" w:sz="4" w:space="0"/>
              <w:right w:val="single" w:color="000000" w:sz="4" w:space="0"/>
            </w:tcBorders>
            <w:vAlign w:val="center"/>
          </w:tcPr>
          <w:p>
            <w:pPr>
              <w:pStyle w:val="206"/>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没有被磋商小组认定</w:t>
            </w:r>
            <w:r>
              <w:rPr>
                <w:rFonts w:hint="eastAsia"/>
                <w:bCs/>
                <w:color w:val="auto"/>
                <w:highlight w:val="none"/>
              </w:rPr>
              <w:t>供应商</w:t>
            </w:r>
            <w:r>
              <w:rPr>
                <w:rFonts w:hint="eastAsia"/>
                <w:color w:val="auto"/>
                <w:highlight w:val="none"/>
              </w:rPr>
              <w:t>低于成本进行磋商响应</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5"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报价有效期满足要求</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ascii="宋体" w:hAnsi="宋体"/>
                <w:color w:val="auto"/>
                <w:szCs w:val="21"/>
                <w:highlight w:val="none"/>
              </w:rPr>
            </w:pPr>
            <w:r>
              <w:rPr>
                <w:rFonts w:hint="eastAsia" w:ascii="宋体" w:hAnsi="宋体"/>
                <w:color w:val="auto"/>
                <w:szCs w:val="21"/>
                <w:highlight w:val="none"/>
              </w:rPr>
              <w:t>满足竞争性磋商文件中带★号的条款和指标，且符合竞争性磋商文件的其他要求，没有重大偏离的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jc w:val="center"/>
        </w:trPr>
        <w:tc>
          <w:tcPr>
            <w:tcW w:w="782"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jc w:val="center"/>
              <w:rPr>
                <w:rFonts w:hint="eastAsia" w:ascii="宋体" w:hAnsi="宋体"/>
                <w:color w:val="auto"/>
                <w:szCs w:val="21"/>
                <w:highlight w:val="none"/>
              </w:rPr>
            </w:pPr>
            <w:r>
              <w:rPr>
                <w:rFonts w:hint="eastAsia" w:ascii="宋体" w:hAnsi="宋体"/>
                <w:color w:val="auto"/>
                <w:szCs w:val="21"/>
                <w:highlight w:val="none"/>
              </w:rPr>
              <w:t>8</w:t>
            </w:r>
          </w:p>
        </w:tc>
        <w:tc>
          <w:tcPr>
            <w:tcW w:w="3119" w:type="dxa"/>
            <w:tcBorders>
              <w:top w:val="single" w:color="000000" w:sz="4" w:space="0"/>
              <w:left w:val="single" w:color="000000" w:sz="4" w:space="0"/>
              <w:bottom w:val="single" w:color="000000" w:sz="4" w:space="0"/>
              <w:right w:val="single" w:color="000000" w:sz="4" w:space="0"/>
            </w:tcBorders>
            <w:vAlign w:val="center"/>
          </w:tcPr>
          <w:p>
            <w:pPr>
              <w:snapToGrid w:val="0"/>
              <w:spacing w:line="360" w:lineRule="auto"/>
              <w:rPr>
                <w:rFonts w:hint="eastAsia" w:ascii="宋体" w:hAnsi="宋体"/>
                <w:color w:val="auto"/>
                <w:szCs w:val="21"/>
                <w:highlight w:val="none"/>
              </w:rPr>
            </w:pPr>
            <w:r>
              <w:rPr>
                <w:rFonts w:hint="eastAsia" w:ascii="宋体" w:hAnsi="宋体" w:cs="Times New Roman"/>
                <w:color w:val="auto"/>
                <w:szCs w:val="21"/>
                <w:highlight w:val="none"/>
                <w:lang w:val="hr-HR"/>
              </w:rPr>
              <w:t>磋商响应文件中</w:t>
            </w:r>
            <w:r>
              <w:rPr>
                <w:rFonts w:hint="eastAsia" w:ascii="宋体" w:hAnsi="宋体" w:cs="Times New Roman"/>
                <w:color w:val="auto"/>
                <w:szCs w:val="21"/>
                <w:highlight w:val="none"/>
              </w:rPr>
              <w:t>《清单报价表》</w:t>
            </w:r>
            <w:r>
              <w:rPr>
                <w:rFonts w:hint="eastAsia" w:ascii="宋体" w:hAnsi="宋体" w:cs="Times New Roman"/>
                <w:color w:val="auto"/>
                <w:szCs w:val="21"/>
                <w:highlight w:val="none"/>
                <w:lang w:val="hr-HR"/>
              </w:rPr>
              <w:t>（含封面）正本采用采购人提供的原件填写的</w:t>
            </w:r>
          </w:p>
        </w:tc>
        <w:tc>
          <w:tcPr>
            <w:tcW w:w="850"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992"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851"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134"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c>
          <w:tcPr>
            <w:tcW w:w="1659" w:type="dxa"/>
            <w:tcBorders>
              <w:top w:val="single" w:color="000000" w:sz="4" w:space="0"/>
              <w:left w:val="single" w:color="000000" w:sz="4" w:space="0"/>
              <w:bottom w:val="single" w:color="000000" w:sz="4" w:space="0"/>
              <w:right w:val="single" w:color="000000" w:sz="4" w:space="0"/>
            </w:tcBorders>
          </w:tcPr>
          <w:p>
            <w:pPr>
              <w:spacing w:line="360" w:lineRule="auto"/>
              <w:rPr>
                <w:rFonts w:ascii="宋体" w:hAnsi="宋体"/>
                <w:color w:val="auto"/>
                <w:szCs w:val="21"/>
                <w:highlight w:val="none"/>
              </w:rPr>
            </w:pPr>
          </w:p>
        </w:tc>
      </w:tr>
    </w:tbl>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备注：</w:t>
      </w:r>
    </w:p>
    <w:p>
      <w:pPr>
        <w:adjustRightInd w:val="0"/>
        <w:snapToGrid w:val="0"/>
        <w:spacing w:line="360" w:lineRule="auto"/>
        <w:rPr>
          <w:rFonts w:ascii="宋体" w:cs="宋体"/>
          <w:b/>
          <w:color w:val="auto"/>
          <w:szCs w:val="21"/>
          <w:highlight w:val="none"/>
        </w:rPr>
      </w:pPr>
      <w:r>
        <w:rPr>
          <w:rFonts w:hint="eastAsia" w:ascii="宋体" w:hAnsi="宋体" w:cs="宋体"/>
          <w:b/>
          <w:color w:val="auto"/>
          <w:szCs w:val="21"/>
          <w:highlight w:val="none"/>
        </w:rPr>
        <w:t>1．表中填写“○”表示该项符合竞争性磋商文件要求，“×”表示该项不符合竞争性磋商文件要求。</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2．在结论栏中填写“通过”或“不通过”。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3.供应商的所有评审项均填写“○”才被视为“通过”，其中一项为“×”则被视为不通过。</w:t>
      </w:r>
    </w:p>
    <w:p>
      <w:pPr>
        <w:adjustRightInd w:val="0"/>
        <w:snapToGrid w:val="0"/>
        <w:spacing w:line="360" w:lineRule="auto"/>
        <w:rPr>
          <w:rFonts w:ascii="宋体" w:hAnsi="宋体" w:cs="宋体"/>
          <w:b/>
          <w:color w:val="auto"/>
          <w:szCs w:val="21"/>
          <w:highlight w:val="none"/>
        </w:rPr>
      </w:pPr>
      <w:r>
        <w:rPr>
          <w:rFonts w:hint="eastAsia" w:ascii="宋体" w:hAnsi="宋体" w:cs="宋体"/>
          <w:b/>
          <w:color w:val="auto"/>
          <w:szCs w:val="21"/>
          <w:highlight w:val="none"/>
        </w:rPr>
        <w:t>4. 如对本表中某种情形的评审意见不一致时，以少数服从多数的原则作为磋商小组对该情形的认定结论。</w:t>
      </w:r>
    </w:p>
    <w:p>
      <w:pPr>
        <w:spacing w:line="360" w:lineRule="auto"/>
        <w:rPr>
          <w:rFonts w:ascii="宋体" w:hAnsi="宋体"/>
          <w:color w:val="auto"/>
          <w:szCs w:val="21"/>
          <w:highlight w:val="none"/>
        </w:rPr>
      </w:pPr>
      <w:r>
        <w:rPr>
          <w:rFonts w:hint="eastAsia"/>
          <w:color w:val="auto"/>
          <w:szCs w:val="21"/>
          <w:highlight w:val="none"/>
        </w:rPr>
        <w:t>评委签名：</w:t>
      </w:r>
      <w:r>
        <w:rPr>
          <w:rFonts w:hint="eastAsia" w:ascii="宋体" w:hAnsi="宋体"/>
          <w:bCs/>
          <w:color w:val="auto"/>
          <w:szCs w:val="21"/>
          <w:highlight w:val="none"/>
        </w:rPr>
        <w:t xml:space="preserve">                                            日期：   年  月  日</w:t>
      </w:r>
    </w:p>
    <w:p>
      <w:pPr>
        <w:rPr>
          <w:rFonts w:ascii="宋体" w:hAnsi="宋体" w:cs="宋体"/>
          <w:b/>
          <w:color w:val="auto"/>
          <w:sz w:val="24"/>
          <w:highlight w:val="none"/>
        </w:rPr>
      </w:pPr>
      <w:r>
        <w:rPr>
          <w:rFonts w:hint="eastAsia" w:ascii="宋体" w:hAnsi="宋体" w:cs="宋体"/>
          <w:b/>
          <w:color w:val="auto"/>
          <w:sz w:val="24"/>
          <w:highlight w:val="none"/>
        </w:rPr>
        <w:br w:type="page"/>
      </w:r>
    </w:p>
    <w:p>
      <w:pPr>
        <w:tabs>
          <w:tab w:val="left" w:pos="720"/>
        </w:tabs>
        <w:snapToGrid w:val="0"/>
        <w:spacing w:line="360" w:lineRule="auto"/>
        <w:jc w:val="left"/>
        <w:rPr>
          <w:rFonts w:ascii="宋体" w:hAnsi="宋体" w:cs="宋体"/>
          <w:b/>
          <w:color w:val="auto"/>
          <w:sz w:val="24"/>
          <w:highlight w:val="none"/>
        </w:rPr>
      </w:pPr>
      <w:r>
        <w:rPr>
          <w:rFonts w:hint="eastAsia" w:ascii="宋体" w:hAnsi="宋体" w:cs="宋体"/>
          <w:b/>
          <w:color w:val="auto"/>
          <w:sz w:val="24"/>
          <w:highlight w:val="none"/>
        </w:rPr>
        <w:t xml:space="preserve">附件2   </w:t>
      </w:r>
    </w:p>
    <w:p>
      <w:pPr>
        <w:tabs>
          <w:tab w:val="left" w:pos="720"/>
        </w:tabs>
        <w:snapToGrid w:val="0"/>
        <w:spacing w:line="360" w:lineRule="auto"/>
        <w:jc w:val="center"/>
        <w:rPr>
          <w:rFonts w:ascii="宋体" w:hAnsi="宋体" w:cs="宋体"/>
          <w:b/>
          <w:color w:val="auto"/>
          <w:sz w:val="24"/>
          <w:highlight w:val="none"/>
        </w:rPr>
      </w:pPr>
      <w:r>
        <w:rPr>
          <w:rFonts w:hint="eastAsia" w:ascii="宋体" w:hAnsi="宋体" w:cs="宋体"/>
          <w:b/>
          <w:color w:val="auto"/>
          <w:sz w:val="24"/>
          <w:highlight w:val="none"/>
        </w:rPr>
        <w:t>技术部分评分表</w:t>
      </w:r>
    </w:p>
    <w:p>
      <w:pPr>
        <w:snapToGrid w:val="0"/>
        <w:spacing w:line="360" w:lineRule="auto"/>
        <w:rPr>
          <w:rFonts w:ascii="宋体" w:hAnsi="宋体" w:cs="宋体"/>
          <w:bCs/>
          <w:color w:val="auto"/>
          <w:szCs w:val="21"/>
          <w:highlight w:val="none"/>
        </w:rPr>
      </w:pPr>
      <w:r>
        <w:rPr>
          <w:rFonts w:hint="eastAsia" w:ascii="宋体" w:hAnsi="宋体" w:cs="宋体"/>
          <w:bCs/>
          <w:color w:val="auto"/>
          <w:szCs w:val="21"/>
          <w:highlight w:val="none"/>
        </w:rPr>
        <w:t xml:space="preserve">项目名称：                                          项目编号：                                   </w:t>
      </w:r>
    </w:p>
    <w:tbl>
      <w:tblPr>
        <w:tblStyle w:val="90"/>
        <w:tblW w:w="970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13"/>
        <w:gridCol w:w="2268"/>
        <w:gridCol w:w="5807"/>
        <w:gridCol w:w="91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53" w:hRule="atLeast"/>
          <w:tblHeader/>
          <w:jc w:val="center"/>
        </w:trPr>
        <w:tc>
          <w:tcPr>
            <w:tcW w:w="713"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序号</w:t>
            </w:r>
          </w:p>
        </w:tc>
        <w:tc>
          <w:tcPr>
            <w:tcW w:w="2268"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评分项目</w:t>
            </w:r>
          </w:p>
        </w:tc>
        <w:tc>
          <w:tcPr>
            <w:tcW w:w="5807" w:type="dxa"/>
            <w:tcBorders>
              <w:top w:val="single" w:color="auto" w:sz="4" w:space="0"/>
            </w:tcBorders>
            <w:shd w:val="clear" w:color="auto" w:fill="FFFFFF"/>
            <w:vAlign w:val="center"/>
          </w:tcPr>
          <w:p>
            <w:pPr>
              <w:snapToGrid w:val="0"/>
              <w:jc w:val="center"/>
              <w:rPr>
                <w:rFonts w:ascii="宋体" w:hAnsi="宋体" w:cs="宋体"/>
                <w:color w:val="auto"/>
                <w:highlight w:val="none"/>
              </w:rPr>
            </w:pPr>
            <w:r>
              <w:rPr>
                <w:rFonts w:hint="eastAsia" w:ascii="宋体" w:hAnsi="宋体" w:cs="宋体"/>
                <w:color w:val="auto"/>
                <w:highlight w:val="none"/>
              </w:rPr>
              <w:t>评分标准</w:t>
            </w:r>
          </w:p>
        </w:tc>
        <w:tc>
          <w:tcPr>
            <w:tcW w:w="912" w:type="dxa"/>
            <w:tcBorders>
              <w:top w:val="single" w:color="auto" w:sz="4" w:space="0"/>
            </w:tcBorders>
            <w:shd w:val="clear" w:color="auto" w:fill="FFFFFF"/>
            <w:vAlign w:val="center"/>
          </w:tcPr>
          <w:p>
            <w:pPr>
              <w:snapToGrid w:val="0"/>
              <w:spacing w:line="360" w:lineRule="auto"/>
              <w:jc w:val="center"/>
              <w:rPr>
                <w:rFonts w:ascii="宋体" w:hAnsi="宋体" w:cs="宋体"/>
                <w:bCs/>
                <w:color w:val="auto"/>
                <w:szCs w:val="21"/>
                <w:highlight w:val="none"/>
              </w:rPr>
            </w:pPr>
            <w:r>
              <w:rPr>
                <w:rFonts w:hint="eastAsia" w:ascii="宋体" w:hAnsi="宋体" w:cs="宋体"/>
                <w:color w:val="auto"/>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713" w:type="dxa"/>
            <w:tcBorders>
              <w:top w:val="single" w:color="auto" w:sz="4" w:space="0"/>
              <w:bottom w:val="single" w:color="auto" w:sz="4" w:space="0"/>
            </w:tcBorders>
            <w:vAlign w:val="center"/>
          </w:tcPr>
          <w:p>
            <w:pPr>
              <w:snapToGrid w:val="0"/>
              <w:spacing w:line="360" w:lineRule="auto"/>
              <w:jc w:val="center"/>
              <w:rPr>
                <w:rFonts w:hint="default" w:ascii="宋体" w:hAnsi="宋体" w:cs="宋体"/>
                <w:bCs/>
                <w:color w:val="auto"/>
                <w:szCs w:val="21"/>
                <w:highlight w:val="none"/>
                <w:lang w:val="en-US" w:eastAsia="zh-CN"/>
              </w:rPr>
            </w:pPr>
            <w:r>
              <w:rPr>
                <w:rFonts w:hint="eastAsia" w:ascii="宋体" w:hAnsi="宋体" w:cs="宋体"/>
                <w:bCs/>
                <w:color w:val="auto"/>
                <w:szCs w:val="21"/>
                <w:highlight w:val="none"/>
                <w:lang w:val="en-US" w:eastAsia="zh-CN"/>
              </w:rPr>
              <w:t>1</w:t>
            </w:r>
          </w:p>
        </w:tc>
        <w:tc>
          <w:tcPr>
            <w:tcW w:w="2268" w:type="dxa"/>
            <w:tcBorders>
              <w:top w:val="single" w:color="auto" w:sz="4" w:space="0"/>
              <w:bottom w:val="single" w:color="auto" w:sz="4" w:space="0"/>
            </w:tcBorders>
            <w:vAlign w:val="center"/>
          </w:tcPr>
          <w:p>
            <w:pPr>
              <w:snapToGrid w:val="0"/>
              <w:jc w:val="center"/>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施工</w:t>
            </w:r>
            <w:r>
              <w:rPr>
                <w:rFonts w:hint="eastAsia" w:ascii="宋体" w:hAnsi="宋体" w:cs="宋体"/>
                <w:color w:val="auto"/>
                <w:highlight w:val="none"/>
              </w:rPr>
              <w:t>总体</w:t>
            </w:r>
            <w:r>
              <w:rPr>
                <w:rFonts w:hint="eastAsia" w:ascii="宋体" w:hAnsi="宋体" w:cs="宋体"/>
                <w:color w:val="auto"/>
                <w:highlight w:val="none"/>
                <w:lang w:eastAsia="zh-CN"/>
              </w:rPr>
              <w:t>方案</w:t>
            </w:r>
          </w:p>
        </w:tc>
        <w:tc>
          <w:tcPr>
            <w:tcW w:w="5807" w:type="dxa"/>
            <w:tcBorders>
              <w:top w:val="single" w:color="auto" w:sz="4" w:space="0"/>
              <w:bottom w:val="single" w:color="auto" w:sz="4" w:space="0"/>
            </w:tcBorders>
            <w:vAlign w:val="center"/>
          </w:tcPr>
          <w:p>
            <w:pPr>
              <w:snapToGrid w:val="0"/>
              <w:rPr>
                <w:rFonts w:hint="eastAsia" w:ascii="宋体" w:hAnsi="宋体" w:cs="宋体"/>
                <w:color w:val="auto"/>
                <w:highlight w:val="none"/>
                <w:lang w:eastAsia="zh-CN"/>
              </w:rPr>
            </w:pPr>
            <w:r>
              <w:rPr>
                <w:rFonts w:hint="eastAsia" w:ascii="宋体" w:hAnsi="宋体" w:cs="宋体"/>
                <w:color w:val="auto"/>
                <w:highlight w:val="none"/>
                <w:lang w:eastAsia="zh-CN"/>
              </w:rPr>
              <w:t>1.总体方案合理，对本项目需求情况熟悉且有针对性得</w:t>
            </w:r>
            <w:r>
              <w:rPr>
                <w:rFonts w:hint="eastAsia" w:ascii="宋体" w:hAnsi="宋体" w:cs="宋体"/>
                <w:color w:val="auto"/>
                <w:highlight w:val="none"/>
                <w:lang w:val="en-US" w:eastAsia="zh-CN"/>
              </w:rPr>
              <w:t>5</w:t>
            </w:r>
            <w:r>
              <w:rPr>
                <w:rFonts w:hint="eastAsia" w:ascii="宋体" w:hAnsi="宋体" w:cs="宋体"/>
                <w:color w:val="auto"/>
                <w:highlight w:val="none"/>
                <w:lang w:eastAsia="zh-CN"/>
              </w:rPr>
              <w:t>分。</w:t>
            </w:r>
          </w:p>
          <w:p>
            <w:pPr>
              <w:snapToGrid w:val="0"/>
              <w:rPr>
                <w:rFonts w:hint="eastAsia" w:ascii="宋体" w:hAnsi="宋体" w:cs="宋体"/>
                <w:color w:val="auto"/>
                <w:highlight w:val="none"/>
                <w:lang w:eastAsia="zh-CN"/>
              </w:rPr>
            </w:pPr>
            <w:r>
              <w:rPr>
                <w:rFonts w:hint="eastAsia" w:ascii="宋体" w:hAnsi="宋体" w:cs="宋体"/>
                <w:color w:val="auto"/>
                <w:highlight w:val="none"/>
                <w:lang w:eastAsia="zh-CN"/>
              </w:rPr>
              <w:t>2.总体方案较合理，基本了解本项目需求情况，得</w:t>
            </w:r>
            <w:r>
              <w:rPr>
                <w:rFonts w:hint="eastAsia" w:ascii="宋体" w:hAnsi="宋体" w:cs="宋体"/>
                <w:color w:val="auto"/>
                <w:highlight w:val="none"/>
                <w:lang w:val="en-US" w:eastAsia="zh-CN"/>
              </w:rPr>
              <w:t>3</w:t>
            </w:r>
            <w:r>
              <w:rPr>
                <w:rFonts w:hint="eastAsia" w:ascii="宋体" w:hAnsi="宋体" w:cs="宋体"/>
                <w:color w:val="auto"/>
                <w:highlight w:val="none"/>
                <w:lang w:eastAsia="zh-CN"/>
              </w:rPr>
              <w:t>分。</w:t>
            </w:r>
          </w:p>
          <w:p>
            <w:pPr>
              <w:snapToGrid w:val="0"/>
              <w:rPr>
                <w:rFonts w:hint="eastAsia" w:ascii="宋体" w:hAnsi="宋体" w:cs="宋体"/>
                <w:color w:val="auto"/>
                <w:highlight w:val="none"/>
                <w:lang w:eastAsia="zh-CN"/>
              </w:rPr>
            </w:pPr>
            <w:r>
              <w:rPr>
                <w:rFonts w:hint="eastAsia" w:ascii="宋体" w:hAnsi="宋体" w:cs="宋体"/>
                <w:color w:val="auto"/>
                <w:highlight w:val="none"/>
                <w:lang w:eastAsia="zh-CN"/>
              </w:rPr>
              <w:t>3.总体方案不太合理，不太了解本项目需求情况，得1分。</w:t>
            </w:r>
          </w:p>
          <w:p>
            <w:pPr>
              <w:snapToGrid w:val="0"/>
              <w:rPr>
                <w:rFonts w:hint="default" w:eastAsia="宋体"/>
                <w:color w:val="auto"/>
                <w:highlight w:val="none"/>
                <w:lang w:val="en-US" w:eastAsia="zh-CN"/>
              </w:rPr>
            </w:pPr>
            <w:r>
              <w:rPr>
                <w:rFonts w:hint="eastAsia" w:ascii="宋体" w:hAnsi="宋体" w:cs="宋体"/>
                <w:color w:val="auto"/>
                <w:highlight w:val="none"/>
                <w:lang w:val="en-US" w:eastAsia="zh-CN"/>
              </w:rPr>
              <w:t>4.其他不得分。</w:t>
            </w:r>
          </w:p>
        </w:tc>
        <w:tc>
          <w:tcPr>
            <w:tcW w:w="912"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22" w:hRule="atLeast"/>
          <w:jc w:val="center"/>
        </w:trPr>
        <w:tc>
          <w:tcPr>
            <w:tcW w:w="713"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2</w:t>
            </w:r>
          </w:p>
        </w:tc>
        <w:tc>
          <w:tcPr>
            <w:tcW w:w="2268"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项目实施计划</w:t>
            </w:r>
          </w:p>
        </w:tc>
        <w:tc>
          <w:tcPr>
            <w:tcW w:w="5807" w:type="dxa"/>
            <w:tcBorders>
              <w:top w:val="single" w:color="auto" w:sz="4" w:space="0"/>
              <w:bottom w:val="single" w:color="auto" w:sz="4" w:space="0"/>
            </w:tcBorders>
            <w:vAlign w:val="center"/>
          </w:tcPr>
          <w:p>
            <w:pPr>
              <w:snapToGrid w:val="0"/>
              <w:rPr>
                <w:rFonts w:hint="eastAsia" w:ascii="宋体" w:hAnsi="宋体" w:cs="宋体"/>
                <w:color w:val="auto"/>
                <w:highlight w:val="none"/>
                <w:lang w:eastAsia="zh-CN"/>
              </w:rPr>
            </w:pPr>
            <w:r>
              <w:rPr>
                <w:rFonts w:hint="eastAsia" w:ascii="宋体" w:hAnsi="宋体" w:cs="宋体"/>
                <w:color w:val="auto"/>
                <w:highlight w:val="none"/>
                <w:lang w:eastAsia="zh-CN"/>
              </w:rPr>
              <w:t>1.方案思路清晰，人员结构合理，工作内容切实可行，对工程质量安全监督要点有深入的表述，质量服务保证措施具体可行，可操作性强，能提出利于工作有效进行的建议，得</w:t>
            </w:r>
            <w:r>
              <w:rPr>
                <w:rFonts w:hint="eastAsia" w:ascii="宋体" w:hAnsi="宋体" w:cs="宋体"/>
                <w:color w:val="auto"/>
                <w:highlight w:val="none"/>
                <w:lang w:val="en-US" w:eastAsia="zh-CN"/>
              </w:rPr>
              <w:t>10</w:t>
            </w:r>
            <w:r>
              <w:rPr>
                <w:rFonts w:hint="eastAsia" w:ascii="宋体" w:hAnsi="宋体" w:cs="宋体"/>
                <w:color w:val="auto"/>
                <w:highlight w:val="none"/>
                <w:lang w:eastAsia="zh-CN"/>
              </w:rPr>
              <w:t>分；</w:t>
            </w:r>
          </w:p>
          <w:p>
            <w:pPr>
              <w:snapToGrid w:val="0"/>
              <w:rPr>
                <w:rFonts w:hint="eastAsia" w:ascii="宋体" w:hAnsi="宋体" w:cs="宋体"/>
                <w:color w:val="auto"/>
                <w:highlight w:val="none"/>
                <w:lang w:eastAsia="zh-CN"/>
              </w:rPr>
            </w:pPr>
            <w:r>
              <w:rPr>
                <w:rFonts w:hint="eastAsia" w:ascii="宋体" w:hAnsi="宋体" w:cs="宋体"/>
                <w:color w:val="auto"/>
                <w:highlight w:val="none"/>
                <w:lang w:eastAsia="zh-CN"/>
              </w:rPr>
              <w:t>2.方案思路较清晰，人员结构较合理，工作内容可行性尚可，对工程质量安全监督要点有表述，各项质量服务保证措施和可操作性一般，提出的建议可操作性不强，得</w:t>
            </w:r>
            <w:r>
              <w:rPr>
                <w:rFonts w:hint="eastAsia" w:ascii="宋体" w:hAnsi="宋体" w:cs="宋体"/>
                <w:color w:val="auto"/>
                <w:highlight w:val="none"/>
                <w:lang w:val="en-US" w:eastAsia="zh-CN"/>
              </w:rPr>
              <w:t>5</w:t>
            </w:r>
            <w:r>
              <w:rPr>
                <w:rFonts w:hint="eastAsia" w:ascii="宋体" w:hAnsi="宋体" w:cs="宋体"/>
                <w:color w:val="auto"/>
                <w:highlight w:val="none"/>
                <w:lang w:eastAsia="zh-CN"/>
              </w:rPr>
              <w:t>分；</w:t>
            </w:r>
          </w:p>
          <w:p>
            <w:pPr>
              <w:snapToGrid w:val="0"/>
              <w:rPr>
                <w:rFonts w:hint="eastAsia" w:ascii="宋体" w:hAnsi="宋体" w:cs="宋体"/>
                <w:color w:val="auto"/>
                <w:highlight w:val="none"/>
                <w:lang w:eastAsia="zh-CN"/>
              </w:rPr>
            </w:pPr>
            <w:r>
              <w:rPr>
                <w:rFonts w:hint="eastAsia" w:ascii="宋体" w:hAnsi="宋体" w:cs="宋体"/>
                <w:color w:val="auto"/>
                <w:highlight w:val="none"/>
                <w:lang w:eastAsia="zh-CN"/>
              </w:rPr>
              <w:t>3.方案思路比较混乱、不太合理，人员结构不太合理，工作内容可行性较差，对工程质量安全监督要点无详细表述，各项质量服务保证措施不太具体可行，可操作性不太强，不太能提出有效建议，得</w:t>
            </w:r>
            <w:r>
              <w:rPr>
                <w:rFonts w:hint="eastAsia" w:ascii="宋体" w:hAnsi="宋体" w:cs="宋体"/>
                <w:color w:val="auto"/>
                <w:highlight w:val="none"/>
                <w:lang w:val="en-US" w:eastAsia="zh-CN"/>
              </w:rPr>
              <w:t>1</w:t>
            </w:r>
            <w:r>
              <w:rPr>
                <w:rFonts w:hint="eastAsia" w:ascii="宋体" w:hAnsi="宋体" w:cs="宋体"/>
                <w:color w:val="auto"/>
                <w:highlight w:val="none"/>
                <w:lang w:eastAsia="zh-CN"/>
              </w:rPr>
              <w:t>分。</w:t>
            </w:r>
          </w:p>
          <w:p>
            <w:pPr>
              <w:snapToGrid w:val="0"/>
              <w:rPr>
                <w:rFonts w:hint="default" w:eastAsia="宋体"/>
                <w:color w:val="auto"/>
                <w:highlight w:val="none"/>
                <w:lang w:val="en-US" w:eastAsia="zh-CN"/>
              </w:rPr>
            </w:pPr>
            <w:r>
              <w:rPr>
                <w:rFonts w:hint="eastAsia" w:ascii="宋体" w:hAnsi="宋体" w:cs="宋体"/>
                <w:color w:val="auto"/>
                <w:highlight w:val="none"/>
                <w:lang w:val="en-US" w:eastAsia="zh-CN"/>
              </w:rPr>
              <w:t>4.其他不得分。</w:t>
            </w:r>
          </w:p>
        </w:tc>
        <w:tc>
          <w:tcPr>
            <w:tcW w:w="912"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713"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lang w:val="en-US" w:eastAsia="zh-CN"/>
              </w:rPr>
            </w:pPr>
          </w:p>
        </w:tc>
        <w:tc>
          <w:tcPr>
            <w:tcW w:w="2268"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关键施工技术、工艺及工程项目实施的重点、难点和解决方案</w:t>
            </w:r>
          </w:p>
        </w:tc>
        <w:tc>
          <w:tcPr>
            <w:tcW w:w="5807" w:type="dxa"/>
            <w:tcBorders>
              <w:top w:val="single" w:color="auto" w:sz="4" w:space="0"/>
              <w:bottom w:val="single" w:color="auto" w:sz="4" w:space="0"/>
            </w:tcBorders>
            <w:vAlign w:val="center"/>
          </w:tcPr>
          <w:p>
            <w:pPr>
              <w:snapToGrid w:val="0"/>
              <w:rPr>
                <w:rFonts w:hint="default" w:ascii="宋体" w:hAnsi="宋体" w:cs="宋体"/>
                <w:color w:val="auto"/>
                <w:highlight w:val="none"/>
                <w:lang w:val="en-US" w:eastAsia="zh-CN"/>
              </w:rPr>
            </w:pPr>
            <w:r>
              <w:rPr>
                <w:rFonts w:hint="eastAsia" w:ascii="宋体" w:hAnsi="宋体" w:cs="宋体"/>
                <w:color w:val="auto"/>
                <w:highlight w:val="none"/>
                <w:lang w:val="en-US" w:eastAsia="zh-CN"/>
              </w:rPr>
              <w:t>1.</w:t>
            </w:r>
            <w:r>
              <w:rPr>
                <w:rFonts w:hint="eastAsia" w:ascii="宋体" w:hAnsi="宋体" w:cs="宋体"/>
                <w:color w:val="auto"/>
                <w:highlight w:val="none"/>
                <w:lang w:eastAsia="zh-CN"/>
              </w:rPr>
              <w:t>施工关键技术、工艺把握准确，清晰理解工程重点难点并制定良好的解决方案的，得</w:t>
            </w:r>
            <w:r>
              <w:rPr>
                <w:rFonts w:hint="eastAsia" w:ascii="宋体" w:hAnsi="宋体" w:cs="宋体"/>
                <w:color w:val="auto"/>
                <w:highlight w:val="none"/>
                <w:lang w:val="en-US" w:eastAsia="zh-CN"/>
              </w:rPr>
              <w:t>5分。</w:t>
            </w:r>
          </w:p>
          <w:p>
            <w:pPr>
              <w:snapToGrid w:val="0"/>
              <w:rPr>
                <w:rFonts w:hint="eastAsia" w:ascii="宋体" w:hAnsi="宋体" w:cs="宋体"/>
                <w:color w:val="auto"/>
                <w:highlight w:val="none"/>
                <w:lang w:val="en-US" w:eastAsia="zh-CN"/>
              </w:rPr>
            </w:pPr>
            <w:r>
              <w:rPr>
                <w:rFonts w:hint="eastAsia" w:ascii="宋体" w:hAnsi="宋体" w:cs="宋体"/>
                <w:color w:val="auto"/>
                <w:highlight w:val="none"/>
                <w:lang w:val="en-US" w:eastAsia="zh-CN"/>
              </w:rPr>
              <w:t>2.</w:t>
            </w:r>
            <w:r>
              <w:rPr>
                <w:rFonts w:hint="eastAsia" w:ascii="宋体" w:hAnsi="宋体" w:cs="宋体"/>
                <w:color w:val="auto"/>
                <w:highlight w:val="none"/>
                <w:lang w:eastAsia="zh-CN"/>
              </w:rPr>
              <w:t>施工关键技术、工艺把握比较准确，比较清晰理解工程重点难点并制定比较良好的解决方案的，得</w:t>
            </w:r>
            <w:r>
              <w:rPr>
                <w:rFonts w:hint="eastAsia" w:ascii="宋体" w:hAnsi="宋体" w:cs="宋体"/>
                <w:color w:val="auto"/>
                <w:highlight w:val="none"/>
                <w:lang w:val="en-US" w:eastAsia="zh-CN"/>
              </w:rPr>
              <w:t>3分。</w:t>
            </w:r>
          </w:p>
          <w:p>
            <w:pPr>
              <w:snapToGrid w:val="0"/>
              <w:rPr>
                <w:rFonts w:hint="eastAsia" w:ascii="宋体" w:hAnsi="宋体" w:cs="宋体"/>
                <w:color w:val="auto"/>
                <w:highlight w:val="none"/>
                <w:lang w:eastAsia="zh-CN"/>
              </w:rPr>
            </w:pPr>
            <w:r>
              <w:rPr>
                <w:rFonts w:hint="eastAsia" w:ascii="宋体" w:hAnsi="宋体" w:cs="宋体"/>
                <w:color w:val="auto"/>
                <w:highlight w:val="none"/>
                <w:lang w:val="en-US" w:eastAsia="zh-CN"/>
              </w:rPr>
              <w:t>3.</w:t>
            </w:r>
            <w:r>
              <w:rPr>
                <w:rFonts w:hint="eastAsia" w:ascii="宋体" w:hAnsi="宋体" w:cs="宋体"/>
                <w:color w:val="auto"/>
                <w:highlight w:val="none"/>
                <w:lang w:eastAsia="zh-CN"/>
              </w:rPr>
              <w:t>施工关键技术、工艺把握不太准确，不太清晰理解工程重点难点，没有制定解决方案的，得</w:t>
            </w:r>
            <w:r>
              <w:rPr>
                <w:rFonts w:hint="eastAsia" w:ascii="宋体" w:hAnsi="宋体" w:cs="宋体"/>
                <w:color w:val="auto"/>
                <w:highlight w:val="none"/>
                <w:lang w:val="en-US" w:eastAsia="zh-CN"/>
              </w:rPr>
              <w:t>1分。</w:t>
            </w:r>
          </w:p>
          <w:p>
            <w:pPr>
              <w:snapToGrid w:val="0"/>
              <w:rPr>
                <w:rFonts w:hint="eastAsia" w:ascii="宋体" w:hAnsi="宋体" w:cs="宋体"/>
                <w:color w:val="auto"/>
                <w:highlight w:val="none"/>
              </w:rPr>
            </w:pPr>
            <w:r>
              <w:rPr>
                <w:rFonts w:hint="eastAsia" w:ascii="宋体" w:hAnsi="宋体" w:cs="宋体"/>
                <w:color w:val="auto"/>
                <w:highlight w:val="none"/>
                <w:lang w:eastAsia="zh-CN"/>
              </w:rPr>
              <w:t>4.其他不得分。</w:t>
            </w:r>
          </w:p>
        </w:tc>
        <w:tc>
          <w:tcPr>
            <w:tcW w:w="912"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713"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4</w:t>
            </w:r>
          </w:p>
        </w:tc>
        <w:tc>
          <w:tcPr>
            <w:tcW w:w="2268"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质量保证</w:t>
            </w:r>
            <w:r>
              <w:rPr>
                <w:rFonts w:hint="eastAsia" w:ascii="宋体" w:hAnsi="宋体" w:cs="宋体"/>
                <w:color w:val="auto"/>
                <w:highlight w:val="none"/>
                <w:lang w:eastAsia="zh-CN"/>
              </w:rPr>
              <w:t>、</w:t>
            </w:r>
            <w:r>
              <w:rPr>
                <w:rFonts w:hint="eastAsia" w:ascii="宋体" w:hAnsi="宋体" w:cs="宋体"/>
                <w:color w:val="auto"/>
                <w:highlight w:val="none"/>
              </w:rPr>
              <w:t>安全文明措施</w:t>
            </w:r>
          </w:p>
        </w:tc>
        <w:tc>
          <w:tcPr>
            <w:tcW w:w="5807" w:type="dxa"/>
            <w:tcBorders>
              <w:top w:val="single" w:color="auto" w:sz="4" w:space="0"/>
              <w:bottom w:val="single" w:color="auto" w:sz="4" w:space="0"/>
            </w:tcBorders>
            <w:vAlign w:val="center"/>
          </w:tcPr>
          <w:p>
            <w:pPr>
              <w:snapToGrid w:val="0"/>
              <w:rPr>
                <w:rFonts w:hint="eastAsia" w:ascii="宋体" w:hAnsi="宋体" w:cs="宋体"/>
                <w:color w:val="auto"/>
                <w:highlight w:val="none"/>
              </w:rPr>
            </w:pPr>
            <w:r>
              <w:rPr>
                <w:rFonts w:hint="eastAsia" w:ascii="宋体" w:hAnsi="宋体" w:cs="宋体"/>
                <w:color w:val="auto"/>
                <w:highlight w:val="none"/>
              </w:rPr>
              <w:t>1.质量保证</w:t>
            </w:r>
            <w:r>
              <w:rPr>
                <w:rFonts w:hint="eastAsia" w:ascii="宋体" w:hAnsi="宋体" w:cs="宋体"/>
                <w:color w:val="auto"/>
                <w:highlight w:val="none"/>
                <w:lang w:eastAsia="zh-CN"/>
              </w:rPr>
              <w:t>和</w:t>
            </w:r>
            <w:r>
              <w:rPr>
                <w:rFonts w:hint="eastAsia" w:ascii="宋体" w:hAnsi="宋体" w:cs="宋体"/>
                <w:color w:val="auto"/>
                <w:highlight w:val="none"/>
              </w:rPr>
              <w:t>安全文明措施体系健全，措施合理，得</w:t>
            </w:r>
            <w:r>
              <w:rPr>
                <w:rFonts w:hint="eastAsia" w:ascii="宋体" w:hAnsi="宋体" w:cs="宋体"/>
                <w:color w:val="auto"/>
                <w:highlight w:val="none"/>
                <w:lang w:val="en-US" w:eastAsia="zh-CN"/>
              </w:rPr>
              <w:t>5</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2.质量保证</w:t>
            </w:r>
            <w:r>
              <w:rPr>
                <w:rFonts w:hint="eastAsia" w:ascii="宋体" w:hAnsi="宋体" w:cs="宋体"/>
                <w:color w:val="auto"/>
                <w:highlight w:val="none"/>
                <w:lang w:eastAsia="zh-CN"/>
              </w:rPr>
              <w:t>和</w:t>
            </w:r>
            <w:r>
              <w:rPr>
                <w:rFonts w:hint="eastAsia" w:ascii="宋体" w:hAnsi="宋体" w:cs="宋体"/>
                <w:color w:val="auto"/>
                <w:highlight w:val="none"/>
              </w:rPr>
              <w:t>安全文明措施体系基本健全，措施基本合理，得</w:t>
            </w:r>
            <w:r>
              <w:rPr>
                <w:rFonts w:hint="eastAsia" w:ascii="宋体" w:hAnsi="宋体" w:cs="宋体"/>
                <w:color w:val="auto"/>
                <w:highlight w:val="none"/>
                <w:lang w:val="en-US" w:eastAsia="zh-CN"/>
              </w:rPr>
              <w:t>3</w:t>
            </w:r>
            <w:r>
              <w:rPr>
                <w:rFonts w:hint="eastAsia" w:ascii="宋体" w:hAnsi="宋体" w:cs="宋体"/>
                <w:color w:val="auto"/>
                <w:highlight w:val="none"/>
              </w:rPr>
              <w:t>分。</w:t>
            </w:r>
          </w:p>
          <w:p>
            <w:pPr>
              <w:snapToGrid w:val="0"/>
              <w:rPr>
                <w:rFonts w:hint="eastAsia" w:ascii="宋体" w:hAnsi="宋体" w:cs="宋体"/>
                <w:color w:val="auto"/>
                <w:highlight w:val="none"/>
              </w:rPr>
            </w:pPr>
            <w:r>
              <w:rPr>
                <w:rFonts w:hint="eastAsia" w:ascii="宋体" w:hAnsi="宋体" w:cs="宋体"/>
                <w:color w:val="auto"/>
                <w:highlight w:val="none"/>
              </w:rPr>
              <w:t>3.质量保证</w:t>
            </w:r>
            <w:r>
              <w:rPr>
                <w:rFonts w:hint="eastAsia" w:ascii="宋体" w:hAnsi="宋体" w:cs="宋体"/>
                <w:color w:val="auto"/>
                <w:highlight w:val="none"/>
                <w:lang w:eastAsia="zh-CN"/>
              </w:rPr>
              <w:t>和</w:t>
            </w:r>
            <w:r>
              <w:rPr>
                <w:rFonts w:hint="eastAsia" w:ascii="宋体" w:hAnsi="宋体" w:cs="宋体"/>
                <w:color w:val="auto"/>
                <w:highlight w:val="none"/>
              </w:rPr>
              <w:t>安全文明措施体系不</w:t>
            </w:r>
            <w:r>
              <w:rPr>
                <w:rFonts w:hint="eastAsia" w:ascii="宋体" w:hAnsi="宋体" w:cs="宋体"/>
                <w:color w:val="auto"/>
                <w:highlight w:val="none"/>
                <w:lang w:eastAsia="zh-CN"/>
              </w:rPr>
              <w:t>太</w:t>
            </w:r>
            <w:r>
              <w:rPr>
                <w:rFonts w:hint="eastAsia" w:ascii="宋体" w:hAnsi="宋体" w:cs="宋体"/>
                <w:color w:val="auto"/>
                <w:highlight w:val="none"/>
              </w:rPr>
              <w:t>健全，措施不</w:t>
            </w:r>
            <w:r>
              <w:rPr>
                <w:rFonts w:hint="eastAsia" w:ascii="宋体" w:hAnsi="宋体" w:cs="宋体"/>
                <w:color w:val="auto"/>
                <w:highlight w:val="none"/>
                <w:lang w:eastAsia="zh-CN"/>
              </w:rPr>
              <w:t>太</w:t>
            </w:r>
            <w:r>
              <w:rPr>
                <w:rFonts w:hint="eastAsia" w:ascii="宋体" w:hAnsi="宋体" w:cs="宋体"/>
                <w:color w:val="auto"/>
                <w:highlight w:val="none"/>
              </w:rPr>
              <w:t>合理，</w:t>
            </w:r>
            <w:r>
              <w:rPr>
                <w:rFonts w:hint="eastAsia" w:ascii="宋体" w:hAnsi="宋体" w:cs="宋体"/>
                <w:color w:val="auto"/>
                <w:highlight w:val="none"/>
                <w:lang w:eastAsia="zh-CN"/>
              </w:rPr>
              <w:t>得</w:t>
            </w:r>
            <w:r>
              <w:rPr>
                <w:rFonts w:hint="eastAsia" w:ascii="宋体" w:hAnsi="宋体" w:cs="宋体"/>
                <w:color w:val="auto"/>
                <w:highlight w:val="none"/>
                <w:lang w:val="en-US" w:eastAsia="zh-CN"/>
              </w:rPr>
              <w:t>1</w:t>
            </w:r>
            <w:r>
              <w:rPr>
                <w:rFonts w:hint="eastAsia" w:ascii="宋体" w:hAnsi="宋体" w:cs="宋体"/>
                <w:color w:val="auto"/>
                <w:highlight w:val="none"/>
              </w:rPr>
              <w:t>分。</w:t>
            </w:r>
          </w:p>
          <w:p>
            <w:pPr>
              <w:snapToGrid w:val="0"/>
              <w:rPr>
                <w:rFonts w:hint="eastAsia" w:eastAsia="宋体"/>
                <w:color w:val="auto"/>
                <w:highlight w:val="none"/>
                <w:lang w:eastAsia="zh-CN"/>
              </w:rPr>
            </w:pPr>
            <w:r>
              <w:rPr>
                <w:rFonts w:hint="eastAsia" w:ascii="宋体" w:hAnsi="宋体" w:cs="宋体"/>
                <w:color w:val="auto"/>
                <w:highlight w:val="none"/>
                <w:lang w:val="en-US" w:eastAsia="zh-CN"/>
              </w:rPr>
              <w:t>4.</w:t>
            </w:r>
            <w:r>
              <w:rPr>
                <w:rFonts w:hint="eastAsia" w:ascii="宋体" w:hAnsi="宋体" w:cs="宋体"/>
                <w:color w:val="auto"/>
                <w:highlight w:val="none"/>
                <w:lang w:eastAsia="zh-CN"/>
              </w:rPr>
              <w:t>其他不得分。</w:t>
            </w:r>
          </w:p>
        </w:tc>
        <w:tc>
          <w:tcPr>
            <w:tcW w:w="912"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477" w:hRule="atLeast"/>
          <w:jc w:val="center"/>
        </w:trPr>
        <w:tc>
          <w:tcPr>
            <w:tcW w:w="713"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5</w:t>
            </w:r>
          </w:p>
        </w:tc>
        <w:tc>
          <w:tcPr>
            <w:tcW w:w="2268" w:type="dxa"/>
            <w:tcBorders>
              <w:top w:val="single" w:color="auto" w:sz="4" w:space="0"/>
              <w:bottom w:val="single" w:color="auto" w:sz="4" w:space="0"/>
            </w:tcBorders>
            <w:vAlign w:val="center"/>
          </w:tcPr>
          <w:p>
            <w:pPr>
              <w:snapToGrid w:val="0"/>
              <w:jc w:val="center"/>
              <w:rPr>
                <w:rFonts w:hint="eastAsia" w:ascii="宋体" w:hAnsi="宋体" w:cs="宋体"/>
                <w:color w:val="auto"/>
                <w:highlight w:val="none"/>
              </w:rPr>
            </w:pPr>
            <w:r>
              <w:rPr>
                <w:rFonts w:hint="eastAsia" w:ascii="宋体" w:hAnsi="宋体" w:cs="宋体"/>
                <w:color w:val="auto"/>
                <w:highlight w:val="none"/>
              </w:rPr>
              <w:t>机械设备投入及检测设备</w:t>
            </w:r>
          </w:p>
        </w:tc>
        <w:tc>
          <w:tcPr>
            <w:tcW w:w="5807" w:type="dxa"/>
            <w:tcBorders>
              <w:top w:val="single" w:color="auto" w:sz="4" w:space="0"/>
              <w:bottom w:val="single" w:color="auto" w:sz="4" w:space="0"/>
            </w:tcBorders>
            <w:vAlign w:val="center"/>
          </w:tcPr>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1.</w:t>
            </w:r>
            <w:r>
              <w:rPr>
                <w:rFonts w:hint="eastAsia" w:ascii="宋体" w:hAnsi="宋体" w:cs="宋体"/>
                <w:color w:val="auto"/>
                <w:highlight w:val="none"/>
              </w:rPr>
              <w:t>机械设备投入配置齐全，</w:t>
            </w:r>
            <w:r>
              <w:rPr>
                <w:rFonts w:hint="eastAsia" w:ascii="宋体" w:hAnsi="宋体" w:cs="宋体"/>
                <w:color w:val="auto"/>
                <w:highlight w:val="none"/>
                <w:lang w:eastAsia="zh-CN"/>
              </w:rPr>
              <w:t>检测设备</w:t>
            </w:r>
            <w:r>
              <w:rPr>
                <w:rFonts w:hint="eastAsia" w:ascii="宋体" w:hAnsi="宋体" w:cs="宋体"/>
                <w:color w:val="auto"/>
                <w:highlight w:val="none"/>
              </w:rPr>
              <w:t>完善的</w:t>
            </w:r>
            <w:r>
              <w:rPr>
                <w:rFonts w:hint="eastAsia" w:ascii="宋体" w:hAnsi="宋体" w:cs="宋体"/>
                <w:color w:val="auto"/>
                <w:highlight w:val="none"/>
                <w:lang w:eastAsia="zh-CN"/>
              </w:rPr>
              <w:t>，</w:t>
            </w:r>
            <w:r>
              <w:rPr>
                <w:rFonts w:hint="eastAsia" w:ascii="宋体" w:hAnsi="宋体" w:cs="宋体"/>
                <w:color w:val="auto"/>
                <w:highlight w:val="none"/>
              </w:rPr>
              <w:t>得</w:t>
            </w:r>
            <w:r>
              <w:rPr>
                <w:rFonts w:hint="eastAsia" w:ascii="宋体" w:hAnsi="宋体" w:cs="宋体"/>
                <w:color w:val="auto"/>
                <w:highlight w:val="none"/>
                <w:lang w:val="en-US" w:eastAsia="zh-CN"/>
              </w:rPr>
              <w:t>5</w:t>
            </w:r>
            <w:r>
              <w:rPr>
                <w:rFonts w:hint="eastAsia" w:ascii="宋体" w:hAnsi="宋体" w:cs="宋体"/>
                <w:color w:val="auto"/>
                <w:highlight w:val="none"/>
              </w:rPr>
              <w:t>分</w:t>
            </w:r>
            <w:r>
              <w:rPr>
                <w:rFonts w:hint="eastAsia" w:ascii="宋体" w:hAnsi="宋体" w:cs="宋体"/>
                <w:color w:val="auto"/>
                <w:highlight w:val="none"/>
                <w:lang w:eastAsia="zh-CN"/>
              </w:rPr>
              <w:t>。</w:t>
            </w:r>
          </w:p>
          <w:p>
            <w:pPr>
              <w:snapToGrid w:val="0"/>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2.</w:t>
            </w:r>
            <w:r>
              <w:rPr>
                <w:rFonts w:hint="eastAsia" w:ascii="宋体" w:hAnsi="宋体" w:cs="宋体"/>
                <w:color w:val="auto"/>
                <w:highlight w:val="none"/>
              </w:rPr>
              <w:t>机械设备投入配置</w:t>
            </w:r>
            <w:r>
              <w:rPr>
                <w:rFonts w:hint="eastAsia" w:ascii="宋体" w:hAnsi="宋体" w:cs="宋体"/>
                <w:color w:val="auto"/>
                <w:highlight w:val="none"/>
                <w:lang w:eastAsia="zh-CN"/>
              </w:rPr>
              <w:t>比较</w:t>
            </w:r>
            <w:r>
              <w:rPr>
                <w:rFonts w:hint="eastAsia" w:ascii="宋体" w:hAnsi="宋体" w:cs="宋体"/>
                <w:color w:val="auto"/>
                <w:highlight w:val="none"/>
              </w:rPr>
              <w:t>齐全，</w:t>
            </w:r>
            <w:r>
              <w:rPr>
                <w:rFonts w:hint="eastAsia" w:ascii="宋体" w:hAnsi="宋体" w:cs="宋体"/>
                <w:color w:val="auto"/>
                <w:highlight w:val="none"/>
                <w:lang w:eastAsia="zh-CN"/>
              </w:rPr>
              <w:t>检测设备比较</w:t>
            </w:r>
            <w:r>
              <w:rPr>
                <w:rFonts w:hint="eastAsia" w:ascii="宋体" w:hAnsi="宋体" w:cs="宋体"/>
                <w:color w:val="auto"/>
                <w:highlight w:val="none"/>
              </w:rPr>
              <w:t>完善的</w:t>
            </w:r>
            <w:r>
              <w:rPr>
                <w:rFonts w:hint="eastAsia" w:ascii="宋体" w:hAnsi="宋体" w:cs="宋体"/>
                <w:color w:val="auto"/>
                <w:highlight w:val="none"/>
                <w:lang w:eastAsia="zh-CN"/>
              </w:rPr>
              <w:t>，</w:t>
            </w:r>
            <w:r>
              <w:rPr>
                <w:rFonts w:hint="eastAsia" w:ascii="宋体" w:hAnsi="宋体" w:cs="宋体"/>
                <w:color w:val="auto"/>
                <w:highlight w:val="none"/>
              </w:rPr>
              <w:t>得</w:t>
            </w:r>
            <w:r>
              <w:rPr>
                <w:rFonts w:hint="eastAsia" w:ascii="宋体" w:hAnsi="宋体" w:cs="宋体"/>
                <w:color w:val="auto"/>
                <w:highlight w:val="none"/>
                <w:lang w:val="en-US" w:eastAsia="zh-CN"/>
              </w:rPr>
              <w:t>3</w:t>
            </w:r>
            <w:r>
              <w:rPr>
                <w:rFonts w:hint="eastAsia" w:ascii="宋体" w:hAnsi="宋体" w:cs="宋体"/>
                <w:color w:val="auto"/>
                <w:highlight w:val="none"/>
              </w:rPr>
              <w:t>分</w:t>
            </w:r>
            <w:r>
              <w:rPr>
                <w:rFonts w:hint="eastAsia" w:ascii="宋体" w:hAnsi="宋体" w:cs="宋体"/>
                <w:color w:val="auto"/>
                <w:highlight w:val="none"/>
                <w:lang w:eastAsia="zh-CN"/>
              </w:rPr>
              <w:t>。</w:t>
            </w:r>
          </w:p>
          <w:p>
            <w:pPr>
              <w:snapToGrid w:val="0"/>
              <w:rPr>
                <w:rFonts w:hint="eastAsia" w:ascii="宋体" w:hAnsi="宋体" w:cs="宋体"/>
                <w:color w:val="auto"/>
                <w:highlight w:val="none"/>
                <w:lang w:eastAsia="zh-CN"/>
              </w:rPr>
            </w:pPr>
            <w:r>
              <w:rPr>
                <w:rFonts w:hint="eastAsia" w:ascii="宋体" w:hAnsi="宋体" w:cs="宋体"/>
                <w:color w:val="auto"/>
                <w:highlight w:val="none"/>
                <w:lang w:val="en-US" w:eastAsia="zh-CN"/>
              </w:rPr>
              <w:t>3.</w:t>
            </w:r>
            <w:r>
              <w:rPr>
                <w:rFonts w:hint="eastAsia" w:ascii="宋体" w:hAnsi="宋体" w:cs="宋体"/>
                <w:color w:val="auto"/>
                <w:highlight w:val="none"/>
              </w:rPr>
              <w:t>机械设备投入配置</w:t>
            </w:r>
            <w:r>
              <w:rPr>
                <w:rFonts w:hint="eastAsia" w:ascii="宋体" w:hAnsi="宋体" w:cs="宋体"/>
                <w:color w:val="auto"/>
                <w:highlight w:val="none"/>
                <w:lang w:eastAsia="zh-CN"/>
              </w:rPr>
              <w:t>不太</w:t>
            </w:r>
            <w:r>
              <w:rPr>
                <w:rFonts w:hint="eastAsia" w:ascii="宋体" w:hAnsi="宋体" w:cs="宋体"/>
                <w:color w:val="auto"/>
                <w:highlight w:val="none"/>
              </w:rPr>
              <w:t>齐全，</w:t>
            </w:r>
            <w:r>
              <w:rPr>
                <w:rFonts w:hint="eastAsia" w:ascii="宋体" w:hAnsi="宋体" w:cs="宋体"/>
                <w:color w:val="auto"/>
                <w:highlight w:val="none"/>
                <w:lang w:eastAsia="zh-CN"/>
              </w:rPr>
              <w:t>检测设备不太</w:t>
            </w:r>
            <w:r>
              <w:rPr>
                <w:rFonts w:hint="eastAsia" w:ascii="宋体" w:hAnsi="宋体" w:cs="宋体"/>
                <w:color w:val="auto"/>
                <w:highlight w:val="none"/>
              </w:rPr>
              <w:t>完善的</w:t>
            </w:r>
            <w:r>
              <w:rPr>
                <w:rFonts w:hint="eastAsia" w:ascii="宋体" w:hAnsi="宋体" w:cs="宋体"/>
                <w:color w:val="auto"/>
                <w:highlight w:val="none"/>
                <w:lang w:eastAsia="zh-CN"/>
              </w:rPr>
              <w:t>，</w:t>
            </w:r>
            <w:r>
              <w:rPr>
                <w:rFonts w:hint="eastAsia" w:ascii="宋体" w:hAnsi="宋体" w:cs="宋体"/>
                <w:color w:val="auto"/>
                <w:highlight w:val="none"/>
              </w:rPr>
              <w:t>得</w:t>
            </w:r>
            <w:r>
              <w:rPr>
                <w:rFonts w:hint="eastAsia" w:ascii="宋体" w:hAnsi="宋体" w:cs="宋体"/>
                <w:color w:val="auto"/>
                <w:highlight w:val="none"/>
                <w:lang w:val="en-US" w:eastAsia="zh-CN"/>
              </w:rPr>
              <w:t>1</w:t>
            </w:r>
            <w:r>
              <w:rPr>
                <w:rFonts w:hint="eastAsia" w:ascii="宋体" w:hAnsi="宋体" w:cs="宋体"/>
                <w:color w:val="auto"/>
                <w:highlight w:val="none"/>
              </w:rPr>
              <w:t>分</w:t>
            </w:r>
            <w:r>
              <w:rPr>
                <w:rFonts w:hint="eastAsia" w:ascii="宋体" w:hAnsi="宋体" w:cs="宋体"/>
                <w:color w:val="auto"/>
                <w:highlight w:val="none"/>
                <w:lang w:eastAsia="zh-CN"/>
              </w:rPr>
              <w:t>。</w:t>
            </w:r>
          </w:p>
          <w:p>
            <w:pPr>
              <w:pStyle w:val="2"/>
              <w:rPr>
                <w:rFonts w:hint="eastAsia"/>
                <w:color w:val="auto"/>
                <w:highlight w:val="none"/>
              </w:rPr>
            </w:pPr>
            <w:r>
              <w:rPr>
                <w:rFonts w:hint="eastAsia" w:ascii="宋体" w:hAnsi="宋体" w:eastAsia="宋体" w:cs="宋体"/>
                <w:color w:val="auto"/>
                <w:kern w:val="2"/>
                <w:sz w:val="21"/>
                <w:szCs w:val="24"/>
                <w:highlight w:val="none"/>
                <w:lang w:val="en-US" w:eastAsia="zh-CN" w:bidi="ar-SA"/>
              </w:rPr>
              <w:t>4.其他不得分。</w:t>
            </w:r>
          </w:p>
        </w:tc>
        <w:tc>
          <w:tcPr>
            <w:tcW w:w="912" w:type="dxa"/>
            <w:tcBorders>
              <w:top w:val="single" w:color="auto" w:sz="4" w:space="0"/>
              <w:bottom w:val="single" w:color="auto" w:sz="4" w:space="0"/>
            </w:tcBorders>
            <w:vAlign w:val="center"/>
          </w:tcPr>
          <w:p>
            <w:pPr>
              <w:snapToGrid w:val="0"/>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850" w:hRule="atLeast"/>
          <w:jc w:val="center"/>
        </w:trPr>
        <w:tc>
          <w:tcPr>
            <w:tcW w:w="8788" w:type="dxa"/>
            <w:gridSpan w:val="3"/>
            <w:tcBorders>
              <w:top w:val="single" w:color="auto" w:sz="4" w:space="0"/>
              <w:bottom w:val="single" w:color="auto" w:sz="4" w:space="0"/>
            </w:tcBorders>
            <w:vAlign w:val="center"/>
          </w:tcPr>
          <w:p>
            <w:pPr>
              <w:snapToGrid w:val="0"/>
              <w:jc w:val="center"/>
              <w:rPr>
                <w:rFonts w:ascii="宋体" w:hAnsi="宋体" w:cs="宋体"/>
                <w:color w:val="auto"/>
                <w:highlight w:val="none"/>
              </w:rPr>
            </w:pPr>
            <w:r>
              <w:rPr>
                <w:rFonts w:hint="eastAsia" w:ascii="宋体" w:hAnsi="宋体" w:cs="宋体"/>
                <w:color w:val="auto"/>
                <w:highlight w:val="none"/>
              </w:rPr>
              <w:t>合计</w:t>
            </w:r>
          </w:p>
        </w:tc>
        <w:tc>
          <w:tcPr>
            <w:tcW w:w="912" w:type="dxa"/>
            <w:tcBorders>
              <w:top w:val="single" w:color="auto" w:sz="4" w:space="0"/>
              <w:bottom w:val="single" w:color="auto" w:sz="4" w:space="0"/>
            </w:tcBorders>
            <w:vAlign w:val="center"/>
          </w:tcPr>
          <w:p>
            <w:pPr>
              <w:snapToGrid w:val="0"/>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30</w:t>
            </w:r>
          </w:p>
        </w:tc>
      </w:tr>
    </w:tbl>
    <w:p>
      <w:pPr>
        <w:snapToGrid w:val="0"/>
        <w:rPr>
          <w:rFonts w:hint="eastAsia" w:ascii="宋体" w:hAnsi="宋体" w:eastAsia="宋体" w:cs="宋体"/>
          <w:b/>
          <w:bCs/>
          <w:color w:val="auto"/>
          <w:highlight w:val="none"/>
          <w:lang w:eastAsia="zh-CN"/>
        </w:rPr>
      </w:pP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r>
        <w:rPr>
          <w:rFonts w:hint="eastAsia" w:ascii="宋体" w:hAnsi="宋体" w:cs="宋体"/>
          <w:b/>
          <w:bCs/>
          <w:color w:val="auto"/>
          <w:highlight w:val="none"/>
          <w:lang w:eastAsia="zh-CN"/>
        </w:rPr>
        <w:t>。</w:t>
      </w:r>
    </w:p>
    <w:p>
      <w:pPr>
        <w:tabs>
          <w:tab w:val="left" w:pos="720"/>
        </w:tabs>
        <w:snapToGrid w:val="0"/>
        <w:ind w:firstLine="210" w:firstLineChars="100"/>
        <w:rPr>
          <w:rFonts w:hint="eastAsia" w:ascii="宋体" w:hAnsi="宋体" w:cs="宋体"/>
          <w:bCs/>
          <w:color w:val="auto"/>
          <w:szCs w:val="21"/>
          <w:highlight w:val="none"/>
        </w:rPr>
      </w:pPr>
    </w:p>
    <w:p>
      <w:pPr>
        <w:tabs>
          <w:tab w:val="left" w:pos="720"/>
        </w:tabs>
        <w:snapToGrid w:val="0"/>
        <w:ind w:firstLine="210" w:firstLineChars="100"/>
        <w:rPr>
          <w:color w:val="auto"/>
          <w:highlight w:val="none"/>
        </w:rPr>
      </w:pPr>
      <w:r>
        <w:rPr>
          <w:rFonts w:hint="eastAsia" w:ascii="宋体" w:hAnsi="宋体" w:cs="宋体"/>
          <w:bCs/>
          <w:color w:val="auto"/>
          <w:szCs w:val="21"/>
          <w:highlight w:val="none"/>
        </w:rPr>
        <w:t xml:space="preserve">评委签名：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日期：   年  月  日</w:t>
      </w:r>
    </w:p>
    <w:p>
      <w:pPr>
        <w:rPr>
          <w:rFonts w:hint="eastAsia" w:ascii="宋体" w:hAnsi="宋体" w:cs="宋体"/>
          <w:b/>
          <w:color w:val="auto"/>
          <w:sz w:val="24"/>
          <w:highlight w:val="none"/>
        </w:rPr>
      </w:pPr>
      <w:r>
        <w:rPr>
          <w:rFonts w:hint="eastAsia" w:ascii="宋体" w:hAnsi="宋体" w:cs="宋体"/>
          <w:b/>
          <w:color w:val="auto"/>
          <w:sz w:val="24"/>
          <w:highlight w:val="none"/>
        </w:rPr>
        <w:br w:type="page"/>
      </w:r>
    </w:p>
    <w:p>
      <w:pPr>
        <w:rPr>
          <w:rFonts w:ascii="宋体" w:hAnsi="宋体" w:cs="宋体"/>
          <w:color w:val="auto"/>
          <w:sz w:val="24"/>
          <w:highlight w:val="none"/>
        </w:rPr>
      </w:pPr>
      <w:r>
        <w:rPr>
          <w:rFonts w:hint="eastAsia" w:ascii="宋体" w:hAnsi="宋体" w:cs="宋体"/>
          <w:b/>
          <w:color w:val="auto"/>
          <w:sz w:val="24"/>
          <w:highlight w:val="none"/>
        </w:rPr>
        <w:t xml:space="preserve">附件3 </w:t>
      </w:r>
    </w:p>
    <w:p>
      <w:pPr>
        <w:tabs>
          <w:tab w:val="left" w:pos="720"/>
        </w:tabs>
        <w:snapToGrid w:val="0"/>
        <w:ind w:firstLine="241" w:firstLineChars="100"/>
        <w:jc w:val="center"/>
        <w:rPr>
          <w:rFonts w:ascii="宋体" w:hAnsi="宋体"/>
          <w:b/>
          <w:color w:val="auto"/>
          <w:sz w:val="24"/>
          <w:highlight w:val="none"/>
        </w:rPr>
      </w:pPr>
      <w:r>
        <w:rPr>
          <w:rFonts w:hint="eastAsia" w:ascii="宋体" w:hAnsi="宋体"/>
          <w:b/>
          <w:color w:val="auto"/>
          <w:sz w:val="24"/>
          <w:highlight w:val="none"/>
        </w:rPr>
        <w:t>商务部分评分表</w:t>
      </w:r>
    </w:p>
    <w:p>
      <w:pPr>
        <w:tabs>
          <w:tab w:val="left" w:pos="720"/>
        </w:tabs>
        <w:snapToGrid w:val="0"/>
        <w:ind w:firstLine="210" w:firstLineChars="100"/>
        <w:rPr>
          <w:rFonts w:ascii="宋体" w:hAnsi="宋体" w:cs="宋体"/>
          <w:color w:val="auto"/>
          <w:highlight w:val="none"/>
        </w:rPr>
      </w:pPr>
      <w:r>
        <w:rPr>
          <w:rFonts w:hint="eastAsia" w:ascii="宋体" w:hAnsi="宋体" w:cs="宋体"/>
          <w:bCs/>
          <w:color w:val="auto"/>
          <w:szCs w:val="21"/>
          <w:highlight w:val="none"/>
        </w:rPr>
        <w:t xml:space="preserve">项目名称：   </w:t>
      </w:r>
      <w:r>
        <w:rPr>
          <w:rFonts w:hint="eastAsia" w:ascii="宋体" w:hAnsi="宋体" w:cs="宋体"/>
          <w:bCs/>
          <w:color w:val="auto"/>
          <w:szCs w:val="21"/>
          <w:highlight w:val="none"/>
          <w:lang w:val="en-US" w:eastAsia="zh-CN"/>
        </w:rPr>
        <w:t xml:space="preserve">                                              </w:t>
      </w:r>
      <w:r>
        <w:rPr>
          <w:rFonts w:hint="eastAsia" w:ascii="宋体" w:hAnsi="宋体" w:cs="宋体"/>
          <w:bCs/>
          <w:color w:val="auto"/>
          <w:szCs w:val="21"/>
          <w:highlight w:val="none"/>
        </w:rPr>
        <w:t xml:space="preserve">项目编号：                                                  </w:t>
      </w:r>
      <w:r>
        <w:rPr>
          <w:rFonts w:hint="eastAsia" w:ascii="宋体" w:hAnsi="宋体" w:cs="宋体"/>
          <w:color w:val="auto"/>
          <w:highlight w:val="none"/>
        </w:rPr>
        <w:t xml:space="preserve"> </w:t>
      </w:r>
    </w:p>
    <w:tbl>
      <w:tblPr>
        <w:tblStyle w:val="90"/>
        <w:tblW w:w="9640"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665"/>
        <w:gridCol w:w="1275"/>
        <w:gridCol w:w="6741"/>
        <w:gridCol w:w="959"/>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054" w:hRule="atLeast"/>
          <w:tblHeader/>
          <w:jc w:val="center"/>
        </w:trPr>
        <w:tc>
          <w:tcPr>
            <w:tcW w:w="665" w:type="dxa"/>
            <w:tcBorders>
              <w:top w:val="single" w:color="auto" w:sz="4" w:space="0"/>
            </w:tcBorders>
            <w:shd w:val="clear" w:color="auto" w:fill="FFFFFF"/>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275" w:type="dxa"/>
            <w:tcBorders>
              <w:top w:val="single" w:color="auto" w:sz="4" w:space="0"/>
            </w:tcBorders>
            <w:shd w:val="clear" w:color="auto" w:fill="FFFFFF"/>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评分项目</w:t>
            </w:r>
          </w:p>
        </w:tc>
        <w:tc>
          <w:tcPr>
            <w:tcW w:w="6741" w:type="dxa"/>
            <w:tcBorders>
              <w:top w:val="single" w:color="auto" w:sz="4" w:space="0"/>
            </w:tcBorders>
            <w:shd w:val="clear" w:color="auto" w:fill="FFFFFF"/>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评分标准</w:t>
            </w:r>
          </w:p>
        </w:tc>
        <w:tc>
          <w:tcPr>
            <w:tcW w:w="959" w:type="dxa"/>
            <w:tcBorders>
              <w:top w:val="single" w:color="auto" w:sz="4" w:space="0"/>
            </w:tcBorders>
            <w:shd w:val="clear" w:color="auto" w:fill="FFFFFF"/>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分值</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02" w:hRule="atLeast"/>
          <w:jc w:val="center"/>
        </w:trPr>
        <w:tc>
          <w:tcPr>
            <w:tcW w:w="665"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275"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信誉</w:t>
            </w:r>
            <w:r>
              <w:rPr>
                <w:rFonts w:hint="eastAsia" w:ascii="宋体" w:hAnsi="宋体" w:eastAsia="宋体" w:cs="宋体"/>
                <w:color w:val="auto"/>
                <w:sz w:val="21"/>
                <w:szCs w:val="21"/>
                <w:highlight w:val="none"/>
                <w:lang w:eastAsia="zh-CN"/>
              </w:rPr>
              <w:t>实力</w:t>
            </w:r>
          </w:p>
        </w:tc>
        <w:tc>
          <w:tcPr>
            <w:tcW w:w="6741" w:type="dxa"/>
            <w:tcBorders>
              <w:top w:val="single" w:color="auto" w:sz="4" w:space="0"/>
              <w:bottom w:val="single" w:color="auto" w:sz="4" w:space="0"/>
            </w:tcBorders>
            <w:vAlign w:val="center"/>
          </w:tcPr>
          <w:p>
            <w:pPr>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投标人具有IS0质量管理体系认证</w:t>
            </w:r>
            <w:r>
              <w:rPr>
                <w:rFonts w:hint="eastAsia" w:ascii="宋体" w:hAnsi="宋体" w:eastAsia="宋体" w:cs="宋体"/>
                <w:color w:val="auto"/>
                <w:sz w:val="21"/>
                <w:szCs w:val="21"/>
                <w:highlight w:val="none"/>
                <w:lang w:eastAsia="zh-CN"/>
              </w:rPr>
              <w:t>的</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分，否则不得分。</w:t>
            </w:r>
          </w:p>
          <w:p>
            <w:pPr>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注：须提供相关证书复印件。</w:t>
            </w:r>
          </w:p>
        </w:tc>
        <w:tc>
          <w:tcPr>
            <w:tcW w:w="959"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969" w:hRule="atLeast"/>
          <w:jc w:val="center"/>
        </w:trPr>
        <w:tc>
          <w:tcPr>
            <w:tcW w:w="665"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275"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技术实力</w:t>
            </w:r>
          </w:p>
        </w:tc>
        <w:tc>
          <w:tcPr>
            <w:tcW w:w="6741" w:type="dxa"/>
            <w:tcBorders>
              <w:top w:val="single" w:color="auto" w:sz="4" w:space="0"/>
              <w:bottom w:val="single" w:color="auto" w:sz="4" w:space="0"/>
            </w:tcBorders>
            <w:vAlign w:val="center"/>
          </w:tcPr>
          <w:p>
            <w:pPr>
              <w:snapToGrid w:val="0"/>
              <w:jc w:val="left"/>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投标人获得</w:t>
            </w:r>
            <w:r>
              <w:rPr>
                <w:rFonts w:hint="eastAsia" w:ascii="宋体" w:hAnsi="宋体" w:eastAsia="宋体" w:cs="宋体"/>
                <w:color w:val="auto"/>
                <w:sz w:val="21"/>
                <w:szCs w:val="21"/>
                <w:highlight w:val="none"/>
                <w:lang w:eastAsia="zh-CN"/>
              </w:rPr>
              <w:t>高新技术企业技术资格荣誉，</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分，否则不得分</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 xml:space="preserve"> </w:t>
            </w:r>
          </w:p>
          <w:p>
            <w:pPr>
              <w:snapToGrid w:val="0"/>
              <w:jc w:val="left"/>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投标人获得</w:t>
            </w:r>
            <w:r>
              <w:rPr>
                <w:rFonts w:hint="eastAsia" w:ascii="宋体" w:hAnsi="宋体" w:eastAsia="宋体" w:cs="宋体"/>
                <w:color w:val="auto"/>
                <w:sz w:val="21"/>
                <w:szCs w:val="21"/>
                <w:highlight w:val="none"/>
                <w:lang w:val="en-US" w:eastAsia="zh-CN"/>
              </w:rPr>
              <w:t>知识产权管理体系证书</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分，否则不得分</w:t>
            </w:r>
            <w:r>
              <w:rPr>
                <w:rFonts w:hint="eastAsia" w:ascii="宋体" w:hAnsi="宋体" w:eastAsia="宋体" w:cs="宋体"/>
                <w:color w:val="auto"/>
                <w:sz w:val="21"/>
                <w:szCs w:val="21"/>
                <w:highlight w:val="none"/>
                <w:lang w:eastAsia="zh-CN"/>
              </w:rPr>
              <w:t>；</w:t>
            </w:r>
          </w:p>
          <w:p>
            <w:pPr>
              <w:snapToGrid w:val="0"/>
              <w:jc w:val="left"/>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投标人</w:t>
            </w:r>
            <w:r>
              <w:rPr>
                <w:rFonts w:hint="eastAsia" w:ascii="宋体" w:hAnsi="宋体" w:eastAsia="宋体" w:cs="宋体"/>
                <w:color w:val="auto"/>
                <w:sz w:val="21"/>
                <w:szCs w:val="21"/>
                <w:highlight w:val="none"/>
                <w:lang w:eastAsia="zh-CN"/>
              </w:rPr>
              <w:t>获得</w:t>
            </w:r>
            <w:r>
              <w:rPr>
                <w:rFonts w:hint="eastAsia" w:ascii="宋体" w:hAnsi="宋体" w:cs="宋体"/>
                <w:color w:val="auto"/>
                <w:sz w:val="21"/>
                <w:szCs w:val="21"/>
                <w:highlight w:val="none"/>
                <w:lang w:eastAsia="zh-CN"/>
              </w:rPr>
              <w:t>与本项目相关的</w:t>
            </w:r>
            <w:r>
              <w:rPr>
                <w:rFonts w:hint="eastAsia" w:ascii="宋体" w:hAnsi="宋体" w:eastAsia="宋体" w:cs="宋体"/>
                <w:color w:val="auto"/>
                <w:sz w:val="21"/>
                <w:szCs w:val="21"/>
                <w:highlight w:val="none"/>
              </w:rPr>
              <w:t>技术专利证书的</w:t>
            </w:r>
            <w:r>
              <w:rPr>
                <w:rFonts w:hint="eastAsia" w:ascii="宋体" w:hAnsi="宋体" w:eastAsia="宋体" w:cs="宋体"/>
                <w:color w:val="auto"/>
                <w:sz w:val="21"/>
                <w:szCs w:val="21"/>
                <w:highlight w:val="none"/>
                <w:lang w:eastAsia="zh-CN"/>
              </w:rPr>
              <w:t>，每项</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eastAsia="zh-CN"/>
              </w:rPr>
              <w:t>，最高</w:t>
            </w:r>
            <w:r>
              <w:rPr>
                <w:rFonts w:hint="eastAsia" w:ascii="宋体" w:hAnsi="宋体" w:eastAsia="宋体" w:cs="宋体"/>
                <w:color w:val="auto"/>
                <w:sz w:val="21"/>
                <w:szCs w:val="21"/>
                <w:highlight w:val="none"/>
                <w:lang w:val="en-US" w:eastAsia="zh-CN"/>
              </w:rPr>
              <w:t>5分</w:t>
            </w:r>
            <w:r>
              <w:rPr>
                <w:rFonts w:hint="eastAsia" w:ascii="宋体" w:hAnsi="宋体" w:eastAsia="宋体" w:cs="宋体"/>
                <w:color w:val="auto"/>
                <w:sz w:val="21"/>
                <w:szCs w:val="21"/>
                <w:highlight w:val="none"/>
              </w:rPr>
              <w:t>，否则不得分</w:t>
            </w:r>
            <w:r>
              <w:rPr>
                <w:rFonts w:hint="eastAsia" w:ascii="宋体" w:hAnsi="宋体" w:eastAsia="宋体" w:cs="宋体"/>
                <w:color w:val="auto"/>
                <w:sz w:val="21"/>
                <w:szCs w:val="21"/>
                <w:highlight w:val="none"/>
                <w:lang w:val="en-US" w:eastAsia="zh-CN"/>
              </w:rPr>
              <w:t>；</w:t>
            </w:r>
          </w:p>
          <w:p>
            <w:pPr>
              <w:pStyle w:val="2"/>
              <w:rPr>
                <w:rFonts w:hint="eastAsia" w:ascii="宋体" w:hAnsi="宋体" w:eastAsia="宋体" w:cs="宋体"/>
                <w:color w:val="auto"/>
                <w:sz w:val="21"/>
                <w:szCs w:val="21"/>
                <w:highlight w:val="none"/>
                <w:lang w:val="en-US" w:eastAsia="zh-CN"/>
              </w:rPr>
            </w:pPr>
            <w:r>
              <w:rPr>
                <w:rFonts w:hint="eastAsia" w:cs="宋体"/>
                <w:color w:val="auto"/>
                <w:kern w:val="2"/>
                <w:sz w:val="21"/>
                <w:szCs w:val="21"/>
                <w:highlight w:val="none"/>
                <w:lang w:val="en-US" w:eastAsia="zh-CN" w:bidi="ar-SA"/>
              </w:rPr>
              <w:t>4.</w:t>
            </w:r>
            <w:r>
              <w:rPr>
                <w:rFonts w:hint="eastAsia" w:ascii="宋体" w:hAnsi="宋体" w:eastAsia="宋体" w:cs="宋体"/>
                <w:color w:val="auto"/>
                <w:sz w:val="21"/>
                <w:szCs w:val="21"/>
                <w:highlight w:val="none"/>
              </w:rPr>
              <w:t>投标人</w:t>
            </w:r>
            <w:r>
              <w:rPr>
                <w:rFonts w:hint="eastAsia" w:ascii="宋体" w:hAnsi="宋体" w:eastAsia="宋体" w:cs="宋体"/>
                <w:color w:val="auto"/>
                <w:kern w:val="2"/>
                <w:sz w:val="21"/>
                <w:szCs w:val="21"/>
                <w:highlight w:val="none"/>
                <w:lang w:val="en-US" w:eastAsia="zh-CN" w:bidi="ar-SA"/>
              </w:rPr>
              <w:t>同时具备本工程所需的钢结构工程专业承包资质（三级或以上）、建筑装修装饰工程专业承包资质（二级或以上），得3分</w:t>
            </w:r>
            <w:r>
              <w:rPr>
                <w:rFonts w:hint="eastAsia" w:ascii="宋体" w:hAnsi="宋体" w:eastAsia="宋体" w:cs="宋体"/>
                <w:color w:val="auto"/>
                <w:sz w:val="21"/>
                <w:szCs w:val="21"/>
                <w:highlight w:val="none"/>
              </w:rPr>
              <w:t>，否则不得分</w:t>
            </w:r>
            <w:r>
              <w:rPr>
                <w:rFonts w:hint="eastAsia" w:ascii="宋体" w:hAnsi="宋体" w:eastAsia="宋体" w:cs="宋体"/>
                <w:color w:val="auto"/>
                <w:kern w:val="2"/>
                <w:sz w:val="21"/>
                <w:szCs w:val="21"/>
                <w:highlight w:val="none"/>
                <w:lang w:val="en-US" w:eastAsia="zh-CN" w:bidi="ar-SA"/>
              </w:rPr>
              <w:t>。</w:t>
            </w:r>
          </w:p>
        </w:tc>
        <w:tc>
          <w:tcPr>
            <w:tcW w:w="959"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01" w:hRule="atLeast"/>
          <w:jc w:val="center"/>
        </w:trPr>
        <w:tc>
          <w:tcPr>
            <w:tcW w:w="665"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275"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经验实力</w:t>
            </w:r>
          </w:p>
        </w:tc>
        <w:tc>
          <w:tcPr>
            <w:tcW w:w="6741" w:type="dxa"/>
            <w:tcBorders>
              <w:top w:val="single" w:color="auto" w:sz="4" w:space="0"/>
              <w:bottom w:val="single" w:color="auto" w:sz="4" w:space="0"/>
            </w:tcBorders>
            <w:vAlign w:val="center"/>
          </w:tcPr>
          <w:p>
            <w:pPr>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投标人201</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年至今投标人承担</w:t>
            </w:r>
            <w:r>
              <w:rPr>
                <w:rFonts w:hint="eastAsia" w:ascii="宋体" w:hAnsi="宋体" w:eastAsia="宋体" w:cs="宋体"/>
                <w:color w:val="auto"/>
                <w:sz w:val="21"/>
                <w:szCs w:val="21"/>
                <w:highlight w:val="none"/>
                <w:lang w:eastAsia="zh-CN"/>
              </w:rPr>
              <w:t>过同类</w:t>
            </w:r>
            <w:r>
              <w:rPr>
                <w:rFonts w:hint="eastAsia" w:ascii="宋体" w:hAnsi="宋体" w:eastAsia="宋体" w:cs="宋体"/>
                <w:color w:val="auto"/>
                <w:sz w:val="21"/>
                <w:szCs w:val="21"/>
                <w:highlight w:val="none"/>
              </w:rPr>
              <w:t>项目的业绩情况进行评分，每项得</w:t>
            </w:r>
            <w:r>
              <w:rPr>
                <w:rFonts w:hint="eastAsia" w:ascii="宋体" w:hAnsi="宋体" w:eastAsia="宋体" w:cs="宋体"/>
                <w:color w:val="auto"/>
                <w:sz w:val="21"/>
                <w:szCs w:val="21"/>
                <w:highlight w:val="none"/>
                <w:lang w:val="en-US" w:eastAsia="zh-CN"/>
              </w:rPr>
              <w:t>1</w:t>
            </w:r>
            <w:r>
              <w:rPr>
                <w:rFonts w:hint="eastAsia" w:ascii="宋体" w:hAnsi="宋体" w:eastAsia="宋体" w:cs="宋体"/>
                <w:color w:val="auto"/>
                <w:sz w:val="21"/>
                <w:szCs w:val="21"/>
                <w:highlight w:val="none"/>
              </w:rPr>
              <w:t>分，满分</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w:t>
            </w:r>
          </w:p>
          <w:p>
            <w:pPr>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注：须提供</w:t>
            </w:r>
            <w:r>
              <w:rPr>
                <w:rFonts w:hint="eastAsia" w:ascii="宋体" w:hAnsi="宋体" w:cs="宋体"/>
                <w:color w:val="auto"/>
                <w:sz w:val="21"/>
                <w:szCs w:val="21"/>
                <w:highlight w:val="none"/>
                <w:lang w:eastAsia="zh-CN"/>
              </w:rPr>
              <w:t>成交</w:t>
            </w:r>
            <w:r>
              <w:rPr>
                <w:rFonts w:hint="eastAsia" w:ascii="宋体" w:hAnsi="宋体" w:cs="宋体"/>
                <w:color w:val="auto"/>
                <w:sz w:val="21"/>
                <w:szCs w:val="21"/>
                <w:highlight w:val="none"/>
                <w:lang w:val="en-US" w:eastAsia="zh-CN"/>
              </w:rPr>
              <w:t>/</w:t>
            </w:r>
            <w:r>
              <w:rPr>
                <w:rFonts w:hint="eastAsia" w:ascii="宋体" w:hAnsi="宋体" w:eastAsia="宋体" w:cs="宋体"/>
                <w:color w:val="auto"/>
                <w:sz w:val="21"/>
                <w:szCs w:val="21"/>
                <w:highlight w:val="none"/>
              </w:rPr>
              <w:t>中标通知书或施工合同关键页复印件。</w:t>
            </w:r>
          </w:p>
        </w:tc>
        <w:tc>
          <w:tcPr>
            <w:tcW w:w="959"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651" w:hRule="atLeast"/>
          <w:jc w:val="center"/>
        </w:trPr>
        <w:tc>
          <w:tcPr>
            <w:tcW w:w="665"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275"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技术力量</w:t>
            </w:r>
          </w:p>
        </w:tc>
        <w:tc>
          <w:tcPr>
            <w:tcW w:w="6741" w:type="dxa"/>
            <w:tcBorders>
              <w:top w:val="single" w:color="auto" w:sz="4" w:space="0"/>
              <w:bottom w:val="single" w:color="auto" w:sz="4" w:space="0"/>
            </w:tcBorders>
            <w:vAlign w:val="center"/>
          </w:tcPr>
          <w:p>
            <w:pPr>
              <w:snapToGrid w:val="0"/>
              <w:jc w:val="left"/>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r>
              <w:rPr>
                <w:rFonts w:hint="eastAsia" w:ascii="宋体" w:hAnsi="宋体" w:cs="宋体"/>
                <w:color w:val="auto"/>
                <w:sz w:val="21"/>
                <w:szCs w:val="21"/>
                <w:highlight w:val="none"/>
                <w:lang w:eastAsia="zh-CN"/>
              </w:rPr>
              <w:t>投标人具</w:t>
            </w:r>
            <w:r>
              <w:rPr>
                <w:rFonts w:hint="eastAsia" w:ascii="宋体" w:hAnsi="宋体" w:eastAsia="宋体" w:cs="宋体"/>
                <w:color w:val="auto"/>
                <w:sz w:val="21"/>
                <w:szCs w:val="21"/>
                <w:highlight w:val="none"/>
                <w:lang w:eastAsia="zh-CN"/>
              </w:rPr>
              <w:t>有的二级建造师同时具有中级工程师</w:t>
            </w:r>
            <w:r>
              <w:rPr>
                <w:rFonts w:hint="eastAsia" w:ascii="宋体" w:hAnsi="宋体" w:eastAsia="宋体" w:cs="宋体"/>
                <w:color w:val="auto"/>
                <w:sz w:val="21"/>
                <w:szCs w:val="21"/>
                <w:highlight w:val="none"/>
                <w:lang w:val="en-US" w:eastAsia="zh-CN"/>
              </w:rPr>
              <w:t>5人以上，每1人得1分</w:t>
            </w:r>
            <w:r>
              <w:rPr>
                <w:rFonts w:hint="eastAsia" w:ascii="宋体" w:hAnsi="宋体" w:eastAsia="宋体" w:cs="宋体"/>
                <w:color w:val="auto"/>
                <w:sz w:val="21"/>
                <w:szCs w:val="21"/>
                <w:highlight w:val="none"/>
                <w:lang w:eastAsia="zh-CN"/>
              </w:rPr>
              <w:t>，最高</w:t>
            </w:r>
            <w:r>
              <w:rPr>
                <w:rFonts w:hint="eastAsia" w:ascii="宋体" w:hAnsi="宋体" w:eastAsia="宋体" w:cs="宋体"/>
                <w:color w:val="auto"/>
                <w:sz w:val="21"/>
                <w:szCs w:val="21"/>
                <w:highlight w:val="none"/>
                <w:lang w:val="en-US" w:eastAsia="zh-CN"/>
              </w:rPr>
              <w:t>5分；</w:t>
            </w:r>
          </w:p>
          <w:p>
            <w:pPr>
              <w:snapToGrid w:val="0"/>
              <w:jc w:val="left"/>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2.投标人</w:t>
            </w:r>
            <w:r>
              <w:rPr>
                <w:rFonts w:hint="eastAsia" w:ascii="宋体" w:hAnsi="宋体" w:cs="宋体"/>
                <w:color w:val="auto"/>
                <w:sz w:val="21"/>
                <w:szCs w:val="21"/>
                <w:highlight w:val="none"/>
                <w:lang w:eastAsia="zh-CN"/>
              </w:rPr>
              <w:t>具</w:t>
            </w:r>
            <w:r>
              <w:rPr>
                <w:rFonts w:hint="eastAsia" w:ascii="宋体" w:hAnsi="宋体" w:eastAsia="宋体" w:cs="宋体"/>
                <w:color w:val="auto"/>
                <w:sz w:val="21"/>
                <w:szCs w:val="21"/>
                <w:highlight w:val="none"/>
                <w:lang w:eastAsia="zh-CN"/>
              </w:rPr>
              <w:t>有一级注册结构工程师</w:t>
            </w:r>
            <w:r>
              <w:rPr>
                <w:rFonts w:hint="eastAsia" w:ascii="宋体" w:hAnsi="宋体" w:eastAsia="宋体" w:cs="宋体"/>
                <w:color w:val="auto"/>
                <w:sz w:val="21"/>
                <w:szCs w:val="21"/>
                <w:highlight w:val="none"/>
                <w:lang w:val="en-US" w:eastAsia="zh-CN"/>
              </w:rPr>
              <w:t>3人以上得6分</w:t>
            </w:r>
            <w:r>
              <w:rPr>
                <w:rFonts w:hint="eastAsia" w:ascii="宋体" w:hAnsi="宋体" w:eastAsia="宋体" w:cs="宋体"/>
                <w:color w:val="auto"/>
                <w:sz w:val="21"/>
                <w:szCs w:val="21"/>
                <w:highlight w:val="none"/>
              </w:rPr>
              <w:t>，否则不得分。</w:t>
            </w:r>
          </w:p>
          <w:p>
            <w:pPr>
              <w:snapToGrid w:val="0"/>
              <w:jc w:val="left"/>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3.投标人</w:t>
            </w:r>
            <w:r>
              <w:rPr>
                <w:rFonts w:hint="eastAsia" w:ascii="宋体" w:hAnsi="宋体" w:cs="宋体"/>
                <w:color w:val="auto"/>
                <w:sz w:val="21"/>
                <w:szCs w:val="21"/>
                <w:highlight w:val="none"/>
                <w:lang w:eastAsia="zh-CN"/>
              </w:rPr>
              <w:t>具</w:t>
            </w:r>
            <w:r>
              <w:rPr>
                <w:rFonts w:hint="eastAsia" w:ascii="宋体" w:hAnsi="宋体" w:eastAsia="宋体" w:cs="宋体"/>
                <w:color w:val="auto"/>
                <w:sz w:val="21"/>
                <w:szCs w:val="21"/>
                <w:highlight w:val="none"/>
                <w:lang w:eastAsia="zh-CN"/>
              </w:rPr>
              <w:t>有高级技术工程师</w:t>
            </w:r>
            <w:r>
              <w:rPr>
                <w:rFonts w:hint="eastAsia" w:ascii="宋体" w:hAnsi="宋体" w:eastAsia="宋体" w:cs="宋体"/>
                <w:color w:val="auto"/>
                <w:sz w:val="21"/>
                <w:szCs w:val="21"/>
                <w:highlight w:val="none"/>
                <w:lang w:val="en-US" w:eastAsia="zh-CN"/>
              </w:rPr>
              <w:t>2人以上得2分</w:t>
            </w:r>
            <w:r>
              <w:rPr>
                <w:rFonts w:hint="eastAsia" w:ascii="宋体" w:hAnsi="宋体" w:eastAsia="宋体" w:cs="宋体"/>
                <w:color w:val="auto"/>
                <w:sz w:val="21"/>
                <w:szCs w:val="21"/>
                <w:highlight w:val="none"/>
              </w:rPr>
              <w:t>，否则不得分。</w:t>
            </w:r>
          </w:p>
          <w:p>
            <w:pPr>
              <w:snapToGrid w:val="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注：须提供相关证书复印件。</w:t>
            </w:r>
          </w:p>
        </w:tc>
        <w:tc>
          <w:tcPr>
            <w:tcW w:w="959"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13</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1" w:hRule="atLeast"/>
          <w:jc w:val="center"/>
        </w:trPr>
        <w:tc>
          <w:tcPr>
            <w:tcW w:w="8681" w:type="dxa"/>
            <w:gridSpan w:val="3"/>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合计</w:t>
            </w:r>
          </w:p>
        </w:tc>
        <w:tc>
          <w:tcPr>
            <w:tcW w:w="959" w:type="dxa"/>
            <w:tcBorders>
              <w:top w:val="single" w:color="auto" w:sz="4" w:space="0"/>
              <w:bottom w:val="single" w:color="auto" w:sz="4" w:space="0"/>
            </w:tcBorders>
            <w:vAlign w:val="center"/>
          </w:tcPr>
          <w:p>
            <w:pPr>
              <w:snapToGrid w:val="0"/>
              <w:jc w:val="center"/>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30</w:t>
            </w:r>
          </w:p>
        </w:tc>
      </w:tr>
    </w:tbl>
    <w:p>
      <w:pPr>
        <w:snapToGrid w:val="0"/>
        <w:rPr>
          <w:color w:val="auto"/>
          <w:highlight w:val="none"/>
        </w:rPr>
      </w:pPr>
      <w:r>
        <w:rPr>
          <w:rFonts w:hint="eastAsia" w:ascii="宋体" w:hAnsi="宋体" w:cs="宋体"/>
          <w:color w:val="auto"/>
          <w:highlight w:val="none"/>
        </w:rPr>
        <w:t xml:space="preserve"> </w:t>
      </w:r>
      <w:r>
        <w:rPr>
          <w:rFonts w:hint="eastAsia" w:ascii="宋体" w:hAnsi="宋体" w:cs="宋体"/>
          <w:b/>
          <w:bCs/>
          <w:color w:val="auto"/>
          <w:highlight w:val="none"/>
        </w:rPr>
        <w:t>备注：竞争性磋商文件要求提交的与评价指标体系相关的各类有效资料，投标人如未按要求提交，或提供的证明材料不全，或有有效期但不在有效期内，或提供的证明材料均不能反映相关评审内容的，该项不得分；</w:t>
      </w:r>
    </w:p>
    <w:p>
      <w:pPr>
        <w:tabs>
          <w:tab w:val="left" w:pos="720"/>
        </w:tabs>
        <w:snapToGrid w:val="0"/>
        <w:ind w:firstLine="210" w:firstLineChars="100"/>
        <w:rPr>
          <w:rFonts w:hint="eastAsia" w:ascii="宋体" w:hAnsi="宋体" w:cs="宋体"/>
          <w:color w:val="auto"/>
          <w:highlight w:val="none"/>
        </w:rPr>
      </w:pPr>
    </w:p>
    <w:p>
      <w:pPr>
        <w:tabs>
          <w:tab w:val="left" w:pos="720"/>
        </w:tabs>
        <w:snapToGrid w:val="0"/>
        <w:ind w:firstLine="210" w:firstLineChars="100"/>
        <w:rPr>
          <w:color w:val="auto"/>
          <w:highlight w:val="none"/>
        </w:rPr>
      </w:pPr>
      <w:r>
        <w:rPr>
          <w:rFonts w:hint="eastAsia" w:ascii="宋体" w:hAnsi="宋体" w:cs="宋体"/>
          <w:color w:val="auto"/>
          <w:highlight w:val="none"/>
        </w:rPr>
        <w:t>评委签名：                                                    日期：   年  月  日</w:t>
      </w:r>
    </w:p>
    <w:p>
      <w:pPr>
        <w:spacing w:line="360" w:lineRule="auto"/>
        <w:rPr>
          <w:rFonts w:ascii="宋体" w:hAnsi="宋体"/>
          <w:color w:val="auto"/>
          <w:sz w:val="24"/>
          <w:highlight w:val="none"/>
        </w:rPr>
      </w:pPr>
      <w:r>
        <w:rPr>
          <w:rFonts w:hint="eastAsia" w:ascii="宋体" w:hAnsi="宋体"/>
          <w:b/>
          <w:color w:val="auto"/>
          <w:sz w:val="24"/>
          <w:highlight w:val="none"/>
        </w:rPr>
        <w:br w:type="page"/>
      </w:r>
      <w:r>
        <w:rPr>
          <w:rFonts w:hint="eastAsia" w:ascii="宋体" w:hAnsi="宋体"/>
          <w:b/>
          <w:color w:val="auto"/>
          <w:sz w:val="24"/>
          <w:highlight w:val="none"/>
        </w:rPr>
        <w:t>附件4     价格评审表</w:t>
      </w:r>
    </w:p>
    <w:p>
      <w:pPr>
        <w:snapToGrid w:val="0"/>
        <w:spacing w:line="360" w:lineRule="auto"/>
        <w:rPr>
          <w:rFonts w:ascii="宋体" w:hAnsi="宋体"/>
          <w:bCs/>
          <w:color w:val="auto"/>
          <w:szCs w:val="21"/>
          <w:highlight w:val="none"/>
        </w:rPr>
      </w:pPr>
      <w:r>
        <w:rPr>
          <w:rFonts w:hint="eastAsia" w:ascii="宋体" w:hAnsi="宋体"/>
          <w:bCs/>
          <w:color w:val="auto"/>
          <w:szCs w:val="21"/>
          <w:highlight w:val="none"/>
        </w:rPr>
        <w:t>项目编号：</w:t>
      </w:r>
    </w:p>
    <w:p>
      <w:pPr>
        <w:spacing w:line="360" w:lineRule="auto"/>
        <w:rPr>
          <w:color w:val="auto"/>
          <w:szCs w:val="21"/>
          <w:highlight w:val="none"/>
        </w:rPr>
      </w:pPr>
      <w:r>
        <w:rPr>
          <w:rFonts w:hint="eastAsia" w:ascii="宋体" w:hAnsi="宋体"/>
          <w:bCs/>
          <w:color w:val="auto"/>
          <w:szCs w:val="21"/>
          <w:highlight w:val="none"/>
        </w:rPr>
        <w:t>项目名称：</w:t>
      </w:r>
    </w:p>
    <w:tbl>
      <w:tblPr>
        <w:tblStyle w:val="90"/>
        <w:tblW w:w="947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有效供应商</w:t>
            </w:r>
          </w:p>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评审分项</w:t>
            </w:r>
          </w:p>
        </w:tc>
        <w:tc>
          <w:tcPr>
            <w:tcW w:w="1768" w:type="dxa"/>
            <w:vMerge w:val="restart"/>
            <w:tcBorders>
              <w:top w:val="single" w:color="auto" w:sz="4" w:space="0"/>
              <w:left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r>
              <w:rPr>
                <w:rFonts w:hint="eastAsia" w:ascii="宋体" w:hAnsi="宋体" w:cs="宋体"/>
                <w:color w:val="auto"/>
                <w:kern w:val="0"/>
                <w:szCs w:val="21"/>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82" w:hRule="atLeast"/>
          <w:jc w:val="center"/>
        </w:trPr>
        <w:tc>
          <w:tcPr>
            <w:tcW w:w="1615" w:type="dxa"/>
            <w:vMerge w:val="continue"/>
            <w:tcBorders>
              <w:left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r>
              <w:rPr>
                <w:rFonts w:hint="eastAsia" w:ascii="宋体" w:hAnsi="宋体" w:cs="宋体"/>
                <w:color w:val="auto"/>
                <w:kern w:val="0"/>
                <w:szCs w:val="21"/>
                <w:highlight w:val="none"/>
              </w:rPr>
              <w:t>评标基准价</w:t>
            </w:r>
          </w:p>
        </w:tc>
        <w:tc>
          <w:tcPr>
            <w:tcW w:w="1768" w:type="dxa"/>
            <w:vMerge w:val="continue"/>
            <w:tcBorders>
              <w:left w:val="single" w:color="auto" w:sz="4" w:space="0"/>
              <w:bottom w:val="single" w:color="auto" w:sz="4" w:space="0"/>
              <w:right w:val="single" w:color="auto" w:sz="4" w:space="0"/>
            </w:tcBorders>
            <w:vAlign w:val="center"/>
          </w:tcPr>
          <w:p>
            <w:pPr>
              <w:widowControl/>
              <w:snapToGrid w:val="0"/>
              <w:spacing w:line="360" w:lineRule="auto"/>
              <w:jc w:val="left"/>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4" w:hRule="atLeast"/>
          <w:jc w:val="center"/>
        </w:trPr>
        <w:tc>
          <w:tcPr>
            <w:tcW w:w="1615"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ascii="宋体" w:hAnsi="宋体" w:cs="宋体"/>
                <w:color w:val="auto"/>
                <w:kern w:val="0"/>
                <w:szCs w:val="21"/>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c>
          <w:tcPr>
            <w:tcW w:w="1768"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cs="宋体"/>
                <w:color w:val="auto"/>
                <w:kern w:val="0"/>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s="宋体"/>
          <w:b/>
          <w:color w:val="auto"/>
          <w:kern w:val="0"/>
          <w:szCs w:val="21"/>
          <w:highlight w:val="none"/>
        </w:rPr>
      </w:pPr>
    </w:p>
    <w:p>
      <w:pPr>
        <w:spacing w:line="360" w:lineRule="auto"/>
        <w:rPr>
          <w:rFonts w:ascii="宋体" w:hAnsi="宋体" w:cs="宋体"/>
          <w:b/>
          <w:color w:val="auto"/>
          <w:kern w:val="0"/>
          <w:szCs w:val="21"/>
          <w:highlight w:val="none"/>
        </w:rPr>
      </w:pPr>
      <w:r>
        <w:rPr>
          <w:rFonts w:hint="eastAsia" w:ascii="宋体" w:hAnsi="宋体" w:cs="宋体"/>
          <w:b/>
          <w:color w:val="auto"/>
          <w:kern w:val="0"/>
          <w:szCs w:val="21"/>
          <w:highlight w:val="none"/>
        </w:rPr>
        <w:t>注：</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rPr>
        <w:t>1、价格核准：磋商小组对有效供应商的详细报价进行复核，看其是否有计算错误或供货范围上的错误，修正错误的原则详见招标相关条款。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b/>
          <w:color w:val="auto"/>
          <w:szCs w:val="21"/>
          <w:highlight w:val="none"/>
        </w:rPr>
        <w:t>2、价格评分：</w:t>
      </w:r>
      <w:r>
        <w:rPr>
          <w:rFonts w:hint="eastAsia" w:ascii="宋体" w:hAnsi="宋体" w:cs="宋体"/>
          <w:b/>
          <w:color w:val="auto"/>
          <w:kern w:val="0"/>
          <w:szCs w:val="21"/>
          <w:highlight w:val="none"/>
        </w:rPr>
        <w:t>综合评分法中的价格分统一采用低价优先法计算，即满足磋商文件要求且最后报价最低的供应商的价格为磋商基准价，其价格分为满分。其他供应商的价格分统一按照下列公式计算：</w:t>
      </w:r>
    </w:p>
    <w:p>
      <w:pPr>
        <w:adjustRightInd w:val="0"/>
        <w:snapToGrid w:val="0"/>
        <w:spacing w:line="360" w:lineRule="auto"/>
        <w:ind w:left="420" w:firstLine="422" w:firstLineChars="200"/>
        <w:jc w:val="left"/>
        <w:rPr>
          <w:rFonts w:ascii="宋体" w:hAnsi="宋体" w:cs="宋体"/>
          <w:b/>
          <w:color w:val="auto"/>
          <w:kern w:val="0"/>
          <w:szCs w:val="21"/>
          <w:highlight w:val="none"/>
        </w:rPr>
      </w:pPr>
      <w:r>
        <w:rPr>
          <w:rFonts w:hint="eastAsia" w:ascii="宋体" w:hAnsi="宋体" w:cs="宋体"/>
          <w:b/>
          <w:color w:val="auto"/>
          <w:kern w:val="0"/>
          <w:szCs w:val="21"/>
          <w:highlight w:val="none"/>
        </w:rPr>
        <w:t>磋商报价得分=（磋商基准价/最后磋商报价）×价格权值×100</w:t>
      </w:r>
    </w:p>
    <w:p>
      <w:pPr>
        <w:adjustRightInd w:val="0"/>
        <w:snapToGrid w:val="0"/>
        <w:spacing w:line="360" w:lineRule="auto"/>
        <w:ind w:left="420"/>
        <w:jc w:val="left"/>
        <w:rPr>
          <w:rFonts w:ascii="宋体" w:hAnsi="宋体" w:cs="宋体"/>
          <w:b/>
          <w:color w:val="auto"/>
          <w:kern w:val="0"/>
          <w:szCs w:val="21"/>
          <w:highlight w:val="none"/>
        </w:rPr>
      </w:pPr>
      <w:r>
        <w:rPr>
          <w:rFonts w:hint="eastAsia" w:ascii="宋体" w:hAnsi="宋体" w:cs="宋体"/>
          <w:b/>
          <w:color w:val="auto"/>
          <w:kern w:val="0"/>
          <w:szCs w:val="21"/>
          <w:highlight w:val="none"/>
          <w:lang w:val="en-US" w:eastAsia="zh-CN"/>
        </w:rPr>
        <w:t>3</w:t>
      </w:r>
      <w:r>
        <w:rPr>
          <w:rFonts w:hint="eastAsia" w:ascii="宋体" w:hAnsi="宋体" w:cs="宋体"/>
          <w:b/>
          <w:color w:val="auto"/>
          <w:kern w:val="0"/>
          <w:szCs w:val="21"/>
          <w:highlight w:val="none"/>
        </w:rPr>
        <w:t>、磋商报价得分四舍五入后，小数点后保留两位有效数。</w:t>
      </w:r>
    </w:p>
    <w:p>
      <w:pPr>
        <w:adjustRightInd w:val="0"/>
        <w:snapToGrid w:val="0"/>
        <w:spacing w:line="360" w:lineRule="auto"/>
        <w:ind w:left="420"/>
        <w:jc w:val="left"/>
        <w:rPr>
          <w:rFonts w:ascii="宋体" w:hAnsi="宋体" w:cs="宋体"/>
          <w:b/>
          <w:color w:val="auto"/>
          <w:kern w:val="0"/>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pStyle w:val="4"/>
        <w:autoSpaceDE w:val="0"/>
        <w:rPr>
          <w:color w:val="auto"/>
          <w:sz w:val="44"/>
          <w:highlight w:val="none"/>
        </w:rPr>
      </w:pPr>
      <w:bookmarkStart w:id="382" w:name="_Toc475104537"/>
      <w:bookmarkStart w:id="383" w:name="_Toc320515058"/>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p>
    <w:p>
      <w:pPr>
        <w:pStyle w:val="4"/>
        <w:autoSpaceDE w:val="0"/>
        <w:rPr>
          <w:color w:val="auto"/>
          <w:sz w:val="44"/>
          <w:highlight w:val="none"/>
        </w:rPr>
      </w:pPr>
      <w:r>
        <w:rPr>
          <w:rFonts w:hint="eastAsia"/>
          <w:color w:val="auto"/>
          <w:sz w:val="44"/>
          <w:highlight w:val="none"/>
        </w:rPr>
        <w:t>第六章 附  件（格式）</w:t>
      </w:r>
      <w:bookmarkEnd w:id="382"/>
      <w:bookmarkEnd w:id="383"/>
    </w:p>
    <w:p>
      <w:pPr>
        <w:spacing w:line="360" w:lineRule="auto"/>
        <w:rPr>
          <w:rFonts w:ascii="宋体" w:hAnsi="宋体"/>
          <w:bCs/>
          <w:color w:val="auto"/>
          <w:sz w:val="28"/>
          <w:highlight w:val="none"/>
        </w:rPr>
      </w:pPr>
      <w:bookmarkStart w:id="384" w:name="_Toc109467908"/>
      <w:bookmarkStart w:id="385" w:name="_Toc35834912"/>
      <w:bookmarkStart w:id="386" w:name="_Toc34535358"/>
      <w:bookmarkStart w:id="387" w:name="_Toc14450838"/>
      <w:bookmarkStart w:id="388" w:name="_Toc28489496"/>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bCs/>
          <w:color w:val="auto"/>
          <w:sz w:val="28"/>
          <w:highlight w:val="none"/>
        </w:rPr>
      </w:pPr>
    </w:p>
    <w:p>
      <w:pPr>
        <w:spacing w:line="360" w:lineRule="auto"/>
        <w:rPr>
          <w:rFonts w:ascii="宋体" w:hAnsi="宋体"/>
          <w:color w:val="auto"/>
          <w:szCs w:val="30"/>
          <w:highlight w:val="none"/>
        </w:rPr>
      </w:pPr>
    </w:p>
    <w:p>
      <w:pPr>
        <w:rPr>
          <w:color w:val="auto"/>
          <w:szCs w:val="30"/>
          <w:highlight w:val="none"/>
        </w:rPr>
      </w:pPr>
      <w:bookmarkStart w:id="389" w:name="_Toc163481918"/>
      <w:r>
        <w:rPr>
          <w:rFonts w:hint="eastAsia"/>
          <w:color w:val="auto"/>
          <w:szCs w:val="30"/>
          <w:highlight w:val="none"/>
        </w:rPr>
        <w:br w:type="page"/>
      </w: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磋商响应文件格式</w:t>
      </w:r>
      <w:bookmarkEnd w:id="389"/>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磋商响应文件请按以下要求的顺序和格式制作。</w:t>
      </w:r>
    </w:p>
    <w:tbl>
      <w:tblPr>
        <w:tblStyle w:val="90"/>
        <w:tblW w:w="9704" w:type="dxa"/>
        <w:tblInd w:w="9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b/>
                <w:bCs/>
                <w:color w:val="auto"/>
                <w:kern w:val="0"/>
                <w:szCs w:val="21"/>
                <w:highlight w:val="none"/>
              </w:rPr>
            </w:pPr>
            <w:r>
              <w:rPr>
                <w:rFonts w:hint="eastAsia" w:ascii="宋体" w:hAnsi="宋体" w:cs="宋体"/>
                <w:b/>
                <w:bCs/>
                <w:color w:val="auto"/>
                <w:kern w:val="0"/>
                <w:szCs w:val="21"/>
                <w:highlight w:val="none"/>
              </w:rPr>
              <w:t>序号</w:t>
            </w: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内容</w:t>
            </w:r>
          </w:p>
        </w:tc>
        <w:tc>
          <w:tcPr>
            <w:tcW w:w="72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是否提交</w:t>
            </w:r>
          </w:p>
        </w:tc>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页码范围</w:t>
            </w:r>
          </w:p>
        </w:tc>
        <w:tc>
          <w:tcPr>
            <w:tcW w:w="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cs="宋体"/>
                <w:b/>
                <w:bCs/>
                <w:color w:val="auto"/>
                <w:kern w:val="0"/>
                <w:szCs w:val="21"/>
                <w:highlight w:val="none"/>
              </w:rPr>
            </w:pPr>
            <w:r>
              <w:rPr>
                <w:rFonts w:hint="eastAsia" w:ascii="宋体" w:hAnsi="宋体" w:cs="宋体"/>
                <w:b/>
                <w:bCs/>
                <w:color w:val="auto"/>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目录</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pStyle w:val="2"/>
              <w:rPr>
                <w:rFonts w:hint="eastAsia"/>
                <w:color w:val="auto"/>
                <w:highlight w:val="none"/>
              </w:rPr>
            </w:pPr>
            <w:r>
              <w:rPr>
                <w:rFonts w:hint="eastAsia" w:ascii="宋体" w:hAnsi="宋体" w:eastAsia="宋体" w:cs="Times New Roman"/>
                <w:color w:val="auto"/>
                <w:kern w:val="2"/>
                <w:sz w:val="21"/>
                <w:szCs w:val="21"/>
                <w:highlight w:val="none"/>
                <w:lang w:val="en-US" w:eastAsia="zh-CN" w:bidi="ar-SA"/>
              </w:rPr>
              <w:t>★供应商须具有承接本工程所需的特种工程（限结构补强）专业承包资质</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9"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 附件6)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3"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cs="宋体"/>
                <w:color w:val="auto"/>
                <w:kern w:val="0"/>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本项目不接受联合体投标。</w:t>
            </w:r>
            <w:r>
              <w:rPr>
                <w:rFonts w:hint="eastAsia" w:ascii="宋体" w:hAnsi="宋体" w:cs="宋体"/>
                <w:color w:val="auto"/>
                <w:szCs w:val="20"/>
                <w:highlight w:val="none"/>
              </w:rPr>
              <w:t>【提供书面承诺证明材料】</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hint="eastAsia" w:ascii="宋体" w:hAnsi="宋体"/>
                <w:color w:val="auto"/>
                <w:szCs w:val="21"/>
                <w:highlight w:val="none"/>
              </w:rPr>
            </w:pPr>
            <w:r>
              <w:rPr>
                <w:rFonts w:hint="eastAsia" w:ascii="宋体" w:hAnsi="宋体" w:cs="宋体"/>
                <w:color w:val="auto"/>
                <w:kern w:val="0"/>
                <w:szCs w:val="21"/>
                <w:highlight w:val="none"/>
                <w:lang w:val="hr-HR"/>
              </w:rPr>
              <w:t>★</w:t>
            </w:r>
            <w:r>
              <w:rPr>
                <w:rFonts w:hint="eastAsia" w:ascii="宋体" w:hAnsi="宋体"/>
                <w:color w:val="auto"/>
                <w:kern w:val="0"/>
                <w:szCs w:val="21"/>
                <w:highlight w:val="none"/>
              </w:rPr>
              <w:t>《</w:t>
            </w:r>
            <w:r>
              <w:rPr>
                <w:rFonts w:hint="eastAsia" w:ascii="宋体" w:hAnsi="宋体" w:cs="宋体"/>
                <w:color w:val="auto"/>
                <w:szCs w:val="21"/>
                <w:highlight w:val="none"/>
              </w:rPr>
              <w:t>清单报价表</w:t>
            </w:r>
            <w:r>
              <w:rPr>
                <w:rFonts w:hint="eastAsia" w:ascii="宋体" w:hAnsi="宋体"/>
                <w:color w:val="auto"/>
                <w:kern w:val="0"/>
                <w:szCs w:val="21"/>
                <w:highlight w:val="none"/>
              </w:rPr>
              <w:t>》</w:t>
            </w:r>
            <w:r>
              <w:rPr>
                <w:rFonts w:hint="eastAsia" w:ascii="宋体" w:hAnsi="宋体" w:cs="宋体"/>
                <w:color w:val="auto"/>
                <w:kern w:val="0"/>
                <w:szCs w:val="21"/>
                <w:highlight w:val="none"/>
                <w:lang w:val="hr-HR"/>
              </w:rPr>
              <w:t>（含封面）原件</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法定代表人证明书( 附件2)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法定代表人授权书( 附件3)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highlight w:val="none"/>
              </w:rPr>
            </w:pPr>
            <w:r>
              <w:rPr>
                <w:rFonts w:hint="eastAsia" w:ascii="宋体" w:hAnsi="宋体"/>
                <w:color w:val="auto"/>
                <w:highlight w:val="none"/>
              </w:rPr>
              <w:t>资格声明函</w:t>
            </w:r>
            <w:r>
              <w:rPr>
                <w:rFonts w:hint="eastAsia" w:ascii="宋体" w:hAnsi="宋体" w:cs="宋体"/>
                <w:color w:val="auto"/>
                <w:kern w:val="0"/>
                <w:szCs w:val="21"/>
                <w:highlight w:val="none"/>
              </w:rPr>
              <w:t>（附件4)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ind w:firstLine="105" w:firstLineChars="50"/>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同意竞争性</w:t>
            </w:r>
            <w:r>
              <w:rPr>
                <w:rFonts w:hint="eastAsia" w:ascii="宋体" w:hAnsi="宋体"/>
                <w:bCs/>
                <w:color w:val="auto"/>
                <w:szCs w:val="21"/>
                <w:highlight w:val="none"/>
              </w:rPr>
              <w:t>磋商</w:t>
            </w:r>
            <w:r>
              <w:rPr>
                <w:rFonts w:hint="eastAsia" w:ascii="宋体" w:hAnsi="宋体" w:cs="宋体"/>
                <w:color w:val="auto"/>
                <w:kern w:val="0"/>
                <w:szCs w:val="21"/>
                <w:highlight w:val="none"/>
              </w:rPr>
              <w:t>文件条款说明 （附件5)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r>
              <w:rPr>
                <w:rFonts w:hint="eastAsia" w:ascii="宋体" w:hAnsi="宋体"/>
                <w:color w:val="auto"/>
                <w:kern w:val="0"/>
                <w:szCs w:val="21"/>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cs="宋体"/>
                <w:color w:val="auto"/>
                <w:kern w:val="0"/>
                <w:szCs w:val="21"/>
                <w:highlight w:val="none"/>
              </w:rPr>
              <w:t>公平竞争承诺书（附件</w:t>
            </w:r>
            <w:r>
              <w:rPr>
                <w:rFonts w:hint="eastAsia" w:ascii="宋体" w:hAnsi="宋体" w:cs="宋体"/>
                <w:color w:val="auto"/>
                <w:kern w:val="0"/>
                <w:szCs w:val="21"/>
                <w:highlight w:val="none"/>
                <w:lang w:val="en-US" w:eastAsia="zh-CN"/>
              </w:rPr>
              <w:t>6</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hint="eastAsia"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szCs w:val="21"/>
                <w:highlight w:val="none"/>
              </w:rPr>
            </w:pPr>
            <w:r>
              <w:rPr>
                <w:rFonts w:hint="eastAsia" w:ascii="宋体" w:hAnsi="宋体"/>
                <w:bCs/>
                <w:color w:val="auto"/>
                <w:szCs w:val="21"/>
                <w:highlight w:val="none"/>
              </w:rPr>
              <w:t>报价一览表（首次报价）( 附件7)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磋商分项报价表( 附件8)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bCs/>
                <w:color w:val="auto"/>
                <w:kern w:val="0"/>
                <w:szCs w:val="21"/>
                <w:highlight w:val="none"/>
              </w:rPr>
              <w:t>产品适用政府采购政策情况表</w:t>
            </w:r>
            <w:r>
              <w:rPr>
                <w:rFonts w:hint="eastAsia" w:ascii="宋体" w:hAnsi="宋体"/>
                <w:color w:val="auto"/>
                <w:kern w:val="0"/>
                <w:szCs w:val="21"/>
                <w:highlight w:val="none"/>
              </w:rPr>
              <w:t>(附件9)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bCs/>
                <w:color w:val="auto"/>
                <w:kern w:val="0"/>
                <w:szCs w:val="21"/>
                <w:highlight w:val="none"/>
              </w:rPr>
            </w:pPr>
            <w:r>
              <w:rPr>
                <w:rFonts w:hint="eastAsia" w:ascii="宋体" w:hAnsi="宋体"/>
                <w:bCs/>
                <w:color w:val="auto"/>
                <w:kern w:val="0"/>
                <w:szCs w:val="21"/>
                <w:highlight w:val="none"/>
              </w:rPr>
              <w:t>中小企业声明函（附件10）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监狱企业的证明文件（如适用）</w:t>
            </w:r>
            <w:r>
              <w:rPr>
                <w:rFonts w:hint="eastAsia" w:ascii="宋体" w:hAnsi="宋体" w:cs="宋体"/>
                <w:color w:val="auto"/>
                <w:kern w:val="0"/>
                <w:szCs w:val="21"/>
                <w:highlight w:val="none"/>
              </w:rPr>
              <w:t>（附件11）</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rPr>
                <w:rFonts w:ascii="宋体" w:hAnsi="宋体"/>
                <w:bCs/>
                <w:color w:val="auto"/>
                <w:kern w:val="0"/>
                <w:szCs w:val="21"/>
                <w:highlight w:val="none"/>
              </w:rPr>
            </w:pPr>
            <w:r>
              <w:rPr>
                <w:rFonts w:hint="eastAsia" w:ascii="宋体" w:hAnsi="宋体"/>
                <w:bCs/>
                <w:color w:val="auto"/>
                <w:kern w:val="0"/>
                <w:szCs w:val="21"/>
                <w:highlight w:val="none"/>
              </w:rPr>
              <w:t>残疾人福利性单位声明函（如适用）</w:t>
            </w:r>
            <w:r>
              <w:rPr>
                <w:rFonts w:hint="eastAsia" w:ascii="宋体" w:hAnsi="宋体" w:cs="宋体"/>
                <w:color w:val="auto"/>
                <w:kern w:val="0"/>
                <w:szCs w:val="21"/>
                <w:highlight w:val="none"/>
              </w:rPr>
              <w:t>（附件12）</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供应商基本情况表( 附件13)</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采购需求响应表( 附件14)</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合同条款响应一览表( 附件15)</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同类项目业绩一览表( 附件16)</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技术服务方案( 附件17)</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缴交采购代理服务费承诺书( 附件18)</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拟派本项目负责人及主要人员情况表（附件19)</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实质性条款响应一览表（附件20）</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hint="eastAsia" w:ascii="宋体" w:hAnsi="宋体" w:cs="宋体"/>
                <w:color w:val="auto"/>
                <w:kern w:val="0"/>
                <w:szCs w:val="21"/>
                <w:highlight w:val="none"/>
              </w:rPr>
            </w:pPr>
            <w:r>
              <w:rPr>
                <w:rFonts w:hint="eastAsia" w:ascii="宋体" w:hAnsi="宋体" w:eastAsia="宋体" w:cs="宋体"/>
                <w:color w:val="auto"/>
                <w:kern w:val="0"/>
                <w:szCs w:val="21"/>
                <w:highlight w:val="none"/>
              </w:rPr>
              <w:t>▲条款响应一览表（附件</w:t>
            </w:r>
            <w:r>
              <w:rPr>
                <w:rFonts w:hint="eastAsia" w:ascii="宋体" w:hAnsi="宋体" w:eastAsia="宋体" w:cs="宋体"/>
                <w:color w:val="auto"/>
                <w:kern w:val="0"/>
                <w:szCs w:val="21"/>
                <w:highlight w:val="none"/>
                <w:lang w:val="en-US" w:eastAsia="zh-CN"/>
              </w:rPr>
              <w:t>21</w:t>
            </w:r>
            <w:r>
              <w:rPr>
                <w:rFonts w:hint="eastAsia" w:ascii="宋体" w:hAnsi="宋体" w:eastAsia="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采购人配合的条件及伴随服务(附件2</w:t>
            </w:r>
            <w:r>
              <w:rPr>
                <w:rFonts w:hint="eastAsia" w:ascii="宋体" w:hAnsi="宋体" w:cs="宋体"/>
                <w:color w:val="auto"/>
                <w:kern w:val="0"/>
                <w:szCs w:val="21"/>
                <w:highlight w:val="none"/>
                <w:lang w:val="en-US" w:eastAsia="zh-CN"/>
              </w:rPr>
              <w:t>2</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trPr>
        <w:tc>
          <w:tcPr>
            <w:tcW w:w="734" w:type="dxa"/>
            <w:tcBorders>
              <w:top w:val="single" w:color="auto" w:sz="4" w:space="0"/>
              <w:left w:val="single" w:color="auto" w:sz="4" w:space="0"/>
              <w:bottom w:val="single" w:color="auto" w:sz="4" w:space="0"/>
              <w:right w:val="single" w:color="auto" w:sz="4" w:space="0"/>
            </w:tcBorders>
            <w:vAlign w:val="center"/>
          </w:tcPr>
          <w:p>
            <w:pPr>
              <w:widowControl/>
              <w:numPr>
                <w:ilvl w:val="0"/>
                <w:numId w:val="37"/>
              </w:numPr>
              <w:snapToGrid w:val="0"/>
              <w:spacing w:line="360" w:lineRule="auto"/>
              <w:jc w:val="center"/>
              <w:rPr>
                <w:rFonts w:ascii="宋体" w:hAnsi="宋体"/>
                <w:color w:val="auto"/>
                <w:kern w:val="0"/>
                <w:szCs w:val="21"/>
                <w:highlight w:val="none"/>
              </w:rPr>
            </w:pPr>
          </w:p>
        </w:tc>
        <w:tc>
          <w:tcPr>
            <w:tcW w:w="6630"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rPr>
                <w:rFonts w:ascii="宋体" w:hAnsi="宋体" w:cs="宋体"/>
                <w:color w:val="auto"/>
                <w:kern w:val="0"/>
                <w:szCs w:val="21"/>
                <w:highlight w:val="none"/>
              </w:rPr>
            </w:pPr>
            <w:r>
              <w:rPr>
                <w:rFonts w:hint="eastAsia" w:ascii="宋体" w:hAnsi="宋体" w:cs="宋体"/>
                <w:color w:val="auto"/>
                <w:kern w:val="0"/>
                <w:szCs w:val="21"/>
                <w:highlight w:val="none"/>
              </w:rPr>
              <w:t>供应商认为有必要说明的其他文件(附件2</w:t>
            </w:r>
            <w:r>
              <w:rPr>
                <w:rFonts w:hint="eastAsia" w:ascii="宋体" w:hAnsi="宋体" w:cs="宋体"/>
                <w:color w:val="auto"/>
                <w:kern w:val="0"/>
                <w:szCs w:val="21"/>
                <w:highlight w:val="none"/>
                <w:lang w:val="en-US" w:eastAsia="zh-CN"/>
              </w:rPr>
              <w:t>3</w:t>
            </w:r>
            <w:r>
              <w:rPr>
                <w:rFonts w:hint="eastAsia" w:ascii="宋体" w:hAnsi="宋体" w:cs="宋体"/>
                <w:color w:val="auto"/>
                <w:kern w:val="0"/>
                <w:szCs w:val="21"/>
                <w:highlight w:val="none"/>
              </w:rPr>
              <w:t>)</w:t>
            </w:r>
          </w:p>
        </w:tc>
        <w:tc>
          <w:tcPr>
            <w:tcW w:w="720"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jc w:val="center"/>
              <w:rPr>
                <w:rFonts w:ascii="宋体" w:hAnsi="宋体"/>
                <w:color w:val="auto"/>
                <w:kern w:val="0"/>
                <w:szCs w:val="21"/>
                <w:highlight w:val="none"/>
              </w:rPr>
            </w:pPr>
          </w:p>
        </w:tc>
        <w:tc>
          <w:tcPr>
            <w:tcW w:w="778"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c>
          <w:tcPr>
            <w:tcW w:w="842" w:type="dxa"/>
            <w:tcBorders>
              <w:top w:val="single" w:color="auto" w:sz="4" w:space="0"/>
              <w:left w:val="single" w:color="auto" w:sz="4" w:space="0"/>
              <w:bottom w:val="single" w:color="auto" w:sz="4" w:space="0"/>
              <w:right w:val="single" w:color="auto" w:sz="4" w:space="0"/>
            </w:tcBorders>
            <w:vAlign w:val="bottom"/>
          </w:tcPr>
          <w:p>
            <w:pPr>
              <w:widowControl/>
              <w:snapToGrid w:val="0"/>
              <w:spacing w:line="360" w:lineRule="auto"/>
              <w:rPr>
                <w:rFonts w:ascii="宋体" w:hAnsi="宋体"/>
                <w:color w:val="auto"/>
                <w:kern w:val="0"/>
                <w:szCs w:val="21"/>
                <w:highlight w:val="none"/>
              </w:rPr>
            </w:pPr>
          </w:p>
        </w:tc>
      </w:tr>
    </w:tbl>
    <w:p>
      <w:pPr>
        <w:spacing w:line="360" w:lineRule="auto"/>
        <w:ind w:firstLine="422" w:firstLineChars="200"/>
        <w:rPr>
          <w:b/>
          <w:color w:val="auto"/>
          <w:szCs w:val="21"/>
          <w:highlight w:val="none"/>
        </w:rPr>
      </w:pPr>
      <w:r>
        <w:rPr>
          <w:rFonts w:hint="eastAsia"/>
          <w:b/>
          <w:color w:val="auto"/>
          <w:szCs w:val="21"/>
          <w:highlight w:val="none"/>
        </w:rPr>
        <w:t>注：如提交的文件为复印件，需加盖公章。所有证书类文件提供复印件且必须在有效期内。</w:t>
      </w: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spacing w:line="360" w:lineRule="auto"/>
        <w:ind w:firstLine="422" w:firstLineChars="200"/>
        <w:rPr>
          <w:b/>
          <w:color w:val="auto"/>
          <w:szCs w:val="21"/>
          <w:highlight w:val="none"/>
        </w:rPr>
      </w:pPr>
    </w:p>
    <w:p>
      <w:pPr>
        <w:rPr>
          <w:color w:val="auto"/>
          <w:szCs w:val="30"/>
          <w:highlight w:val="none"/>
        </w:rPr>
      </w:pPr>
    </w:p>
    <w:p>
      <w:pPr>
        <w:pStyle w:val="5"/>
        <w:numPr>
          <w:ilvl w:val="0"/>
          <w:numId w:val="36"/>
        </w:numPr>
        <w:tabs>
          <w:tab w:val="left" w:pos="630"/>
          <w:tab w:val="clear" w:pos="420"/>
        </w:tabs>
        <w:autoSpaceDE w:val="0"/>
        <w:adjustRightInd/>
        <w:spacing w:before="48" w:after="48"/>
        <w:ind w:left="630" w:hanging="630"/>
        <w:jc w:val="left"/>
        <w:textAlignment w:val="auto"/>
        <w:rPr>
          <w:color w:val="auto"/>
          <w:szCs w:val="30"/>
          <w:highlight w:val="none"/>
        </w:rPr>
      </w:pPr>
      <w:r>
        <w:rPr>
          <w:rFonts w:hint="eastAsia"/>
          <w:color w:val="auto"/>
          <w:szCs w:val="30"/>
          <w:highlight w:val="none"/>
        </w:rPr>
        <w:t>报价信封内容</w:t>
      </w:r>
    </w:p>
    <w:p>
      <w:pPr>
        <w:spacing w:line="360" w:lineRule="auto"/>
        <w:jc w:val="center"/>
        <w:rPr>
          <w:rFonts w:ascii="宋体" w:hAnsi="宋体"/>
          <w:bCs/>
          <w:color w:val="auto"/>
          <w:sz w:val="24"/>
          <w:highlight w:val="none"/>
        </w:rPr>
      </w:pPr>
    </w:p>
    <w:p>
      <w:pPr>
        <w:spacing w:line="360" w:lineRule="auto"/>
        <w:ind w:firstLine="420" w:firstLineChars="200"/>
        <w:rPr>
          <w:rFonts w:ascii="宋体" w:hAnsi="宋体"/>
          <w:bCs/>
          <w:color w:val="auto"/>
          <w:szCs w:val="21"/>
          <w:highlight w:val="none"/>
        </w:rPr>
      </w:pPr>
      <w:r>
        <w:rPr>
          <w:rFonts w:hint="eastAsia" w:ascii="宋体" w:hAnsi="宋体"/>
          <w:bCs/>
          <w:color w:val="auto"/>
          <w:szCs w:val="21"/>
          <w:highlight w:val="none"/>
        </w:rPr>
        <w:t>报价信封必须单独密封（该信封不要放入其它信封内），封口加盖公章，与磋商响应文件一同递交，其内装以下内容：</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（1）报价一览表</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（2）电子文档一份</w:t>
      </w:r>
    </w:p>
    <w:p>
      <w:pPr>
        <w:spacing w:line="360" w:lineRule="auto"/>
        <w:ind w:left="540"/>
        <w:rPr>
          <w:rFonts w:ascii="宋体" w:hAnsi="宋体"/>
          <w:bCs/>
          <w:color w:val="auto"/>
          <w:szCs w:val="21"/>
          <w:highlight w:val="none"/>
        </w:rPr>
      </w:pPr>
      <w:r>
        <w:rPr>
          <w:rFonts w:hint="eastAsia" w:ascii="宋体" w:hAnsi="宋体"/>
          <w:bCs/>
          <w:color w:val="auto"/>
          <w:szCs w:val="21"/>
          <w:highlight w:val="none"/>
        </w:rPr>
        <w:t>（3）</w:t>
      </w:r>
      <w:r>
        <w:rPr>
          <w:rFonts w:hint="eastAsia" w:ascii="宋体" w:hAnsi="宋体" w:cs="宋体"/>
          <w:color w:val="auto"/>
          <w:kern w:val="0"/>
          <w:szCs w:val="21"/>
          <w:highlight w:val="none"/>
        </w:rPr>
        <w:t>法定代表人授权书</w:t>
      </w: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ind w:left="540"/>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spacing w:line="360" w:lineRule="auto"/>
        <w:ind w:left="105"/>
        <w:rPr>
          <w:rFonts w:ascii="宋体" w:hAnsi="宋体"/>
          <w:bCs/>
          <w:color w:val="auto"/>
          <w:sz w:val="28"/>
          <w:szCs w:val="28"/>
          <w:highlight w:val="none"/>
        </w:rPr>
      </w:pPr>
      <w:r>
        <w:rPr>
          <w:rFonts w:hint="eastAsia" w:ascii="宋体" w:hAnsi="宋体"/>
          <w:b/>
          <w:bCs/>
          <w:color w:val="auto"/>
          <w:kern w:val="0"/>
          <w:sz w:val="28"/>
          <w:szCs w:val="28"/>
          <w:highlight w:val="none"/>
        </w:rPr>
        <w:t>附件1 竞争性磋商函</w:t>
      </w:r>
    </w:p>
    <w:p>
      <w:pPr>
        <w:spacing w:line="360" w:lineRule="auto"/>
        <w:jc w:val="left"/>
        <w:rPr>
          <w:rFonts w:ascii="宋体" w:hAnsi="宋体"/>
          <w:color w:val="auto"/>
          <w:szCs w:val="21"/>
          <w:highlight w:val="none"/>
        </w:rPr>
      </w:pPr>
      <w:r>
        <w:rPr>
          <w:rFonts w:hint="eastAsia" w:ascii="宋体" w:hAnsi="宋体"/>
          <w:color w:val="auto"/>
          <w:szCs w:val="21"/>
          <w:highlight w:val="none"/>
        </w:rPr>
        <w:t>致：广州市信怡招标代理有限公司</w:t>
      </w:r>
    </w:p>
    <w:p>
      <w:pPr>
        <w:autoSpaceDE w:val="0"/>
        <w:spacing w:line="360" w:lineRule="auto"/>
        <w:ind w:firstLine="480"/>
        <w:jc w:val="left"/>
        <w:rPr>
          <w:rFonts w:ascii="宋体" w:hAnsi="宋体"/>
          <w:color w:val="auto"/>
          <w:szCs w:val="21"/>
          <w:highlight w:val="none"/>
        </w:rPr>
      </w:pPr>
      <w:r>
        <w:rPr>
          <w:rFonts w:hint="eastAsia" w:ascii="宋体" w:hAnsi="宋体"/>
          <w:color w:val="auto"/>
          <w:szCs w:val="21"/>
          <w:highlight w:val="none"/>
        </w:rPr>
        <w:t>我方确认收到你方提供的</w:t>
      </w:r>
      <w:r>
        <w:rPr>
          <w:rFonts w:ascii="ZWAdobeF" w:hAnsi="ZWAdobeF" w:cs="ZWAdobeF"/>
          <w:color w:val="auto"/>
          <w:sz w:val="2"/>
          <w:szCs w:val="2"/>
          <w:highlight w:val="none"/>
        </w:rPr>
        <w:t>UUU</w:t>
      </w:r>
      <w:r>
        <w:rPr>
          <w:rFonts w:ascii="ZWAdobeF" w:hAnsi="ZWAdobeF" w:cs="ZWAdobeF"/>
          <w:color w:val="auto"/>
          <w:sz w:val="2"/>
          <w:szCs w:val="2"/>
          <w:highlight w:val="none"/>
          <w:u w:val="single"/>
        </w:rPr>
        <w:t>U</w:t>
      </w:r>
      <w:r>
        <w:rPr>
          <w:rFonts w:hint="eastAsia" w:ascii="宋体" w:hAnsi="宋体"/>
          <w:bCs/>
          <w:color w:val="auto"/>
          <w:highlight w:val="none"/>
          <w:u w:val="single"/>
        </w:rPr>
        <w:t xml:space="preserve">项目名称     </w:t>
      </w:r>
      <w:r>
        <w:rPr>
          <w:rFonts w:ascii="ZWAdobeF" w:hAnsi="ZWAdobeF" w:cs="ZWAdobeF"/>
          <w:color w:val="auto"/>
          <w:sz w:val="2"/>
          <w:szCs w:val="2"/>
          <w:highlight w:val="none"/>
          <w:u w:val="single"/>
        </w:rPr>
        <w:t>UU</w:t>
      </w:r>
      <w:r>
        <w:rPr>
          <w:rFonts w:ascii="ZWAdobeF" w:hAnsi="ZWAdobeF" w:cs="ZWAdobeF"/>
          <w:color w:val="auto"/>
          <w:sz w:val="2"/>
          <w:szCs w:val="2"/>
          <w:highlight w:val="none"/>
        </w:rPr>
        <w:t>UU</w:t>
      </w:r>
      <w:r>
        <w:rPr>
          <w:rFonts w:hint="eastAsia" w:ascii="宋体" w:hAnsi="宋体"/>
          <w:color w:val="auto"/>
          <w:szCs w:val="21"/>
          <w:highlight w:val="none"/>
        </w:rPr>
        <w:t>及其相关服务的竞争性磋商文件的全部内容。我方：</w:t>
      </w:r>
      <w:r>
        <w:rPr>
          <w:rFonts w:ascii="ZWAdobeF" w:hAnsi="ZWAdobeF" w:cs="ZWAdobeF"/>
          <w:color w:val="auto"/>
          <w:sz w:val="2"/>
          <w:szCs w:val="2"/>
          <w:highlight w:val="none"/>
        </w:rPr>
        <w:t>UUUU</w:t>
      </w:r>
      <w:r>
        <w:rPr>
          <w:rFonts w:hint="eastAsia" w:ascii="宋体" w:hAnsi="宋体"/>
          <w:color w:val="auto"/>
          <w:szCs w:val="21"/>
          <w:highlight w:val="none"/>
          <w:u w:val="single"/>
        </w:rPr>
        <w:t>（供应商名称）</w:t>
      </w:r>
      <w:r>
        <w:rPr>
          <w:rFonts w:ascii="ZWAdobeF" w:hAnsi="ZWAdobeF" w:cs="ZWAdobeF"/>
          <w:color w:val="auto"/>
          <w:sz w:val="2"/>
          <w:szCs w:val="2"/>
          <w:highlight w:val="none"/>
        </w:rPr>
        <w:t>UUUU</w:t>
      </w:r>
      <w:r>
        <w:rPr>
          <w:rFonts w:hint="eastAsia" w:ascii="宋体" w:hAnsi="宋体"/>
          <w:color w:val="auto"/>
          <w:szCs w:val="21"/>
          <w:highlight w:val="none"/>
        </w:rPr>
        <w:t>作为报价者正式授权</w:t>
      </w:r>
      <w:r>
        <w:rPr>
          <w:rFonts w:ascii="ZWAdobeF" w:hAnsi="ZWAdobeF" w:cs="ZWAdobeF"/>
          <w:color w:val="auto"/>
          <w:sz w:val="2"/>
          <w:szCs w:val="2"/>
          <w:highlight w:val="none"/>
        </w:rPr>
        <w:t>UUUU</w:t>
      </w:r>
      <w:r>
        <w:rPr>
          <w:rFonts w:hint="eastAsia" w:ascii="宋体" w:hAnsi="宋体"/>
          <w:color w:val="auto"/>
          <w:szCs w:val="21"/>
          <w:highlight w:val="none"/>
          <w:u w:val="single"/>
        </w:rPr>
        <w:t>（姓名、职位）</w:t>
      </w:r>
      <w:r>
        <w:rPr>
          <w:rFonts w:ascii="ZWAdobeF" w:hAnsi="ZWAdobeF" w:cs="ZWAdobeF"/>
          <w:color w:val="auto"/>
          <w:sz w:val="2"/>
          <w:szCs w:val="2"/>
          <w:highlight w:val="none"/>
        </w:rPr>
        <w:t>UUUU</w:t>
      </w:r>
      <w:r>
        <w:rPr>
          <w:rFonts w:hint="eastAsia" w:ascii="宋体" w:hAnsi="宋体"/>
          <w:color w:val="auto"/>
          <w:szCs w:val="21"/>
          <w:highlight w:val="none"/>
        </w:rPr>
        <w:t>代表我方进行有关报价的一切事宜。在此提交的报价文件，正本</w:t>
      </w:r>
      <w:r>
        <w:rPr>
          <w:rFonts w:hint="eastAsia" w:ascii="宋体" w:hAnsi="宋体"/>
          <w:color w:val="auto"/>
          <w:szCs w:val="21"/>
          <w:highlight w:val="none"/>
          <w:u w:val="single"/>
        </w:rPr>
        <w:t>壹</w:t>
      </w:r>
      <w:r>
        <w:rPr>
          <w:rFonts w:hint="eastAsia" w:ascii="宋体" w:hAnsi="宋体"/>
          <w:color w:val="auto"/>
          <w:szCs w:val="21"/>
          <w:highlight w:val="none"/>
        </w:rPr>
        <w:t>份，副本</w:t>
      </w:r>
      <w:r>
        <w:rPr>
          <w:rFonts w:hint="eastAsia" w:ascii="宋体" w:hAnsi="宋体"/>
          <w:color w:val="auto"/>
          <w:szCs w:val="21"/>
          <w:highlight w:val="none"/>
          <w:u w:val="single"/>
        </w:rPr>
        <w:t>贰</w:t>
      </w:r>
      <w:r>
        <w:rPr>
          <w:rFonts w:hint="eastAsia" w:ascii="宋体" w:hAnsi="宋体"/>
          <w:color w:val="auto"/>
          <w:szCs w:val="21"/>
          <w:highlight w:val="none"/>
        </w:rPr>
        <w:t>份。我方已完全明白竞争性</w:t>
      </w:r>
      <w:r>
        <w:rPr>
          <w:rFonts w:hint="eastAsia" w:ascii="宋体" w:hAnsi="宋体"/>
          <w:bCs/>
          <w:color w:val="auto"/>
          <w:szCs w:val="21"/>
          <w:highlight w:val="none"/>
        </w:rPr>
        <w:t>磋商</w:t>
      </w:r>
      <w:r>
        <w:rPr>
          <w:rFonts w:hint="eastAsia" w:ascii="宋体" w:hAnsi="宋体"/>
          <w:color w:val="auto"/>
          <w:szCs w:val="21"/>
          <w:highlight w:val="none"/>
        </w:rPr>
        <w:t>文件的所有条款要求，并重申以下几点：</w:t>
      </w:r>
    </w:p>
    <w:p>
      <w:pPr>
        <w:spacing w:line="360" w:lineRule="auto"/>
        <w:jc w:val="left"/>
        <w:rPr>
          <w:rFonts w:ascii="宋体" w:hAnsi="宋体"/>
          <w:color w:val="auto"/>
          <w:szCs w:val="21"/>
          <w:highlight w:val="none"/>
        </w:rPr>
      </w:pPr>
      <w:r>
        <w:rPr>
          <w:rFonts w:hint="eastAsia" w:ascii="宋体" w:hAnsi="宋体"/>
          <w:color w:val="auto"/>
          <w:szCs w:val="21"/>
          <w:highlight w:val="none"/>
        </w:rPr>
        <w:t>1.我方决定参加：项目编号为</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号的磋商响应。响应报价总价为</w:t>
      </w:r>
      <w:r>
        <w:rPr>
          <w:rFonts w:hint="eastAsia" w:ascii="宋体" w:hAnsi="宋体"/>
          <w:color w:val="auto"/>
          <w:szCs w:val="21"/>
          <w:highlight w:val="none"/>
          <w:u w:val="single"/>
        </w:rPr>
        <w:t xml:space="preserve">          </w:t>
      </w:r>
      <w:r>
        <w:rPr>
          <w:rFonts w:hint="eastAsia" w:ascii="宋体" w:hAnsi="宋体"/>
          <w:color w:val="auto"/>
          <w:szCs w:val="21"/>
          <w:highlight w:val="none"/>
        </w:rPr>
        <w:t>元；</w:t>
      </w:r>
    </w:p>
    <w:p>
      <w:pPr>
        <w:autoSpaceDE w:val="0"/>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2.本报价文件的有效期为</w:t>
      </w:r>
      <w:r>
        <w:rPr>
          <w:rFonts w:hint="eastAsia" w:ascii="宋体" w:hAnsi="宋体"/>
          <w:color w:val="auto"/>
          <w:highlight w:val="none"/>
        </w:rPr>
        <w:t>磋商响应文件递交</w:t>
      </w:r>
      <w:r>
        <w:rPr>
          <w:rFonts w:hint="eastAsia" w:ascii="宋体" w:hAnsi="宋体"/>
          <w:color w:val="auto"/>
          <w:szCs w:val="21"/>
          <w:highlight w:val="none"/>
        </w:rPr>
        <w:t>截止日后</w:t>
      </w:r>
      <w:r>
        <w:rPr>
          <w:rFonts w:ascii="ZWAdobeF" w:hAnsi="ZWAdobeF" w:cs="ZWAdobeF"/>
          <w:color w:val="auto"/>
          <w:sz w:val="2"/>
          <w:szCs w:val="2"/>
          <w:highlight w:val="none"/>
        </w:rPr>
        <w:t>UUUU</w:t>
      </w:r>
      <w:r>
        <w:rPr>
          <w:rFonts w:hint="eastAsia" w:ascii="宋体" w:hAnsi="宋体"/>
          <w:color w:val="auto"/>
          <w:szCs w:val="21"/>
          <w:highlight w:val="none"/>
          <w:u w:val="single"/>
        </w:rPr>
        <w:t>90</w:t>
      </w:r>
      <w:r>
        <w:rPr>
          <w:rFonts w:ascii="ZWAdobeF" w:hAnsi="ZWAdobeF" w:cs="ZWAdobeF"/>
          <w:color w:val="auto"/>
          <w:sz w:val="2"/>
          <w:szCs w:val="2"/>
          <w:highlight w:val="none"/>
        </w:rPr>
        <w:t>UUUU</w:t>
      </w:r>
      <w:r>
        <w:rPr>
          <w:rFonts w:hint="eastAsia" w:ascii="宋体" w:hAnsi="宋体"/>
          <w:color w:val="auto"/>
          <w:szCs w:val="21"/>
          <w:highlight w:val="none"/>
        </w:rPr>
        <w:t>天有效，如被确定为供应商成交供应商，有效期将延至合同终止日为止；</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3.我方已详细研究了竞争性磋商文件的所有内容包括修正（如果有）和所有已提供的参考资料以及有关格式并完全明白，我方放弃在此方面提出含糊意见或误解的一切权利；</w:t>
      </w:r>
    </w:p>
    <w:p>
      <w:pPr>
        <w:spacing w:line="360" w:lineRule="auto"/>
        <w:jc w:val="left"/>
        <w:rPr>
          <w:rFonts w:ascii="宋体" w:hAnsi="宋体"/>
          <w:color w:val="auto"/>
          <w:szCs w:val="21"/>
          <w:highlight w:val="none"/>
        </w:rPr>
      </w:pPr>
      <w:r>
        <w:rPr>
          <w:rFonts w:hint="eastAsia" w:ascii="宋体" w:hAnsi="宋体"/>
          <w:color w:val="auto"/>
          <w:szCs w:val="21"/>
          <w:highlight w:val="none"/>
        </w:rPr>
        <w:t>4.我方同意按照你方可能提出的要求提供与报价有关的任何其它数据或信息；</w:t>
      </w:r>
    </w:p>
    <w:p>
      <w:pPr>
        <w:spacing w:line="360" w:lineRule="auto"/>
        <w:jc w:val="left"/>
        <w:rPr>
          <w:rFonts w:ascii="宋体" w:hAnsi="宋体"/>
          <w:color w:val="auto"/>
          <w:szCs w:val="21"/>
          <w:highlight w:val="none"/>
        </w:rPr>
      </w:pPr>
      <w:r>
        <w:rPr>
          <w:rFonts w:hint="eastAsia" w:ascii="宋体" w:hAnsi="宋体"/>
          <w:color w:val="auto"/>
          <w:szCs w:val="21"/>
          <w:highlight w:val="none"/>
        </w:rPr>
        <w:t>5.我方理解磋商小组不一定接受最低报价或任何你方可能收到的报价；</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6.我方如被确定为供应商成交供应商，将保证履行竞争性磋商文件以及竞争性磋商文件修改书（如有的话）中的全部责任和义务，按质、按量、按期完成《合同》中的全部任务；</w:t>
      </w:r>
    </w:p>
    <w:p>
      <w:pPr>
        <w:spacing w:line="360" w:lineRule="auto"/>
        <w:jc w:val="left"/>
        <w:rPr>
          <w:rFonts w:ascii="宋体" w:hAnsi="宋体"/>
          <w:color w:val="auto"/>
          <w:szCs w:val="21"/>
          <w:highlight w:val="none"/>
        </w:rPr>
      </w:pPr>
      <w:r>
        <w:rPr>
          <w:rFonts w:hint="eastAsia" w:ascii="宋体" w:hAnsi="宋体"/>
          <w:color w:val="auto"/>
          <w:szCs w:val="21"/>
          <w:highlight w:val="none"/>
        </w:rPr>
        <w:t>7.我方自行完全承担因报价文件错误、缺漏、不清晰而导致的一切后果；</w:t>
      </w:r>
    </w:p>
    <w:p>
      <w:pPr>
        <w:spacing w:line="360" w:lineRule="auto"/>
        <w:ind w:left="240" w:hanging="240"/>
        <w:jc w:val="left"/>
        <w:rPr>
          <w:rFonts w:ascii="宋体" w:hAnsi="宋体"/>
          <w:color w:val="auto"/>
          <w:szCs w:val="21"/>
          <w:highlight w:val="none"/>
        </w:rPr>
      </w:pPr>
      <w:r>
        <w:rPr>
          <w:rFonts w:hint="eastAsia" w:ascii="宋体" w:hAnsi="宋体"/>
          <w:color w:val="auto"/>
          <w:szCs w:val="21"/>
          <w:highlight w:val="none"/>
        </w:rPr>
        <w:t>8.我方确认此次磋商中提供的一切资料均是真实的，准确的，并完全承担因此产生的一切后果。</w:t>
      </w:r>
    </w:p>
    <w:p>
      <w:pPr>
        <w:spacing w:line="360" w:lineRule="auto"/>
        <w:jc w:val="left"/>
        <w:rPr>
          <w:rFonts w:ascii="宋体" w:hAnsi="宋体"/>
          <w:color w:val="auto"/>
          <w:szCs w:val="21"/>
          <w:highlight w:val="none"/>
        </w:rPr>
      </w:pPr>
      <w:r>
        <w:rPr>
          <w:rFonts w:hint="eastAsia" w:ascii="宋体" w:hAnsi="宋体"/>
          <w:color w:val="auto"/>
          <w:szCs w:val="21"/>
          <w:highlight w:val="none"/>
        </w:rPr>
        <w:t>9.我方的报价被接受，我方同意按照竞争性磋商文件规定向采购代理机构缴纳采购代理服务费。</w:t>
      </w:r>
    </w:p>
    <w:p>
      <w:pPr>
        <w:spacing w:line="360" w:lineRule="auto"/>
        <w:jc w:val="left"/>
        <w:rPr>
          <w:rFonts w:ascii="宋体" w:hAnsi="宋体"/>
          <w:color w:val="auto"/>
          <w:szCs w:val="21"/>
          <w:highlight w:val="none"/>
        </w:rPr>
      </w:pPr>
      <w:r>
        <w:rPr>
          <w:rFonts w:hint="eastAsia" w:ascii="宋体" w:hAnsi="宋体"/>
          <w:color w:val="auto"/>
          <w:szCs w:val="21"/>
          <w:highlight w:val="none"/>
        </w:rPr>
        <w:t>所有与本竞争性磋商文件有关的函件请发往下列地址：</w:t>
      </w:r>
    </w:p>
    <w:p>
      <w:pPr>
        <w:spacing w:line="360" w:lineRule="auto"/>
        <w:ind w:firstLine="210" w:firstLineChars="100"/>
        <w:jc w:val="left"/>
        <w:rPr>
          <w:rFonts w:ascii="宋体" w:hAnsi="宋体"/>
          <w:color w:val="auto"/>
          <w:szCs w:val="21"/>
          <w:highlight w:val="none"/>
        </w:rPr>
      </w:pP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供应商全称（加盖公章）：</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地址：  邮政编码：</w:t>
      </w:r>
    </w:p>
    <w:p>
      <w:pPr>
        <w:spacing w:line="360" w:lineRule="auto"/>
        <w:ind w:firstLine="420" w:firstLineChars="200"/>
        <w:jc w:val="left"/>
        <w:rPr>
          <w:rFonts w:ascii="宋体" w:hAnsi="宋体"/>
          <w:color w:val="auto"/>
          <w:szCs w:val="21"/>
          <w:highlight w:val="none"/>
          <w:u w:val="single"/>
        </w:rPr>
      </w:pPr>
      <w:r>
        <w:rPr>
          <w:rFonts w:hint="eastAsia" w:ascii="宋体" w:hAnsi="宋体"/>
          <w:color w:val="auto"/>
          <w:szCs w:val="21"/>
          <w:highlight w:val="none"/>
        </w:rPr>
        <w:t>法定代表或其授权代表（签字或签章）：</w:t>
      </w:r>
    </w:p>
    <w:p>
      <w:pPr>
        <w:spacing w:line="360" w:lineRule="auto"/>
        <w:ind w:firstLine="420" w:firstLineChars="200"/>
        <w:jc w:val="left"/>
        <w:rPr>
          <w:rFonts w:ascii="宋体" w:hAnsi="宋体"/>
          <w:color w:val="auto"/>
          <w:highlight w:val="none"/>
        </w:rPr>
      </w:pPr>
      <w:r>
        <w:rPr>
          <w:rFonts w:hint="eastAsia" w:ascii="宋体" w:hAnsi="宋体"/>
          <w:color w:val="auto"/>
          <w:szCs w:val="21"/>
          <w:highlight w:val="none"/>
        </w:rPr>
        <w:t>日    期： 2020年  月  日</w:t>
      </w:r>
      <w:r>
        <w:rPr>
          <w:rFonts w:hint="eastAsia" w:ascii="宋体" w:hAnsi="宋体"/>
          <w:color w:val="auto"/>
          <w:highlight w:val="none"/>
        </w:rPr>
        <w:br w:type="page"/>
      </w:r>
      <w:bookmarkStart w:id="390" w:name="_Toc55816096"/>
      <w:bookmarkStart w:id="391" w:name="_Toc109467909"/>
      <w:bookmarkStart w:id="392" w:name="_Toc34535359"/>
      <w:bookmarkStart w:id="393" w:name="_Toc35834913"/>
      <w:bookmarkStart w:id="394" w:name="_Toc86065029"/>
      <w:bookmarkStart w:id="395" w:name="_Toc25224019"/>
      <w:bookmarkStart w:id="396" w:name="_Toc14450839"/>
      <w:bookmarkStart w:id="397" w:name="_Toc41448359"/>
      <w:bookmarkStart w:id="398" w:name="_Toc28489497"/>
    </w:p>
    <w:p>
      <w:pPr>
        <w:spacing w:line="360" w:lineRule="auto"/>
        <w:rPr>
          <w:rFonts w:ascii="宋体" w:hAnsi="宋体"/>
          <w:color w:val="auto"/>
          <w:highlight w:val="none"/>
        </w:rPr>
      </w:pPr>
      <w:r>
        <w:rPr>
          <w:rFonts w:hint="eastAsia" w:ascii="宋体" w:hAnsi="宋体"/>
          <w:b/>
          <w:bCs/>
          <w:color w:val="auto"/>
          <w:kern w:val="0"/>
          <w:sz w:val="28"/>
          <w:szCs w:val="28"/>
          <w:highlight w:val="none"/>
        </w:rPr>
        <w:t>附件2法定代表人证明书</w:t>
      </w:r>
    </w:p>
    <w:p>
      <w:pPr>
        <w:spacing w:line="360" w:lineRule="auto"/>
        <w:rPr>
          <w:rFonts w:ascii="宋体" w:hAnsi="宋体"/>
          <w:b/>
          <w:color w:val="auto"/>
          <w:sz w:val="24"/>
          <w:highlight w:val="none"/>
        </w:rPr>
      </w:pPr>
    </w:p>
    <w:p>
      <w:pPr>
        <w:pStyle w:val="46"/>
        <w:spacing w:line="360" w:lineRule="auto"/>
        <w:rPr>
          <w:rFonts w:hAnsi="宋体"/>
          <w:color w:val="auto"/>
          <w:szCs w:val="21"/>
          <w:highlight w:val="none"/>
        </w:rPr>
      </w:pPr>
      <w:bookmarkStart w:id="399" w:name="_Toc223939105"/>
      <w:r>
        <w:rPr>
          <w:rFonts w:hint="eastAsia" w:hAnsi="宋体"/>
          <w:color w:val="auto"/>
          <w:szCs w:val="21"/>
          <w:highlight w:val="none"/>
        </w:rPr>
        <w:t>现任我单位职务，为法定代表人，特此证明。</w:t>
      </w:r>
      <w:bookmarkEnd w:id="399"/>
      <w:bookmarkStart w:id="400" w:name="_Toc223939106"/>
    </w:p>
    <w:p>
      <w:pPr>
        <w:pStyle w:val="46"/>
        <w:spacing w:line="360" w:lineRule="auto"/>
        <w:rPr>
          <w:rFonts w:hAnsi="宋体"/>
          <w:color w:val="auto"/>
          <w:szCs w:val="21"/>
          <w:highlight w:val="none"/>
          <w:u w:val="single"/>
        </w:rPr>
      </w:pPr>
      <w:r>
        <w:rPr>
          <w:rFonts w:hint="eastAsia" w:hAnsi="宋体"/>
          <w:color w:val="auto"/>
          <w:szCs w:val="21"/>
          <w:highlight w:val="none"/>
        </w:rPr>
        <w:t>有效期限：</w:t>
      </w:r>
      <w:bookmarkEnd w:id="400"/>
      <w:bookmarkStart w:id="401" w:name="_Toc223939107"/>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附：代表人性别：年龄：身份证号码：</w:t>
      </w:r>
      <w:bookmarkEnd w:id="401"/>
      <w:bookmarkStart w:id="402" w:name="_Toc223939108"/>
    </w:p>
    <w:p>
      <w:pPr>
        <w:pStyle w:val="46"/>
        <w:spacing w:line="360" w:lineRule="auto"/>
        <w:ind w:left="359" w:leftChars="171"/>
        <w:rPr>
          <w:rFonts w:hAnsi="宋体"/>
          <w:color w:val="auto"/>
          <w:szCs w:val="21"/>
          <w:highlight w:val="none"/>
          <w:u w:val="single"/>
        </w:rPr>
      </w:pPr>
      <w:r>
        <w:rPr>
          <w:rFonts w:hint="eastAsia" w:hAnsi="宋体"/>
          <w:color w:val="auto"/>
          <w:szCs w:val="21"/>
          <w:highlight w:val="none"/>
        </w:rPr>
        <w:t>工商注册号：</w:t>
      </w:r>
    </w:p>
    <w:p>
      <w:pPr>
        <w:pStyle w:val="46"/>
        <w:spacing w:line="360" w:lineRule="auto"/>
        <w:ind w:left="239" w:leftChars="114" w:firstLine="105" w:firstLineChars="50"/>
        <w:rPr>
          <w:rFonts w:hAnsi="宋体"/>
          <w:color w:val="auto"/>
          <w:szCs w:val="21"/>
          <w:highlight w:val="none"/>
        </w:rPr>
      </w:pPr>
      <w:r>
        <w:rPr>
          <w:rFonts w:hint="eastAsia" w:hAnsi="宋体"/>
          <w:color w:val="auto"/>
          <w:szCs w:val="21"/>
          <w:highlight w:val="none"/>
        </w:rPr>
        <w:t>企业类型：</w:t>
      </w:r>
      <w:r>
        <w:rPr>
          <w:rFonts w:hint="eastAsia" w:hAnsi="宋体"/>
          <w:color w:val="auto"/>
          <w:szCs w:val="21"/>
          <w:highlight w:val="none"/>
          <w:u w:val="single"/>
        </w:rPr>
        <w:t xml:space="preserve">                     </w:t>
      </w:r>
      <w:bookmarkEnd w:id="402"/>
      <w:bookmarkStart w:id="403" w:name="_Toc223939109"/>
    </w:p>
    <w:p>
      <w:pPr>
        <w:pStyle w:val="46"/>
        <w:spacing w:line="360" w:lineRule="auto"/>
        <w:ind w:left="239" w:leftChars="114" w:firstLine="105" w:firstLineChars="50"/>
        <w:rPr>
          <w:rFonts w:hAnsi="宋体"/>
          <w:b/>
          <w:color w:val="auto"/>
          <w:szCs w:val="21"/>
          <w:highlight w:val="none"/>
        </w:rPr>
      </w:pPr>
      <w:r>
        <w:rPr>
          <w:rFonts w:hint="eastAsia" w:hAnsi="宋体"/>
          <w:color w:val="auto"/>
          <w:szCs w:val="21"/>
          <w:highlight w:val="none"/>
        </w:rPr>
        <w:t>经营范围：</w:t>
      </w:r>
      <w:bookmarkEnd w:id="403"/>
    </w:p>
    <w:p>
      <w:pPr>
        <w:pStyle w:val="46"/>
        <w:spacing w:line="360" w:lineRule="auto"/>
        <w:jc w:val="center"/>
        <w:rPr>
          <w:rFonts w:hAnsi="宋体"/>
          <w:color w:val="auto"/>
          <w:szCs w:val="21"/>
          <w:highlight w:val="none"/>
        </w:rPr>
      </w:pPr>
    </w:p>
    <w:tbl>
      <w:tblPr>
        <w:tblStyle w:val="90"/>
        <w:tblW w:w="661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422" w:hRule="atLeast"/>
          <w:jc w:val="center"/>
        </w:trPr>
        <w:tc>
          <w:tcPr>
            <w:tcW w:w="6615" w:type="dxa"/>
            <w:tcBorders>
              <w:top w:val="single" w:color="auto" w:sz="6" w:space="0"/>
              <w:left w:val="single" w:color="auto" w:sz="6" w:space="0"/>
              <w:bottom w:val="single" w:color="auto" w:sz="6" w:space="0"/>
              <w:right w:val="single" w:color="auto" w:sz="6" w:space="0"/>
            </w:tcBorders>
          </w:tcPr>
          <w:p>
            <w:pPr>
              <w:pStyle w:val="46"/>
              <w:spacing w:line="360" w:lineRule="auto"/>
              <w:jc w:val="center"/>
              <w:rPr>
                <w:rFonts w:hAnsi="宋体"/>
                <w:color w:val="auto"/>
                <w:szCs w:val="21"/>
                <w:highlight w:val="none"/>
              </w:rPr>
            </w:pPr>
          </w:p>
          <w:p>
            <w:pPr>
              <w:pStyle w:val="46"/>
              <w:spacing w:line="360" w:lineRule="auto"/>
              <w:jc w:val="center"/>
              <w:rPr>
                <w:rFonts w:hAnsi="宋体"/>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法定代表人</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center"/>
              <w:rPr>
                <w:rFonts w:hAnsi="宋体"/>
                <w:color w:val="auto"/>
                <w:szCs w:val="21"/>
                <w:highlight w:val="none"/>
              </w:rPr>
            </w:pPr>
          </w:p>
        </w:tc>
      </w:tr>
    </w:tbl>
    <w:p>
      <w:pPr>
        <w:tabs>
          <w:tab w:val="left" w:pos="3780"/>
        </w:tabs>
        <w:spacing w:line="360" w:lineRule="auto"/>
        <w:rPr>
          <w:rFonts w:ascii="宋体" w:hAnsi="宋体"/>
          <w:color w:val="auto"/>
          <w:szCs w:val="21"/>
          <w:highlight w:val="none"/>
        </w:rPr>
      </w:pPr>
    </w:p>
    <w:p>
      <w:pPr>
        <w:tabs>
          <w:tab w:val="left" w:pos="3780"/>
        </w:tabs>
        <w:spacing w:line="360" w:lineRule="auto"/>
        <w:rPr>
          <w:rFonts w:ascii="宋体" w:hAnsi="宋体"/>
          <w:b/>
          <w:color w:val="auto"/>
          <w:szCs w:val="21"/>
          <w:highlight w:val="none"/>
        </w:rPr>
      </w:pPr>
      <w:r>
        <w:rPr>
          <w:rFonts w:hint="eastAsia" w:ascii="宋体" w:hAnsi="宋体"/>
          <w:b/>
          <w:color w:val="auto"/>
          <w:szCs w:val="21"/>
          <w:highlight w:val="none"/>
        </w:rPr>
        <w:t>注：本表格须附在正副的磋商响应文件中，并另封装一份在“报价信封”内。</w:t>
      </w:r>
    </w:p>
    <w:p>
      <w:pPr>
        <w:tabs>
          <w:tab w:val="left" w:pos="3780"/>
        </w:tabs>
        <w:spacing w:line="360" w:lineRule="auto"/>
        <w:rPr>
          <w:rFonts w:ascii="宋体" w:hAnsi="宋体"/>
          <w:color w:val="auto"/>
          <w:sz w:val="24"/>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bCs/>
          <w:color w:val="auto"/>
          <w:highlight w:val="none"/>
        </w:rPr>
      </w:pPr>
      <w:r>
        <w:rPr>
          <w:rFonts w:hint="eastAsia" w:ascii="宋体" w:hAnsi="宋体"/>
          <w:b/>
          <w:bCs/>
          <w:color w:val="auto"/>
          <w:kern w:val="0"/>
          <w:sz w:val="28"/>
          <w:szCs w:val="28"/>
          <w:highlight w:val="none"/>
        </w:rPr>
        <w:t>附件3法定代表人授权书</w:t>
      </w: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 w:val="24"/>
          <w:szCs w:val="24"/>
          <w:highlight w:val="none"/>
        </w:rPr>
      </w:pPr>
    </w:p>
    <w:p>
      <w:pPr>
        <w:pStyle w:val="46"/>
        <w:spacing w:line="360" w:lineRule="auto"/>
        <w:jc w:val="left"/>
        <w:rPr>
          <w:rFonts w:hAnsi="宋体"/>
          <w:b/>
          <w:color w:val="auto"/>
          <w:szCs w:val="21"/>
          <w:highlight w:val="none"/>
        </w:rPr>
      </w:pPr>
      <w:r>
        <w:rPr>
          <w:rFonts w:hint="eastAsia" w:hAnsi="宋体"/>
          <w:b/>
          <w:color w:val="auto"/>
          <w:szCs w:val="21"/>
          <w:highlight w:val="none"/>
        </w:rPr>
        <w:t>致:广州市信怡招标代理有限公司</w:t>
      </w:r>
      <w:r>
        <w:rPr>
          <w:rFonts w:hint="eastAsia" w:hAnsi="宋体"/>
          <w:color w:val="auto"/>
          <w:szCs w:val="21"/>
          <w:highlight w:val="none"/>
        </w:rPr>
        <w:tab/>
      </w:r>
    </w:p>
    <w:p>
      <w:pPr>
        <w:pStyle w:val="46"/>
        <w:spacing w:line="360" w:lineRule="auto"/>
        <w:ind w:firstLine="420" w:firstLineChars="200"/>
        <w:jc w:val="left"/>
        <w:rPr>
          <w:rFonts w:hAnsi="宋体"/>
          <w:color w:val="auto"/>
          <w:szCs w:val="21"/>
          <w:highlight w:val="none"/>
        </w:rPr>
      </w:pPr>
    </w:p>
    <w:p>
      <w:pPr>
        <w:pStyle w:val="46"/>
        <w:autoSpaceDE w:val="0"/>
        <w:spacing w:line="360" w:lineRule="auto"/>
        <w:ind w:firstLine="420" w:firstLineChars="200"/>
        <w:jc w:val="left"/>
        <w:rPr>
          <w:rFonts w:hAnsi="宋体"/>
          <w:color w:val="auto"/>
          <w:szCs w:val="21"/>
          <w:highlight w:val="none"/>
        </w:rPr>
      </w:pPr>
      <w:r>
        <w:rPr>
          <w:rFonts w:hint="eastAsia" w:hAnsi="宋体"/>
          <w:color w:val="auto"/>
          <w:szCs w:val="21"/>
          <w:highlight w:val="none"/>
        </w:rPr>
        <w:t>本授权书声明：</w:t>
      </w:r>
      <w:r>
        <w:rPr>
          <w:rFonts w:ascii="ZWAdobeF" w:hAnsi="ZWAdobeF" w:cs="ZWAdobeF"/>
          <w:color w:val="auto"/>
          <w:sz w:val="2"/>
          <w:szCs w:val="2"/>
          <w:highlight w:val="none"/>
          <w:u w:val="single"/>
        </w:rPr>
        <w:t>UU UUUU</w:t>
      </w:r>
      <w:r>
        <w:rPr>
          <w:rFonts w:hint="eastAsia" w:ascii="ZWAdobeF" w:hAnsi="ZWAdobeF" w:cs="ZWAdobeF"/>
          <w:color w:val="auto"/>
          <w:sz w:val="2"/>
          <w:szCs w:val="2"/>
          <w:highlight w:val="none"/>
          <w:u w:val="single"/>
          <w:lang w:val="en-US" w:eastAsia="zh-CN"/>
        </w:rPr>
        <w:t xml:space="preserve">                                 </w:t>
      </w:r>
      <w:r>
        <w:rPr>
          <w:rFonts w:hint="eastAsia" w:ascii="ZWAdobeF" w:hAnsi="ZWAdobeF" w:cs="ZWAdobeF"/>
          <w:color w:val="auto"/>
          <w:sz w:val="2"/>
          <w:szCs w:val="2"/>
          <w:highlight w:val="none"/>
          <w:lang w:val="en-US" w:eastAsia="zh-CN"/>
        </w:rPr>
        <w:t xml:space="preserve"> </w:t>
      </w:r>
      <w:r>
        <w:rPr>
          <w:rFonts w:hint="eastAsia" w:hAnsi="宋体"/>
          <w:color w:val="auto"/>
          <w:szCs w:val="21"/>
          <w:highlight w:val="none"/>
        </w:rPr>
        <w:t>是注册于的法定代表人，现任</w:t>
      </w:r>
      <w:r>
        <w:rPr>
          <w:rFonts w:ascii="ZWAdobeF" w:hAnsi="ZWAdobeF" w:cs="ZWAdobeF"/>
          <w:color w:val="auto"/>
          <w:sz w:val="2"/>
          <w:szCs w:val="2"/>
          <w:highlight w:val="none"/>
          <w:u w:val="single"/>
        </w:rPr>
        <w:t>UUUU UU</w:t>
      </w:r>
      <w:r>
        <w:rPr>
          <w:rFonts w:hint="eastAsia" w:ascii="ZWAdobeF" w:hAnsi="ZWAdobeF" w:cs="ZWAdobeF"/>
          <w:color w:val="auto"/>
          <w:sz w:val="2"/>
          <w:szCs w:val="2"/>
          <w:highlight w:val="none"/>
          <w:u w:val="single"/>
          <w:lang w:val="en-US" w:eastAsia="zh-CN"/>
        </w:rPr>
        <w:t xml:space="preserve">                                           </w:t>
      </w:r>
      <w:r>
        <w:rPr>
          <w:rFonts w:ascii="ZWAdobeF" w:hAnsi="ZWAdobeF" w:cs="ZWAdobeF"/>
          <w:color w:val="auto"/>
          <w:sz w:val="2"/>
          <w:szCs w:val="2"/>
          <w:highlight w:val="none"/>
          <w:u w:val="single"/>
        </w:rPr>
        <w:t>UU</w:t>
      </w:r>
      <w:r>
        <w:rPr>
          <w:rFonts w:hint="eastAsia" w:hAnsi="宋体"/>
          <w:color w:val="auto"/>
          <w:szCs w:val="21"/>
          <w:highlight w:val="none"/>
        </w:rPr>
        <w:t>。在此授权</w:t>
      </w:r>
      <w:r>
        <w:rPr>
          <w:rFonts w:ascii="ZWAdobeF" w:hAnsi="ZWAdobeF" w:cs="ZWAdobeF"/>
          <w:color w:val="auto"/>
          <w:sz w:val="2"/>
          <w:szCs w:val="2"/>
          <w:highlight w:val="none"/>
        </w:rPr>
        <w:t>UUUU</w:t>
      </w:r>
      <w:r>
        <w:rPr>
          <w:rFonts w:hint="eastAsia" w:hAnsi="宋体"/>
          <w:i/>
          <w:color w:val="auto"/>
          <w:szCs w:val="21"/>
          <w:highlight w:val="none"/>
          <w:u w:val="single"/>
        </w:rPr>
        <w:t>（姓名、职位）</w:t>
      </w:r>
      <w:r>
        <w:rPr>
          <w:rFonts w:ascii="ZWAdobeF" w:hAnsi="ZWAdobeF" w:cs="ZWAdobeF"/>
          <w:color w:val="auto"/>
          <w:sz w:val="2"/>
          <w:szCs w:val="2"/>
          <w:highlight w:val="none"/>
        </w:rPr>
        <w:t>UUUU</w:t>
      </w:r>
      <w:r>
        <w:rPr>
          <w:rFonts w:hint="eastAsia" w:hAnsi="宋体"/>
          <w:color w:val="auto"/>
          <w:szCs w:val="21"/>
          <w:highlight w:val="none"/>
        </w:rPr>
        <w:t>作为我公司的全权代理人，在</w:t>
      </w:r>
      <w:r>
        <w:rPr>
          <w:rFonts w:ascii="ZWAdobeF" w:hAnsi="ZWAdobeF" w:cs="ZWAdobeF"/>
          <w:color w:val="auto"/>
          <w:sz w:val="2"/>
          <w:szCs w:val="2"/>
          <w:highlight w:val="none"/>
        </w:rPr>
        <w:t>UUUU UUU</w:t>
      </w:r>
      <w:r>
        <w:rPr>
          <w:rFonts w:hint="eastAsia" w:hAnsi="宋体"/>
          <w:color w:val="auto"/>
          <w:szCs w:val="21"/>
          <w:highlight w:val="none"/>
        </w:rPr>
        <w:t>的磋商响应（项目编号为：）及其合同执行过程中，以我公司的名义处理一切与之有关的事务。</w:t>
      </w:r>
    </w:p>
    <w:p>
      <w:pPr>
        <w:pStyle w:val="46"/>
        <w:spacing w:line="360" w:lineRule="auto"/>
        <w:jc w:val="left"/>
        <w:rPr>
          <w:rFonts w:hAnsi="宋体"/>
          <w:color w:val="auto"/>
          <w:szCs w:val="21"/>
          <w:highlight w:val="none"/>
        </w:rPr>
      </w:pPr>
    </w:p>
    <w:p>
      <w:pPr>
        <w:spacing w:line="360" w:lineRule="auto"/>
        <w:ind w:firstLine="420" w:firstLineChars="200"/>
        <w:jc w:val="left"/>
        <w:rPr>
          <w:rFonts w:ascii="宋体" w:hAnsi="宋体"/>
          <w:color w:val="auto"/>
          <w:szCs w:val="21"/>
          <w:highlight w:val="none"/>
        </w:rPr>
      </w:pPr>
      <w:r>
        <w:rPr>
          <w:rFonts w:hint="eastAsia" w:ascii="宋体" w:hAnsi="宋体"/>
          <w:color w:val="auto"/>
          <w:szCs w:val="21"/>
          <w:highlight w:val="none"/>
        </w:rPr>
        <w:t>本授权书于  2020 年  月  日签字生效，特此声明。</w:t>
      </w:r>
    </w:p>
    <w:p>
      <w:pPr>
        <w:spacing w:line="360" w:lineRule="auto"/>
        <w:ind w:firstLine="105" w:firstLineChars="50"/>
        <w:jc w:val="left"/>
        <w:rPr>
          <w:rFonts w:ascii="宋体" w:hAnsi="宋体"/>
          <w:color w:val="auto"/>
          <w:szCs w:val="21"/>
          <w:highlight w:val="none"/>
        </w:rPr>
      </w:pPr>
    </w:p>
    <w:p>
      <w:pPr>
        <w:spacing w:line="360" w:lineRule="auto"/>
        <w:ind w:firstLine="105" w:firstLineChars="50"/>
        <w:jc w:val="left"/>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tabs>
          <w:tab w:val="left" w:pos="2535"/>
        </w:tabs>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rPr>
        <w:tab/>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法定代表人</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105" w:firstLineChars="50"/>
        <w:jc w:val="left"/>
        <w:rPr>
          <w:rFonts w:ascii="宋体" w:hAnsi="宋体"/>
          <w:color w:val="auto"/>
          <w:szCs w:val="21"/>
          <w:highlight w:val="none"/>
        </w:rPr>
      </w:pPr>
      <w:r>
        <w:rPr>
          <w:rFonts w:hint="eastAsia" w:ascii="宋体" w:hAnsi="宋体"/>
          <w:color w:val="auto"/>
          <w:szCs w:val="21"/>
          <w:highlight w:val="none"/>
        </w:rPr>
        <w:t>被授权人(</w:t>
      </w:r>
      <w:r>
        <w:rPr>
          <w:rFonts w:hint="eastAsia" w:ascii="宋体" w:hAnsi="宋体" w:cs="宋体"/>
          <w:color w:val="auto"/>
          <w:kern w:val="0"/>
          <w:szCs w:val="21"/>
          <w:highlight w:val="none"/>
        </w:rPr>
        <w:t>供应商</w:t>
      </w:r>
      <w:r>
        <w:rPr>
          <w:rFonts w:hint="eastAsia" w:ascii="宋体" w:hAnsi="宋体"/>
          <w:color w:val="auto"/>
          <w:szCs w:val="21"/>
          <w:highlight w:val="none"/>
        </w:rPr>
        <w:t>授权代表)</w:t>
      </w:r>
      <w:r>
        <w:rPr>
          <w:rFonts w:hint="eastAsia" w:ascii="宋体" w:hAnsi="宋体"/>
          <w:bCs/>
          <w:color w:val="auto"/>
          <w:szCs w:val="21"/>
          <w:highlight w:val="none"/>
        </w:rPr>
        <w:t xml:space="preserve"> (</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tbl>
      <w:tblPr>
        <w:tblStyle w:val="90"/>
        <w:tblW w:w="5730"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373" w:hRule="atLeast"/>
          <w:jc w:val="center"/>
        </w:trPr>
        <w:tc>
          <w:tcPr>
            <w:tcW w:w="5730" w:type="dxa"/>
            <w:tcBorders>
              <w:top w:val="single" w:color="auto" w:sz="6" w:space="0"/>
              <w:left w:val="single" w:color="auto" w:sz="6" w:space="0"/>
              <w:bottom w:val="single" w:color="auto" w:sz="6" w:space="0"/>
              <w:right w:val="single" w:color="auto" w:sz="6" w:space="0"/>
            </w:tcBorders>
            <w:vAlign w:val="center"/>
          </w:tcPr>
          <w:p>
            <w:pPr>
              <w:pStyle w:val="46"/>
              <w:spacing w:line="360" w:lineRule="auto"/>
              <w:jc w:val="left"/>
              <w:rPr>
                <w:rFonts w:hAnsi="宋体"/>
                <w:b/>
                <w:color w:val="auto"/>
                <w:szCs w:val="21"/>
                <w:highlight w:val="none"/>
              </w:rPr>
            </w:pPr>
          </w:p>
          <w:p>
            <w:pPr>
              <w:pStyle w:val="46"/>
              <w:spacing w:line="360" w:lineRule="auto"/>
              <w:jc w:val="center"/>
              <w:rPr>
                <w:rFonts w:hAnsi="宋体"/>
                <w:b/>
                <w:color w:val="auto"/>
                <w:szCs w:val="21"/>
                <w:highlight w:val="none"/>
              </w:rPr>
            </w:pPr>
            <w:r>
              <w:rPr>
                <w:rFonts w:hint="eastAsia" w:hAnsi="宋体"/>
                <w:b/>
                <w:color w:val="auto"/>
                <w:szCs w:val="21"/>
                <w:highlight w:val="none"/>
              </w:rPr>
              <w:t>被授权人(供应商授权代表)</w:t>
            </w:r>
          </w:p>
          <w:p>
            <w:pPr>
              <w:pStyle w:val="46"/>
              <w:spacing w:line="360" w:lineRule="auto"/>
              <w:jc w:val="center"/>
              <w:rPr>
                <w:rFonts w:hAnsi="宋体"/>
                <w:b/>
                <w:color w:val="auto"/>
                <w:szCs w:val="21"/>
                <w:highlight w:val="none"/>
              </w:rPr>
            </w:pPr>
            <w:r>
              <w:rPr>
                <w:rFonts w:hint="eastAsia" w:hAnsi="宋体"/>
                <w:b/>
                <w:color w:val="auto"/>
                <w:szCs w:val="21"/>
                <w:highlight w:val="none"/>
              </w:rPr>
              <w:t>居民身份证复印件粘贴处</w:t>
            </w:r>
          </w:p>
          <w:p>
            <w:pPr>
              <w:pStyle w:val="46"/>
              <w:spacing w:line="360" w:lineRule="auto"/>
              <w:jc w:val="center"/>
              <w:rPr>
                <w:rFonts w:hAnsi="宋体"/>
                <w:b/>
                <w:color w:val="auto"/>
                <w:szCs w:val="21"/>
                <w:highlight w:val="none"/>
              </w:rPr>
            </w:pPr>
            <w:r>
              <w:rPr>
                <w:rFonts w:hint="eastAsia" w:hAnsi="宋体"/>
                <w:b/>
                <w:color w:val="auto"/>
                <w:szCs w:val="21"/>
                <w:highlight w:val="none"/>
              </w:rPr>
              <w:t>（正反面）</w:t>
            </w:r>
          </w:p>
          <w:p>
            <w:pPr>
              <w:pStyle w:val="46"/>
              <w:spacing w:line="360" w:lineRule="auto"/>
              <w:jc w:val="left"/>
              <w:rPr>
                <w:rFonts w:hAnsi="宋体"/>
                <w:color w:val="auto"/>
                <w:szCs w:val="21"/>
                <w:highlight w:val="none"/>
              </w:rPr>
            </w:pPr>
          </w:p>
        </w:tc>
      </w:tr>
    </w:tbl>
    <w:p>
      <w:pPr>
        <w:pStyle w:val="46"/>
        <w:spacing w:line="360" w:lineRule="auto"/>
        <w:ind w:firstLine="422"/>
        <w:jc w:val="left"/>
        <w:rPr>
          <w:rFonts w:hAnsi="宋体"/>
          <w:b/>
          <w:color w:val="auto"/>
          <w:szCs w:val="21"/>
          <w:highlight w:val="none"/>
        </w:rPr>
      </w:pPr>
    </w:p>
    <w:p>
      <w:pPr>
        <w:pStyle w:val="46"/>
        <w:spacing w:line="360" w:lineRule="auto"/>
        <w:ind w:firstLine="422"/>
        <w:jc w:val="left"/>
        <w:rPr>
          <w:rFonts w:hAnsi="宋体"/>
          <w:b/>
          <w:color w:val="auto"/>
          <w:szCs w:val="21"/>
          <w:highlight w:val="none"/>
        </w:rPr>
      </w:pPr>
      <w:r>
        <w:rPr>
          <w:rFonts w:hint="eastAsia" w:hAnsi="宋体"/>
          <w:b/>
          <w:color w:val="auto"/>
          <w:szCs w:val="21"/>
          <w:highlight w:val="none"/>
        </w:rPr>
        <w:t>注：本表格须附在正副的磋商响应文件中，并另封装一份在 “报价信封”内。如是法定代表人作为供应商代表，则无需提交此资料。</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jc w:val="left"/>
        <w:rPr>
          <w:rFonts w:ascii="宋体" w:hAnsi="宋体"/>
          <w:b/>
          <w:color w:val="auto"/>
          <w:sz w:val="24"/>
          <w:highlight w:val="none"/>
        </w:rPr>
      </w:pPr>
      <w:r>
        <w:rPr>
          <w:rFonts w:hint="eastAsia" w:ascii="宋体" w:hAnsi="宋体"/>
          <w:b/>
          <w:bCs/>
          <w:color w:val="auto"/>
          <w:kern w:val="0"/>
          <w:sz w:val="28"/>
          <w:szCs w:val="28"/>
          <w:highlight w:val="none"/>
        </w:rPr>
        <w:t>附件4</w:t>
      </w:r>
      <w:r>
        <w:rPr>
          <w:rFonts w:hint="eastAsia" w:ascii="宋体" w:hAnsi="宋体"/>
          <w:b/>
          <w:bCs/>
          <w:color w:val="auto"/>
          <w:sz w:val="28"/>
          <w:szCs w:val="28"/>
          <w:highlight w:val="none"/>
        </w:rPr>
        <w:t>资格声明函</w:t>
      </w:r>
    </w:p>
    <w:p>
      <w:pPr>
        <w:spacing w:line="360" w:lineRule="auto"/>
        <w:jc w:val="left"/>
        <w:rPr>
          <w:rFonts w:ascii="宋体" w:hAnsi="宋体"/>
          <w:b/>
          <w:color w:val="auto"/>
          <w:sz w:val="24"/>
          <w:highlight w:val="none"/>
        </w:rPr>
      </w:pPr>
    </w:p>
    <w:p>
      <w:pPr>
        <w:spacing w:line="360" w:lineRule="auto"/>
        <w:jc w:val="left"/>
        <w:rPr>
          <w:rFonts w:ascii="宋体" w:hAnsi="宋体"/>
          <w:b/>
          <w:color w:val="auto"/>
          <w:szCs w:val="21"/>
          <w:highlight w:val="none"/>
        </w:rPr>
      </w:pPr>
      <w:r>
        <w:rPr>
          <w:rFonts w:hint="eastAsia" w:ascii="宋体" w:hAnsi="宋体"/>
          <w:b/>
          <w:color w:val="auto"/>
          <w:szCs w:val="21"/>
          <w:highlight w:val="none"/>
        </w:rPr>
        <w:t>广州市信怡招标代理有限公司：</w:t>
      </w:r>
    </w:p>
    <w:p>
      <w:pPr>
        <w:autoSpaceDE w:val="0"/>
        <w:snapToGrid w:val="0"/>
        <w:spacing w:beforeLines="50" w:line="360" w:lineRule="auto"/>
        <w:ind w:firstLine="525" w:firstLineChars="250"/>
        <w:jc w:val="left"/>
        <w:rPr>
          <w:rFonts w:ascii="宋体" w:hAnsi="宋体"/>
          <w:color w:val="auto"/>
          <w:szCs w:val="21"/>
          <w:highlight w:val="none"/>
        </w:rPr>
      </w:pPr>
      <w:r>
        <w:rPr>
          <w:rFonts w:hint="eastAsia" w:ascii="宋体" w:hAnsi="宋体"/>
          <w:color w:val="auto"/>
          <w:szCs w:val="21"/>
          <w:highlight w:val="none"/>
        </w:rPr>
        <w:t>关于贵公司</w:t>
      </w:r>
      <w:r>
        <w:rPr>
          <w:rFonts w:ascii="ZWAdobeF" w:hAnsi="ZWAdobeF" w:cs="ZWAdobeF"/>
          <w:color w:val="auto"/>
          <w:sz w:val="2"/>
          <w:szCs w:val="2"/>
          <w:highlight w:val="none"/>
        </w:rPr>
        <w:t>UUUU</w:t>
      </w:r>
      <w:r>
        <w:rPr>
          <w:rFonts w:hint="eastAsia" w:ascii="宋体" w:hAnsi="宋体"/>
          <w:color w:val="auto"/>
          <w:szCs w:val="21"/>
          <w:highlight w:val="none"/>
        </w:rPr>
        <w:t>发布</w:t>
      </w:r>
      <w:r>
        <w:rPr>
          <w:rFonts w:hint="eastAsia" w:ascii="宋体" w:hAnsi="宋体"/>
          <w:color w:val="auto"/>
          <w:highlight w:val="none"/>
          <w:u w:val="single"/>
        </w:rPr>
        <w:t xml:space="preserve">    项目名称   </w:t>
      </w:r>
      <w:r>
        <w:rPr>
          <w:rFonts w:hint="eastAsia" w:ascii="宋体" w:hAnsi="宋体"/>
          <w:color w:val="auto"/>
          <w:szCs w:val="21"/>
          <w:highlight w:val="none"/>
        </w:rPr>
        <w:t>项目（项目编号：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）的磋商公告，本公司（企业）愿意参加磋商响应，并声明：</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具备《中华人民共和国政府采购法》第二十二条资格条件，并已清楚竞争性磋商文件的要求及有关文件规定。并承诺在本次招标采购活动中，如有违法、违规、弄虚作假行为，所造成的损失、不良后果及法律责任，一律由我公司（企业）承担。</w:t>
      </w:r>
    </w:p>
    <w:p>
      <w:pPr>
        <w:snapToGrid w:val="0"/>
        <w:spacing w:line="360" w:lineRule="auto"/>
        <w:ind w:firstLine="420" w:firstLineChars="200"/>
        <w:jc w:val="left"/>
        <w:rPr>
          <w:color w:val="auto"/>
          <w:szCs w:val="21"/>
          <w:highlight w:val="none"/>
        </w:rPr>
      </w:pPr>
      <w:r>
        <w:rPr>
          <w:rFonts w:hint="eastAsia"/>
          <w:color w:val="auto"/>
          <w:szCs w:val="21"/>
          <w:highlight w:val="none"/>
        </w:rPr>
        <w:t>本公司（企业）政府采购活动前三年内，在经营活动中没有重大违法或违纪记录，也没有正在被司法机关立案调查。</w:t>
      </w:r>
    </w:p>
    <w:p>
      <w:pPr>
        <w:snapToGrid w:val="0"/>
        <w:spacing w:line="360" w:lineRule="auto"/>
        <w:ind w:firstLine="420" w:firstLineChars="200"/>
        <w:jc w:val="left"/>
        <w:rPr>
          <w:color w:val="auto"/>
          <w:szCs w:val="21"/>
          <w:highlight w:val="none"/>
        </w:rPr>
      </w:pPr>
    </w:p>
    <w:p>
      <w:pPr>
        <w:spacing w:line="360" w:lineRule="auto"/>
        <w:ind w:firstLine="420"/>
        <w:jc w:val="left"/>
        <w:rPr>
          <w:color w:val="auto"/>
          <w:szCs w:val="21"/>
          <w:highlight w:val="none"/>
        </w:rPr>
      </w:pPr>
      <w:r>
        <w:rPr>
          <w:rFonts w:hint="eastAsia"/>
          <w:color w:val="auto"/>
          <w:szCs w:val="21"/>
          <w:highlight w:val="none"/>
        </w:rPr>
        <w:t>特此声明！</w:t>
      </w:r>
    </w:p>
    <w:p>
      <w:pPr>
        <w:spacing w:line="360" w:lineRule="auto"/>
        <w:jc w:val="left"/>
        <w:rPr>
          <w:rFonts w:ascii="宋体" w:hAnsi="宋体"/>
          <w:color w:val="auto"/>
          <w:szCs w:val="21"/>
          <w:highlight w:val="none"/>
        </w:rPr>
      </w:pPr>
    </w:p>
    <w:p>
      <w:pPr>
        <w:adjustRightInd w:val="0"/>
        <w:snapToGrid w:val="0"/>
        <w:spacing w:line="360" w:lineRule="auto"/>
        <w:ind w:left="-2" w:leftChars="-1"/>
        <w:jc w:val="left"/>
        <w:rPr>
          <w:rFonts w:ascii="宋体" w:hAnsi="宋体"/>
          <w:color w:val="auto"/>
          <w:szCs w:val="21"/>
          <w:highlight w:val="none"/>
        </w:rPr>
      </w:pPr>
    </w:p>
    <w:p>
      <w:pPr>
        <w:pStyle w:val="46"/>
        <w:tabs>
          <w:tab w:val="left" w:pos="7260"/>
        </w:tabs>
        <w:spacing w:line="360" w:lineRule="auto"/>
        <w:ind w:left="-2" w:leftChars="-1" w:firstLine="539" w:firstLineChars="257"/>
        <w:jc w:val="left"/>
        <w:rPr>
          <w:rFonts w:hAnsi="宋体"/>
          <w:color w:val="auto"/>
          <w:szCs w:val="21"/>
          <w:highlight w:val="none"/>
          <w:u w:val="single"/>
        </w:rPr>
      </w:pPr>
      <w:r>
        <w:rPr>
          <w:rFonts w:hint="eastAsia" w:hAnsi="宋体" w:cs="宋体"/>
          <w:color w:val="auto"/>
          <w:kern w:val="0"/>
          <w:szCs w:val="21"/>
          <w:highlight w:val="none"/>
        </w:rPr>
        <w:t>供应商</w:t>
      </w:r>
      <w:r>
        <w:rPr>
          <w:rFonts w:hint="eastAsia" w:hAnsi="宋体"/>
          <w:color w:val="auto"/>
          <w:szCs w:val="21"/>
          <w:highlight w:val="none"/>
        </w:rPr>
        <w:t>全称（加盖公章）：</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法定代表人或其授权代表</w:t>
      </w:r>
      <w:r>
        <w:rPr>
          <w:rFonts w:hint="eastAsia" w:hAnsi="宋体"/>
          <w:bCs/>
          <w:color w:val="auto"/>
          <w:szCs w:val="21"/>
          <w:highlight w:val="none"/>
        </w:rPr>
        <w:t>(</w:t>
      </w:r>
      <w:r>
        <w:rPr>
          <w:rFonts w:hint="eastAsia" w:hAnsi="宋体"/>
          <w:color w:val="auto"/>
          <w:szCs w:val="21"/>
          <w:highlight w:val="none"/>
        </w:rPr>
        <w:t>签字或签章</w:t>
      </w:r>
      <w:r>
        <w:rPr>
          <w:rFonts w:hint="eastAsia" w:hAnsi="宋体"/>
          <w:bCs/>
          <w:color w:val="auto"/>
          <w:szCs w:val="21"/>
          <w:highlight w:val="none"/>
        </w:rPr>
        <w:t>)</w:t>
      </w:r>
      <w:r>
        <w:rPr>
          <w:rFonts w:hint="eastAsia" w:hAnsi="宋体"/>
          <w:color w:val="auto"/>
          <w:szCs w:val="21"/>
          <w:highlight w:val="none"/>
        </w:rPr>
        <w:t>:</w:t>
      </w:r>
    </w:p>
    <w:p>
      <w:pPr>
        <w:pStyle w:val="46"/>
        <w:tabs>
          <w:tab w:val="left" w:pos="4500"/>
        </w:tabs>
        <w:spacing w:line="360" w:lineRule="auto"/>
        <w:ind w:left="-2" w:leftChars="-1" w:firstLine="539" w:firstLineChars="257"/>
        <w:jc w:val="left"/>
        <w:rPr>
          <w:rFonts w:hAnsi="宋体"/>
          <w:color w:val="auto"/>
          <w:szCs w:val="21"/>
          <w:highlight w:val="none"/>
          <w:u w:val="single"/>
        </w:rPr>
      </w:pPr>
      <w:r>
        <w:rPr>
          <w:rFonts w:hint="eastAsia" w:hAnsi="宋体"/>
          <w:color w:val="auto"/>
          <w:szCs w:val="21"/>
          <w:highlight w:val="none"/>
        </w:rPr>
        <w:t>地址：</w:t>
      </w:r>
      <w:r>
        <w:rPr>
          <w:rFonts w:hint="eastAsia" w:hAnsi="宋体"/>
          <w:color w:val="auto"/>
          <w:szCs w:val="21"/>
          <w:highlight w:val="none"/>
        </w:rPr>
        <w:tab/>
      </w:r>
      <w:r>
        <w:rPr>
          <w:rFonts w:hint="eastAsia" w:hAnsi="宋体"/>
          <w:color w:val="auto"/>
          <w:szCs w:val="21"/>
          <w:highlight w:val="none"/>
        </w:rPr>
        <w:t>邮编：</w:t>
      </w:r>
    </w:p>
    <w:p>
      <w:pPr>
        <w:tabs>
          <w:tab w:val="left" w:pos="4500"/>
        </w:tabs>
        <w:spacing w:line="360" w:lineRule="auto"/>
        <w:ind w:left="-2" w:leftChars="-1" w:firstLine="539" w:firstLineChars="257"/>
        <w:jc w:val="left"/>
        <w:rPr>
          <w:rFonts w:ascii="宋体" w:hAnsi="宋体"/>
          <w:color w:val="auto"/>
          <w:szCs w:val="21"/>
          <w:highlight w:val="none"/>
          <w:u w:val="single"/>
        </w:rPr>
      </w:pPr>
      <w:r>
        <w:rPr>
          <w:rFonts w:hint="eastAsia" w:ascii="宋体" w:hAnsi="宋体"/>
          <w:color w:val="auto"/>
          <w:szCs w:val="21"/>
          <w:highlight w:val="none"/>
        </w:rPr>
        <w:t xml:space="preserve">电话：  </w:t>
      </w:r>
      <w:r>
        <w:rPr>
          <w:rFonts w:hint="eastAsia" w:ascii="宋体" w:hAnsi="宋体"/>
          <w:color w:val="auto"/>
          <w:szCs w:val="21"/>
          <w:highlight w:val="none"/>
        </w:rPr>
        <w:tab/>
      </w:r>
      <w:r>
        <w:rPr>
          <w:rFonts w:hint="eastAsia" w:ascii="宋体" w:hAnsi="宋体"/>
          <w:color w:val="auto"/>
          <w:szCs w:val="21"/>
          <w:highlight w:val="none"/>
        </w:rPr>
        <w:t>传真：</w:t>
      </w:r>
    </w:p>
    <w:p>
      <w:pPr>
        <w:spacing w:line="360" w:lineRule="auto"/>
        <w:ind w:firstLine="525" w:firstLineChars="250"/>
        <w:jc w:val="left"/>
        <w:rPr>
          <w:rFonts w:ascii="宋体" w:hAnsi="宋体"/>
          <w:b/>
          <w:bCs/>
          <w:color w:val="auto"/>
          <w:kern w:val="0"/>
          <w:sz w:val="28"/>
          <w:szCs w:val="28"/>
          <w:highlight w:val="none"/>
        </w:rPr>
      </w:pPr>
      <w:r>
        <w:rPr>
          <w:rFonts w:hint="eastAsia" w:ascii="宋体" w:hAnsi="宋体"/>
          <w:color w:val="auto"/>
          <w:szCs w:val="21"/>
          <w:highlight w:val="none"/>
        </w:rPr>
        <w:t xml:space="preserve">日    期： </w:t>
      </w:r>
      <w:r>
        <w:rPr>
          <w:rFonts w:hint="eastAsia" w:ascii="宋体" w:hAnsi="宋体"/>
          <w:color w:val="auto"/>
          <w:szCs w:val="21"/>
          <w:highlight w:val="none"/>
          <w:u w:val="single"/>
        </w:rPr>
        <w:t>2020年  月  日</w:t>
      </w:r>
    </w:p>
    <w:p>
      <w:pPr>
        <w:spacing w:line="360" w:lineRule="auto"/>
        <w:jc w:val="left"/>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rPr>
          <w:rFonts w:ascii="宋体" w:hAnsi="宋体"/>
          <w:color w:val="auto"/>
          <w:highlight w:val="none"/>
        </w:rPr>
      </w:pPr>
    </w:p>
    <w:p>
      <w:pPr>
        <w:spacing w:line="360" w:lineRule="auto"/>
        <w:jc w:val="left"/>
        <w:rPr>
          <w:rFonts w:ascii="宋体" w:hAnsi="宋体" w:cs="Arial"/>
          <w:color w:val="auto"/>
          <w:sz w:val="32"/>
          <w:szCs w:val="32"/>
          <w:highlight w:val="none"/>
        </w:rPr>
      </w:pPr>
      <w:r>
        <w:rPr>
          <w:rFonts w:hint="eastAsia" w:ascii="宋体" w:hAnsi="宋体"/>
          <w:b/>
          <w:bCs/>
          <w:color w:val="auto"/>
          <w:kern w:val="0"/>
          <w:sz w:val="28"/>
          <w:szCs w:val="28"/>
          <w:highlight w:val="none"/>
        </w:rPr>
        <w:t>附件5同意竞争性磋商文件条款说明</w:t>
      </w:r>
    </w:p>
    <w:p>
      <w:pPr>
        <w:spacing w:line="360" w:lineRule="auto"/>
        <w:jc w:val="left"/>
        <w:rPr>
          <w:rFonts w:ascii="宋体" w:hAnsi="宋体" w:cs="Arial"/>
          <w:color w:val="auto"/>
          <w:szCs w:val="21"/>
          <w:highlight w:val="none"/>
        </w:rPr>
      </w:pPr>
    </w:p>
    <w:p>
      <w:pPr>
        <w:widowControl/>
        <w:spacing w:line="360" w:lineRule="auto"/>
        <w:jc w:val="left"/>
        <w:rPr>
          <w:rFonts w:ascii="宋体" w:hAnsi="宋体" w:cs="Arial"/>
          <w:color w:val="auto"/>
          <w:szCs w:val="21"/>
          <w:highlight w:val="none"/>
        </w:rPr>
      </w:pPr>
      <w:r>
        <w:rPr>
          <w:rFonts w:hint="eastAsia" w:ascii="宋体" w:hAnsi="宋体" w:cs="宋体"/>
          <w:color w:val="auto"/>
          <w:kern w:val="0"/>
          <w:szCs w:val="21"/>
          <w:highlight w:val="none"/>
        </w:rPr>
        <w:t>致：广州市信怡招标代理有限公司</w:t>
      </w:r>
    </w:p>
    <w:p>
      <w:pPr>
        <w:spacing w:line="360" w:lineRule="auto"/>
        <w:jc w:val="left"/>
        <w:rPr>
          <w:rFonts w:ascii="宋体" w:hAnsi="宋体" w:cs="Arial"/>
          <w:color w:val="auto"/>
          <w:szCs w:val="21"/>
          <w:highlight w:val="none"/>
        </w:rPr>
      </w:pPr>
    </w:p>
    <w:p>
      <w:pPr>
        <w:spacing w:line="360" w:lineRule="auto"/>
        <w:jc w:val="left"/>
        <w:rPr>
          <w:rFonts w:ascii="宋体" w:hAnsi="宋体" w:cs="Arial"/>
          <w:color w:val="auto"/>
          <w:szCs w:val="21"/>
          <w:highlight w:val="none"/>
        </w:rPr>
      </w:pPr>
    </w:p>
    <w:p>
      <w:pPr>
        <w:spacing w:line="360" w:lineRule="auto"/>
        <w:ind w:firstLine="478" w:firstLineChars="228"/>
        <w:jc w:val="left"/>
        <w:rPr>
          <w:rFonts w:ascii="宋体" w:hAnsi="宋体" w:cs="Arial"/>
          <w:color w:val="auto"/>
          <w:szCs w:val="21"/>
          <w:highlight w:val="none"/>
        </w:rPr>
      </w:pPr>
      <w:r>
        <w:rPr>
          <w:rFonts w:hint="eastAsia" w:ascii="宋体" w:hAnsi="宋体" w:cs="宋体"/>
          <w:color w:val="auto"/>
          <w:kern w:val="0"/>
          <w:szCs w:val="21"/>
          <w:highlight w:val="none"/>
        </w:rPr>
        <w:t>为响应你方组织的项目名称：</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项目的磋商（项目编号：</w:t>
      </w:r>
      <w:r>
        <w:rPr>
          <w:rFonts w:hint="eastAsia" w:ascii="宋体" w:hAnsi="宋体" w:cs="Arial"/>
          <w:color w:val="auto"/>
          <w:kern w:val="28"/>
          <w:szCs w:val="21"/>
          <w:highlight w:val="none"/>
          <w:u w:val="single"/>
        </w:rPr>
        <w:t xml:space="preserve">   项目编号   </w:t>
      </w:r>
      <w:r>
        <w:rPr>
          <w:rFonts w:hint="eastAsia" w:ascii="宋体" w:hAnsi="宋体" w:cs="宋体"/>
          <w:color w:val="auto"/>
          <w:kern w:val="0"/>
          <w:szCs w:val="21"/>
          <w:highlight w:val="none"/>
        </w:rPr>
        <w:t>），我方在参与报价前已详细研究了竞争性磋商文件的所有内容，包括修改文件（如果有的话）和所有已提供的参考资料以及有关附件，我方完全明白并认为此竞争性磋商文件没有倾向性，也没有存在排斥潜在供应商的内容，我方并同意竞争性磋商文件的相关条款。</w:t>
      </w:r>
    </w:p>
    <w:p>
      <w:pPr>
        <w:spacing w:line="360" w:lineRule="auto"/>
        <w:ind w:firstLine="478" w:firstLineChars="228"/>
        <w:jc w:val="left"/>
        <w:rPr>
          <w:rFonts w:ascii="宋体" w:hAnsi="宋体" w:cs="宋体"/>
          <w:color w:val="auto"/>
          <w:kern w:val="0"/>
          <w:szCs w:val="21"/>
          <w:highlight w:val="none"/>
        </w:rPr>
      </w:pPr>
      <w:r>
        <w:rPr>
          <w:rFonts w:hint="eastAsia" w:ascii="宋体" w:hAnsi="宋体" w:cs="宋体"/>
          <w:color w:val="auto"/>
          <w:kern w:val="0"/>
          <w:szCs w:val="21"/>
          <w:highlight w:val="none"/>
        </w:rPr>
        <w:t>特此声明。</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r>
        <w:rPr>
          <w:rFonts w:ascii="宋体" w:hAnsi="宋体"/>
          <w:b/>
          <w:bCs/>
          <w:color w:val="auto"/>
          <w:kern w:val="0"/>
          <w:sz w:val="28"/>
          <w:szCs w:val="28"/>
          <w:highlight w:val="none"/>
        </w:rPr>
        <w:br w:type="page"/>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附件6  公平竞争承诺书</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本公司郑重承诺：本公司保证所提交的相关资质文件和证明材料的真实性，有良好的历史诚信记录，并将依法参与 </w:t>
      </w:r>
      <w:r>
        <w:rPr>
          <w:rFonts w:hint="eastAsia" w:ascii="宋体" w:hAnsi="宋体"/>
          <w:color w:val="auto"/>
          <w:highlight w:val="none"/>
          <w:u w:val="single"/>
        </w:rPr>
        <w:t xml:space="preserve">    项目名称     </w:t>
      </w:r>
      <w:r>
        <w:rPr>
          <w:rFonts w:hint="eastAsia" w:ascii="宋体" w:hAnsi="宋体" w:cs="宋体"/>
          <w:color w:val="auto"/>
          <w:kern w:val="0"/>
          <w:szCs w:val="21"/>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cs="宋体"/>
          <w:color w:val="auto"/>
          <w:kern w:val="0"/>
          <w:szCs w:val="21"/>
          <w:highlight w:val="none"/>
        </w:rPr>
      </w:pPr>
    </w:p>
    <w:p>
      <w:pPr>
        <w:wordWrap w:val="0"/>
        <w:spacing w:line="360" w:lineRule="auto"/>
        <w:ind w:right="900"/>
        <w:rPr>
          <w:rFonts w:ascii="宋体" w:hAnsi="宋体" w:cs="宋体"/>
          <w:color w:val="auto"/>
          <w:kern w:val="0"/>
          <w:szCs w:val="21"/>
          <w:highlight w:val="none"/>
        </w:rPr>
      </w:pPr>
    </w:p>
    <w:p>
      <w:pPr>
        <w:spacing w:line="360" w:lineRule="auto"/>
        <w:ind w:right="900"/>
        <w:jc w:val="center"/>
        <w:rPr>
          <w:rFonts w:ascii="宋体" w:hAnsi="宋体" w:cs="宋体"/>
          <w:color w:val="auto"/>
          <w:kern w:val="0"/>
          <w:szCs w:val="21"/>
          <w:highlight w:val="none"/>
          <w:u w:val="single"/>
        </w:rPr>
      </w:pPr>
    </w:p>
    <w:p>
      <w:pPr>
        <w:spacing w:line="360" w:lineRule="auto"/>
        <w:ind w:firstLine="6300" w:firstLineChars="3000"/>
        <w:rPr>
          <w:rFonts w:ascii="宋体" w:hAnsi="宋体"/>
          <w:b/>
          <w:bCs/>
          <w:color w:val="auto"/>
          <w:kern w:val="0"/>
          <w:sz w:val="28"/>
          <w:szCs w:val="28"/>
          <w:highlight w:val="none"/>
        </w:rPr>
      </w:pPr>
      <w:r>
        <w:rPr>
          <w:rFonts w:hint="eastAsia" w:ascii="宋体" w:hAnsi="宋体"/>
          <w:color w:val="auto"/>
          <w:szCs w:val="21"/>
          <w:highlight w:val="none"/>
        </w:rPr>
        <w:t>日    期： 2020年  月  日</w:t>
      </w: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p>
    <w:p>
      <w:pPr>
        <w:widowControl/>
        <w:jc w:val="left"/>
        <w:rPr>
          <w:rFonts w:ascii="宋体" w:hAnsi="宋体"/>
          <w:b/>
          <w:bCs/>
          <w:color w:val="auto"/>
          <w:kern w:val="0"/>
          <w:sz w:val="28"/>
          <w:szCs w:val="28"/>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附件7  报价一览表</w:t>
      </w:r>
    </w:p>
    <w:p>
      <w:pPr>
        <w:pStyle w:val="46"/>
        <w:spacing w:line="360" w:lineRule="auto"/>
        <w:ind w:right="480"/>
        <w:jc w:val="left"/>
        <w:rPr>
          <w:rFonts w:hAnsi="宋体"/>
          <w:color w:val="auto"/>
          <w:highlight w:val="none"/>
        </w:rPr>
      </w:pPr>
    </w:p>
    <w:p>
      <w:pPr>
        <w:pStyle w:val="46"/>
        <w:spacing w:line="360" w:lineRule="auto"/>
        <w:ind w:right="482"/>
        <w:jc w:val="left"/>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jc w:val="left"/>
        <w:rPr>
          <w:rFonts w:hAnsi="宋体" w:cs="宋体"/>
          <w:color w:val="auto"/>
          <w:szCs w:val="21"/>
          <w:highlight w:val="none"/>
        </w:rPr>
      </w:pPr>
      <w:r>
        <w:rPr>
          <w:rFonts w:hint="eastAsia" w:hAnsi="宋体" w:cs="宋体"/>
          <w:color w:val="auto"/>
          <w:szCs w:val="21"/>
          <w:highlight w:val="none"/>
        </w:rPr>
        <w:t xml:space="preserve">项目编号： </w:t>
      </w:r>
    </w:p>
    <w:p>
      <w:pPr>
        <w:pStyle w:val="46"/>
        <w:spacing w:line="360" w:lineRule="auto"/>
        <w:ind w:right="482"/>
        <w:jc w:val="left"/>
        <w:rPr>
          <w:rFonts w:hAnsi="宋体" w:cs="宋体"/>
          <w:color w:val="auto"/>
          <w:szCs w:val="21"/>
          <w:highlight w:val="none"/>
        </w:rPr>
      </w:pPr>
    </w:p>
    <w:tbl>
      <w:tblPr>
        <w:tblStyle w:val="90"/>
        <w:tblW w:w="811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hint="eastAsia" w:ascii="宋体" w:hAnsi="宋体" w:eastAsia="宋体" w:cs="宋体"/>
                <w:b/>
                <w:color w:val="auto"/>
                <w:kern w:val="0"/>
                <w:szCs w:val="21"/>
                <w:highlight w:val="none"/>
                <w:lang w:val="en-US" w:eastAsia="zh-CN"/>
              </w:rPr>
            </w:pPr>
            <w:r>
              <w:rPr>
                <w:rFonts w:hint="eastAsia" w:ascii="宋体" w:hAnsi="宋体" w:cs="宋体"/>
                <w:b/>
                <w:color w:val="auto"/>
                <w:kern w:val="0"/>
                <w:szCs w:val="21"/>
                <w:highlight w:val="none"/>
              </w:rPr>
              <w:t>供应商</w:t>
            </w:r>
            <w:r>
              <w:rPr>
                <w:rFonts w:hint="eastAsia" w:ascii="宋体" w:hAnsi="宋体" w:cs="宋体"/>
                <w:b/>
                <w:color w:val="auto"/>
                <w:kern w:val="0"/>
                <w:szCs w:val="21"/>
                <w:highlight w:val="none"/>
                <w:lang w:val="en-US" w:eastAsia="zh-CN"/>
              </w:rPr>
              <w:t>单位名称</w:t>
            </w:r>
          </w:p>
        </w:tc>
        <w:tc>
          <w:tcPr>
            <w:tcW w:w="326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投标总报价（元）</w:t>
            </w:r>
          </w:p>
        </w:tc>
        <w:tc>
          <w:tcPr>
            <w:tcW w:w="2410" w:type="dxa"/>
            <w:vAlign w:val="center"/>
          </w:tcPr>
          <w:p>
            <w:pPr>
              <w:widowControl/>
              <w:spacing w:line="360" w:lineRule="auto"/>
              <w:jc w:val="center"/>
              <w:rPr>
                <w:rFonts w:ascii="宋体" w:hAnsi="宋体" w:cs="宋体"/>
                <w:b/>
                <w:color w:val="auto"/>
                <w:kern w:val="0"/>
                <w:szCs w:val="21"/>
                <w:highlight w:val="none"/>
              </w:rPr>
            </w:pPr>
            <w:r>
              <w:rPr>
                <w:rFonts w:hint="eastAsia" w:ascii="宋体" w:hAnsi="宋体" w:cs="宋体"/>
                <w:b/>
                <w:color w:val="auto"/>
                <w:kern w:val="0"/>
                <w:szCs w:val="21"/>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3" w:hRule="atLeast"/>
          <w:jc w:val="center"/>
        </w:trPr>
        <w:tc>
          <w:tcPr>
            <w:tcW w:w="2445" w:type="dxa"/>
            <w:vMerge w:val="restart"/>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小写：</w:t>
            </w:r>
          </w:p>
        </w:tc>
        <w:tc>
          <w:tcPr>
            <w:tcW w:w="2410" w:type="dxa"/>
            <w:vMerge w:val="restart"/>
            <w:vAlign w:val="center"/>
          </w:tcPr>
          <w:p>
            <w:pPr>
              <w:spacing w:line="360" w:lineRule="auto"/>
              <w:jc w:val="center"/>
              <w:rPr>
                <w:rFonts w:ascii="宋体" w:hAnsi="宋体" w:cs="宋体"/>
                <w:color w:val="auto"/>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atLeast"/>
          <w:jc w:val="center"/>
        </w:trPr>
        <w:tc>
          <w:tcPr>
            <w:tcW w:w="2445" w:type="dxa"/>
            <w:vMerge w:val="continue"/>
            <w:vAlign w:val="center"/>
          </w:tcPr>
          <w:p>
            <w:pPr>
              <w:widowControl/>
              <w:spacing w:line="360" w:lineRule="auto"/>
              <w:jc w:val="left"/>
              <w:rPr>
                <w:rFonts w:ascii="宋体" w:hAnsi="宋体" w:cs="宋体"/>
                <w:color w:val="auto"/>
                <w:kern w:val="0"/>
                <w:szCs w:val="21"/>
                <w:highlight w:val="none"/>
              </w:rPr>
            </w:pPr>
          </w:p>
        </w:tc>
        <w:tc>
          <w:tcPr>
            <w:tcW w:w="3260" w:type="dxa"/>
            <w:vAlign w:val="center"/>
          </w:tcPr>
          <w:p>
            <w:pPr>
              <w:spacing w:line="360" w:lineRule="auto"/>
              <w:jc w:val="left"/>
              <w:rPr>
                <w:rFonts w:ascii="宋体" w:hAnsi="宋体" w:cs="宋体"/>
                <w:color w:val="auto"/>
                <w:kern w:val="0"/>
                <w:szCs w:val="21"/>
                <w:highlight w:val="none"/>
              </w:rPr>
            </w:pPr>
            <w:r>
              <w:rPr>
                <w:rFonts w:hint="eastAsia" w:ascii="宋体" w:hAnsi="宋体" w:cs="宋体"/>
                <w:color w:val="auto"/>
                <w:kern w:val="0"/>
                <w:szCs w:val="21"/>
                <w:highlight w:val="none"/>
              </w:rPr>
              <w:t xml:space="preserve">大写： </w:t>
            </w:r>
          </w:p>
        </w:tc>
        <w:tc>
          <w:tcPr>
            <w:tcW w:w="2410" w:type="dxa"/>
            <w:vMerge w:val="continue"/>
            <w:vAlign w:val="center"/>
          </w:tcPr>
          <w:p>
            <w:pPr>
              <w:spacing w:line="360" w:lineRule="auto"/>
              <w:jc w:val="left"/>
              <w:rPr>
                <w:rFonts w:ascii="宋体" w:hAnsi="宋体" w:cs="宋体"/>
                <w:color w:val="auto"/>
                <w:kern w:val="0"/>
                <w:szCs w:val="21"/>
                <w:highlight w:val="none"/>
              </w:rPr>
            </w:pPr>
          </w:p>
        </w:tc>
      </w:tr>
    </w:tbl>
    <w:p>
      <w:pPr>
        <w:spacing w:line="360" w:lineRule="auto"/>
        <w:ind w:left="1206" w:leftChars="195" w:hanging="797" w:hangingChars="294"/>
        <w:jc w:val="left"/>
        <w:rPr>
          <w:rStyle w:val="93"/>
          <w:rFonts w:ascii="Verdana" w:hAnsi="Verdana"/>
          <w:color w:val="auto"/>
          <w:sz w:val="27"/>
          <w:szCs w:val="27"/>
          <w:highlight w:val="none"/>
          <w:shd w:val="clear" w:color="auto" w:fill="FFFFFF"/>
        </w:rPr>
      </w:pPr>
    </w:p>
    <w:p>
      <w:pPr>
        <w:adjustRightInd w:val="0"/>
        <w:snapToGrid w:val="0"/>
        <w:spacing w:line="360" w:lineRule="auto"/>
        <w:ind w:left="630" w:hanging="630" w:hangingChars="299"/>
        <w:jc w:val="left"/>
        <w:rPr>
          <w:rFonts w:ascii="宋体" w:hAnsi="宋体"/>
          <w:b/>
          <w:color w:val="auto"/>
          <w:szCs w:val="21"/>
          <w:highlight w:val="none"/>
        </w:rPr>
      </w:pPr>
    </w:p>
    <w:p>
      <w:pPr>
        <w:adjustRightInd w:val="0"/>
        <w:snapToGrid w:val="0"/>
        <w:spacing w:line="360" w:lineRule="auto"/>
        <w:jc w:val="left"/>
        <w:rPr>
          <w:rFonts w:ascii="宋体" w:hAnsi="宋体"/>
          <w:b/>
          <w:color w:val="auto"/>
          <w:szCs w:val="21"/>
          <w:highlight w:val="none"/>
        </w:rPr>
      </w:pPr>
      <w:r>
        <w:rPr>
          <w:rFonts w:hint="eastAsia" w:ascii="宋体" w:hAnsi="宋体"/>
          <w:b/>
          <w:color w:val="auto"/>
          <w:szCs w:val="21"/>
          <w:highlight w:val="none"/>
        </w:rPr>
        <w:t>注:1.供应商应按“采购人需求”的要求，根据实际情况进行报价。本表内的</w:t>
      </w:r>
      <w:r>
        <w:rPr>
          <w:rFonts w:hint="eastAsia" w:ascii="宋体" w:hAnsi="宋体" w:cs="宋体"/>
          <w:b/>
          <w:color w:val="auto"/>
          <w:kern w:val="0"/>
          <w:szCs w:val="21"/>
          <w:highlight w:val="none"/>
        </w:rPr>
        <w:t>响应报价为第一次报价</w:t>
      </w:r>
      <w:r>
        <w:rPr>
          <w:rFonts w:hint="eastAsia" w:ascii="宋体" w:hAnsi="宋体"/>
          <w:b/>
          <w:color w:val="auto"/>
          <w:szCs w:val="21"/>
          <w:highlight w:val="none"/>
        </w:rPr>
        <w:t>；</w:t>
      </w:r>
    </w:p>
    <w:p>
      <w:pPr>
        <w:snapToGrid w:val="0"/>
        <w:spacing w:line="360" w:lineRule="auto"/>
        <w:ind w:left="515" w:leftChars="150" w:hanging="200" w:hangingChars="95"/>
        <w:rPr>
          <w:rFonts w:ascii="宋体" w:hAnsi="宋体"/>
          <w:b/>
          <w:color w:val="auto"/>
          <w:szCs w:val="21"/>
          <w:highlight w:val="none"/>
        </w:rPr>
      </w:pPr>
      <w:r>
        <w:rPr>
          <w:rFonts w:hint="eastAsia" w:ascii="宋体" w:hAnsi="宋体"/>
          <w:b/>
          <w:color w:val="auto"/>
          <w:szCs w:val="21"/>
          <w:highlight w:val="none"/>
        </w:rPr>
        <w:t>2.供应商报价高于采购项目预算金额的报价响应无效；</w:t>
      </w:r>
    </w:p>
    <w:p>
      <w:pPr>
        <w:snapToGrid w:val="0"/>
        <w:spacing w:line="360" w:lineRule="auto"/>
        <w:ind w:left="515" w:leftChars="150" w:hanging="200" w:hangingChars="95"/>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3</w:t>
      </w:r>
      <w:r>
        <w:rPr>
          <w:rFonts w:hint="eastAsia" w:ascii="宋体" w:hAnsi="宋体" w:eastAsia="宋体" w:cs="宋体"/>
          <w:b/>
          <w:color w:val="auto"/>
          <w:szCs w:val="21"/>
          <w:highlight w:val="none"/>
        </w:rPr>
        <w:t>.中文大写金额用汉字，如壹、贰、叁、肆、伍、陆、柒、捌、玖、拾、佰、仟、万、亿、元、角、分、零、整（正）等。如：小写： 1230000，大写：</w:t>
      </w:r>
      <w:r>
        <w:rPr>
          <w:rFonts w:hint="eastAsia" w:ascii="宋体" w:hAnsi="宋体" w:eastAsia="宋体" w:cs="宋体"/>
          <w:b/>
          <w:color w:val="auto"/>
          <w:szCs w:val="21"/>
          <w:highlight w:val="none"/>
          <w:u w:val="single"/>
        </w:rPr>
        <w:t>壹佰贰拾叁万元整</w:t>
      </w:r>
      <w:r>
        <w:rPr>
          <w:rFonts w:hint="eastAsia" w:ascii="宋体" w:hAnsi="宋体" w:eastAsia="宋体" w:cs="宋体"/>
          <w:b/>
          <w:color w:val="auto"/>
          <w:szCs w:val="21"/>
          <w:highlight w:val="none"/>
        </w:rPr>
        <w:t>。</w:t>
      </w:r>
    </w:p>
    <w:p>
      <w:pPr>
        <w:snapToGrid w:val="0"/>
        <w:spacing w:line="360" w:lineRule="auto"/>
        <w:ind w:left="512" w:leftChars="195" w:hanging="103" w:hangingChars="49"/>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4</w:t>
      </w:r>
      <w:r>
        <w:rPr>
          <w:rFonts w:hint="eastAsia" w:ascii="宋体" w:hAnsi="宋体" w:eastAsia="宋体" w:cs="宋体"/>
          <w:b/>
          <w:color w:val="auto"/>
          <w:szCs w:val="21"/>
          <w:highlight w:val="none"/>
        </w:rPr>
        <w:t>.投标总报价应包含采购项目的全部费用，投标人不得再向采购人收取任何费用；</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rPr>
        <w:t>5.报价以人民币元为单位，保留小数点后两位；</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6</w:t>
      </w:r>
      <w:r>
        <w:rPr>
          <w:rFonts w:hint="eastAsia" w:ascii="宋体" w:hAnsi="宋体" w:eastAsia="宋体" w:cs="宋体"/>
          <w:b/>
          <w:color w:val="auto"/>
          <w:szCs w:val="21"/>
          <w:highlight w:val="none"/>
        </w:rPr>
        <w:t>.投标报价要求具体见第二章“投标报价”及采购人需求要求；</w:t>
      </w:r>
    </w:p>
    <w:p>
      <w:pPr>
        <w:spacing w:line="360" w:lineRule="auto"/>
        <w:ind w:firstLine="413" w:firstLineChars="196"/>
        <w:rPr>
          <w:rFonts w:hint="eastAsia" w:ascii="宋体" w:hAnsi="宋体" w:eastAsia="宋体" w:cs="宋体"/>
          <w:b/>
          <w:color w:val="auto"/>
          <w:szCs w:val="21"/>
          <w:highlight w:val="none"/>
        </w:rPr>
      </w:pPr>
      <w:r>
        <w:rPr>
          <w:rFonts w:hint="eastAsia" w:ascii="宋体" w:hAnsi="宋体" w:eastAsia="宋体" w:cs="宋体"/>
          <w:b/>
          <w:color w:val="auto"/>
          <w:szCs w:val="21"/>
          <w:highlight w:val="none"/>
          <w:lang w:val="en-US" w:eastAsia="zh-CN"/>
        </w:rPr>
        <w:t>7</w:t>
      </w:r>
      <w:r>
        <w:rPr>
          <w:rFonts w:hint="eastAsia" w:ascii="宋体" w:hAnsi="宋体" w:eastAsia="宋体" w:cs="宋体"/>
          <w:b/>
          <w:color w:val="auto"/>
          <w:szCs w:val="21"/>
          <w:highlight w:val="none"/>
        </w:rPr>
        <w:t>.本表格须附在正副的投标文件中，并另封装一份在 “唱标信封”内。</w:t>
      </w:r>
    </w:p>
    <w:p>
      <w:pPr>
        <w:adjustRightInd w:val="0"/>
        <w:snapToGrid w:val="0"/>
        <w:spacing w:line="360" w:lineRule="auto"/>
        <w:ind w:left="630" w:hanging="630" w:hangingChars="299"/>
        <w:jc w:val="left"/>
        <w:rPr>
          <w:rFonts w:ascii="宋体" w:hAnsi="宋体"/>
          <w:b/>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pStyle w:val="46"/>
        <w:tabs>
          <w:tab w:val="left" w:pos="3960"/>
        </w:tabs>
        <w:spacing w:line="360" w:lineRule="auto"/>
        <w:ind w:firstLine="4330" w:firstLineChars="2062"/>
        <w:jc w:val="left"/>
        <w:rPr>
          <w:rFonts w:hAnsi="宋体"/>
          <w:color w:val="auto"/>
          <w:szCs w:val="21"/>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
          <w:color w:val="auto"/>
          <w:szCs w:val="21"/>
          <w:highlight w:val="none"/>
        </w:rPr>
      </w:pPr>
      <w:r>
        <w:rPr>
          <w:rFonts w:hint="eastAsia" w:ascii="宋体" w:hAnsi="宋体"/>
          <w:bCs/>
          <w:color w:val="auto"/>
          <w:szCs w:val="21"/>
          <w:highlight w:val="none"/>
        </w:rPr>
        <w:t>日    期：     年   月   日</w:t>
      </w: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pStyle w:val="46"/>
        <w:tabs>
          <w:tab w:val="left" w:pos="3960"/>
        </w:tabs>
        <w:spacing w:line="360" w:lineRule="auto"/>
        <w:ind w:firstLine="4330" w:firstLineChars="2062"/>
        <w:rPr>
          <w:rFonts w:hAnsi="宋体"/>
          <w:color w:val="auto"/>
          <w:highlight w:val="none"/>
        </w:rPr>
      </w:pPr>
    </w:p>
    <w:p>
      <w:pPr>
        <w:spacing w:line="360" w:lineRule="auto"/>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附件8  磋商分项报价表</w:t>
      </w:r>
    </w:p>
    <w:p>
      <w:pPr>
        <w:pStyle w:val="46"/>
        <w:spacing w:line="360" w:lineRule="auto"/>
        <w:ind w:right="482"/>
        <w:jc w:val="left"/>
        <w:rPr>
          <w:rFonts w:hAnsi="宋体" w:cs="宋体"/>
          <w:color w:val="auto"/>
          <w:kern w:val="0"/>
          <w:szCs w:val="21"/>
          <w:highlight w:val="none"/>
        </w:rPr>
      </w:pPr>
      <w:r>
        <w:rPr>
          <w:rFonts w:hint="eastAsia" w:hAnsi="宋体" w:cs="宋体"/>
          <w:color w:val="auto"/>
          <w:kern w:val="0"/>
          <w:szCs w:val="21"/>
          <w:highlight w:val="none"/>
        </w:rPr>
        <w:t xml:space="preserve">项目名称： </w:t>
      </w:r>
    </w:p>
    <w:p>
      <w:pPr>
        <w:pStyle w:val="46"/>
        <w:spacing w:line="360" w:lineRule="auto"/>
        <w:ind w:right="482"/>
        <w:jc w:val="left"/>
        <w:rPr>
          <w:rFonts w:hint="eastAsia" w:hAnsi="宋体" w:cs="宋体"/>
          <w:color w:val="auto"/>
          <w:kern w:val="0"/>
          <w:szCs w:val="21"/>
          <w:highlight w:val="none"/>
        </w:rPr>
      </w:pPr>
      <w:r>
        <w:rPr>
          <w:rFonts w:hint="eastAsia" w:hAnsi="宋体" w:cs="宋体"/>
          <w:color w:val="auto"/>
          <w:kern w:val="0"/>
          <w:szCs w:val="21"/>
          <w:highlight w:val="none"/>
        </w:rPr>
        <w:t>项目编号：</w:t>
      </w:r>
    </w:p>
    <w:p>
      <w:pPr>
        <w:pStyle w:val="46"/>
        <w:spacing w:line="360" w:lineRule="auto"/>
        <w:jc w:val="left"/>
        <w:rPr>
          <w:rFonts w:hAnsi="宋体"/>
          <w:b/>
          <w:bCs/>
          <w:color w:val="auto"/>
          <w:sz w:val="24"/>
          <w:szCs w:val="24"/>
          <w:highlight w:val="none"/>
        </w:rPr>
      </w:pPr>
    </w:p>
    <w:p>
      <w:pPr>
        <w:pStyle w:val="47"/>
        <w:jc w:val="center"/>
        <w:rPr>
          <w:rFonts w:hint="eastAsia" w:hAnsi="宋体"/>
          <w:b/>
          <w:bCs/>
          <w:color w:val="auto"/>
          <w:sz w:val="28"/>
          <w:szCs w:val="28"/>
          <w:highlight w:val="none"/>
          <w:lang w:eastAsia="zh-CN"/>
        </w:rPr>
      </w:pPr>
      <w:r>
        <w:rPr>
          <w:rFonts w:hint="eastAsia" w:hAnsi="宋体"/>
          <w:b/>
          <w:bCs/>
          <w:color w:val="auto"/>
          <w:sz w:val="28"/>
          <w:szCs w:val="28"/>
          <w:highlight w:val="none"/>
          <w:lang w:eastAsia="zh-CN"/>
        </w:rPr>
        <w:t>格式自拟</w:t>
      </w:r>
    </w:p>
    <w:p>
      <w:pPr>
        <w:pStyle w:val="47"/>
        <w:jc w:val="center"/>
        <w:rPr>
          <w:rFonts w:hint="eastAsia" w:hAnsi="宋体"/>
          <w:color w:val="auto"/>
          <w:sz w:val="24"/>
          <w:szCs w:val="24"/>
          <w:highlight w:val="none"/>
          <w:lang w:eastAsia="zh-CN"/>
        </w:rPr>
      </w:pPr>
    </w:p>
    <w:p>
      <w:pPr>
        <w:pStyle w:val="47"/>
        <w:jc w:val="center"/>
        <w:rPr>
          <w:rFonts w:hint="eastAsia" w:hAnsi="宋体"/>
          <w:color w:val="auto"/>
          <w:sz w:val="24"/>
          <w:szCs w:val="24"/>
          <w:highlight w:val="none"/>
          <w:lang w:eastAsia="zh-CN"/>
        </w:rPr>
      </w:pPr>
    </w:p>
    <w:p>
      <w:pPr>
        <w:pStyle w:val="47"/>
        <w:jc w:val="center"/>
        <w:rPr>
          <w:rFonts w:hint="eastAsia" w:hAnsi="宋体"/>
          <w:color w:val="auto"/>
          <w:sz w:val="24"/>
          <w:szCs w:val="24"/>
          <w:highlight w:val="none"/>
          <w:lang w:eastAsia="zh-CN"/>
        </w:rPr>
      </w:pPr>
    </w:p>
    <w:p>
      <w:pPr>
        <w:spacing w:line="360" w:lineRule="auto"/>
        <w:ind w:left="753" w:hanging="753" w:hangingChars="357"/>
        <w:jc w:val="left"/>
        <w:rPr>
          <w:rFonts w:ascii="宋体" w:hAnsi="宋体"/>
          <w:b/>
          <w:color w:val="auto"/>
          <w:szCs w:val="21"/>
          <w:highlight w:val="none"/>
        </w:rPr>
      </w:pPr>
      <w:r>
        <w:rPr>
          <w:rFonts w:hint="eastAsia" w:ascii="宋体" w:hAnsi="宋体"/>
          <w:b/>
          <w:color w:val="auto"/>
          <w:szCs w:val="21"/>
          <w:highlight w:val="none"/>
        </w:rPr>
        <w:t>注：1. 此表为《报价一览表》的报价明细表。</w:t>
      </w:r>
    </w:p>
    <w:p>
      <w:pPr>
        <w:spacing w:line="360" w:lineRule="auto"/>
        <w:ind w:left="751" w:leftChars="200" w:hanging="331" w:hangingChars="157"/>
        <w:jc w:val="left"/>
        <w:rPr>
          <w:rFonts w:ascii="宋体" w:hAnsi="宋体"/>
          <w:b/>
          <w:color w:val="auto"/>
          <w:szCs w:val="21"/>
          <w:highlight w:val="none"/>
        </w:rPr>
      </w:pPr>
      <w:r>
        <w:rPr>
          <w:rFonts w:hint="eastAsia" w:ascii="宋体" w:hAnsi="宋体"/>
          <w:b/>
          <w:color w:val="auto"/>
          <w:szCs w:val="21"/>
          <w:highlight w:val="none"/>
        </w:rPr>
        <w:t>2. 所有价格均以人民币作为货币单位填写及计算。对于有配件、耗材、选件和特殊工具的货物，还应填报提供的货物配件、耗材、选件表和备件及特殊工具清单，注明品牌、型号、产地、功能、单价等内容，该表格式由供应商自行设计。供应商按照上述要求分类报价，其目的是便于评标，但在任何情况下并不限制采购人以任何条款签订合同的权利。</w:t>
      </w:r>
    </w:p>
    <w:p>
      <w:pPr>
        <w:spacing w:line="360" w:lineRule="auto"/>
        <w:ind w:left="540" w:leftChars="200" w:hanging="120" w:hangingChars="57"/>
        <w:jc w:val="left"/>
        <w:rPr>
          <w:rFonts w:ascii="宋体" w:hAnsi="宋体"/>
          <w:b/>
          <w:color w:val="auto"/>
          <w:szCs w:val="21"/>
          <w:highlight w:val="none"/>
        </w:rPr>
      </w:pPr>
      <w:r>
        <w:rPr>
          <w:rFonts w:hint="eastAsia" w:ascii="宋体" w:hAnsi="宋体"/>
          <w:b/>
          <w:color w:val="auto"/>
          <w:szCs w:val="21"/>
          <w:highlight w:val="none"/>
        </w:rPr>
        <w:t>3. 该表格式仅作参考，供应商的详细报价表格式可自定。</w:t>
      </w:r>
    </w:p>
    <w:p>
      <w:pPr>
        <w:pStyle w:val="46"/>
        <w:tabs>
          <w:tab w:val="left" w:pos="3960"/>
        </w:tabs>
        <w:spacing w:line="360" w:lineRule="auto"/>
        <w:ind w:firstLine="4330" w:firstLineChars="2062"/>
        <w:jc w:val="left"/>
        <w:rPr>
          <w:rFonts w:hAnsi="宋体"/>
          <w:color w:val="auto"/>
          <w:highlight w:val="none"/>
        </w:rPr>
      </w:pPr>
    </w:p>
    <w:p>
      <w:pPr>
        <w:spacing w:line="360" w:lineRule="auto"/>
        <w:jc w:val="left"/>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sectPr>
          <w:headerReference r:id="rId20" w:type="default"/>
          <w:footerReference r:id="rId21" w:type="default"/>
          <w:pgSz w:w="11906" w:h="16838"/>
          <w:pgMar w:top="1134" w:right="1134" w:bottom="1134" w:left="1134"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附件9  产品适用政府采购政策情况表</w:t>
      </w:r>
    </w:p>
    <w:p>
      <w:pPr>
        <w:spacing w:line="360" w:lineRule="auto"/>
        <w:rPr>
          <w:rFonts w:ascii="宋体" w:hAnsi="宋体"/>
          <w:b/>
          <w:bCs/>
          <w:color w:val="auto"/>
          <w:kern w:val="0"/>
          <w:sz w:val="24"/>
          <w:highlight w:val="none"/>
        </w:rPr>
      </w:pPr>
    </w:p>
    <w:p>
      <w:pPr>
        <w:spacing w:line="360" w:lineRule="auto"/>
        <w:jc w:val="center"/>
        <w:rPr>
          <w:rFonts w:ascii="宋体" w:hAnsi="宋体"/>
          <w:bCs/>
          <w:color w:val="auto"/>
          <w:kern w:val="0"/>
          <w:sz w:val="24"/>
          <w:highlight w:val="none"/>
        </w:rPr>
      </w:pPr>
      <w:r>
        <w:rPr>
          <w:rFonts w:hint="eastAsia" w:ascii="宋体" w:hAnsi="宋体"/>
          <w:bCs/>
          <w:color w:val="auto"/>
          <w:kern w:val="0"/>
          <w:sz w:val="24"/>
          <w:highlight w:val="none"/>
        </w:rPr>
        <w:t>产品适用政府采购政策情况表</w:t>
      </w:r>
    </w:p>
    <w:tbl>
      <w:tblPr>
        <w:tblStyle w:val="90"/>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tabs>
                <w:tab w:val="left" w:pos="1260"/>
              </w:tabs>
              <w:spacing w:before="156" w:after="156" w:line="360" w:lineRule="auto"/>
              <w:jc w:val="left"/>
              <w:rPr>
                <w:rFonts w:ascii="宋体" w:hAnsi="宋体"/>
                <w:color w:val="auto"/>
                <w:szCs w:val="21"/>
                <w:highlight w:val="none"/>
                <w:lang w:val="en-GB"/>
              </w:rPr>
            </w:pPr>
            <w:r>
              <w:rPr>
                <w:rFonts w:hint="eastAsia" w:ascii="宋体" w:hAnsi="宋体"/>
                <w:color w:val="auto"/>
                <w:szCs w:val="21"/>
                <w:highlight w:val="none"/>
                <w:lang w:val="en-GB"/>
              </w:rPr>
              <w:t>中小企业扶持政策</w:t>
            </w:r>
          </w:p>
        </w:tc>
        <w:tc>
          <w:tcPr>
            <w:tcW w:w="8299" w:type="dxa"/>
            <w:gridSpan w:val="6"/>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如属所列情形的，请在括号内打“√”：</w:t>
            </w:r>
          </w:p>
          <w:p>
            <w:pPr>
              <w:tabs>
                <w:tab w:val="left" w:pos="1260"/>
              </w:tabs>
              <w:spacing w:before="40" w:after="40" w:line="360" w:lineRule="auto"/>
              <w:jc w:val="left"/>
              <w:rPr>
                <w:rFonts w:ascii="宋体" w:hAnsi="宋体"/>
                <w:color w:val="auto"/>
                <w:szCs w:val="21"/>
                <w:highlight w:val="none"/>
              </w:rPr>
            </w:pPr>
            <w:r>
              <w:rPr>
                <w:rFonts w:hint="eastAsia" w:ascii="宋体" w:hAnsi="宋体"/>
                <w:color w:val="auto"/>
                <w:szCs w:val="21"/>
                <w:highlight w:val="none"/>
              </w:rPr>
              <w:t>（  ）小微企业投标且提供其它小型、微型企业产品的，请填写下表内容(如供应商为中小企业，请填写下面的《中小企业声明函》一起提交)：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产品名称（品牌、型号）</w:t>
            </w: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制造商</w:t>
            </w:r>
          </w:p>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企业类型</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2742"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210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79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color w:val="auto"/>
                <w:szCs w:val="21"/>
                <w:highlight w:val="none"/>
                <w:lang w:val="en-GB"/>
              </w:rPr>
            </w:pPr>
          </w:p>
        </w:tc>
        <w:tc>
          <w:tcPr>
            <w:tcW w:w="6641" w:type="dxa"/>
            <w:gridSpan w:val="5"/>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r>
              <w:rPr>
                <w:rFonts w:hint="eastAsia" w:ascii="宋体" w:hAnsi="宋体"/>
                <w:color w:val="auto"/>
                <w:szCs w:val="21"/>
                <w:highlight w:val="none"/>
              </w:rPr>
              <w:t>小型、微型企业产品</w:t>
            </w:r>
            <w:r>
              <w:rPr>
                <w:rFonts w:hint="eastAsia" w:ascii="宋体" w:hAnsi="宋体"/>
                <w:color w:val="auto"/>
                <w:szCs w:val="21"/>
                <w:highlight w:val="none"/>
                <w:lang w:val="en-GB"/>
              </w:rPr>
              <w:t>金额合计</w:t>
            </w: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环境标志产品</w:t>
            </w:r>
          </w:p>
        </w:tc>
        <w:tc>
          <w:tcPr>
            <w:tcW w:w="2350"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color w:val="auto"/>
                <w:szCs w:val="21"/>
                <w:highlight w:val="none"/>
              </w:rPr>
            </w:pPr>
            <w:r>
              <w:rPr>
                <w:rFonts w:hint="eastAsia" w:ascii="宋体" w:hAnsi="宋体"/>
                <w:bCs/>
                <w:color w:val="auto"/>
                <w:szCs w:val="21"/>
                <w:highlight w:val="none"/>
              </w:rPr>
              <w:t>主要产品/技术名称（规格型号、注册商标）</w:t>
            </w: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制造商/开发商</w:t>
            </w: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r>
              <w:rPr>
                <w:rFonts w:hint="eastAsia" w:ascii="宋体" w:hAnsi="宋体"/>
                <w:bCs/>
                <w:color w:val="auto"/>
                <w:szCs w:val="21"/>
                <w:highlight w:val="none"/>
              </w:rPr>
              <w:t>认证证书编号</w:t>
            </w:r>
          </w:p>
        </w:tc>
        <w:tc>
          <w:tcPr>
            <w:tcW w:w="1658" w:type="dxa"/>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使用价值量占总金额比重</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（累计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restart"/>
            <w:tcBorders>
              <w:top w:val="single" w:color="auto" w:sz="4" w:space="0"/>
              <w:left w:val="single" w:color="auto" w:sz="4" w:space="0"/>
              <w:bottom w:val="single" w:color="auto" w:sz="4" w:space="0"/>
              <w:right w:val="single" w:color="auto" w:sz="4" w:space="0"/>
            </w:tcBorders>
            <w:vAlign w:val="center"/>
          </w:tcPr>
          <w:p>
            <w:pPr>
              <w:spacing w:line="360" w:lineRule="auto"/>
              <w:jc w:val="left"/>
              <w:rPr>
                <w:rFonts w:ascii="宋体" w:hAnsi="宋体"/>
                <w:bCs/>
                <w:color w:val="auto"/>
                <w:szCs w:val="21"/>
                <w:highlight w:val="none"/>
              </w:rPr>
            </w:pPr>
            <w:r>
              <w:rPr>
                <w:rFonts w:hint="eastAsia" w:ascii="宋体" w:hAnsi="宋体"/>
                <w:bCs/>
                <w:color w:val="auto"/>
                <w:szCs w:val="21"/>
                <w:highlight w:val="none"/>
              </w:rPr>
              <w:t>节能产品</w:t>
            </w: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039"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auto"/>
              <w:jc w:val="left"/>
              <w:rPr>
                <w:rFonts w:ascii="宋体" w:hAnsi="宋体"/>
                <w:bCs/>
                <w:color w:val="auto"/>
                <w:szCs w:val="21"/>
                <w:highlight w:val="none"/>
              </w:rPr>
            </w:pPr>
          </w:p>
        </w:tc>
        <w:tc>
          <w:tcPr>
            <w:tcW w:w="2350"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71"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2620" w:type="dxa"/>
            <w:gridSpan w:val="2"/>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rPr>
            </w:pPr>
          </w:p>
        </w:tc>
        <w:tc>
          <w:tcPr>
            <w:tcW w:w="1658" w:type="dxa"/>
            <w:tcBorders>
              <w:top w:val="single" w:color="auto" w:sz="4" w:space="0"/>
              <w:left w:val="single" w:color="auto" w:sz="4" w:space="0"/>
              <w:bottom w:val="single" w:color="auto" w:sz="4" w:space="0"/>
              <w:right w:val="single" w:color="auto" w:sz="4" w:space="0"/>
            </w:tcBorders>
            <w:vAlign w:val="center"/>
          </w:tcPr>
          <w:p>
            <w:pPr>
              <w:tabs>
                <w:tab w:val="left" w:pos="1260"/>
              </w:tabs>
              <w:spacing w:before="40" w:after="40" w:line="360" w:lineRule="auto"/>
              <w:jc w:val="left"/>
              <w:rPr>
                <w:rFonts w:ascii="宋体" w:hAnsi="宋体"/>
                <w:color w:val="auto"/>
                <w:szCs w:val="21"/>
                <w:highlight w:val="none"/>
                <w:lang w:val="en-GB"/>
              </w:rPr>
            </w:pPr>
          </w:p>
        </w:tc>
      </w:tr>
    </w:tbl>
    <w:p>
      <w:pPr>
        <w:adjustRightInd w:val="0"/>
        <w:snapToGrid w:val="0"/>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jc w:val="left"/>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jc w:val="left"/>
        <w:rPr>
          <w:rFonts w:ascii="宋体" w:hAnsi="宋体"/>
          <w:bCs/>
          <w:color w:val="auto"/>
          <w:szCs w:val="21"/>
          <w:highlight w:val="none"/>
        </w:rPr>
      </w:pPr>
    </w:p>
    <w:p>
      <w:pPr>
        <w:spacing w:line="360" w:lineRule="auto"/>
        <w:jc w:val="left"/>
        <w:rPr>
          <w:rFonts w:ascii="宋体" w:hAnsi="宋体"/>
          <w:bCs/>
          <w:color w:val="auto"/>
          <w:szCs w:val="21"/>
          <w:highlight w:val="none"/>
        </w:rPr>
      </w:pPr>
    </w:p>
    <w:p>
      <w:pPr>
        <w:spacing w:line="360" w:lineRule="auto"/>
        <w:ind w:left="721" w:hanging="721" w:hangingChars="342"/>
        <w:jc w:val="left"/>
        <w:rPr>
          <w:rFonts w:ascii="宋体" w:hAnsi="宋体"/>
          <w:b/>
          <w:color w:val="auto"/>
          <w:szCs w:val="21"/>
          <w:highlight w:val="none"/>
          <w:lang w:val="en-GB"/>
        </w:rPr>
      </w:pPr>
      <w:r>
        <w:rPr>
          <w:rFonts w:hint="eastAsia" w:ascii="宋体" w:hAnsi="宋体"/>
          <w:b/>
          <w:color w:val="auto"/>
          <w:szCs w:val="21"/>
          <w:highlight w:val="none"/>
          <w:lang w:val="en-GB"/>
        </w:rPr>
        <w:t>填报要求：</w:t>
      </w:r>
    </w:p>
    <w:p>
      <w:pPr>
        <w:widowControl/>
        <w:numPr>
          <w:ilvl w:val="0"/>
          <w:numId w:val="0"/>
        </w:numPr>
        <w:tabs>
          <w:tab w:val="left" w:pos="0"/>
        </w:tabs>
        <w:spacing w:line="360" w:lineRule="auto"/>
        <w:ind w:leftChars="0" w:right="84" w:rightChars="40" w:firstLine="420" w:firstLineChars="200"/>
        <w:jc w:val="left"/>
        <w:rPr>
          <w:rFonts w:ascii="宋体" w:hAnsi="宋体"/>
          <w:color w:val="auto"/>
          <w:szCs w:val="21"/>
          <w:highlight w:val="none"/>
          <w:lang w:val="en-GB"/>
        </w:rPr>
      </w:pPr>
      <w:r>
        <w:rPr>
          <w:rFonts w:hint="eastAsia" w:ascii="宋体" w:hAnsi="宋体"/>
          <w:color w:val="auto"/>
          <w:szCs w:val="21"/>
          <w:highlight w:val="none"/>
          <w:lang w:val="en-US" w:eastAsia="zh-CN"/>
        </w:rPr>
        <w:t>1.</w:t>
      </w:r>
      <w:r>
        <w:rPr>
          <w:rFonts w:hint="eastAsia" w:ascii="宋体" w:hAnsi="宋体"/>
          <w:color w:val="auto"/>
          <w:szCs w:val="21"/>
          <w:highlight w:val="none"/>
          <w:lang w:val="en-GB"/>
        </w:rPr>
        <w:t>本表的产品名称、规格型号和注册商标、金额应与《报价明细表》一致。</w:t>
      </w:r>
    </w:p>
    <w:p>
      <w:pPr>
        <w:spacing w:line="360" w:lineRule="auto"/>
        <w:ind w:firstLine="420" w:firstLineChars="200"/>
        <w:jc w:val="left"/>
        <w:rPr>
          <w:rFonts w:ascii="宋体" w:hAnsi="宋体"/>
          <w:color w:val="auto"/>
          <w:szCs w:val="21"/>
          <w:highlight w:val="none"/>
          <w:lang w:val="en-GB"/>
        </w:rPr>
      </w:pPr>
      <w:r>
        <w:rPr>
          <w:rFonts w:hint="eastAsia" w:ascii="宋体" w:hAnsi="宋体"/>
          <w:color w:val="auto"/>
          <w:szCs w:val="21"/>
          <w:highlight w:val="none"/>
          <w:lang w:val="en-GB"/>
        </w:rPr>
        <w:t>制造商为小型或微型企业时才需要填“制造商企业类型”栏，填写内容为“小型”或“微型”。</w:t>
      </w:r>
    </w:p>
    <w:p>
      <w:pPr>
        <w:pStyle w:val="36"/>
        <w:tabs>
          <w:tab w:val="left" w:pos="1080"/>
          <w:tab w:val="left" w:pos="1680"/>
        </w:tabs>
        <w:spacing w:line="360" w:lineRule="auto"/>
        <w:ind w:left="735" w:hanging="315" w:hangingChars="150"/>
        <w:jc w:val="left"/>
        <w:rPr>
          <w:rFonts w:ascii="宋体" w:hAnsi="宋体"/>
          <w:color w:val="auto"/>
          <w:szCs w:val="21"/>
          <w:highlight w:val="none"/>
        </w:rPr>
      </w:pPr>
      <w:r>
        <w:rPr>
          <w:rFonts w:hint="eastAsia" w:ascii="宋体" w:hAnsi="宋体"/>
          <w:color w:val="auto"/>
          <w:szCs w:val="21"/>
          <w:highlight w:val="none"/>
        </w:rPr>
        <w:t>2. 根据《国务院办公厅关于建立政府强制采购节能产品制度的通知》（国办发[2007]51号）和财政部、发展改革委发布的《节能产品政府采购实施意见》（财库[2004]185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公章，节能清单在中国政府采购网（http：//www.ccgp.gov .cn/）、国家发展改革委网站（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Style w:val="95"/>
          <w:rFonts w:hint="eastAsia" w:ascii="宋体" w:hAnsi="宋体"/>
          <w:color w:val="auto"/>
          <w:szCs w:val="21"/>
          <w:highlight w:val="none"/>
        </w:rPr>
        <w:t>http://hzs.nd</w:t>
      </w:r>
      <w:r>
        <w:rPr>
          <w:rStyle w:val="95"/>
          <w:rFonts w:hint="eastAsia" w:ascii="宋体" w:hAnsi="宋体"/>
          <w:color w:val="auto"/>
          <w:szCs w:val="21"/>
          <w:highlight w:val="none"/>
        </w:rPr>
        <w:fldChar w:fldCharType="end"/>
      </w:r>
      <w:r>
        <w:rPr>
          <w:rFonts w:hint="eastAsia" w:ascii="宋体" w:hAnsi="宋体"/>
          <w:color w:val="auto"/>
          <w:szCs w:val="21"/>
          <w:highlight w:val="none"/>
        </w:rPr>
        <w:t xml:space="preserve"> rc.gv.cn/）和中国质量认证中心网站（http://www.cqc.com.cn/）上发布。</w:t>
      </w:r>
    </w:p>
    <w:p>
      <w:pPr>
        <w:pStyle w:val="36"/>
        <w:tabs>
          <w:tab w:val="left" w:pos="1080"/>
          <w:tab w:val="left" w:pos="1680"/>
        </w:tabs>
        <w:spacing w:line="360" w:lineRule="auto"/>
        <w:ind w:left="630" w:hanging="210" w:hangingChars="100"/>
        <w:jc w:val="left"/>
        <w:rPr>
          <w:rFonts w:ascii="宋体" w:hAnsi="宋体"/>
          <w:color w:val="auto"/>
          <w:szCs w:val="21"/>
          <w:highlight w:val="none"/>
        </w:rPr>
      </w:pPr>
      <w:r>
        <w:rPr>
          <w:rFonts w:hint="eastAsia" w:ascii="宋体" w:hAnsi="宋体"/>
          <w:color w:val="auto"/>
          <w:szCs w:val="21"/>
          <w:highlight w:val="none"/>
        </w:rPr>
        <w:t>3.根据《财政部、国家环保总局联合印发〈关于环境标志产品政府采购实施意见〉》（财库[2006]90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cs="宋体"/>
          <w:color w:val="auto"/>
          <w:kern w:val="0"/>
          <w:szCs w:val="21"/>
          <w:highlight w:val="none"/>
        </w:rPr>
        <w:t>供应商</w:t>
      </w:r>
      <w:r>
        <w:rPr>
          <w:rFonts w:hint="eastAsia" w:ascii="宋体" w:hAnsi="宋体"/>
          <w:color w:val="auto"/>
          <w:szCs w:val="21"/>
          <w:highlight w:val="none"/>
        </w:rPr>
        <w:t>公章，清单在中国政府采购网（http://www.ccgp.gov.cn/）、国家环境保护总局网（http://www.sepa.gov.cn/）、中国绿色采购网（http://www.cgpn. cn/）上发布。</w:t>
      </w:r>
    </w:p>
    <w:p>
      <w:pPr>
        <w:widowControl/>
        <w:spacing w:line="360" w:lineRule="auto"/>
        <w:ind w:left="420" w:leftChars="200" w:right="84" w:rightChars="40" w:firstLine="105" w:firstLineChars="50"/>
        <w:jc w:val="left"/>
        <w:rPr>
          <w:rFonts w:ascii="宋体" w:hAnsi="宋体"/>
          <w:color w:val="auto"/>
          <w:szCs w:val="21"/>
          <w:highlight w:val="none"/>
          <w:lang w:val="en-GB"/>
        </w:rPr>
      </w:pPr>
      <w:r>
        <w:rPr>
          <w:rFonts w:hint="eastAsia" w:ascii="宋体" w:hAnsi="宋体"/>
          <w:color w:val="auto"/>
          <w:szCs w:val="21"/>
          <w:highlight w:val="none"/>
        </w:rPr>
        <w:t>4.</w:t>
      </w:r>
      <w:r>
        <w:rPr>
          <w:rFonts w:hint="eastAsia" w:ascii="宋体" w:hAnsi="宋体"/>
          <w:color w:val="auto"/>
          <w:szCs w:val="21"/>
          <w:highlight w:val="none"/>
          <w:lang w:val="en-GB"/>
        </w:rPr>
        <w:t xml:space="preserve"> 请</w:t>
      </w:r>
      <w:r>
        <w:rPr>
          <w:rFonts w:hint="eastAsia" w:ascii="宋体" w:hAnsi="宋体" w:cs="宋体"/>
          <w:color w:val="auto"/>
          <w:kern w:val="0"/>
          <w:szCs w:val="21"/>
          <w:highlight w:val="none"/>
        </w:rPr>
        <w:t>供应商</w:t>
      </w:r>
      <w:r>
        <w:rPr>
          <w:rFonts w:hint="eastAsia" w:ascii="宋体" w:hAnsi="宋体"/>
          <w:color w:val="auto"/>
          <w:szCs w:val="21"/>
          <w:highlight w:val="none"/>
          <w:lang w:val="en-GB"/>
        </w:rPr>
        <w:t>正确填写本表，所填内容将作为评分的依据。其内容或数据应与对应的证明资料相符，如果不一致，可能导致该项的得分为0分。</w:t>
      </w:r>
    </w:p>
    <w:p>
      <w:pPr>
        <w:spacing w:line="360" w:lineRule="auto"/>
        <w:ind w:firstLine="420" w:firstLineChars="200"/>
        <w:jc w:val="left"/>
        <w:rPr>
          <w:rFonts w:ascii="宋体" w:hAnsi="宋体"/>
          <w:b/>
          <w:bCs/>
          <w:color w:val="auto"/>
          <w:kern w:val="0"/>
          <w:sz w:val="28"/>
          <w:szCs w:val="28"/>
          <w:highlight w:val="none"/>
        </w:rPr>
      </w:pPr>
      <w:r>
        <w:rPr>
          <w:rFonts w:hint="eastAsia" w:ascii="宋体" w:hAnsi="宋体"/>
          <w:color w:val="auto"/>
          <w:szCs w:val="21"/>
          <w:highlight w:val="none"/>
          <w:lang w:val="en-GB"/>
        </w:rPr>
        <w:t>5.</w:t>
      </w:r>
      <w:r>
        <w:rPr>
          <w:rFonts w:hint="eastAsia" w:ascii="宋体" w:hAnsi="宋体"/>
          <w:bCs/>
          <w:color w:val="auto"/>
          <w:szCs w:val="21"/>
          <w:highlight w:val="none"/>
        </w:rPr>
        <w:t>上述文件均加盖</w:t>
      </w:r>
      <w:r>
        <w:rPr>
          <w:rFonts w:hint="eastAsia" w:ascii="宋体" w:hAnsi="宋体" w:cs="宋体"/>
          <w:color w:val="auto"/>
          <w:kern w:val="0"/>
          <w:szCs w:val="21"/>
          <w:highlight w:val="none"/>
        </w:rPr>
        <w:t>供应商</w:t>
      </w:r>
      <w:r>
        <w:rPr>
          <w:rFonts w:hint="eastAsia" w:ascii="宋体" w:hAnsi="宋体"/>
          <w:bCs/>
          <w:color w:val="auto"/>
          <w:szCs w:val="21"/>
          <w:highlight w:val="none"/>
        </w:rPr>
        <w:t>公章。</w:t>
      </w: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adjustRightInd w:val="0"/>
        <w:snapToGrid w:val="0"/>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附件10  中小企业声明函</w:t>
      </w:r>
    </w:p>
    <w:p>
      <w:pPr>
        <w:spacing w:line="360" w:lineRule="auto"/>
        <w:ind w:firstLine="3360" w:firstLineChars="1600"/>
        <w:rPr>
          <w:rFonts w:ascii="宋体" w:hAnsi="宋体"/>
          <w:color w:val="auto"/>
          <w:highlight w:val="none"/>
        </w:rPr>
      </w:pPr>
    </w:p>
    <w:p>
      <w:pPr>
        <w:spacing w:line="360" w:lineRule="auto"/>
        <w:ind w:firstLine="3360" w:firstLineChars="1600"/>
        <w:rPr>
          <w:rFonts w:ascii="宋体" w:hAnsi="宋体"/>
          <w:color w:val="auto"/>
          <w:highlight w:val="none"/>
        </w:rPr>
      </w:pPr>
      <w:r>
        <w:rPr>
          <w:rFonts w:hint="eastAsia" w:ascii="宋体" w:hAnsi="宋体"/>
          <w:color w:val="auto"/>
          <w:highlight w:val="none"/>
        </w:rPr>
        <w:t>中小企业声明函</w:t>
      </w:r>
    </w:p>
    <w:p>
      <w:pPr>
        <w:spacing w:line="360" w:lineRule="auto"/>
        <w:ind w:firstLine="420" w:firstLineChars="200"/>
        <w:rPr>
          <w:rFonts w:ascii="宋体" w:hAnsi="宋体"/>
          <w:color w:val="auto"/>
          <w:highlight w:val="none"/>
        </w:rPr>
      </w:pPr>
      <w:r>
        <w:rPr>
          <w:rFonts w:hint="eastAsia" w:ascii="宋体" w:hAnsi="宋体"/>
          <w:color w:val="auto"/>
          <w:highlight w:val="none"/>
        </w:rPr>
        <w:t>本公司郑重声明，根据《政府采购促进中小企业发展暂行办法》（财库[2011]181号）的规定，本公司为（请填写：中型、小型、微型）企业。即，本公司同时满足以下条件：</w:t>
      </w:r>
    </w:p>
    <w:p>
      <w:pPr>
        <w:spacing w:line="360" w:lineRule="auto"/>
        <w:ind w:left="315" w:hanging="315" w:hangingChars="150"/>
        <w:rPr>
          <w:rFonts w:ascii="宋体" w:hAnsi="宋体"/>
          <w:color w:val="auto"/>
          <w:highlight w:val="none"/>
        </w:rPr>
      </w:pPr>
      <w:r>
        <w:rPr>
          <w:rFonts w:hint="eastAsia" w:ascii="宋体" w:hAnsi="宋体"/>
          <w:color w:val="auto"/>
          <w:highlight w:val="none"/>
        </w:rPr>
        <w:t>1、根据《工业和信息化部、国家统计局、国家发展和改革委员会、财政部关于印发中小企业划型标准规定的通知》（工信部联企业[2011]300号）规定的划分标准，本公司为（请填写：中型、小型、微型）企业。</w:t>
      </w:r>
    </w:p>
    <w:p>
      <w:pPr>
        <w:spacing w:line="360" w:lineRule="auto"/>
        <w:ind w:left="315" w:hanging="315" w:hangingChars="150"/>
        <w:rPr>
          <w:rFonts w:ascii="宋体" w:hAnsi="宋体"/>
          <w:bCs/>
          <w:color w:val="auto"/>
          <w:szCs w:val="21"/>
          <w:highlight w:val="none"/>
        </w:rPr>
      </w:pPr>
      <w:r>
        <w:rPr>
          <w:rFonts w:hint="eastAsia" w:ascii="宋体" w:hAnsi="宋体"/>
          <w:color w:val="auto"/>
          <w:highlight w:val="none"/>
        </w:rPr>
        <w:t>2、本公司参加</w:t>
      </w:r>
      <w:r>
        <w:rPr>
          <w:rFonts w:hint="eastAsia" w:ascii="宋体" w:hAnsi="宋体"/>
          <w:color w:val="auto"/>
          <w:highlight w:val="none"/>
          <w:u w:val="single"/>
        </w:rPr>
        <w:t xml:space="preserve">     (采购人单位名称)    </w:t>
      </w:r>
      <w:r>
        <w:rPr>
          <w:rFonts w:hint="eastAsia" w:ascii="宋体" w:hAnsi="宋体"/>
          <w:color w:val="auto"/>
          <w:highlight w:val="none"/>
        </w:rPr>
        <w:t>的</w:t>
      </w:r>
      <w:r>
        <w:rPr>
          <w:rFonts w:hint="eastAsia" w:ascii="宋体" w:hAnsi="宋体"/>
          <w:color w:val="auto"/>
          <w:highlight w:val="none"/>
          <w:u w:val="single"/>
        </w:rPr>
        <w:t xml:space="preserve">   (项目名称)      </w:t>
      </w:r>
      <w:r>
        <w:rPr>
          <w:rFonts w:hint="eastAsia" w:ascii="宋体" w:hAnsi="宋体"/>
          <w:color w:val="auto"/>
          <w:highlight w:val="none"/>
        </w:rPr>
        <w:t xml:space="preserve"> 采购活动提供本企业制造的货物，由本企业承担工程、提供服务，或者提供其他（请填写：中型、小型、微型）企业制造的货物。本条所称货物不包括使用大型企业注册商标的货物。</w:t>
      </w:r>
      <w:r>
        <w:rPr>
          <w:rFonts w:hint="eastAsia" w:ascii="宋体" w:hAnsi="宋体"/>
          <w:color w:val="auto"/>
          <w:highlight w:val="none"/>
        </w:rPr>
        <w:br w:type="textWrapping"/>
      </w:r>
      <w:r>
        <w:rPr>
          <w:rFonts w:hint="eastAsia" w:ascii="宋体" w:hAnsi="宋体"/>
          <w:color w:val="auto"/>
          <w:highlight w:val="none"/>
        </w:rPr>
        <w:t>本公司对上述声明的真实性负责。如有虚假，将依法承担相应责任。</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 xml:space="preserve">全称（加盖公章）: </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cs="宋体"/>
          <w:color w:val="auto"/>
          <w:szCs w:val="21"/>
          <w:highlight w:val="none"/>
        </w:rPr>
      </w:pPr>
      <w:r>
        <w:rPr>
          <w:rFonts w:hint="eastAsia" w:ascii="宋体" w:hAnsi="宋体"/>
          <w:bCs/>
          <w:color w:val="auto"/>
          <w:szCs w:val="21"/>
          <w:highlight w:val="none"/>
        </w:rPr>
        <w:t>日    期： 2020年  月  日</w:t>
      </w: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rPr>
          <w:rFonts w:ascii="宋体" w:cs="宋体"/>
          <w:color w:val="auto"/>
          <w:szCs w:val="21"/>
          <w:highlight w:val="none"/>
        </w:rPr>
      </w:pPr>
    </w:p>
    <w:p>
      <w:pPr>
        <w:autoSpaceDE w:val="0"/>
        <w:autoSpaceDN w:val="0"/>
        <w:adjustRightInd w:val="0"/>
        <w:spacing w:line="360" w:lineRule="auto"/>
        <w:ind w:left="630" w:hanging="630"/>
        <w:rPr>
          <w:rFonts w:ascii="宋体" w:cs="宋体"/>
          <w:color w:val="auto"/>
          <w:szCs w:val="21"/>
          <w:highlight w:val="none"/>
        </w:rPr>
      </w:pPr>
      <w:r>
        <w:rPr>
          <w:rFonts w:hint="eastAsia" w:ascii="宋体" w:cs="宋体"/>
          <w:b/>
          <w:color w:val="auto"/>
          <w:szCs w:val="21"/>
          <w:highlight w:val="none"/>
        </w:rPr>
        <w:t>说明：</w:t>
      </w:r>
      <w:r>
        <w:rPr>
          <w:rFonts w:hint="eastAsia" w:ascii="宋体" w:cs="宋体"/>
          <w:color w:val="auto"/>
          <w:szCs w:val="21"/>
          <w:highlight w:val="none"/>
        </w:rPr>
        <w:t>依据《工业和信息化部、国家统计局、国家发展和改革委员会、财政部关于印发中小企业划型标准规定的通知》（工信部联企业[2011]300号）规定的划分标准，</w:t>
      </w:r>
      <w:r>
        <w:rPr>
          <w:rFonts w:hint="eastAsia" w:ascii="宋体" w:hAnsi="宋体" w:cs="宋体"/>
          <w:color w:val="auto"/>
          <w:kern w:val="0"/>
          <w:szCs w:val="21"/>
          <w:highlight w:val="none"/>
        </w:rPr>
        <w:t>供应商</w:t>
      </w:r>
      <w:r>
        <w:rPr>
          <w:rFonts w:hint="eastAsia" w:ascii="宋体" w:cs="宋体"/>
          <w:color w:val="auto"/>
          <w:szCs w:val="21"/>
          <w:highlight w:val="none"/>
        </w:rPr>
        <w:t>须提供以下资料证明为中/小/微型企业：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a、</w:t>
      </w:r>
      <w:r>
        <w:rPr>
          <w:rFonts w:hint="eastAsia" w:ascii="宋体" w:hAnsi="宋体" w:cs="宋体"/>
          <w:color w:val="auto"/>
          <w:kern w:val="0"/>
          <w:szCs w:val="21"/>
          <w:highlight w:val="none"/>
        </w:rPr>
        <w:t>供应商</w:t>
      </w:r>
      <w:r>
        <w:rPr>
          <w:rFonts w:hint="eastAsia" w:ascii="宋体" w:cs="宋体"/>
          <w:color w:val="auto"/>
          <w:szCs w:val="21"/>
          <w:highlight w:val="none"/>
        </w:rPr>
        <w:t>必须明确企业所属类型，请在下列选项"□"勾注"√"</w:t>
      </w:r>
    </w:p>
    <w:p>
      <w:pPr>
        <w:autoSpaceDE w:val="0"/>
        <w:autoSpaceDN w:val="0"/>
        <w:adjustRightInd w:val="0"/>
        <w:spacing w:line="360" w:lineRule="auto"/>
        <w:ind w:left="363" w:leftChars="173"/>
        <w:rPr>
          <w:color w:val="auto"/>
          <w:szCs w:val="21"/>
          <w:highlight w:val="none"/>
        </w:rPr>
      </w:pPr>
      <w:r>
        <w:rPr>
          <w:rFonts w:hint="eastAsia" w:ascii="宋体" w:cs="宋体"/>
          <w:color w:val="auto"/>
          <w:szCs w:val="21"/>
          <w:highlight w:val="none"/>
        </w:rPr>
        <w:t>□农、林、牧、渔业  □工业  □建筑业  □批发业  □零售业  □交通运输业  □仓储业  □邮政业  □住宿业  □餐饮业  □信息传输业  □软件和信息技术服务业  □房地产开发经营  □物业管理  □租赁和商务服务业  □其他未列明行业。</w:t>
      </w:r>
    </w:p>
    <w:p>
      <w:pPr>
        <w:tabs>
          <w:tab w:val="left" w:pos="360"/>
        </w:tabs>
        <w:autoSpaceDE w:val="0"/>
        <w:autoSpaceDN w:val="0"/>
        <w:adjustRightInd w:val="0"/>
        <w:spacing w:line="360" w:lineRule="auto"/>
        <w:ind w:left="360" w:hanging="360"/>
        <w:rPr>
          <w:color w:val="auto"/>
          <w:szCs w:val="21"/>
          <w:highlight w:val="none"/>
        </w:rPr>
      </w:pPr>
      <w:r>
        <w:rPr>
          <w:rFonts w:hint="eastAsia" w:ascii="宋体" w:cs="宋体"/>
          <w:color w:val="auto"/>
          <w:szCs w:val="21"/>
          <w:highlight w:val="none"/>
        </w:rPr>
        <w:t>b、</w:t>
      </w:r>
      <w:r>
        <w:rPr>
          <w:rFonts w:hint="eastAsia" w:ascii="宋体" w:hAnsi="宋体" w:cs="宋体"/>
          <w:color w:val="auto"/>
          <w:kern w:val="0"/>
          <w:szCs w:val="21"/>
          <w:highlight w:val="none"/>
        </w:rPr>
        <w:t>供应商</w:t>
      </w:r>
      <w:r>
        <w:rPr>
          <w:rFonts w:hint="eastAsia" w:ascii="宋体" w:cs="宋体"/>
          <w:color w:val="auto"/>
          <w:szCs w:val="21"/>
          <w:highlight w:val="none"/>
        </w:rPr>
        <w:t>提供本《中小企业声明函》并加盖</w:t>
      </w:r>
      <w:r>
        <w:rPr>
          <w:rFonts w:hint="eastAsia" w:ascii="宋体" w:hAnsi="宋体" w:cs="宋体"/>
          <w:color w:val="auto"/>
          <w:kern w:val="0"/>
          <w:szCs w:val="21"/>
          <w:highlight w:val="none"/>
        </w:rPr>
        <w:t>供应商</w:t>
      </w:r>
      <w:r>
        <w:rPr>
          <w:rFonts w:hint="eastAsia" w:ascii="宋体" w:cs="宋体"/>
          <w:color w:val="auto"/>
          <w:szCs w:val="21"/>
          <w:highlight w:val="none"/>
        </w:rPr>
        <w:t>公章。</w:t>
      </w:r>
    </w:p>
    <w:p>
      <w:pPr>
        <w:spacing w:line="360" w:lineRule="auto"/>
        <w:ind w:left="359" w:hanging="359" w:hangingChars="171"/>
        <w:rPr>
          <w:rFonts w:ascii="宋体" w:hAnsi="宋体"/>
          <w:color w:val="auto"/>
          <w:szCs w:val="21"/>
          <w:highlight w:val="none"/>
          <w:lang w:val="en-GB"/>
        </w:rPr>
      </w:pPr>
      <w:r>
        <w:rPr>
          <w:rFonts w:hint="eastAsia" w:ascii="宋体" w:cs="宋体"/>
          <w:color w:val="auto"/>
          <w:szCs w:val="21"/>
          <w:highlight w:val="none"/>
        </w:rPr>
        <w:t>c、</w:t>
      </w:r>
      <w:r>
        <w:rPr>
          <w:rFonts w:hint="eastAsia" w:ascii="宋体" w:hAnsi="宋体" w:cs="宋体"/>
          <w:color w:val="auto"/>
          <w:kern w:val="0"/>
          <w:szCs w:val="21"/>
          <w:highlight w:val="none"/>
        </w:rPr>
        <w:t>供应商</w:t>
      </w:r>
      <w:r>
        <w:rPr>
          <w:rFonts w:hint="eastAsia" w:ascii="宋体" w:cs="宋体"/>
          <w:color w:val="auto"/>
          <w:szCs w:val="21"/>
          <w:highlight w:val="none"/>
        </w:rPr>
        <w:t>提供本企业的从业人员数量(以社保局或税务局开具的证明文件为准)、营业收入和资产总额（以会计师事务所审计的财务报告或税务部门审核的财务报告为准）证明文件（加盖公章）。</w:t>
      </w:r>
    </w:p>
    <w:p>
      <w:pPr>
        <w:spacing w:line="360" w:lineRule="auto"/>
        <w:ind w:left="718" w:hanging="718" w:hangingChars="342"/>
        <w:rPr>
          <w:rFonts w:ascii="宋体" w:hAnsi="宋体"/>
          <w:color w:val="auto"/>
          <w:szCs w:val="21"/>
          <w:highlight w:val="none"/>
          <w:lang w:val="en-GB"/>
        </w:rPr>
      </w:pPr>
    </w:p>
    <w:p>
      <w:pPr>
        <w:pStyle w:val="6"/>
        <w:rPr>
          <w:bCs/>
          <w:color w:val="auto"/>
          <w:szCs w:val="28"/>
          <w:highlight w:val="none"/>
        </w:rPr>
      </w:pPr>
      <w:r>
        <w:rPr>
          <w:b w:val="0"/>
          <w:bCs/>
          <w:color w:val="auto"/>
          <w:szCs w:val="28"/>
          <w:highlight w:val="none"/>
        </w:rPr>
        <w:br w:type="page"/>
      </w:r>
      <w:r>
        <w:rPr>
          <w:rFonts w:hint="eastAsia"/>
          <w:bCs/>
          <w:color w:val="auto"/>
          <w:szCs w:val="28"/>
          <w:highlight w:val="none"/>
        </w:rPr>
        <w:t>附件11 监狱企业的证明文件（如适用）</w:t>
      </w:r>
    </w:p>
    <w:p>
      <w:pPr>
        <w:spacing w:line="360" w:lineRule="auto"/>
        <w:rPr>
          <w:rFonts w:ascii="宋体" w:hAnsi="宋体"/>
          <w:color w:val="auto"/>
          <w:sz w:val="24"/>
          <w:highlight w:val="none"/>
        </w:rPr>
      </w:pPr>
    </w:p>
    <w:p>
      <w:pPr>
        <w:spacing w:line="360" w:lineRule="auto"/>
        <w:ind w:firstLine="420" w:firstLineChars="200"/>
        <w:rPr>
          <w:rFonts w:ascii="宋体" w:hAnsi="宋体"/>
          <w:color w:val="auto"/>
          <w:sz w:val="21"/>
          <w:szCs w:val="21"/>
          <w:highlight w:val="none"/>
        </w:rPr>
      </w:pPr>
      <w:r>
        <w:rPr>
          <w:rFonts w:hint="eastAsia" w:ascii="宋体" w:hAnsi="宋体"/>
          <w:color w:val="auto"/>
          <w:sz w:val="21"/>
          <w:szCs w:val="21"/>
          <w:highlight w:val="none"/>
        </w:rPr>
        <w:t>说明：监狱企业参加政府采购活动时，应当提供由省级以上监狱管理局、戒毒管理局（含新疆生产建设兵团）出具的属于监狱企业的证明文件。</w:t>
      </w:r>
    </w:p>
    <w:p>
      <w:pPr>
        <w:pStyle w:val="6"/>
        <w:ind w:firstLine="422" w:firstLineChars="200"/>
        <w:rPr>
          <w:color w:val="auto"/>
          <w:sz w:val="21"/>
          <w:szCs w:val="21"/>
          <w:highlight w:val="none"/>
        </w:rPr>
      </w:pPr>
      <w:bookmarkStart w:id="404" w:name="OLE_LINK13"/>
      <w:bookmarkStart w:id="405" w:name="OLE_LINK14"/>
    </w:p>
    <w:p>
      <w:pPr>
        <w:pStyle w:val="6"/>
        <w:rPr>
          <w:color w:val="auto"/>
          <w:sz w:val="21"/>
          <w:szCs w:val="21"/>
          <w:highlight w:val="none"/>
        </w:rPr>
      </w:pPr>
    </w:p>
    <w:p>
      <w:pPr>
        <w:pStyle w:val="6"/>
        <w:rPr>
          <w:b w:val="0"/>
          <w:bCs/>
          <w:color w:val="auto"/>
          <w:sz w:val="21"/>
          <w:szCs w:val="21"/>
          <w:highlight w:val="none"/>
        </w:rPr>
      </w:pPr>
      <w:r>
        <w:rPr>
          <w:rFonts w:hint="eastAsia"/>
          <w:b w:val="0"/>
          <w:bCs/>
          <w:color w:val="auto"/>
          <w:sz w:val="21"/>
          <w:szCs w:val="21"/>
          <w:highlight w:val="none"/>
        </w:rPr>
        <w:t>报价人全称（加盖公章）:</w:t>
      </w:r>
      <w:r>
        <w:rPr>
          <w:rFonts w:hint="eastAsia"/>
          <w:b w:val="0"/>
          <w:bCs/>
          <w:color w:val="auto"/>
          <w:sz w:val="21"/>
          <w:szCs w:val="21"/>
          <w:highlight w:val="none"/>
          <w:u w:val="single"/>
        </w:rPr>
        <w:t xml:space="preserve">                         </w:t>
      </w:r>
    </w:p>
    <w:p>
      <w:pPr>
        <w:pStyle w:val="6"/>
        <w:rPr>
          <w:b w:val="0"/>
          <w:bCs/>
          <w:color w:val="auto"/>
          <w:sz w:val="21"/>
          <w:szCs w:val="21"/>
          <w:highlight w:val="none"/>
        </w:rPr>
      </w:pPr>
      <w:r>
        <w:rPr>
          <w:rFonts w:hint="eastAsia"/>
          <w:b w:val="0"/>
          <w:bCs/>
          <w:color w:val="auto"/>
          <w:sz w:val="21"/>
          <w:szCs w:val="21"/>
          <w:highlight w:val="none"/>
        </w:rPr>
        <w:t>法定代表或其授权代表(签字或签章)：</w:t>
      </w:r>
      <w:r>
        <w:rPr>
          <w:rFonts w:hint="eastAsia"/>
          <w:b w:val="0"/>
          <w:bCs/>
          <w:color w:val="auto"/>
          <w:sz w:val="21"/>
          <w:szCs w:val="21"/>
          <w:highlight w:val="none"/>
          <w:u w:val="single"/>
        </w:rPr>
        <w:t xml:space="preserve">                        </w:t>
      </w:r>
    </w:p>
    <w:p>
      <w:pPr>
        <w:pStyle w:val="6"/>
        <w:rPr>
          <w:color w:val="auto"/>
          <w:sz w:val="24"/>
          <w:szCs w:val="24"/>
          <w:highlight w:val="none"/>
        </w:rPr>
      </w:pPr>
      <w:r>
        <w:rPr>
          <w:rFonts w:hint="eastAsia"/>
          <w:b w:val="0"/>
          <w:bCs/>
          <w:color w:val="auto"/>
          <w:sz w:val="21"/>
          <w:szCs w:val="21"/>
          <w:highlight w:val="none"/>
        </w:rPr>
        <w:t>日    期： 2020年  月  日</w:t>
      </w:r>
      <w:r>
        <w:rPr>
          <w:rFonts w:hint="eastAsia"/>
          <w:color w:val="auto"/>
          <w:sz w:val="21"/>
          <w:szCs w:val="21"/>
          <w:highlight w:val="none"/>
        </w:rPr>
        <w:br w:type="page"/>
      </w:r>
      <w:bookmarkStart w:id="406" w:name="_Toc512331248"/>
    </w:p>
    <w:p>
      <w:pPr>
        <w:pStyle w:val="6"/>
        <w:rPr>
          <w:bCs/>
          <w:color w:val="auto"/>
          <w:szCs w:val="28"/>
          <w:highlight w:val="none"/>
        </w:rPr>
      </w:pPr>
      <w:r>
        <w:rPr>
          <w:rFonts w:hint="eastAsia"/>
          <w:bCs/>
          <w:color w:val="auto"/>
          <w:szCs w:val="28"/>
          <w:highlight w:val="none"/>
        </w:rPr>
        <w:t>附件12 残疾人福利性单位声明函（如适用）</w:t>
      </w:r>
      <w:bookmarkEnd w:id="406"/>
    </w:p>
    <w:p>
      <w:pPr>
        <w:rPr>
          <w:color w:val="auto"/>
          <w:highlight w:val="none"/>
        </w:rPr>
      </w:pPr>
    </w:p>
    <w:bookmarkEnd w:id="404"/>
    <w:bookmarkEnd w:id="405"/>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本单位郑重声明，根据《财政部 民政部 中国残疾人联合会关于促进残疾人就业政府采购政策的通知》（财库</w:t>
      </w:r>
      <w:r>
        <w:rPr>
          <w:rFonts w:hint="eastAsia" w:ascii="宋体" w:hAnsi="宋体"/>
          <w:color w:val="auto"/>
          <w:sz w:val="21"/>
          <w:szCs w:val="21"/>
          <w:highlight w:val="none"/>
        </w:rPr>
        <w:t>〔2017〕 141</w:t>
      </w:r>
      <w:r>
        <w:rPr>
          <w:rFonts w:hint="eastAsia" w:ascii="宋体" w:hAnsi="宋体"/>
          <w:color w:val="auto"/>
          <w:spacing w:val="6"/>
          <w:sz w:val="21"/>
          <w:szCs w:val="21"/>
          <w:highlight w:val="none"/>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360" w:lineRule="auto"/>
        <w:ind w:firstLine="444" w:firstLineChars="200"/>
        <w:rPr>
          <w:rFonts w:ascii="宋体" w:hAnsi="宋体"/>
          <w:color w:val="auto"/>
          <w:spacing w:val="6"/>
          <w:sz w:val="21"/>
          <w:szCs w:val="21"/>
          <w:highlight w:val="none"/>
        </w:rPr>
      </w:pPr>
      <w:r>
        <w:rPr>
          <w:rFonts w:hint="eastAsia" w:ascii="宋体" w:hAnsi="宋体"/>
          <w:color w:val="auto"/>
          <w:spacing w:val="6"/>
          <w:sz w:val="21"/>
          <w:szCs w:val="21"/>
          <w:highlight w:val="none"/>
        </w:rPr>
        <w:t>本单位对上述声明的真实性负责。如有虚假，将依法承担相应责任。</w:t>
      </w:r>
    </w:p>
    <w:p>
      <w:pPr>
        <w:spacing w:line="360" w:lineRule="auto"/>
        <w:ind w:firstLine="444" w:firstLineChars="200"/>
        <w:rPr>
          <w:rFonts w:ascii="宋体" w:hAnsi="宋体"/>
          <w:color w:val="auto"/>
          <w:spacing w:val="6"/>
          <w:sz w:val="21"/>
          <w:szCs w:val="21"/>
          <w:highlight w:val="none"/>
        </w:rPr>
      </w:pPr>
    </w:p>
    <w:p>
      <w:pPr>
        <w:spacing w:line="360" w:lineRule="auto"/>
        <w:ind w:firstLine="444" w:firstLineChars="200"/>
        <w:rPr>
          <w:rFonts w:ascii="宋体" w:hAnsi="宋体"/>
          <w:color w:val="auto"/>
          <w:spacing w:val="6"/>
          <w:sz w:val="21"/>
          <w:szCs w:val="21"/>
          <w:highlight w:val="none"/>
        </w:rPr>
      </w:pPr>
    </w:p>
    <w:p>
      <w:pPr>
        <w:tabs>
          <w:tab w:val="left" w:pos="4860"/>
        </w:tabs>
        <w:spacing w:line="360" w:lineRule="auto"/>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单位名称（盖章）：</w:t>
      </w:r>
      <w:r>
        <w:rPr>
          <w:rFonts w:hint="eastAsia" w:ascii="宋体" w:hAnsi="宋体"/>
          <w:color w:val="auto"/>
          <w:spacing w:val="6"/>
          <w:sz w:val="21"/>
          <w:szCs w:val="21"/>
          <w:highlight w:val="none"/>
          <w:u w:val="single"/>
        </w:rPr>
        <w:t xml:space="preserve">                     </w:t>
      </w:r>
    </w:p>
    <w:p>
      <w:pPr>
        <w:tabs>
          <w:tab w:val="left" w:pos="4860"/>
        </w:tabs>
        <w:ind w:firstLine="3996" w:firstLineChars="1800"/>
        <w:jc w:val="left"/>
        <w:rPr>
          <w:rFonts w:ascii="宋体" w:hAnsi="宋体"/>
          <w:color w:val="auto"/>
          <w:spacing w:val="6"/>
          <w:sz w:val="21"/>
          <w:szCs w:val="21"/>
          <w:highlight w:val="none"/>
        </w:rPr>
      </w:pPr>
      <w:r>
        <w:rPr>
          <w:rFonts w:hint="eastAsia" w:ascii="宋体" w:hAnsi="宋体"/>
          <w:color w:val="auto"/>
          <w:spacing w:val="6"/>
          <w:sz w:val="21"/>
          <w:szCs w:val="21"/>
          <w:highlight w:val="none"/>
        </w:rPr>
        <w:t>日  期：</w:t>
      </w:r>
    </w:p>
    <w:p>
      <w:pPr>
        <w:spacing w:line="360" w:lineRule="auto"/>
        <w:rPr>
          <w:rFonts w:ascii="宋体" w:hAnsi="宋体"/>
          <w:bCs/>
          <w:color w:val="auto"/>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附件13 供应商基本情况表</w:t>
      </w:r>
    </w:p>
    <w:p>
      <w:pPr>
        <w:pStyle w:val="144"/>
        <w:rPr>
          <w:color w:val="auto"/>
          <w:sz w:val="21"/>
          <w:szCs w:val="21"/>
          <w:highlight w:val="none"/>
        </w:rPr>
      </w:pPr>
    </w:p>
    <w:p>
      <w:pPr>
        <w:spacing w:line="360" w:lineRule="auto"/>
        <w:rPr>
          <w:rFonts w:ascii="宋体" w:hAnsi="宋体"/>
          <w:color w:val="auto"/>
          <w:szCs w:val="21"/>
          <w:highlight w:val="none"/>
          <w:u w:val="single"/>
        </w:rPr>
      </w:pPr>
      <w:r>
        <w:rPr>
          <w:rFonts w:hint="eastAsia" w:ascii="宋体" w:hAnsi="宋体"/>
          <w:color w:val="auto"/>
          <w:szCs w:val="21"/>
          <w:highlight w:val="none"/>
        </w:rPr>
        <w:t>1、公司名称：                     电话号码：</w:t>
      </w:r>
    </w:p>
    <w:p>
      <w:pPr>
        <w:spacing w:line="360" w:lineRule="auto"/>
        <w:rPr>
          <w:rFonts w:ascii="宋体" w:hAnsi="宋体"/>
          <w:color w:val="auto"/>
          <w:szCs w:val="21"/>
          <w:highlight w:val="none"/>
          <w:u w:val="single"/>
        </w:rPr>
      </w:pPr>
      <w:r>
        <w:rPr>
          <w:rFonts w:hint="eastAsia" w:ascii="宋体" w:hAnsi="宋体"/>
          <w:color w:val="auto"/>
          <w:szCs w:val="21"/>
          <w:highlight w:val="none"/>
        </w:rPr>
        <w:t>2、地    址：                     传    真：</w:t>
      </w:r>
    </w:p>
    <w:p>
      <w:pPr>
        <w:spacing w:line="360" w:lineRule="auto"/>
        <w:rPr>
          <w:rFonts w:ascii="宋体" w:hAnsi="宋体"/>
          <w:color w:val="auto"/>
          <w:szCs w:val="21"/>
          <w:highlight w:val="none"/>
          <w:u w:val="single"/>
        </w:rPr>
      </w:pPr>
      <w:r>
        <w:rPr>
          <w:rFonts w:hint="eastAsia" w:ascii="宋体" w:hAnsi="宋体"/>
          <w:color w:val="auto"/>
          <w:szCs w:val="21"/>
          <w:highlight w:val="none"/>
        </w:rPr>
        <w:t>3、经济性质：</w:t>
      </w:r>
    </w:p>
    <w:p>
      <w:pPr>
        <w:spacing w:line="360" w:lineRule="auto"/>
        <w:rPr>
          <w:rFonts w:ascii="宋体" w:hAnsi="宋体"/>
          <w:color w:val="auto"/>
          <w:szCs w:val="21"/>
          <w:highlight w:val="none"/>
        </w:rPr>
      </w:pPr>
      <w:r>
        <w:rPr>
          <w:rFonts w:hint="eastAsia" w:ascii="宋体" w:hAnsi="宋体"/>
          <w:color w:val="auto"/>
          <w:szCs w:val="21"/>
          <w:highlight w:val="none"/>
        </w:rPr>
        <w:t xml:space="preserve">4、公司开户银行名称及帐户：                 </w:t>
      </w:r>
    </w:p>
    <w:p>
      <w:pPr>
        <w:pStyle w:val="144"/>
        <w:rPr>
          <w:color w:val="auto"/>
          <w:sz w:val="21"/>
          <w:szCs w:val="21"/>
          <w:highlight w:val="none"/>
        </w:rPr>
      </w:pPr>
      <w:r>
        <w:rPr>
          <w:rFonts w:hint="eastAsia"/>
          <w:color w:val="auto"/>
          <w:sz w:val="21"/>
          <w:szCs w:val="21"/>
          <w:highlight w:val="none"/>
        </w:rPr>
        <w:t xml:space="preserve">   名称：</w:t>
      </w:r>
    </w:p>
    <w:p>
      <w:pPr>
        <w:spacing w:line="360" w:lineRule="auto"/>
        <w:ind w:firstLine="315" w:firstLineChars="150"/>
        <w:rPr>
          <w:rFonts w:ascii="宋体" w:hAnsi="宋体"/>
          <w:color w:val="auto"/>
          <w:szCs w:val="21"/>
          <w:highlight w:val="none"/>
          <w:u w:val="single"/>
        </w:rPr>
      </w:pPr>
      <w:r>
        <w:rPr>
          <w:rFonts w:hint="eastAsia" w:ascii="宋体" w:hAnsi="宋体"/>
          <w:color w:val="auto"/>
          <w:szCs w:val="21"/>
          <w:highlight w:val="none"/>
        </w:rPr>
        <w:t>帐户：</w:t>
      </w:r>
    </w:p>
    <w:p>
      <w:pPr>
        <w:autoSpaceDE w:val="0"/>
        <w:spacing w:line="360" w:lineRule="auto"/>
        <w:rPr>
          <w:rFonts w:ascii="宋体" w:hAnsi="宋体"/>
          <w:color w:val="auto"/>
          <w:szCs w:val="21"/>
          <w:highlight w:val="none"/>
        </w:rPr>
      </w:pPr>
      <w:r>
        <w:rPr>
          <w:rFonts w:hint="eastAsia" w:ascii="宋体" w:hAnsi="宋体"/>
          <w:color w:val="auto"/>
          <w:szCs w:val="21"/>
          <w:highlight w:val="none"/>
        </w:rPr>
        <w:t xml:space="preserve">5、公司基本情况： </w:t>
      </w:r>
    </w:p>
    <w:p>
      <w:pPr>
        <w:spacing w:line="360" w:lineRule="auto"/>
        <w:rPr>
          <w:rFonts w:ascii="宋体" w:hAnsi="宋体"/>
          <w:color w:val="auto"/>
          <w:szCs w:val="21"/>
          <w:highlight w:val="none"/>
        </w:rPr>
      </w:pPr>
      <w:r>
        <w:rPr>
          <w:rFonts w:hint="eastAsia" w:ascii="宋体" w:hAnsi="宋体"/>
          <w:color w:val="auto"/>
          <w:szCs w:val="21"/>
          <w:highlight w:val="none"/>
        </w:rPr>
        <w:t>6、</w:t>
      </w:r>
      <w:r>
        <w:rPr>
          <w:rFonts w:hint="eastAsia" w:ascii="宋体" w:hAnsi="宋体" w:cs="宋体"/>
          <w:color w:val="auto"/>
          <w:kern w:val="0"/>
          <w:szCs w:val="21"/>
          <w:highlight w:val="none"/>
        </w:rPr>
        <w:t>供应商</w:t>
      </w:r>
      <w:r>
        <w:rPr>
          <w:rFonts w:hint="eastAsia" w:ascii="宋体" w:hAnsi="宋体"/>
          <w:color w:val="auto"/>
          <w:szCs w:val="21"/>
          <w:highlight w:val="none"/>
        </w:rPr>
        <w:t>获得资质和荣誉证书复印件一览表（后附相关证书复印件加盖公章）</w:t>
      </w:r>
    </w:p>
    <w:tbl>
      <w:tblPr>
        <w:tblStyle w:val="90"/>
        <w:tblW w:w="94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证书名称</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发证单位</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证书等级</w:t>
            </w:r>
          </w:p>
        </w:tc>
        <w:tc>
          <w:tcPr>
            <w:tcW w:w="236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5"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c>
          <w:tcPr>
            <w:tcW w:w="236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我/我们声明以上所述准确无误，您有权进行您认为有必要的所有调查。</w:t>
      </w: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ascii="宋体" w:hAnsi="宋体"/>
          <w:bCs/>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br w:type="page"/>
      </w:r>
      <w:bookmarkStart w:id="407" w:name="_Toc81142098"/>
      <w:bookmarkStart w:id="408" w:name="_Toc109467914"/>
    </w:p>
    <w:p>
      <w:pPr>
        <w:spacing w:line="360" w:lineRule="auto"/>
        <w:rPr>
          <w:rFonts w:ascii="宋体" w:hAnsi="宋体"/>
          <w:color w:val="auto"/>
          <w:szCs w:val="21"/>
          <w:highlight w:val="none"/>
        </w:rPr>
      </w:pPr>
      <w:r>
        <w:rPr>
          <w:rFonts w:hint="eastAsia" w:ascii="宋体" w:hAnsi="宋体"/>
          <w:b/>
          <w:bCs/>
          <w:color w:val="auto"/>
          <w:kern w:val="0"/>
          <w:sz w:val="28"/>
          <w:szCs w:val="28"/>
          <w:highlight w:val="none"/>
        </w:rPr>
        <w:t>附件14  采购需求响应表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pStyle w:val="144"/>
        <w:rPr>
          <w:color w:val="auto"/>
          <w:sz w:val="21"/>
          <w:szCs w:val="21"/>
          <w:highlight w:val="none"/>
        </w:rPr>
      </w:pPr>
    </w:p>
    <w:tbl>
      <w:tblPr>
        <w:tblStyle w:val="90"/>
        <w:tblW w:w="9210" w:type="dxa"/>
        <w:tblInd w:w="0" w:type="dxa"/>
        <w:tblLayout w:type="fixed"/>
        <w:tblCellMar>
          <w:top w:w="0" w:type="dxa"/>
          <w:left w:w="30" w:type="dxa"/>
          <w:bottom w:w="0" w:type="dxa"/>
          <w:right w:w="30" w:type="dxa"/>
        </w:tblCellMar>
      </w:tblPr>
      <w:tblGrid>
        <w:gridCol w:w="930"/>
        <w:gridCol w:w="4680"/>
        <w:gridCol w:w="1080"/>
        <w:gridCol w:w="2520"/>
      </w:tblGrid>
      <w:tr>
        <w:tblPrEx>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内容</w:t>
            </w:r>
            <w:r>
              <w:rPr>
                <w:rFonts w:hint="eastAsia" w:ascii="宋体" w:hAnsi="宋体"/>
                <w:bCs/>
                <w:color w:val="auto"/>
                <w:szCs w:val="21"/>
                <w:highlight w:val="none"/>
              </w:rPr>
              <w:t>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差异</w:t>
            </w: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cs="Arial"/>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hint="eastAsia" w:ascii="宋体" w:hAnsi="宋体" w:cs="Arial"/>
                <w:color w:val="auto"/>
                <w:szCs w:val="21"/>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cs="Arial"/>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r>
        <w:tblPrEx>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cs="Arial"/>
                <w:color w:val="auto"/>
                <w:szCs w:val="21"/>
                <w:highlight w:val="none"/>
              </w:rPr>
            </w:pPr>
            <w:r>
              <w:rPr>
                <w:rFonts w:ascii="宋体" w:hAnsi="宋体" w:cs="Arial"/>
                <w:color w:val="auto"/>
                <w:szCs w:val="21"/>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bCs/>
                <w:color w:val="auto"/>
                <w:szCs w:val="21"/>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color w:val="auto"/>
                <w:szCs w:val="21"/>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color w:val="auto"/>
                <w:szCs w:val="21"/>
                <w:highlight w:val="none"/>
              </w:rPr>
            </w:pPr>
          </w:p>
        </w:tc>
      </w:tr>
    </w:tbl>
    <w:p>
      <w:pPr>
        <w:spacing w:line="360" w:lineRule="auto"/>
        <w:rPr>
          <w:rFonts w:ascii="宋体" w:hAnsi="宋体"/>
          <w:color w:val="auto"/>
          <w:szCs w:val="21"/>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供应商全称（盖公章）：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szCs w:val="21"/>
          <w:highlight w:val="none"/>
        </w:rPr>
      </w:pPr>
    </w:p>
    <w:p>
      <w:pPr>
        <w:spacing w:line="360" w:lineRule="auto"/>
        <w:rPr>
          <w:rFonts w:ascii="宋体" w:hAnsi="宋体" w:cs="Arial"/>
          <w:b/>
          <w:color w:val="auto"/>
          <w:szCs w:val="21"/>
          <w:highlight w:val="none"/>
        </w:rPr>
      </w:pPr>
      <w:r>
        <w:rPr>
          <w:rFonts w:hint="eastAsia" w:ascii="宋体" w:hAnsi="宋体"/>
          <w:b/>
          <w:color w:val="auto"/>
          <w:szCs w:val="21"/>
          <w:highlight w:val="none"/>
        </w:rPr>
        <w:t>注：1.</w:t>
      </w:r>
      <w:r>
        <w:rPr>
          <w:rFonts w:hint="eastAsia" w:ascii="宋体" w:hAnsi="宋体" w:cs="Arial"/>
          <w:b/>
          <w:color w:val="auto"/>
          <w:szCs w:val="21"/>
          <w:highlight w:val="none"/>
        </w:rPr>
        <w:t>本表格内容需对第三章“采购人需求书”内容进行响应填报。</w:t>
      </w:r>
    </w:p>
    <w:p>
      <w:pPr>
        <w:spacing w:line="360" w:lineRule="auto"/>
        <w:ind w:firstLine="413" w:firstLineChars="196"/>
        <w:jc w:val="left"/>
        <w:rPr>
          <w:rFonts w:ascii="宋体" w:hAnsi="宋体" w:cs="Arial"/>
          <w:b/>
          <w:color w:val="auto"/>
          <w:szCs w:val="21"/>
          <w:highlight w:val="none"/>
        </w:rPr>
      </w:pPr>
      <w:r>
        <w:rPr>
          <w:rFonts w:hint="eastAsia" w:ascii="宋体" w:hAnsi="宋体" w:cs="Arial"/>
          <w:b/>
          <w:color w:val="auto"/>
          <w:szCs w:val="21"/>
          <w:highlight w:val="none"/>
        </w:rPr>
        <w:t>2.采购人需求书中的服务要求仅为最低要求。供应商在磋商响应文件中必须列出具体报价响应内容。如果供应商只注明“符合”或“满足”，将被视为“不符合”，从而可能导致严重影响评标结果。</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cs="Arial"/>
          <w:b/>
          <w:color w:val="auto"/>
          <w:szCs w:val="21"/>
          <w:highlight w:val="none"/>
        </w:rPr>
        <w:t>3.供应商没有在磋商响应文件中注明偏离（文字说明或在服务、商务偏离表注明）的参数、配置、条款视为供应商完全接受。</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附件15  合同条款响应一览表</w:t>
      </w:r>
    </w:p>
    <w:p>
      <w:pPr>
        <w:pStyle w:val="144"/>
        <w:rPr>
          <w:color w:val="auto"/>
          <w:highlight w:val="none"/>
        </w:rPr>
      </w:pPr>
    </w:p>
    <w:p>
      <w:pPr>
        <w:spacing w:line="360" w:lineRule="auto"/>
        <w:ind w:left="945" w:hanging="945" w:hangingChars="450"/>
        <w:rPr>
          <w:rFonts w:ascii="宋体" w:hAnsi="宋体"/>
          <w:color w:val="auto"/>
          <w:szCs w:val="21"/>
          <w:highlight w:val="none"/>
        </w:rPr>
      </w:pPr>
      <w:r>
        <w:rPr>
          <w:rFonts w:hint="eastAsia" w:ascii="宋体" w:hAnsi="宋体"/>
          <w:color w:val="auto"/>
          <w:szCs w:val="21"/>
          <w:highlight w:val="none"/>
        </w:rPr>
        <w:t>说明：1、</w:t>
      </w:r>
      <w:r>
        <w:rPr>
          <w:rFonts w:hint="eastAsia" w:ascii="宋体" w:hAnsi="宋体" w:cs="宋体"/>
          <w:color w:val="auto"/>
          <w:kern w:val="0"/>
          <w:szCs w:val="21"/>
          <w:highlight w:val="none"/>
        </w:rPr>
        <w:t>供应商</w:t>
      </w:r>
      <w:r>
        <w:rPr>
          <w:rFonts w:hint="eastAsia" w:ascii="宋体" w:hAnsi="宋体"/>
          <w:color w:val="auto"/>
          <w:szCs w:val="21"/>
          <w:highlight w:val="none"/>
        </w:rPr>
        <w:t>必须对应竞争性磋商文件的第四章政府采购合同条款逐条应答并按要求填写下表。</w:t>
      </w:r>
    </w:p>
    <w:p>
      <w:pPr>
        <w:spacing w:line="360" w:lineRule="auto"/>
        <w:ind w:left="533" w:leftChars="254"/>
        <w:rPr>
          <w:rFonts w:ascii="宋体" w:hAnsi="宋体"/>
          <w:color w:val="auto"/>
          <w:szCs w:val="21"/>
          <w:highlight w:val="none"/>
        </w:rPr>
      </w:pPr>
      <w:r>
        <w:rPr>
          <w:rFonts w:hint="eastAsia" w:ascii="宋体" w:hAnsi="宋体"/>
          <w:color w:val="auto"/>
          <w:szCs w:val="21"/>
          <w:highlight w:val="none"/>
        </w:rPr>
        <w:t>2、对完全响应的条目在下表相应列中标注“○”。对有偏离的条目在下表相应列中标注“×”，并简述偏离内容。</w:t>
      </w:r>
    </w:p>
    <w:tbl>
      <w:tblPr>
        <w:tblStyle w:val="90"/>
        <w:tblW w:w="9437"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1" w:hRule="atLeast"/>
        </w:trPr>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合同条款条目</w:t>
            </w: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完全</w:t>
            </w:r>
          </w:p>
          <w:p>
            <w:pPr>
              <w:spacing w:line="360" w:lineRule="auto"/>
              <w:jc w:val="center"/>
              <w:rPr>
                <w:rFonts w:ascii="宋体" w:hAnsi="宋体"/>
                <w:color w:val="auto"/>
                <w:szCs w:val="21"/>
                <w:highlight w:val="none"/>
              </w:rPr>
            </w:pPr>
            <w:r>
              <w:rPr>
                <w:rFonts w:hint="eastAsia" w:ascii="宋体" w:hAnsi="宋体"/>
                <w:color w:val="auto"/>
                <w:szCs w:val="21"/>
                <w:highlight w:val="none"/>
              </w:rPr>
              <w:t>响应</w:t>
            </w: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有偏离</w:t>
            </w: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5</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pStyle w:val="186"/>
              <w:keepNext w:val="0"/>
              <w:adjustRightInd/>
              <w:spacing w:before="0" w:after="0" w:line="360" w:lineRule="auto"/>
              <w:rPr>
                <w:rFonts w:ascii="宋体" w:hAnsi="宋体"/>
                <w:color w:val="auto"/>
                <w:spacing w:val="0"/>
                <w:kern w:val="2"/>
                <w:sz w:val="21"/>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6</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7</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8</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9</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5"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10</w:t>
            </w:r>
          </w:p>
        </w:tc>
        <w:tc>
          <w:tcPr>
            <w:tcW w:w="5025"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olor w:val="auto"/>
                <w:szCs w:val="21"/>
                <w:highlight w:val="none"/>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0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56"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color w:val="auto"/>
          <w:sz w:val="24"/>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注：供应商对竞争性磋商文件的合同（样本）不允许实质性偏离，否则将视为不响应。</w:t>
      </w:r>
    </w:p>
    <w:p>
      <w:pPr>
        <w:spacing w:line="360" w:lineRule="auto"/>
        <w:rPr>
          <w:rFonts w:ascii="宋体" w:hAnsi="宋体"/>
          <w:b/>
          <w:color w:val="auto"/>
          <w:sz w:val="24"/>
          <w:highlight w:val="none"/>
        </w:rPr>
      </w:pPr>
    </w:p>
    <w:p>
      <w:pPr>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ind w:firstLine="413" w:firstLineChars="196"/>
        <w:rPr>
          <w:rFonts w:ascii="宋体" w:hAnsi="宋体" w:cs="Arial"/>
          <w:b/>
          <w:color w:val="auto"/>
          <w:szCs w:val="21"/>
          <w:highlight w:val="none"/>
        </w:rPr>
        <w:sectPr>
          <w:pgSz w:w="11906" w:h="16838"/>
          <w:pgMar w:top="567" w:right="1304" w:bottom="567" w:left="1361" w:header="567" w:footer="737" w:gutter="0"/>
          <w:pgBorders>
            <w:top w:val="none" w:sz="0" w:space="0"/>
            <w:left w:val="none" w:sz="0" w:space="0"/>
            <w:bottom w:val="none" w:sz="0" w:space="0"/>
            <w:right w:val="none" w:sz="0" w:space="0"/>
          </w:pgBorders>
          <w:cols w:space="720" w:num="1"/>
          <w:docGrid w:linePitch="312" w:charSpace="0"/>
        </w:sectPr>
      </w:pPr>
    </w:p>
    <w:p>
      <w:pPr>
        <w:spacing w:line="360" w:lineRule="auto"/>
        <w:ind w:firstLine="413" w:firstLineChars="196"/>
        <w:rPr>
          <w:rFonts w:ascii="宋体" w:hAnsi="宋体"/>
          <w:b/>
          <w:bCs/>
          <w:color w:val="auto"/>
          <w:kern w:val="0"/>
          <w:szCs w:val="21"/>
          <w:highlight w:val="none"/>
        </w:rPr>
      </w:pPr>
    </w:p>
    <w:bookmarkEnd w:id="407"/>
    <w:bookmarkEnd w:id="408"/>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 xml:space="preserve">附件16  </w:t>
      </w:r>
      <w:r>
        <w:rPr>
          <w:rFonts w:ascii="宋体" w:hAnsi="宋体"/>
          <w:b/>
          <w:bCs/>
          <w:color w:val="auto"/>
          <w:kern w:val="0"/>
          <w:sz w:val="28"/>
          <w:szCs w:val="28"/>
          <w:highlight w:val="none"/>
        </w:rPr>
        <w:t>同类</w:t>
      </w:r>
      <w:r>
        <w:rPr>
          <w:rFonts w:hint="eastAsia" w:ascii="宋体" w:hAnsi="宋体"/>
          <w:b/>
          <w:bCs/>
          <w:color w:val="auto"/>
          <w:kern w:val="0"/>
          <w:sz w:val="28"/>
          <w:szCs w:val="28"/>
          <w:highlight w:val="none"/>
        </w:rPr>
        <w:t>项目业绩一览表</w:t>
      </w:r>
    </w:p>
    <w:p>
      <w:pPr>
        <w:pStyle w:val="46"/>
        <w:spacing w:line="360" w:lineRule="auto"/>
        <w:ind w:right="482"/>
        <w:rPr>
          <w:rFonts w:hAnsi="宋体"/>
          <w:color w:val="auto"/>
          <w:szCs w:val="21"/>
          <w:highlight w:val="none"/>
        </w:rPr>
      </w:pPr>
    </w:p>
    <w:p>
      <w:pPr>
        <w:pStyle w:val="46"/>
        <w:spacing w:line="360" w:lineRule="auto"/>
        <w:ind w:right="482"/>
        <w:rPr>
          <w:rFonts w:hAnsi="宋体"/>
          <w:color w:val="auto"/>
          <w:szCs w:val="21"/>
          <w:highlight w:val="none"/>
        </w:rPr>
      </w:pPr>
      <w:r>
        <w:rPr>
          <w:rFonts w:hint="eastAsia" w:hAnsi="宋体"/>
          <w:color w:val="auto"/>
          <w:szCs w:val="21"/>
          <w:highlight w:val="none"/>
        </w:rPr>
        <w:t xml:space="preserve">项目名称： </w:t>
      </w:r>
    </w:p>
    <w:p>
      <w:pPr>
        <w:spacing w:line="360" w:lineRule="auto"/>
        <w:rPr>
          <w:rFonts w:ascii="宋体" w:hAnsi="宋体" w:cs="Tahoma"/>
          <w:color w:val="auto"/>
          <w:szCs w:val="21"/>
          <w:highlight w:val="none"/>
        </w:rPr>
      </w:pPr>
      <w:r>
        <w:rPr>
          <w:rFonts w:hint="eastAsia" w:hAnsi="宋体" w:cs="宋体"/>
          <w:color w:val="auto"/>
          <w:szCs w:val="21"/>
          <w:highlight w:val="none"/>
        </w:rPr>
        <w:t>项目编</w:t>
      </w:r>
      <w:r>
        <w:rPr>
          <w:rFonts w:hint="eastAsia" w:ascii="宋体" w:hAnsi="宋体" w:cs="宋体"/>
          <w:color w:val="auto"/>
          <w:szCs w:val="21"/>
          <w:highlight w:val="none"/>
        </w:rPr>
        <w:t xml:space="preserve">号： </w:t>
      </w:r>
    </w:p>
    <w:tbl>
      <w:tblPr>
        <w:tblStyle w:val="90"/>
        <w:tblW w:w="93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业主名称</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项目名称</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项目内容</w:t>
            </w: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合同总价</w:t>
            </w:r>
          </w:p>
          <w:p>
            <w:pPr>
              <w:spacing w:line="360" w:lineRule="auto"/>
              <w:jc w:val="center"/>
              <w:rPr>
                <w:rFonts w:ascii="宋体" w:hAnsi="宋体"/>
                <w:color w:val="auto"/>
                <w:szCs w:val="21"/>
                <w:highlight w:val="none"/>
              </w:rPr>
            </w:pPr>
            <w:r>
              <w:rPr>
                <w:rFonts w:hint="eastAsia" w:ascii="宋体" w:hAnsi="宋体"/>
                <w:color w:val="auto"/>
                <w:szCs w:val="21"/>
                <w:highlight w:val="none"/>
              </w:rPr>
              <w:t>（单位/万元）</w:t>
            </w: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签约及完成时间</w:t>
            </w: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5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123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34"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220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240"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c>
          <w:tcPr>
            <w:tcW w:w="137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color w:val="auto"/>
                <w:szCs w:val="21"/>
                <w:highlight w:val="none"/>
              </w:rPr>
            </w:pPr>
          </w:p>
        </w:tc>
      </w:tr>
    </w:tbl>
    <w:p>
      <w:pPr>
        <w:spacing w:line="360" w:lineRule="auto"/>
        <w:rPr>
          <w:rFonts w:ascii="宋体" w:hAnsi="宋体"/>
          <w:b/>
          <w:color w:val="auto"/>
          <w:szCs w:val="21"/>
          <w:highlight w:val="none"/>
        </w:rPr>
      </w:pPr>
    </w:p>
    <w:p>
      <w:pPr>
        <w:spacing w:line="360" w:lineRule="auto"/>
        <w:rPr>
          <w:rFonts w:ascii="宋体" w:hAnsi="宋体"/>
          <w:b/>
          <w:color w:val="auto"/>
          <w:szCs w:val="21"/>
          <w:highlight w:val="none"/>
        </w:rPr>
      </w:pPr>
      <w:r>
        <w:rPr>
          <w:rFonts w:hint="eastAsia" w:ascii="宋体" w:hAnsi="宋体"/>
          <w:b/>
          <w:color w:val="auto"/>
          <w:szCs w:val="21"/>
          <w:highlight w:val="none"/>
        </w:rPr>
        <w:t>注：请附上成交/中标通知书或合同复印件作为同类业绩证明资料。</w:t>
      </w:r>
    </w:p>
    <w:p>
      <w:pPr>
        <w:spacing w:line="360" w:lineRule="auto"/>
        <w:ind w:left="632" w:hanging="632" w:hangingChars="300"/>
        <w:rPr>
          <w:rFonts w:ascii="宋体" w:hAnsi="宋体"/>
          <w:b/>
          <w:color w:val="auto"/>
          <w:szCs w:val="21"/>
          <w:highlight w:val="none"/>
        </w:rPr>
      </w:pPr>
    </w:p>
    <w:p>
      <w:pPr>
        <w:spacing w:line="360" w:lineRule="auto"/>
        <w:rPr>
          <w:rFonts w:ascii="宋体" w:hAnsi="宋体"/>
          <w:bCs/>
          <w:color w:val="auto"/>
          <w:szCs w:val="21"/>
          <w:highlight w:val="none"/>
        </w:rPr>
      </w:pPr>
    </w:p>
    <w:p>
      <w:pPr>
        <w:adjustRightInd w:val="0"/>
        <w:snapToGrid w:val="0"/>
        <w:spacing w:line="360" w:lineRule="auto"/>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adjustRightInd w:val="0"/>
        <w:snapToGrid w:val="0"/>
        <w:spacing w:line="360" w:lineRule="auto"/>
        <w:rPr>
          <w:rFonts w:ascii="宋体" w:hAnsi="宋体"/>
          <w:color w:val="auto"/>
          <w:szCs w:val="21"/>
          <w:highlight w:val="none"/>
        </w:rPr>
      </w:pPr>
      <w:r>
        <w:rPr>
          <w:rFonts w:hint="eastAsia" w:ascii="宋体" w:hAnsi="宋体"/>
          <w:color w:val="auto"/>
          <w:szCs w:val="21"/>
          <w:highlight w:val="none"/>
        </w:rPr>
        <w:t>日    期： 2020年  月  日</w:t>
      </w:r>
    </w:p>
    <w:p>
      <w:pPr>
        <w:spacing w:line="360" w:lineRule="auto"/>
        <w:rPr>
          <w:rFonts w:ascii="宋体" w:hAnsi="宋体"/>
          <w:color w:val="auto"/>
          <w:highlight w:val="none"/>
        </w:rPr>
      </w:pPr>
      <w:r>
        <w:rPr>
          <w:rFonts w:hint="eastAsia" w:ascii="宋体" w:hAnsi="宋体"/>
          <w:color w:val="auto"/>
          <w:highlight w:val="none"/>
        </w:rPr>
        <w:br w:type="page"/>
      </w:r>
    </w:p>
    <w:p>
      <w:pPr>
        <w:spacing w:line="360" w:lineRule="auto"/>
        <w:rPr>
          <w:rFonts w:ascii="黑体" w:hAnsi="宋体" w:eastAsia="黑体"/>
          <w:b/>
          <w:bCs/>
          <w:color w:val="auto"/>
          <w:kern w:val="0"/>
          <w:sz w:val="28"/>
          <w:szCs w:val="28"/>
          <w:highlight w:val="none"/>
        </w:rPr>
      </w:pPr>
      <w:r>
        <w:rPr>
          <w:rFonts w:hint="eastAsia" w:ascii="宋体" w:hAnsi="宋体"/>
          <w:b/>
          <w:bCs/>
          <w:color w:val="auto"/>
          <w:kern w:val="0"/>
          <w:sz w:val="28"/>
          <w:szCs w:val="28"/>
          <w:highlight w:val="none"/>
        </w:rPr>
        <w:t xml:space="preserve">附件17  </w:t>
      </w:r>
      <w:r>
        <w:rPr>
          <w:rFonts w:hint="eastAsia" w:ascii="黑体" w:hAnsi="宋体" w:eastAsia="黑体"/>
          <w:b/>
          <w:bCs/>
          <w:color w:val="auto"/>
          <w:kern w:val="0"/>
          <w:sz w:val="28"/>
          <w:szCs w:val="28"/>
          <w:highlight w:val="none"/>
        </w:rPr>
        <w:t>技术服务方案</w:t>
      </w:r>
    </w:p>
    <w:p>
      <w:pPr>
        <w:pStyle w:val="46"/>
        <w:spacing w:line="360" w:lineRule="auto"/>
        <w:ind w:right="482"/>
        <w:rPr>
          <w:rFonts w:hAnsi="宋体"/>
          <w:color w:val="auto"/>
          <w:szCs w:val="21"/>
          <w:highlight w:val="none"/>
        </w:rPr>
      </w:pPr>
      <w:r>
        <w:rPr>
          <w:rFonts w:hint="eastAsia" w:hAnsi="宋体"/>
          <w:color w:val="auto"/>
          <w:szCs w:val="21"/>
          <w:highlight w:val="none"/>
        </w:rPr>
        <w:t>项目名称：</w:t>
      </w:r>
    </w:p>
    <w:p>
      <w:pPr>
        <w:pStyle w:val="46"/>
        <w:spacing w:line="360" w:lineRule="auto"/>
        <w:ind w:right="482"/>
        <w:rPr>
          <w:rFonts w:hAnsi="宋体" w:cs="宋体"/>
          <w:color w:val="auto"/>
          <w:szCs w:val="21"/>
          <w:highlight w:val="none"/>
        </w:rPr>
      </w:pPr>
      <w:r>
        <w:rPr>
          <w:rFonts w:hint="eastAsia" w:hAnsi="宋体" w:cs="宋体"/>
          <w:color w:val="auto"/>
          <w:szCs w:val="21"/>
          <w:highlight w:val="none"/>
        </w:rPr>
        <w:t>项目编号：</w:t>
      </w:r>
    </w:p>
    <w:p>
      <w:pPr>
        <w:spacing w:line="360" w:lineRule="auto"/>
        <w:rPr>
          <w:rFonts w:ascii="黑体" w:hAnsi="宋体" w:eastAsia="黑体"/>
          <w:b/>
          <w:bCs/>
          <w:color w:val="auto"/>
          <w:kern w:val="0"/>
          <w:sz w:val="28"/>
          <w:szCs w:val="28"/>
          <w:highlight w:val="none"/>
        </w:rPr>
      </w:pPr>
    </w:p>
    <w:p>
      <w:pPr>
        <w:spacing w:line="360" w:lineRule="auto"/>
        <w:ind w:left="618" w:hanging="618"/>
        <w:rPr>
          <w:rFonts w:ascii="宋体" w:hAnsi="宋体"/>
          <w:bCs/>
          <w:color w:val="auto"/>
          <w:szCs w:val="21"/>
          <w:highlight w:val="none"/>
        </w:rPr>
      </w:pPr>
      <w:r>
        <w:rPr>
          <w:rFonts w:hint="eastAsia" w:ascii="宋体" w:hAnsi="宋体"/>
          <w:bCs/>
          <w:color w:val="auto"/>
          <w:szCs w:val="21"/>
          <w:highlight w:val="none"/>
        </w:rPr>
        <w:t>[说明]供应商应按照竞争性磋商文件的要求，根据采购人需求要求内容做出全面响应并编制服务方案。其内容应包括但不限于：</w:t>
      </w:r>
    </w:p>
    <w:p>
      <w:pPr>
        <w:spacing w:line="360" w:lineRule="auto"/>
        <w:ind w:left="420" w:leftChars="200" w:firstLine="105" w:firstLineChars="50"/>
        <w:rPr>
          <w:rFonts w:hint="eastAsia" w:ascii="宋体" w:hAnsi="宋体" w:cs="Times New Roman"/>
          <w:bCs/>
          <w:color w:val="auto"/>
          <w:szCs w:val="21"/>
          <w:highlight w:val="none"/>
        </w:rPr>
      </w:pPr>
    </w:p>
    <w:p>
      <w:pPr>
        <w:spacing w:line="360" w:lineRule="auto"/>
        <w:ind w:left="420" w:leftChars="200" w:firstLine="105" w:firstLineChars="50"/>
        <w:rPr>
          <w:rFonts w:hint="eastAsia" w:ascii="宋体" w:hAnsi="宋体" w:cs="Times New Roman"/>
          <w:bCs/>
          <w:color w:val="auto"/>
          <w:szCs w:val="21"/>
          <w:highlight w:val="none"/>
        </w:rPr>
      </w:pPr>
      <w:r>
        <w:rPr>
          <w:rFonts w:hint="eastAsia" w:ascii="宋体" w:hAnsi="宋体" w:cs="Times New Roman"/>
          <w:bCs/>
          <w:color w:val="auto"/>
          <w:szCs w:val="21"/>
          <w:highlight w:val="none"/>
        </w:rPr>
        <w:t>（</w:t>
      </w:r>
      <w:r>
        <w:rPr>
          <w:rFonts w:hint="eastAsia" w:ascii="宋体" w:hAnsi="宋体" w:cs="Times New Roman"/>
          <w:bCs/>
          <w:color w:val="auto"/>
          <w:szCs w:val="21"/>
          <w:highlight w:val="none"/>
          <w:lang w:val="en-US" w:eastAsia="zh-CN"/>
        </w:rPr>
        <w:t>1</w:t>
      </w:r>
      <w:r>
        <w:rPr>
          <w:rFonts w:hint="eastAsia" w:ascii="宋体" w:hAnsi="宋体" w:cs="Times New Roman"/>
          <w:bCs/>
          <w:color w:val="auto"/>
          <w:szCs w:val="21"/>
          <w:highlight w:val="none"/>
        </w:rPr>
        <w:t>）施工总体方案；</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2</w:t>
      </w:r>
      <w:r>
        <w:rPr>
          <w:rFonts w:hint="eastAsia" w:ascii="宋体" w:hAnsi="宋体" w:cs="Times New Roman"/>
          <w:bCs/>
          <w:color w:val="auto"/>
          <w:szCs w:val="21"/>
          <w:highlight w:val="none"/>
          <w:lang w:eastAsia="zh-CN"/>
        </w:rPr>
        <w:t>）项目实施计划；</w:t>
      </w:r>
    </w:p>
    <w:p>
      <w:pPr>
        <w:spacing w:line="360" w:lineRule="auto"/>
        <w:ind w:left="420" w:leftChars="200" w:firstLine="105" w:firstLineChars="50"/>
        <w:rPr>
          <w:rFonts w:hint="eastAsia" w:ascii="宋体" w:hAnsi="宋体" w:cs="Times New Roman"/>
          <w:bCs/>
          <w:color w:val="auto"/>
          <w:szCs w:val="21"/>
          <w:highlight w:val="none"/>
          <w:lang w:eastAsia="zh-CN"/>
        </w:rPr>
      </w:pPr>
      <w:r>
        <w:rPr>
          <w:rFonts w:hint="eastAsia" w:ascii="宋体" w:hAnsi="宋体" w:cs="Times New Roman"/>
          <w:bCs/>
          <w:color w:val="auto"/>
          <w:szCs w:val="21"/>
          <w:highlight w:val="none"/>
          <w:lang w:eastAsia="zh-CN"/>
        </w:rPr>
        <w:t>（</w:t>
      </w:r>
      <w:r>
        <w:rPr>
          <w:rFonts w:hint="eastAsia" w:ascii="宋体" w:hAnsi="宋体" w:cs="Times New Roman"/>
          <w:bCs/>
          <w:color w:val="auto"/>
          <w:szCs w:val="21"/>
          <w:highlight w:val="none"/>
          <w:lang w:val="en-US" w:eastAsia="zh-CN"/>
        </w:rPr>
        <w:t>3</w:t>
      </w:r>
      <w:r>
        <w:rPr>
          <w:rFonts w:hint="eastAsia" w:ascii="宋体" w:hAnsi="宋体" w:cs="Times New Roman"/>
          <w:bCs/>
          <w:color w:val="auto"/>
          <w:szCs w:val="21"/>
          <w:highlight w:val="none"/>
          <w:lang w:eastAsia="zh-CN"/>
        </w:rPr>
        <w:t>）关键施工技术、工艺及工程项目实施的重点、难点和解决方案</w:t>
      </w:r>
      <w:r>
        <w:rPr>
          <w:rFonts w:hint="eastAsia" w:cs="宋体"/>
          <w:color w:val="auto"/>
          <w:kern w:val="0"/>
          <w:sz w:val="22"/>
          <w:szCs w:val="22"/>
          <w:highlight w:val="none"/>
          <w:lang w:val="en-US" w:eastAsia="zh-CN"/>
        </w:rPr>
        <w:t>；</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（4）质量保证、安全文明措施；</w:t>
      </w:r>
    </w:p>
    <w:p>
      <w:pPr>
        <w:spacing w:line="360" w:lineRule="auto"/>
        <w:ind w:left="420" w:leftChars="200" w:firstLine="105" w:firstLineChars="50"/>
        <w:rPr>
          <w:rFonts w:hint="eastAsia" w:ascii="宋体" w:hAnsi="宋体" w:cs="Times New Roman"/>
          <w:bCs/>
          <w:color w:val="auto"/>
          <w:szCs w:val="21"/>
          <w:highlight w:val="none"/>
          <w:lang w:val="en-US" w:eastAsia="zh-CN"/>
        </w:rPr>
      </w:pPr>
      <w:r>
        <w:rPr>
          <w:rFonts w:hint="eastAsia" w:ascii="宋体" w:hAnsi="宋体" w:cs="Times New Roman"/>
          <w:bCs/>
          <w:color w:val="auto"/>
          <w:szCs w:val="21"/>
          <w:highlight w:val="none"/>
          <w:lang w:val="en-US" w:eastAsia="zh-CN"/>
        </w:rPr>
        <w:t>（5）机械设备投入及检测设备。</w:t>
      </w:r>
    </w:p>
    <w:p>
      <w:pPr>
        <w:pStyle w:val="46"/>
        <w:numPr>
          <w:ilvl w:val="0"/>
          <w:numId w:val="0"/>
        </w:numPr>
        <w:rPr>
          <w:rFonts w:hint="eastAsia"/>
          <w:color w:val="auto"/>
          <w:highlight w:val="none"/>
          <w:lang w:val="en-US" w:eastAsia="zh-CN"/>
        </w:rPr>
      </w:pPr>
      <w:r>
        <w:rPr>
          <w:rFonts w:hint="eastAsia"/>
          <w:color w:val="auto"/>
          <w:highlight w:val="none"/>
          <w:lang w:val="en-US" w:eastAsia="zh-CN"/>
        </w:rPr>
        <w:t xml:space="preserve">     </w:t>
      </w: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pStyle w:val="2"/>
        <w:rPr>
          <w:rFonts w:ascii="宋体" w:hAnsi="宋体"/>
          <w:b/>
          <w:color w:val="auto"/>
          <w:sz w:val="24"/>
          <w:highlight w:val="none"/>
        </w:rPr>
      </w:pPr>
    </w:p>
    <w:p>
      <w:pPr>
        <w:spacing w:line="360" w:lineRule="auto"/>
        <w:ind w:firstLine="4956" w:firstLineChars="236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全称（盖公章）：</w:t>
      </w:r>
    </w:p>
    <w:p>
      <w:pPr>
        <w:spacing w:line="360" w:lineRule="auto"/>
        <w:ind w:right="420"/>
        <w:jc w:val="right"/>
        <w:rPr>
          <w:rFonts w:ascii="宋体" w:hAnsi="宋体"/>
          <w:color w:val="auto"/>
          <w:szCs w:val="21"/>
          <w:highlight w:val="none"/>
        </w:rPr>
      </w:pPr>
      <w:r>
        <w:rPr>
          <w:rFonts w:hint="eastAsia" w:ascii="宋体" w:hAnsi="宋体"/>
          <w:color w:val="auto"/>
          <w:szCs w:val="21"/>
          <w:highlight w:val="none"/>
        </w:rPr>
        <w:t>法定代表人或磋商授权代表（签字或签章）：</w:t>
      </w:r>
    </w:p>
    <w:p>
      <w:pPr>
        <w:spacing w:line="360" w:lineRule="auto"/>
        <w:jc w:val="center"/>
        <w:rPr>
          <w:rFonts w:ascii="宋体" w:hAnsi="宋体"/>
          <w:b/>
          <w:bCs/>
          <w:color w:val="auto"/>
          <w:kern w:val="0"/>
          <w:sz w:val="28"/>
          <w:szCs w:val="28"/>
          <w:highlight w:val="none"/>
        </w:rPr>
      </w:pPr>
      <w:r>
        <w:rPr>
          <w:rFonts w:hint="eastAsia" w:ascii="宋体" w:hAnsi="宋体"/>
          <w:color w:val="auto"/>
          <w:szCs w:val="21"/>
          <w:highlight w:val="none"/>
        </w:rPr>
        <w:t xml:space="preserve">                               日    期： 2020年  月  日</w:t>
      </w: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widowControl/>
        <w:jc w:val="left"/>
        <w:rPr>
          <w:rFonts w:ascii="宋体" w:hAnsi="宋体"/>
          <w:color w:val="auto"/>
          <w:highlight w:val="none"/>
        </w:rPr>
      </w:pPr>
      <w:r>
        <w:rPr>
          <w:rFonts w:hint="eastAsia" w:ascii="宋体" w:hAnsi="宋体"/>
          <w:b/>
          <w:bCs/>
          <w:color w:val="auto"/>
          <w:kern w:val="0"/>
          <w:sz w:val="28"/>
          <w:szCs w:val="28"/>
          <w:highlight w:val="none"/>
        </w:rPr>
        <w:t>附件18  缴交采购代理服务费承诺书</w:t>
      </w:r>
    </w:p>
    <w:p>
      <w:pPr>
        <w:spacing w:line="360" w:lineRule="auto"/>
        <w:rPr>
          <w:rFonts w:ascii="宋体" w:hAnsi="宋体"/>
          <w:b/>
          <w:bCs/>
          <w:color w:val="auto"/>
          <w:kern w:val="0"/>
          <w:sz w:val="28"/>
          <w:szCs w:val="28"/>
          <w:highlight w:val="none"/>
        </w:rPr>
      </w:pPr>
    </w:p>
    <w:p>
      <w:pPr>
        <w:spacing w:line="360" w:lineRule="auto"/>
        <w:rPr>
          <w:rFonts w:ascii="宋体" w:hAnsi="宋体"/>
          <w:color w:val="auto"/>
          <w:szCs w:val="21"/>
          <w:highlight w:val="none"/>
        </w:rPr>
      </w:pPr>
      <w:r>
        <w:rPr>
          <w:rFonts w:hint="eastAsia" w:ascii="宋体" w:hAnsi="宋体"/>
          <w:color w:val="auto"/>
          <w:szCs w:val="21"/>
          <w:highlight w:val="none"/>
        </w:rPr>
        <w:t>致：广州市信怡招标代理有限公司</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如果我方在贵公司组织的项目名称：</w:t>
      </w:r>
      <w:r>
        <w:rPr>
          <w:rFonts w:hint="eastAsia" w:ascii="宋体" w:hAnsi="宋体"/>
          <w:color w:val="auto"/>
          <w:szCs w:val="21"/>
          <w:highlight w:val="none"/>
          <w:u w:val="single"/>
        </w:rPr>
        <w:t xml:space="preserve">      项目名称     </w:t>
      </w:r>
      <w:r>
        <w:rPr>
          <w:rFonts w:hint="eastAsia" w:ascii="宋体" w:hAnsi="宋体"/>
          <w:color w:val="auto"/>
          <w:szCs w:val="21"/>
          <w:highlight w:val="none"/>
        </w:rPr>
        <w:t>（项目编号：</w:t>
      </w:r>
      <w:r>
        <w:rPr>
          <w:rFonts w:hint="eastAsia" w:ascii="宋体" w:hAnsi="宋体"/>
          <w:color w:val="auto"/>
          <w:szCs w:val="21"/>
          <w:highlight w:val="none"/>
          <w:u w:val="single"/>
        </w:rPr>
        <w:t xml:space="preserve">   项目编号    </w:t>
      </w:r>
      <w:r>
        <w:rPr>
          <w:rFonts w:hint="eastAsia" w:ascii="宋体" w:hAnsi="宋体"/>
          <w:color w:val="auto"/>
          <w:szCs w:val="21"/>
          <w:highlight w:val="none"/>
        </w:rPr>
        <w:t>）磋商采购项目中被确定为成交候选人，</w:t>
      </w:r>
      <w:r>
        <w:rPr>
          <w:rFonts w:hint="eastAsia" w:ascii="宋体" w:hAnsi="宋体" w:cs="宋体"/>
          <w:color w:val="auto"/>
          <w:szCs w:val="21"/>
          <w:highlight w:val="none"/>
        </w:rPr>
        <w:t>我方保证在收到《中标通知书》前，</w:t>
      </w:r>
      <w:r>
        <w:rPr>
          <w:rFonts w:hint="eastAsia" w:ascii="宋体" w:hAnsi="宋体"/>
          <w:color w:val="auto"/>
          <w:szCs w:val="21"/>
          <w:highlight w:val="none"/>
        </w:rPr>
        <w:t>按照磋商文件的规定向贵公司交纳采购代理服务费。</w:t>
      </w: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我方如违约，愿凭贵公司开出的违约通知，按上述承诺金额的200％在采购人与我方签订的采购合同款项中扣付，并在此同意和要求采购人（应广州市信怡招标代理有限公司的要求）办理支付手续。</w:t>
      </w:r>
    </w:p>
    <w:p>
      <w:pPr>
        <w:spacing w:line="360" w:lineRule="auto"/>
        <w:ind w:firstLine="420" w:firstLineChars="200"/>
        <w:rPr>
          <w:rFonts w:ascii="宋体" w:hAnsi="宋体"/>
          <w:color w:val="auto"/>
          <w:szCs w:val="21"/>
          <w:highlight w:val="none"/>
        </w:rPr>
      </w:pPr>
    </w:p>
    <w:p>
      <w:pPr>
        <w:spacing w:line="360" w:lineRule="auto"/>
        <w:ind w:firstLine="420" w:firstLineChars="200"/>
        <w:rPr>
          <w:rFonts w:ascii="宋体" w:hAnsi="宋体"/>
          <w:color w:val="auto"/>
          <w:szCs w:val="21"/>
          <w:highlight w:val="none"/>
        </w:rPr>
      </w:pPr>
      <w:r>
        <w:rPr>
          <w:rFonts w:hint="eastAsia" w:ascii="宋体" w:hAnsi="宋体"/>
          <w:color w:val="auto"/>
          <w:szCs w:val="21"/>
          <w:highlight w:val="none"/>
        </w:rPr>
        <w:t>特此承诺！</w:t>
      </w:r>
    </w:p>
    <w:p>
      <w:pPr>
        <w:spacing w:line="360" w:lineRule="auto"/>
        <w:ind w:left="4700" w:leftChars="2238"/>
        <w:rPr>
          <w:rFonts w:ascii="宋体" w:hAnsi="宋体"/>
          <w:color w:val="auto"/>
          <w:szCs w:val="21"/>
          <w:highlight w:val="none"/>
        </w:rPr>
      </w:pPr>
    </w:p>
    <w:p>
      <w:pPr>
        <w:spacing w:line="360" w:lineRule="auto"/>
        <w:ind w:firstLine="3990" w:firstLineChars="1900"/>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全称（加盖公章）；</w:t>
      </w:r>
    </w:p>
    <w:p>
      <w:pPr>
        <w:spacing w:line="360" w:lineRule="auto"/>
        <w:ind w:left="3986" w:leftChars="1898"/>
        <w:rPr>
          <w:rFonts w:ascii="宋体" w:hAnsi="宋体"/>
          <w:color w:val="auto"/>
          <w:szCs w:val="21"/>
          <w:highlight w:val="none"/>
        </w:rPr>
      </w:pPr>
      <w:r>
        <w:rPr>
          <w:rFonts w:hint="eastAsia" w:ascii="宋体" w:hAnsi="宋体" w:cs="宋体"/>
          <w:color w:val="auto"/>
          <w:kern w:val="0"/>
          <w:szCs w:val="21"/>
          <w:highlight w:val="none"/>
        </w:rPr>
        <w:t>供应商</w:t>
      </w:r>
      <w:r>
        <w:rPr>
          <w:rFonts w:hint="eastAsia" w:ascii="宋体" w:hAnsi="宋体"/>
          <w:color w:val="auto"/>
          <w:szCs w:val="21"/>
          <w:highlight w:val="none"/>
        </w:rPr>
        <w:t>法定地址：</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法定代表或其授权代表</w:t>
      </w:r>
      <w:r>
        <w:rPr>
          <w:rFonts w:hint="eastAsia" w:ascii="宋体" w:hAnsi="宋体"/>
          <w:bCs/>
          <w:color w:val="auto"/>
          <w:szCs w:val="21"/>
          <w:highlight w:val="none"/>
        </w:rPr>
        <w:t>(</w:t>
      </w:r>
      <w:r>
        <w:rPr>
          <w:rFonts w:hint="eastAsia" w:ascii="宋体" w:hAnsi="宋体"/>
          <w:color w:val="auto"/>
          <w:szCs w:val="21"/>
          <w:highlight w:val="none"/>
        </w:rPr>
        <w:t>签字或签章</w:t>
      </w:r>
      <w:r>
        <w:rPr>
          <w:rFonts w:hint="eastAsia" w:ascii="宋体" w:hAnsi="宋体"/>
          <w:bCs/>
          <w:color w:val="auto"/>
          <w:szCs w:val="21"/>
          <w:highlight w:val="none"/>
        </w:rPr>
        <w:t>)</w:t>
      </w:r>
      <w:r>
        <w:rPr>
          <w:rFonts w:hint="eastAsia" w:ascii="宋体" w:hAnsi="宋体"/>
          <w:color w:val="auto"/>
          <w:szCs w:val="21"/>
          <w:highlight w:val="none"/>
        </w:rPr>
        <w:t>：</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电    话：</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传    真：</w:t>
      </w:r>
    </w:p>
    <w:p>
      <w:pPr>
        <w:spacing w:line="360" w:lineRule="auto"/>
        <w:ind w:firstLine="3990" w:firstLineChars="1900"/>
        <w:rPr>
          <w:rFonts w:ascii="宋体" w:hAnsi="宋体"/>
          <w:color w:val="auto"/>
          <w:szCs w:val="21"/>
          <w:highlight w:val="none"/>
        </w:rPr>
      </w:pPr>
      <w:r>
        <w:rPr>
          <w:rFonts w:hint="eastAsia" w:ascii="宋体" w:hAnsi="宋体"/>
          <w:color w:val="auto"/>
          <w:szCs w:val="21"/>
          <w:highlight w:val="none"/>
        </w:rPr>
        <w:t>承诺日期：</w:t>
      </w:r>
      <w:r>
        <w:rPr>
          <w:rFonts w:hint="eastAsia" w:ascii="宋体" w:hAnsi="宋体"/>
          <w:bCs/>
          <w:color w:val="auto"/>
          <w:szCs w:val="21"/>
          <w:highlight w:val="none"/>
        </w:rPr>
        <w:t>2020年  月  日</w:t>
      </w:r>
    </w:p>
    <w:p>
      <w:pPr>
        <w:pStyle w:val="46"/>
        <w:spacing w:line="360" w:lineRule="auto"/>
        <w:jc w:val="right"/>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szCs w:val="21"/>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pStyle w:val="46"/>
        <w:spacing w:line="360" w:lineRule="auto"/>
        <w:rPr>
          <w:rFonts w:hAnsi="宋体"/>
          <w:bCs/>
          <w:color w:val="auto"/>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spacing w:line="360" w:lineRule="auto"/>
        <w:rPr>
          <w:rFonts w:ascii="宋体" w:hAnsi="宋体"/>
          <w:b/>
          <w:bCs/>
          <w:color w:val="auto"/>
          <w:kern w:val="0"/>
          <w:sz w:val="28"/>
          <w:szCs w:val="28"/>
          <w:highlight w:val="none"/>
        </w:rPr>
      </w:pPr>
    </w:p>
    <w:p>
      <w:pPr>
        <w:rPr>
          <w:rFonts w:ascii="宋体" w:hAnsi="宋体"/>
          <w:b/>
          <w:bCs/>
          <w:color w:val="auto"/>
          <w:kern w:val="0"/>
          <w:sz w:val="28"/>
          <w:szCs w:val="28"/>
          <w:highlight w:val="none"/>
        </w:rPr>
      </w:pPr>
      <w:r>
        <w:rPr>
          <w:rFonts w:hint="eastAsia" w:ascii="宋体" w:hAnsi="宋体"/>
          <w:b/>
          <w:bCs/>
          <w:color w:val="auto"/>
          <w:kern w:val="0"/>
          <w:sz w:val="28"/>
          <w:szCs w:val="28"/>
          <w:highlight w:val="none"/>
        </w:rPr>
        <w:t>附件19 拟派本项目负责人及主要人员情况表</w:t>
      </w:r>
    </w:p>
    <w:p>
      <w:pPr>
        <w:spacing w:line="360" w:lineRule="auto"/>
        <w:rPr>
          <w:rFonts w:hint="eastAsia" w:ascii="宋体" w:hAnsi="宋体" w:cs="Tahoma"/>
          <w:color w:val="auto"/>
          <w:kern w:val="28"/>
          <w:szCs w:val="21"/>
          <w:highlight w:val="none"/>
          <w:lang w:val="en-US" w:eastAsia="zh-CN"/>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r>
        <w:rPr>
          <w:rFonts w:hint="eastAsia" w:ascii="宋体" w:hAnsi="宋体" w:cs="Tahoma"/>
          <w:color w:val="auto"/>
          <w:kern w:val="28"/>
          <w:szCs w:val="21"/>
          <w:highlight w:val="none"/>
          <w:lang w:val="en-US" w:eastAsia="zh-CN"/>
        </w:rPr>
        <w:t xml:space="preserve">                                         </w:t>
      </w:r>
    </w:p>
    <w:p>
      <w:pPr>
        <w:spacing w:line="360" w:lineRule="auto"/>
        <w:rPr>
          <w:bCs/>
          <w:color w:val="auto"/>
          <w:szCs w:val="21"/>
          <w:highlight w:val="none"/>
        </w:rPr>
      </w:pPr>
      <w:r>
        <w:rPr>
          <w:rFonts w:hint="eastAsia" w:cs="Tahoma"/>
          <w:color w:val="auto"/>
          <w:szCs w:val="21"/>
          <w:highlight w:val="none"/>
        </w:rPr>
        <w:t>项目编号：</w:t>
      </w:r>
    </w:p>
    <w:tbl>
      <w:tblPr>
        <w:tblStyle w:val="90"/>
        <w:tblW w:w="8977"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拟派项目经理资料情况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职务</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325"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6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79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电话</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参加工作时间</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4819" w:type="dxa"/>
            <w:gridSpan w:val="9"/>
            <w:tcBorders>
              <w:top w:val="single" w:color="auto" w:sz="4" w:space="0"/>
              <w:left w:val="single" w:color="auto" w:sz="4" w:space="0"/>
              <w:bottom w:val="single" w:color="auto" w:sz="4" w:space="0"/>
              <w:right w:val="single" w:color="auto" w:sz="4" w:space="0"/>
            </w:tcBorders>
            <w:vAlign w:val="center"/>
          </w:tcPr>
          <w:p>
            <w:pPr>
              <w:pStyle w:val="158"/>
              <w:widowControl w:val="0"/>
              <w:pBdr>
                <w:bottom w:val="none" w:color="auto" w:sz="0" w:space="0"/>
                <w:right w:val="none" w:color="auto" w:sz="0" w:space="0"/>
              </w:pBdr>
              <w:spacing w:before="0" w:beforeAutospacing="0" w:after="0" w:afterAutospacing="0" w:line="360" w:lineRule="auto"/>
              <w:jc w:val="both"/>
              <w:rPr>
                <w:rFonts w:hint="eastAsia" w:asciiTheme="majorEastAsia" w:hAnsiTheme="majorEastAsia" w:eastAsiaTheme="majorEastAsia" w:cstheme="majorEastAsia"/>
                <w:color w:val="auto"/>
                <w:kern w:val="2"/>
                <w:sz w:val="21"/>
                <w:szCs w:val="21"/>
                <w:highlight w:val="none"/>
              </w:rPr>
            </w:pPr>
            <w:r>
              <w:rPr>
                <w:rFonts w:hint="eastAsia" w:asciiTheme="majorEastAsia" w:hAnsiTheme="majorEastAsia" w:eastAsiaTheme="majorEastAsia" w:cstheme="majorEastAsia"/>
                <w:color w:val="auto"/>
                <w:kern w:val="2"/>
                <w:sz w:val="21"/>
                <w:szCs w:val="21"/>
                <w:highlight w:val="none"/>
              </w:rPr>
              <w:t>从事</w:t>
            </w:r>
            <w:r>
              <w:rPr>
                <w:rFonts w:hint="eastAsia" w:asciiTheme="majorEastAsia" w:hAnsiTheme="majorEastAsia" w:eastAsiaTheme="majorEastAsia" w:cstheme="majorEastAsia"/>
                <w:color w:val="auto"/>
                <w:sz w:val="21"/>
                <w:szCs w:val="21"/>
                <w:highlight w:val="none"/>
              </w:rPr>
              <w:t>同类</w:t>
            </w:r>
            <w:r>
              <w:rPr>
                <w:rFonts w:hint="eastAsia" w:asciiTheme="majorEastAsia" w:hAnsiTheme="majorEastAsia" w:eastAsiaTheme="majorEastAsia" w:cstheme="majorEastAsia"/>
                <w:color w:val="auto"/>
                <w:kern w:val="2"/>
                <w:sz w:val="21"/>
                <w:szCs w:val="21"/>
                <w:highlight w:val="none"/>
              </w:rPr>
              <w:t>项目负责人年限</w:t>
            </w:r>
          </w:p>
        </w:tc>
        <w:tc>
          <w:tcPr>
            <w:tcW w:w="1782"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6" w:hRule="atLeast"/>
        </w:trPr>
        <w:tc>
          <w:tcPr>
            <w:tcW w:w="1089"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具有认证资质</w:t>
            </w:r>
          </w:p>
        </w:tc>
        <w:tc>
          <w:tcPr>
            <w:tcW w:w="7888" w:type="dxa"/>
            <w:gridSpan w:val="1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单位</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项目名称</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主要工作内容</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项目金额</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完工日期</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成果质量</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9"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01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2178" w:type="dxa"/>
            <w:gridSpan w:val="4"/>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88"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28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8977" w:type="dxa"/>
            <w:gridSpan w:val="16"/>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拟参与本项目主要技术人员情况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姓名</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性别</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年龄</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职称</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专业</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学历</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1</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2</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8" w:hRule="atLeast"/>
        </w:trPr>
        <w:tc>
          <w:tcPr>
            <w:tcW w:w="101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142"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08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407"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c>
          <w:tcPr>
            <w:tcW w:w="1630" w:type="dxa"/>
            <w:gridSpan w:val="2"/>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p>
            <w:pPr>
              <w:spacing w:line="360" w:lineRule="auto"/>
              <w:jc w:val="center"/>
              <w:rPr>
                <w:rFonts w:hint="eastAsia" w:asciiTheme="majorEastAsia" w:hAnsiTheme="majorEastAsia" w:eastAsiaTheme="majorEastAsia" w:cstheme="majorEastAsia"/>
                <w:color w:val="auto"/>
                <w:sz w:val="21"/>
                <w:szCs w:val="21"/>
                <w:highlight w:val="none"/>
              </w:rPr>
            </w:pPr>
            <w:r>
              <w:rPr>
                <w:rFonts w:hint="eastAsia" w:asciiTheme="majorEastAsia" w:hAnsiTheme="majorEastAsia" w:eastAsiaTheme="majorEastAsia" w:cstheme="majorEastAsia"/>
                <w:color w:val="auto"/>
                <w:sz w:val="21"/>
                <w:szCs w:val="21"/>
                <w:highlight w:val="none"/>
              </w:rPr>
              <w:t>…</w:t>
            </w:r>
          </w:p>
        </w:tc>
      </w:tr>
    </w:tbl>
    <w:p>
      <w:pPr>
        <w:pStyle w:val="46"/>
        <w:spacing w:line="360" w:lineRule="auto"/>
        <w:rPr>
          <w:bCs/>
          <w:color w:val="auto"/>
          <w:szCs w:val="21"/>
          <w:highlight w:val="none"/>
        </w:rPr>
      </w:pPr>
    </w:p>
    <w:p>
      <w:pPr>
        <w:spacing w:before="120" w:line="360" w:lineRule="auto"/>
        <w:ind w:left="620" w:hanging="620" w:hangingChars="294"/>
        <w:rPr>
          <w:rFonts w:ascii="宋体" w:hAnsi="宋体"/>
          <w:b/>
          <w:color w:val="auto"/>
          <w:szCs w:val="21"/>
          <w:highlight w:val="none"/>
        </w:rPr>
      </w:pPr>
      <w:r>
        <w:rPr>
          <w:rFonts w:hint="eastAsia" w:ascii="宋体" w:hAnsi="宋体"/>
          <w:b/>
          <w:color w:val="auto"/>
          <w:szCs w:val="21"/>
          <w:highlight w:val="none"/>
        </w:rPr>
        <w:t>注：1.在合同执行期间，成交供应商须</w:t>
      </w:r>
      <w:r>
        <w:rPr>
          <w:rFonts w:hint="eastAsia" w:ascii="宋体" w:hAnsi="宋体"/>
          <w:b/>
          <w:color w:val="auto"/>
          <w:szCs w:val="21"/>
          <w:highlight w:val="none"/>
          <w:lang w:eastAsia="zh-CN"/>
        </w:rPr>
        <w:t>设立</w:t>
      </w:r>
      <w:r>
        <w:rPr>
          <w:rFonts w:hint="eastAsia" w:ascii="宋体" w:hAnsi="宋体"/>
          <w:b/>
          <w:color w:val="auto"/>
          <w:szCs w:val="21"/>
          <w:highlight w:val="none"/>
        </w:rPr>
        <w:t>项目负责人和专业专职的主要技术及服务人员，并在上表中列明；</w:t>
      </w:r>
    </w:p>
    <w:p>
      <w:pPr>
        <w:spacing w:line="360" w:lineRule="auto"/>
        <w:ind w:firstLine="413" w:firstLineChars="196"/>
        <w:rPr>
          <w:rFonts w:ascii="宋体" w:hAnsi="宋体"/>
          <w:b/>
          <w:color w:val="auto"/>
          <w:szCs w:val="21"/>
          <w:highlight w:val="none"/>
        </w:rPr>
      </w:pPr>
      <w:r>
        <w:rPr>
          <w:rFonts w:hint="eastAsia" w:ascii="宋体" w:hAnsi="宋体"/>
          <w:b/>
          <w:color w:val="auto"/>
          <w:szCs w:val="21"/>
          <w:highlight w:val="none"/>
        </w:rPr>
        <w:t>2.需附上上表所列人员的证明材料文件。</w:t>
      </w:r>
    </w:p>
    <w:p>
      <w:pPr>
        <w:spacing w:line="360" w:lineRule="auto"/>
        <w:rPr>
          <w:rFonts w:ascii="宋体" w:hAnsi="宋体" w:cs="宋体"/>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
          <w:bCs/>
          <w:color w:val="auto"/>
          <w:kern w:val="0"/>
          <w:sz w:val="28"/>
          <w:szCs w:val="28"/>
          <w:highlight w:val="none"/>
        </w:rPr>
        <w:sectPr>
          <w:pgSz w:w="11906" w:h="16838"/>
          <w:pgMar w:top="1134" w:right="1417" w:bottom="1134" w:left="1417" w:header="567" w:footer="737" w:gutter="0"/>
          <w:pgBorders>
            <w:top w:val="none" w:sz="0" w:space="0"/>
            <w:left w:val="none" w:sz="0" w:space="0"/>
            <w:bottom w:val="none" w:sz="0" w:space="0"/>
            <w:right w:val="none" w:sz="0" w:space="0"/>
          </w:pgBorders>
          <w:cols w:space="720" w:num="1"/>
          <w:docGrid w:linePitch="312" w:charSpace="0"/>
        </w:sectPr>
      </w:pPr>
      <w:r>
        <w:rPr>
          <w:rFonts w:hint="eastAsia" w:ascii="宋体" w:hAnsi="宋体"/>
          <w:bCs/>
          <w:color w:val="auto"/>
          <w:szCs w:val="21"/>
          <w:highlight w:val="none"/>
        </w:rPr>
        <w:t>日    期： 2020年  月  日</w:t>
      </w:r>
    </w:p>
    <w:p>
      <w:pPr>
        <w:spacing w:line="360" w:lineRule="auto"/>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附件20 实质性条款响应一览表</w:t>
      </w:r>
    </w:p>
    <w:p>
      <w:pPr>
        <w:spacing w:line="360" w:lineRule="auto"/>
        <w:rPr>
          <w:rFonts w:ascii="宋体" w:hAnsi="宋体"/>
          <w:color w:val="auto"/>
          <w:szCs w:val="21"/>
          <w:highlight w:val="none"/>
        </w:rPr>
      </w:pPr>
      <w:r>
        <w:rPr>
          <w:rFonts w:hint="eastAsia" w:ascii="宋体" w:hAnsi="宋体" w:cs="Tahoma"/>
          <w:color w:val="auto"/>
          <w:szCs w:val="21"/>
          <w:highlight w:val="none"/>
        </w:rPr>
        <w:t>项目名称</w:t>
      </w:r>
      <w:r>
        <w:rPr>
          <w:rFonts w:hint="eastAsia" w:ascii="宋体" w:hAnsi="宋体" w:cs="Tahoma"/>
          <w:color w:val="auto"/>
          <w:kern w:val="28"/>
          <w:szCs w:val="21"/>
          <w:highlight w:val="none"/>
        </w:rPr>
        <w:t>：</w:t>
      </w:r>
    </w:p>
    <w:p>
      <w:pPr>
        <w:spacing w:line="360" w:lineRule="auto"/>
        <w:rPr>
          <w:rFonts w:ascii="宋体" w:hAnsi="宋体" w:cs="Arial Unicode MS"/>
          <w:bCs/>
          <w:color w:val="auto"/>
          <w:szCs w:val="21"/>
          <w:highlight w:val="none"/>
        </w:rPr>
      </w:pPr>
      <w:r>
        <w:rPr>
          <w:rFonts w:ascii="宋体" w:hAnsi="宋体" w:cs="Tahoma"/>
          <w:color w:val="auto"/>
          <w:szCs w:val="21"/>
          <w:highlight w:val="none"/>
        </w:rPr>
        <w:t>项目编号：</w:t>
      </w:r>
    </w:p>
    <w:tbl>
      <w:tblPr>
        <w:tblStyle w:val="90"/>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4952"/>
        <w:gridCol w:w="1134"/>
        <w:gridCol w:w="1134"/>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序号</w:t>
            </w:r>
          </w:p>
        </w:tc>
        <w:tc>
          <w:tcPr>
            <w:tcW w:w="4952" w:type="dxa"/>
            <w:tcBorders>
              <w:left w:val="single" w:color="000000" w:sz="4" w:space="0"/>
            </w:tcBorders>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带“★”号响应内容</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是否响应</w:t>
            </w:r>
          </w:p>
        </w:tc>
        <w:tc>
          <w:tcPr>
            <w:tcW w:w="1134"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偏离说明</w:t>
            </w:r>
          </w:p>
        </w:tc>
        <w:tc>
          <w:tcPr>
            <w:tcW w:w="10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w:t>
            </w:r>
          </w:p>
        </w:tc>
        <w:tc>
          <w:tcPr>
            <w:tcW w:w="4952" w:type="dxa"/>
            <w:tcBorders>
              <w:left w:val="single" w:color="000000" w:sz="4" w:space="0"/>
            </w:tcBorders>
            <w:vAlign w:val="center"/>
          </w:tcPr>
          <w:p>
            <w:pPr>
              <w:widowControl/>
              <w:snapToGrid w:val="0"/>
              <w:spacing w:line="360" w:lineRule="auto"/>
              <w:rPr>
                <w:rFonts w:ascii="宋体" w:hAnsi="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竞争性磋商函 （附件1)</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具有独立承担民事责任的能力【提供法人或者其他组织的营业执照等证明文件，自然人的身份证明；）复印件，如依法经国务院批准免予登记的社会组织的，应提供相应文件证明其依法免予登记】</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3</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具有良好的商业信誉和健全的财务会计制度【近两年年度内任意一年的年度财务报告(新成立公司提供成立至今的月或季度财务报表复印件)或银行出具的资信证明】</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4</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具有履行合同所必需的设备和专业技术能力【提供书面承诺证明材料】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5</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color w:val="auto"/>
                <w:highlight w:val="none"/>
              </w:rPr>
              <w:t>★有依法缴纳税收和社会保障资金的良好记录</w:t>
            </w:r>
            <w:r>
              <w:rPr>
                <w:rFonts w:hint="eastAsia" w:ascii="宋体" w:hAnsi="宋体" w:cs="宋体"/>
                <w:color w:val="auto"/>
                <w:szCs w:val="20"/>
                <w:highlight w:val="none"/>
              </w:rPr>
              <w:t>【①税收部门出具的至投标截止时间前一年内任意一个月的缴纳税收证明；②至投标截止时间前一年内任意一个月内开具的缴纳社会保险凭据】</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6</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0"/>
                <w:highlight w:val="none"/>
              </w:rPr>
              <w:t>参加政府采购活动前三年内，在经营活动中没有重大违法记录【提供书面承诺证明材料】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7</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szCs w:val="21"/>
                <w:highlight w:val="none"/>
              </w:rPr>
              <w:t>★供应商须具有承接本工程所需的特种工程（限结构补强）专业承包资质</w:t>
            </w:r>
            <w:bookmarkStart w:id="409" w:name="_GoBack"/>
            <w:bookmarkEnd w:id="409"/>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8</w:t>
            </w:r>
          </w:p>
        </w:tc>
        <w:tc>
          <w:tcPr>
            <w:tcW w:w="4952" w:type="dxa"/>
            <w:tcBorders>
              <w:left w:val="single" w:color="000000" w:sz="4" w:space="0"/>
            </w:tcBorders>
            <w:vAlign w:val="center"/>
          </w:tcPr>
          <w:p>
            <w:pPr>
              <w:widowControl/>
              <w:snapToGrid w:val="0"/>
              <w:rPr>
                <w:rFonts w:hint="eastAsia" w:ascii="宋体" w:hAnsi="宋体"/>
                <w:color w:val="auto"/>
                <w:szCs w:val="21"/>
                <w:highlight w:val="none"/>
              </w:rPr>
            </w:pPr>
            <w:r>
              <w:rPr>
                <w:rFonts w:hint="eastAsia" w:ascii="宋体" w:hAnsi="宋体"/>
                <w:color w:val="auto"/>
                <w:highlight w:val="none"/>
              </w:rPr>
              <w:t>★供应商须具有建设行政主管部门颁发的安全生产许可证；</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9</w:t>
            </w:r>
          </w:p>
        </w:tc>
        <w:tc>
          <w:tcPr>
            <w:tcW w:w="4952" w:type="dxa"/>
            <w:tcBorders>
              <w:left w:val="single" w:color="000000" w:sz="4" w:space="0"/>
            </w:tcBorders>
            <w:vAlign w:val="center"/>
          </w:tcPr>
          <w:p>
            <w:pPr>
              <w:widowControl/>
              <w:snapToGrid w:val="0"/>
              <w:rPr>
                <w:rFonts w:ascii="宋体" w:hAnsi="宋体"/>
                <w:color w:val="auto"/>
                <w:highlight w:val="none"/>
              </w:rPr>
            </w:pPr>
            <w:r>
              <w:rPr>
                <w:rFonts w:hint="eastAsia" w:ascii="宋体" w:hAnsi="宋体"/>
                <w:color w:val="auto"/>
                <w:highlight w:val="none"/>
              </w:rPr>
              <w:t>★供应商拟担任本工程项目负责人的人员为：建筑工程专业二级或以上级别注册建造师，且项目负责人持有安全培训考核合格证（B类）或能够提供广东省建筑施工企业管理人员安全生产考核信息系统安全生产管理人员证书信息的网页截图；</w:t>
            </w:r>
          </w:p>
          <w:p>
            <w:pPr>
              <w:widowControl/>
              <w:snapToGrid w:val="0"/>
              <w:rPr>
                <w:rFonts w:hint="eastAsia" w:ascii="宋体" w:hAnsi="宋体"/>
                <w:color w:val="auto"/>
                <w:szCs w:val="21"/>
                <w:highlight w:val="none"/>
              </w:rPr>
            </w:pPr>
            <w:r>
              <w:rPr>
                <w:rFonts w:hint="eastAsia" w:ascii="宋体" w:hAnsi="宋体"/>
                <w:color w:val="auto"/>
                <w:highlight w:val="none"/>
              </w:rPr>
              <w:t>注：①根据广东省建设厅《关于明确省外二级建造师入粤注册和执业有关问题的通知》（粤建市函〔2011〕218号），二级建造师执业资格证书、注册证书仅限所在行政区域内有效，不得跨省执业。投标人应提供有效的二级建造师执业资格证书或提供省建设执业资格注册中心“广东省二级注册建造师、二级注册结构工程师、二级注册建筑师注册管理信息系统”上有效的电子注册证书。</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10</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kern w:val="0"/>
                <w:szCs w:val="21"/>
                <w:highlight w:val="none"/>
              </w:rPr>
              <w:t>供应商《公平竞争承诺书》原件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11</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0"/>
                <w:highlight w:val="none"/>
              </w:rPr>
              <w:t>本项目投标人未被列入“信用中国”网站(www.creditchina.gov.cn)以下情形之一：①记录失信被执行人；②重大税收违法案件当事人名单；③政府采购严重违法失信行为。同时，在中国政府采购网(www.ccgp.gov.cn)“政府采购严重违法失信行为信息记录”中查询没有处于禁止参加政府采购活动的记录名单。（1、由采购人、采购代理机构于投标截止日在上述网站进行查询，同时对信息查询记录和证据截图或下载存档；2、若分公司投标：供应商为非独立法人（即由合法法人依法建立的分公司），除了对供应商进行信息查询外，同时对总公司的信息查询记录和证据截图或下载存档）。</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12</w:t>
            </w:r>
          </w:p>
        </w:tc>
        <w:tc>
          <w:tcPr>
            <w:tcW w:w="4952" w:type="dxa"/>
            <w:tcBorders>
              <w:left w:val="single" w:color="000000" w:sz="4" w:space="0"/>
            </w:tcBorders>
            <w:vAlign w:val="center"/>
          </w:tcPr>
          <w:p>
            <w:pPr>
              <w:widowControl/>
              <w:snapToGrid w:val="0"/>
              <w:rPr>
                <w:rFonts w:ascii="宋体" w:hAnsi="宋体" w:cs="宋体"/>
                <w:color w:val="auto"/>
                <w:szCs w:val="21"/>
                <w:highlight w:val="none"/>
              </w:rPr>
            </w:pPr>
            <w:r>
              <w:rPr>
                <w:rFonts w:hint="eastAsia" w:ascii="宋体" w:hAnsi="宋体"/>
                <w:color w:val="auto"/>
                <w:szCs w:val="21"/>
                <w:highlight w:val="none"/>
              </w:rPr>
              <w:t>★</w:t>
            </w:r>
            <w:r>
              <w:rPr>
                <w:rFonts w:hint="eastAsia" w:ascii="宋体" w:hAnsi="宋体" w:cs="宋体"/>
                <w:color w:val="auto"/>
                <w:szCs w:val="21"/>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w:t>
            </w:r>
            <w:r>
              <w:rPr>
                <w:rFonts w:hint="eastAsia" w:ascii="宋体" w:hAnsi="宋体" w:cs="宋体"/>
                <w:color w:val="auto"/>
                <w:szCs w:val="20"/>
                <w:highlight w:val="none"/>
              </w:rPr>
              <w:t>【提供书面承诺证明材料】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hanging="902"/>
              <w:jc w:val="center"/>
              <w:rPr>
                <w:rFonts w:ascii="宋体" w:hAnsi="宋体"/>
                <w:color w:val="auto"/>
                <w:szCs w:val="21"/>
                <w:highlight w:val="none"/>
              </w:rPr>
            </w:pPr>
            <w:r>
              <w:rPr>
                <w:rFonts w:hint="eastAsia" w:ascii="宋体" w:hAnsi="宋体"/>
                <w:color w:val="auto"/>
                <w:szCs w:val="21"/>
                <w:highlight w:val="none"/>
              </w:rPr>
              <w:t>13</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rPr>
              <w:t>★本项目不接受联合体投标。【提供书面承诺证明材料】</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14</w:t>
            </w:r>
          </w:p>
        </w:tc>
        <w:tc>
          <w:tcPr>
            <w:tcW w:w="4952" w:type="dxa"/>
            <w:tcBorders>
              <w:left w:val="single" w:color="000000" w:sz="4" w:space="0"/>
            </w:tcBorders>
            <w:vAlign w:val="center"/>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《清单报价表》</w:t>
            </w:r>
            <w:r>
              <w:rPr>
                <w:rFonts w:hint="eastAsia" w:ascii="宋体" w:hAnsi="宋体" w:cs="宋体"/>
                <w:color w:val="auto"/>
                <w:szCs w:val="21"/>
                <w:highlight w:val="none"/>
                <w:lang w:val="hr-HR"/>
              </w:rPr>
              <w:t>（含封面）原件</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color w:val="auto"/>
                <w:szCs w:val="21"/>
                <w:highlight w:val="none"/>
              </w:rPr>
            </w:pPr>
            <w:r>
              <w:rPr>
                <w:rFonts w:hint="eastAsia" w:ascii="宋体" w:hAnsi="宋体"/>
                <w:color w:val="auto"/>
                <w:szCs w:val="21"/>
                <w:highlight w:val="none"/>
              </w:rPr>
              <w:t>15</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rPr>
            </w:pPr>
            <w:r>
              <w:rPr>
                <w:rFonts w:hint="eastAsia" w:ascii="宋体" w:hAnsi="宋体" w:cs="宋体"/>
                <w:color w:val="auto"/>
                <w:szCs w:val="21"/>
                <w:highlight w:val="none"/>
                <w:lang w:val="hr-HR"/>
              </w:rPr>
              <w:t>★</w:t>
            </w:r>
            <w:r>
              <w:rPr>
                <w:rFonts w:hint="eastAsia" w:ascii="宋体" w:hAnsi="宋体" w:cs="宋体"/>
                <w:color w:val="auto"/>
                <w:szCs w:val="21"/>
                <w:highlight w:val="none"/>
              </w:rPr>
              <w:t>投标人《清单报价表》正本须用采购人提供的原件手工填写（含封面），并逐页加盖法人公章确认，投标人不得修改《清单报价表》中项目内容及工程数量；副本可以采用正本复印并逐页加盖法人公章确认。</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16</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★为保证项目质量，报价供应商的报价原则上不能低于采购预算金额85%。若低于采购预算金额的85%时须说明充分且可行的理由，不作说明或说明理由不充分可当作报价无效处理。这些分析必须包括但不限于：① 报价清单中每个项目子项及措施项目的单价分析（漏项视为理由不充分）；② 主要用工方式和各工种人工日工资分析；③ 主要材料选购方式及其主要材料的价格分析；④ 主要机械成本分析，及其他分析。分析均必须量化且提供佐证材料（佐证材料须涉及参与上述分析的每一个支撑数据，如有遗漏视为理由不充分）。佐证材料包括但不限于：①报价供应商负责的在建或近一年内完工的相类似工程项目中的相应各工种工人工资结算表（须有工人签名以及采购人或监理单位的确认，提供原件备查，否则无效）；② 主要材料报价清单（须由供货商盖章，提供原件备查，否则无效）；③ 拟投入本工程的工程机械台班租赁合同、自有机械提供相应的设备登记证并分析机械台班使用费用等。如单价分析涉及综合定额消耗量的变动，须作进一步的分析说明并提供佐证材料。否则，被视为低于成本报价而响应无效，当作报价无效处理。</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eastAsia" w:ascii="宋体" w:hAnsi="宋体" w:eastAsia="宋体"/>
                <w:color w:val="auto"/>
                <w:szCs w:val="21"/>
                <w:highlight w:val="none"/>
                <w:lang w:val="en-US" w:eastAsia="zh-CN"/>
              </w:rPr>
            </w:pPr>
            <w:r>
              <w:rPr>
                <w:rFonts w:hint="eastAsia" w:ascii="宋体" w:hAnsi="宋体"/>
                <w:color w:val="auto"/>
                <w:szCs w:val="21"/>
                <w:highlight w:val="none"/>
                <w:lang w:val="en-US" w:eastAsia="zh-CN"/>
              </w:rPr>
              <w:t>17</w:t>
            </w:r>
          </w:p>
        </w:tc>
        <w:tc>
          <w:tcPr>
            <w:tcW w:w="4952" w:type="dxa"/>
            <w:tcBorders>
              <w:left w:val="single" w:color="000000" w:sz="4" w:space="0"/>
            </w:tcBorders>
            <w:vAlign w:val="top"/>
          </w:tcPr>
          <w:p>
            <w:pPr>
              <w:widowControl/>
              <w:snapToGrid w:val="0"/>
              <w:rPr>
                <w:rFonts w:hint="eastAsia" w:ascii="宋体" w:hAnsi="宋体" w:cs="宋体"/>
                <w:color w:val="auto"/>
                <w:szCs w:val="21"/>
                <w:highlight w:val="none"/>
                <w:lang w:val="hr-HR"/>
              </w:rPr>
            </w:pPr>
            <w:r>
              <w:rPr>
                <w:rFonts w:hint="eastAsia" w:ascii="宋体" w:hAnsi="宋体" w:cs="宋体"/>
                <w:color w:val="auto"/>
                <w:szCs w:val="21"/>
                <w:highlight w:val="none"/>
                <w:lang w:val="zh-CN" w:eastAsia="zh-CN"/>
              </w:rPr>
              <w:t>★成交人应按响应文件中选定的品牌厂家供应材料，严格把好产品质量关，所有产品进场要有厂家产品检验报告和产品合格证书，并经现场监理工程师和采购人验证后方可施工。如发生货不对板，采购人有权拒用，造成损失由成交人承担；</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jc w:val="center"/>
        </w:trPr>
        <w:tc>
          <w:tcPr>
            <w:tcW w:w="776" w:type="dxa"/>
            <w:vAlign w:val="center"/>
          </w:tcPr>
          <w:p>
            <w:pPr>
              <w:spacing w:before="240" w:line="360" w:lineRule="auto"/>
              <w:ind w:left="902" w:leftChars="0" w:hanging="902" w:firstLineChars="0"/>
              <w:jc w:val="center"/>
              <w:rPr>
                <w:rFonts w:hint="default" w:ascii="宋体" w:hAnsi="宋体"/>
                <w:color w:val="auto"/>
                <w:szCs w:val="21"/>
                <w:highlight w:val="none"/>
                <w:lang w:val="en-US" w:eastAsia="zh-CN"/>
              </w:rPr>
            </w:pPr>
            <w:r>
              <w:rPr>
                <w:rFonts w:hint="eastAsia" w:ascii="宋体" w:hAnsi="宋体"/>
                <w:color w:val="auto"/>
                <w:szCs w:val="21"/>
                <w:highlight w:val="none"/>
                <w:lang w:val="en-US" w:eastAsia="zh-CN"/>
              </w:rPr>
              <w:t>18</w:t>
            </w:r>
          </w:p>
        </w:tc>
        <w:tc>
          <w:tcPr>
            <w:tcW w:w="4952" w:type="dxa"/>
            <w:tcBorders>
              <w:left w:val="single" w:color="000000" w:sz="4" w:space="0"/>
            </w:tcBorders>
            <w:vAlign w:val="top"/>
          </w:tcPr>
          <w:p>
            <w:pPr>
              <w:widowControl/>
              <w:snapToGrid w:val="0"/>
              <w:rPr>
                <w:rFonts w:hint="eastAsia" w:ascii="宋体" w:hAnsi="宋体" w:cs="Times New Roman"/>
                <w:color w:val="auto"/>
                <w:highlight w:val="none"/>
                <w:lang w:val="zh-CN" w:eastAsia="zh-CN"/>
              </w:rPr>
            </w:pPr>
            <w:r>
              <w:rPr>
                <w:rFonts w:hint="eastAsia" w:ascii="宋体" w:hAnsi="宋体" w:cs="宋体"/>
                <w:color w:val="auto"/>
                <w:szCs w:val="21"/>
                <w:highlight w:val="none"/>
                <w:lang w:val="zh-CN" w:eastAsia="zh-CN"/>
              </w:rPr>
              <w:t>★清单报价表（含封面）正本采用采购人提供的原件手工填写的。投标人不得修改《清单报价表》中项目内容及工程数量；</w:t>
            </w: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134" w:type="dxa"/>
            <w:vAlign w:val="center"/>
          </w:tcPr>
          <w:p>
            <w:pPr>
              <w:spacing w:before="240" w:line="360" w:lineRule="auto"/>
              <w:ind w:left="902" w:hanging="902"/>
              <w:jc w:val="center"/>
              <w:rPr>
                <w:rFonts w:ascii="宋体" w:hAnsi="宋体"/>
                <w:color w:val="auto"/>
                <w:szCs w:val="21"/>
                <w:highlight w:val="none"/>
              </w:rPr>
            </w:pPr>
          </w:p>
        </w:tc>
        <w:tc>
          <w:tcPr>
            <w:tcW w:w="1076" w:type="dxa"/>
            <w:vAlign w:val="center"/>
          </w:tcPr>
          <w:p>
            <w:pPr>
              <w:spacing w:before="240" w:line="360" w:lineRule="auto"/>
              <w:ind w:left="902" w:hanging="902"/>
              <w:jc w:val="center"/>
              <w:rPr>
                <w:rFonts w:ascii="宋体" w:hAnsi="宋体"/>
                <w:color w:val="auto"/>
                <w:szCs w:val="21"/>
                <w:highlight w:val="none"/>
              </w:rPr>
            </w:pPr>
          </w:p>
        </w:tc>
      </w:tr>
    </w:tbl>
    <w:p>
      <w:pPr>
        <w:spacing w:line="360" w:lineRule="auto"/>
        <w:rPr>
          <w:rFonts w:ascii="宋体" w:hAnsi="宋体"/>
          <w:b/>
          <w:bCs/>
          <w:color w:val="auto"/>
          <w:szCs w:val="21"/>
          <w:highlight w:val="none"/>
        </w:rPr>
      </w:pPr>
    </w:p>
    <w:p>
      <w:pPr>
        <w:spacing w:line="360" w:lineRule="auto"/>
        <w:rPr>
          <w:rFonts w:ascii="宋体" w:hAnsi="宋体"/>
          <w:b/>
          <w:bCs/>
          <w:color w:val="auto"/>
          <w:szCs w:val="21"/>
          <w:highlight w:val="none"/>
        </w:rPr>
      </w:pPr>
      <w:r>
        <w:rPr>
          <w:rFonts w:hint="eastAsia" w:ascii="宋体" w:hAnsi="宋体"/>
          <w:b/>
          <w:bCs/>
          <w:color w:val="auto"/>
          <w:szCs w:val="21"/>
          <w:highlight w:val="none"/>
        </w:rPr>
        <w:t>说明：1、供应商必须对应竞争性磋商文件的 “★”号条款逐条应答并按要求填写下表。</w:t>
      </w:r>
    </w:p>
    <w:p>
      <w:pPr>
        <w:spacing w:line="360" w:lineRule="auto"/>
        <w:ind w:left="718" w:leftChars="342"/>
        <w:rPr>
          <w:rFonts w:ascii="宋体" w:hAnsi="宋体"/>
          <w:b/>
          <w:bCs/>
          <w:color w:val="auto"/>
          <w:szCs w:val="21"/>
          <w:highlight w:val="none"/>
        </w:rPr>
      </w:pPr>
      <w:r>
        <w:rPr>
          <w:rFonts w:hint="eastAsia" w:ascii="宋体" w:hAnsi="宋体"/>
          <w:b/>
          <w:bCs/>
          <w:color w:val="auto"/>
          <w:szCs w:val="21"/>
          <w:highlight w:val="none"/>
        </w:rPr>
        <w:t>2、对完全响应的条目在下表相应列中标注“○”。对有偏离的条目在下表相应列中标注“×”，并简述偏离内容。</w:t>
      </w: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p>
    <w:p>
      <w:pPr>
        <w:spacing w:line="360" w:lineRule="auto"/>
        <w:rPr>
          <w:rFonts w:ascii="宋体" w:hAnsi="宋体"/>
          <w:bCs/>
          <w:color w:val="auto"/>
          <w:szCs w:val="21"/>
          <w:highlight w:val="none"/>
        </w:rPr>
      </w:pPr>
      <w:r>
        <w:rPr>
          <w:rFonts w:hint="eastAsia" w:ascii="宋体" w:hAnsi="宋体"/>
          <w:bCs/>
          <w:color w:val="auto"/>
          <w:szCs w:val="21"/>
          <w:highlight w:val="none"/>
        </w:rPr>
        <w:t>供应商全称（加盖公章）: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法定代表人或其授权代表(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hAnsi="宋体"/>
          <w:bCs/>
          <w:color w:val="auto"/>
          <w:szCs w:val="21"/>
          <w:highlight w:val="none"/>
        </w:rPr>
      </w:pPr>
      <w:r>
        <w:rPr>
          <w:rFonts w:hint="eastAsia" w:hAnsi="宋体"/>
          <w:bCs/>
          <w:color w:val="auto"/>
          <w:szCs w:val="21"/>
          <w:highlight w:val="none"/>
        </w:rPr>
        <w:t>日    期：     年   月   日</w:t>
      </w:r>
      <w:bookmarkEnd w:id="325"/>
      <w:bookmarkEnd w:id="384"/>
      <w:bookmarkEnd w:id="385"/>
      <w:bookmarkEnd w:id="386"/>
      <w:bookmarkEnd w:id="387"/>
      <w:bookmarkEnd w:id="388"/>
      <w:bookmarkEnd w:id="390"/>
      <w:bookmarkEnd w:id="391"/>
      <w:bookmarkEnd w:id="392"/>
      <w:bookmarkEnd w:id="393"/>
      <w:bookmarkEnd w:id="394"/>
      <w:bookmarkEnd w:id="395"/>
      <w:bookmarkEnd w:id="396"/>
      <w:bookmarkEnd w:id="397"/>
      <w:bookmarkEnd w:id="398"/>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br w:type="page"/>
      </w:r>
    </w:p>
    <w:p>
      <w:pPr>
        <w:rPr>
          <w:rFonts w:hint="eastAsia"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1</w:t>
      </w:r>
      <w:r>
        <w:rPr>
          <w:rFonts w:hint="eastAsia" w:ascii="宋体" w:hAnsi="宋体"/>
          <w:b/>
          <w:bCs/>
          <w:color w:val="auto"/>
          <w:kern w:val="0"/>
          <w:sz w:val="28"/>
          <w:szCs w:val="28"/>
          <w:highlight w:val="none"/>
        </w:rPr>
        <w:t xml:space="preserve">   ▲条款响应一览表</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项目名称</w:t>
      </w:r>
      <w:r>
        <w:rPr>
          <w:rFonts w:hint="eastAsia" w:ascii="宋体" w:hAnsi="宋体" w:eastAsia="宋体" w:cs="宋体"/>
          <w:color w:val="auto"/>
          <w:kern w:val="28"/>
          <w:szCs w:val="21"/>
          <w:highlight w:val="none"/>
        </w:rPr>
        <w:t>：</w:t>
      </w:r>
    </w:p>
    <w:p>
      <w:pPr>
        <w:spacing w:line="36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项目编号：</w:t>
      </w:r>
    </w:p>
    <w:tbl>
      <w:tblPr>
        <w:tblStyle w:val="90"/>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8"/>
        <w:gridCol w:w="3996"/>
        <w:gridCol w:w="1729"/>
        <w:gridCol w:w="1749"/>
        <w:gridCol w:w="1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序号</w:t>
            </w:r>
          </w:p>
        </w:tc>
        <w:tc>
          <w:tcPr>
            <w:tcW w:w="3996" w:type="dxa"/>
            <w:tcBorders>
              <w:left w:val="single" w:color="000000" w:sz="4" w:space="0"/>
            </w:tcBorders>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带“▲”号响应内容</w:t>
            </w: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是否响应</w:t>
            </w: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偏离说明</w:t>
            </w: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1</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r>
              <w:rPr>
                <w:rFonts w:hint="eastAsia" w:ascii="宋体" w:hAnsi="宋体" w:eastAsia="宋体" w:cs="宋体"/>
                <w:color w:val="auto"/>
                <w:szCs w:val="21"/>
                <w:highlight w:val="none"/>
              </w:rPr>
              <w:t>2</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3</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4</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5</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7</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738"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8</w:t>
            </w:r>
          </w:p>
        </w:tc>
        <w:tc>
          <w:tcPr>
            <w:tcW w:w="3996" w:type="dxa"/>
            <w:tcBorders>
              <w:left w:val="single" w:color="000000" w:sz="4" w:space="0"/>
            </w:tcBorders>
            <w:vAlign w:val="top"/>
          </w:tcPr>
          <w:p>
            <w:pPr>
              <w:keepNext w:val="0"/>
              <w:keepLines w:val="0"/>
              <w:widowControl/>
              <w:numPr>
                <w:ilvl w:val="0"/>
                <w:numId w:val="0"/>
              </w:numPr>
              <w:suppressLineNumbers w:val="0"/>
              <w:spacing w:before="0" w:beforeAutospacing="0" w:after="0" w:afterAutospacing="0" w:line="280" w:lineRule="exact"/>
              <w:ind w:left="0" w:leftChars="0" w:right="0" w:firstLine="0" w:firstLineChars="0"/>
              <w:jc w:val="left"/>
              <w:rPr>
                <w:rFonts w:hint="eastAsia" w:ascii="宋体" w:hAnsi="宋体" w:eastAsia="宋体" w:cs="宋体"/>
                <w:color w:val="auto"/>
                <w:sz w:val="21"/>
                <w:szCs w:val="21"/>
                <w:highlight w:val="none"/>
              </w:rPr>
            </w:pPr>
          </w:p>
        </w:tc>
        <w:tc>
          <w:tcPr>
            <w:tcW w:w="172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749"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c>
          <w:tcPr>
            <w:tcW w:w="1253" w:type="dxa"/>
            <w:vAlign w:val="center"/>
          </w:tcPr>
          <w:p>
            <w:pPr>
              <w:keepNext w:val="0"/>
              <w:keepLines w:val="0"/>
              <w:suppressLineNumbers w:val="0"/>
              <w:spacing w:before="240" w:beforeAutospacing="0" w:after="0" w:afterAutospacing="0" w:line="360" w:lineRule="auto"/>
              <w:ind w:left="902" w:right="0" w:hanging="902"/>
              <w:jc w:val="center"/>
              <w:rPr>
                <w:rFonts w:hint="eastAsia" w:ascii="宋体" w:hAnsi="宋体" w:eastAsia="宋体" w:cs="宋体"/>
                <w:color w:val="auto"/>
                <w:szCs w:val="21"/>
                <w:highlight w:val="none"/>
              </w:rPr>
            </w:pPr>
          </w:p>
        </w:tc>
      </w:tr>
    </w:tbl>
    <w:p>
      <w:pPr>
        <w:spacing w:line="360" w:lineRule="auto"/>
        <w:rPr>
          <w:rFonts w:hint="eastAsia" w:ascii="宋体" w:hAnsi="宋体" w:eastAsia="宋体" w:cs="宋体"/>
          <w:b/>
          <w:bCs/>
          <w:color w:val="auto"/>
          <w:szCs w:val="21"/>
          <w:highlight w:val="none"/>
        </w:rPr>
      </w:pPr>
    </w:p>
    <w:p>
      <w:pPr>
        <w:spacing w:line="360" w:lineRule="auto"/>
        <w:rPr>
          <w:rFonts w:hint="eastAsia" w:ascii="宋体" w:hAnsi="宋体" w:eastAsia="宋体" w:cs="宋体"/>
          <w:b/>
          <w:bCs/>
          <w:color w:val="auto"/>
          <w:szCs w:val="21"/>
          <w:highlight w:val="none"/>
        </w:rPr>
      </w:pPr>
      <w:r>
        <w:rPr>
          <w:rFonts w:hint="eastAsia" w:ascii="宋体" w:hAnsi="宋体" w:eastAsia="宋体" w:cs="宋体"/>
          <w:b/>
          <w:bCs/>
          <w:color w:val="auto"/>
          <w:szCs w:val="21"/>
          <w:highlight w:val="none"/>
        </w:rPr>
        <w:t>说明：1、投标人必须对应采购文件的 “</w:t>
      </w:r>
      <w:r>
        <w:rPr>
          <w:rFonts w:hint="eastAsia" w:ascii="宋体" w:hAnsi="宋体" w:eastAsia="宋体" w:cs="宋体"/>
          <w:color w:val="auto"/>
          <w:szCs w:val="21"/>
          <w:highlight w:val="none"/>
        </w:rPr>
        <w:t>▲</w:t>
      </w:r>
      <w:r>
        <w:rPr>
          <w:rFonts w:hint="eastAsia" w:ascii="宋体" w:hAnsi="宋体" w:eastAsia="宋体" w:cs="宋体"/>
          <w:b/>
          <w:bCs/>
          <w:color w:val="auto"/>
          <w:szCs w:val="21"/>
          <w:highlight w:val="none"/>
        </w:rPr>
        <w:t>”号条款逐条应答并按要求填写下表。</w:t>
      </w:r>
    </w:p>
    <w:p>
      <w:pPr>
        <w:rPr>
          <w:rFonts w:hint="eastAsia" w:ascii="宋体" w:hAnsi="宋体" w:eastAsia="宋体" w:cs="宋体"/>
          <w:b/>
          <w:bCs/>
          <w:color w:val="auto"/>
          <w:kern w:val="0"/>
          <w:sz w:val="24"/>
          <w:highlight w:val="none"/>
        </w:rPr>
      </w:pPr>
      <w:r>
        <w:rPr>
          <w:rFonts w:hint="eastAsia" w:ascii="宋体" w:hAnsi="宋体" w:eastAsia="宋体" w:cs="宋体"/>
          <w:b/>
          <w:bCs/>
          <w:color w:val="auto"/>
          <w:szCs w:val="21"/>
          <w:highlight w:val="none"/>
        </w:rPr>
        <w:t>2、对完全响应的条目在下表相应列中标注“○”。对有偏离的条目在下表相应列中标注“×”，并简述偏离内容。</w:t>
      </w: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rPr>
          <w:rFonts w:hint="eastAsia" w:ascii="宋体" w:hAnsi="宋体" w:eastAsia="宋体" w:cs="宋体"/>
          <w:b/>
          <w:bCs/>
          <w:color w:val="auto"/>
          <w:kern w:val="0"/>
          <w:sz w:val="24"/>
          <w:highlight w:val="none"/>
        </w:rPr>
      </w:pP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投标人全称（加盖公章）:</w:t>
      </w:r>
    </w:p>
    <w:p>
      <w:pPr>
        <w:spacing w:line="360" w:lineRule="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法定代表或其授权代表(</w:t>
      </w:r>
      <w:r>
        <w:rPr>
          <w:rFonts w:hint="eastAsia" w:ascii="宋体" w:hAnsi="宋体" w:eastAsia="宋体" w:cs="宋体"/>
          <w:color w:val="auto"/>
          <w:szCs w:val="21"/>
          <w:highlight w:val="none"/>
        </w:rPr>
        <w:t>签字或签章</w:t>
      </w:r>
      <w:r>
        <w:rPr>
          <w:rFonts w:hint="eastAsia" w:ascii="宋体" w:hAnsi="宋体" w:eastAsia="宋体" w:cs="宋体"/>
          <w:bCs/>
          <w:color w:val="auto"/>
          <w:szCs w:val="21"/>
          <w:highlight w:val="none"/>
        </w:rPr>
        <w:t>)：</w:t>
      </w:r>
    </w:p>
    <w:p>
      <w:pPr>
        <w:rPr>
          <w:rFonts w:hint="eastAsia" w:ascii="宋体" w:hAnsi="宋体"/>
          <w:b/>
          <w:bCs/>
          <w:color w:val="auto"/>
          <w:kern w:val="0"/>
          <w:sz w:val="28"/>
          <w:szCs w:val="28"/>
          <w:highlight w:val="none"/>
        </w:rPr>
      </w:pPr>
      <w:r>
        <w:rPr>
          <w:rFonts w:hint="eastAsia" w:ascii="宋体" w:hAnsi="宋体" w:eastAsia="宋体" w:cs="宋体"/>
          <w:bCs/>
          <w:color w:val="auto"/>
          <w:szCs w:val="21"/>
          <w:highlight w:val="none"/>
        </w:rPr>
        <w:t>日    期：     年   月   日</w:t>
      </w:r>
      <w:r>
        <w:rPr>
          <w:rFonts w:hint="eastAsia" w:ascii="宋体" w:hAnsi="宋体"/>
          <w:b/>
          <w:bCs/>
          <w:color w:val="auto"/>
          <w:kern w:val="0"/>
          <w:sz w:val="28"/>
          <w:szCs w:val="28"/>
          <w:highlight w:val="none"/>
        </w:rPr>
        <w:br w:type="page"/>
      </w: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2</w:t>
      </w:r>
      <w:r>
        <w:rPr>
          <w:rFonts w:hint="eastAsia" w:ascii="宋体" w:hAnsi="宋体"/>
          <w:b/>
          <w:bCs/>
          <w:color w:val="auto"/>
          <w:kern w:val="0"/>
          <w:sz w:val="28"/>
          <w:szCs w:val="28"/>
          <w:highlight w:val="none"/>
        </w:rPr>
        <w:t xml:space="preserve">  采购人配合的条件及伴随服务</w:t>
      </w:r>
    </w:p>
    <w:p>
      <w:pPr>
        <w:spacing w:line="360" w:lineRule="auto"/>
        <w:rPr>
          <w:rFonts w:ascii="黑体" w:hAnsi="宋体" w:eastAsia="黑体"/>
          <w:b/>
          <w:bCs/>
          <w:color w:val="auto"/>
          <w:kern w:val="0"/>
          <w:szCs w:val="21"/>
          <w:highlight w:val="none"/>
        </w:rPr>
      </w:pPr>
    </w:p>
    <w:p>
      <w:pPr>
        <w:spacing w:line="360" w:lineRule="auto"/>
        <w:ind w:firstLine="403"/>
        <w:rPr>
          <w:rFonts w:ascii="宋体"/>
          <w:color w:val="auto"/>
          <w:szCs w:val="21"/>
          <w:highlight w:val="none"/>
        </w:rPr>
      </w:pPr>
      <w:r>
        <w:rPr>
          <w:rFonts w:hint="eastAsia"/>
          <w:color w:val="auto"/>
          <w:szCs w:val="21"/>
          <w:highlight w:val="none"/>
        </w:rPr>
        <w:t>为配合本服务计划进度时间表所进行的各阶段工作，</w:t>
      </w:r>
      <w:r>
        <w:rPr>
          <w:rFonts w:hint="eastAsia" w:ascii="宋体" w:hAnsi="宋体" w:cs="宋体"/>
          <w:color w:val="auto"/>
          <w:kern w:val="0"/>
          <w:szCs w:val="21"/>
          <w:highlight w:val="none"/>
        </w:rPr>
        <w:t>供应商</w:t>
      </w:r>
      <w:r>
        <w:rPr>
          <w:rFonts w:hint="eastAsia"/>
          <w:color w:val="auto"/>
          <w:szCs w:val="21"/>
          <w:highlight w:val="none"/>
        </w:rPr>
        <w:t>必须列明需要采购人配合的工作内容和具体要求。</w:t>
      </w: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黑体" w:hAnsi="宋体" w:eastAsia="黑体"/>
          <w:b/>
          <w:bCs/>
          <w:color w:val="auto"/>
          <w:kern w:val="0"/>
          <w:szCs w:val="21"/>
          <w:highlight w:val="none"/>
        </w:rPr>
      </w:pPr>
    </w:p>
    <w:p>
      <w:pPr>
        <w:spacing w:line="360" w:lineRule="auto"/>
        <w:rPr>
          <w:rFonts w:ascii="宋体" w:hAnsi="宋体"/>
          <w:bCs/>
          <w:color w:val="auto"/>
          <w:szCs w:val="21"/>
          <w:highlight w:val="none"/>
        </w:rPr>
      </w:pPr>
      <w:r>
        <w:rPr>
          <w:rFonts w:hint="eastAsia" w:ascii="宋体" w:hAnsi="宋体" w:cs="宋体"/>
          <w:color w:val="auto"/>
          <w:kern w:val="0"/>
          <w:szCs w:val="21"/>
          <w:highlight w:val="none"/>
        </w:rPr>
        <w:t>供应商</w:t>
      </w:r>
      <w:r>
        <w:rPr>
          <w:rFonts w:hint="eastAsia" w:ascii="宋体" w:hAnsi="宋体"/>
          <w:bCs/>
          <w:color w:val="auto"/>
          <w:szCs w:val="21"/>
          <w:highlight w:val="none"/>
        </w:rPr>
        <w:t>全称（加盖公章）:</w:t>
      </w:r>
    </w:p>
    <w:p>
      <w:pPr>
        <w:spacing w:line="360" w:lineRule="auto"/>
        <w:rPr>
          <w:rFonts w:ascii="宋体" w:hAnsi="宋体"/>
          <w:bCs/>
          <w:color w:val="auto"/>
          <w:szCs w:val="21"/>
          <w:highlight w:val="none"/>
        </w:rPr>
      </w:pPr>
      <w:r>
        <w:rPr>
          <w:rFonts w:hint="eastAsia" w:ascii="宋体" w:hAnsi="宋体"/>
          <w:bCs/>
          <w:color w:val="auto"/>
          <w:szCs w:val="21"/>
          <w:highlight w:val="none"/>
        </w:rPr>
        <w:t>法定代表或其授权代表(</w:t>
      </w:r>
      <w:r>
        <w:rPr>
          <w:rFonts w:hint="eastAsia" w:ascii="宋体" w:hAnsi="宋体"/>
          <w:color w:val="auto"/>
          <w:szCs w:val="21"/>
          <w:highlight w:val="none"/>
        </w:rPr>
        <w:t>签字或签章</w:t>
      </w:r>
      <w:r>
        <w:rPr>
          <w:rFonts w:hint="eastAsia" w:ascii="宋体" w:hAnsi="宋体"/>
          <w:bCs/>
          <w:color w:val="auto"/>
          <w:szCs w:val="21"/>
          <w:highlight w:val="none"/>
        </w:rPr>
        <w:t>)：</w:t>
      </w:r>
    </w:p>
    <w:p>
      <w:pPr>
        <w:spacing w:line="360" w:lineRule="auto"/>
        <w:rPr>
          <w:rFonts w:ascii="宋体" w:hAnsi="宋体"/>
          <w:bCs/>
          <w:color w:val="auto"/>
          <w:szCs w:val="21"/>
          <w:highlight w:val="none"/>
        </w:rPr>
      </w:pPr>
      <w:r>
        <w:rPr>
          <w:rFonts w:hint="eastAsia" w:ascii="宋体" w:hAnsi="宋体"/>
          <w:bCs/>
          <w:color w:val="auto"/>
          <w:szCs w:val="21"/>
          <w:highlight w:val="none"/>
        </w:rPr>
        <w:t>日    期： 2020年  月  日</w:t>
      </w: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spacing w:line="360" w:lineRule="auto"/>
        <w:rPr>
          <w:rFonts w:hAnsi="宋体"/>
          <w:bCs/>
          <w:color w:val="auto"/>
          <w:szCs w:val="21"/>
          <w:highlight w:val="none"/>
        </w:rPr>
      </w:pPr>
    </w:p>
    <w:p>
      <w:pPr>
        <w:widowControl/>
        <w:jc w:val="left"/>
        <w:rPr>
          <w:rFonts w:ascii="宋体" w:hAnsi="宋体"/>
          <w:b/>
          <w:bCs/>
          <w:color w:val="auto"/>
          <w:kern w:val="0"/>
          <w:sz w:val="28"/>
          <w:szCs w:val="28"/>
          <w:highlight w:val="none"/>
        </w:rPr>
      </w:pPr>
      <w:r>
        <w:rPr>
          <w:rFonts w:hint="eastAsia" w:ascii="宋体" w:hAnsi="宋体"/>
          <w:b/>
          <w:bCs/>
          <w:color w:val="auto"/>
          <w:kern w:val="0"/>
          <w:sz w:val="28"/>
          <w:szCs w:val="28"/>
          <w:highlight w:val="none"/>
        </w:rPr>
        <w:br w:type="page"/>
      </w:r>
      <w:r>
        <w:rPr>
          <w:rFonts w:hint="eastAsia" w:ascii="宋体" w:hAnsi="宋体"/>
          <w:b/>
          <w:bCs/>
          <w:color w:val="auto"/>
          <w:kern w:val="0"/>
          <w:sz w:val="28"/>
          <w:szCs w:val="28"/>
          <w:highlight w:val="none"/>
        </w:rPr>
        <w:t>附件2</w:t>
      </w:r>
      <w:r>
        <w:rPr>
          <w:rFonts w:hint="eastAsia" w:ascii="宋体" w:hAnsi="宋体"/>
          <w:b/>
          <w:bCs/>
          <w:color w:val="auto"/>
          <w:kern w:val="0"/>
          <w:sz w:val="28"/>
          <w:szCs w:val="28"/>
          <w:highlight w:val="none"/>
          <w:lang w:val="en-US" w:eastAsia="zh-CN"/>
        </w:rPr>
        <w:t>3</w:t>
      </w:r>
      <w:r>
        <w:rPr>
          <w:rFonts w:hint="eastAsia" w:ascii="宋体" w:hAnsi="宋体"/>
          <w:b/>
          <w:bCs/>
          <w:color w:val="auto"/>
          <w:kern w:val="0"/>
          <w:sz w:val="28"/>
          <w:szCs w:val="28"/>
          <w:highlight w:val="none"/>
        </w:rPr>
        <w:t xml:space="preserve">  供应商认为有必要说明的其他文件</w:t>
      </w:r>
    </w:p>
    <w:p>
      <w:pPr>
        <w:widowControl/>
        <w:snapToGrid w:val="0"/>
        <w:spacing w:line="360" w:lineRule="auto"/>
        <w:rPr>
          <w:rFonts w:ascii="宋体"/>
          <w:color w:val="auto"/>
          <w:szCs w:val="21"/>
          <w:highlight w:val="none"/>
        </w:rPr>
      </w:pPr>
    </w:p>
    <w:p>
      <w:pPr>
        <w:spacing w:line="360" w:lineRule="auto"/>
        <w:rPr>
          <w:rFonts w:hAnsi="宋体"/>
          <w:bCs/>
          <w:color w:val="auto"/>
          <w:szCs w:val="21"/>
          <w:highlight w:val="none"/>
        </w:rPr>
      </w:pPr>
    </w:p>
    <w:p>
      <w:pPr>
        <w:rPr>
          <w:color w:val="auto"/>
          <w:highlight w:val="none"/>
        </w:rPr>
      </w:pPr>
    </w:p>
    <w:sectPr>
      <w:pgSz w:w="11906" w:h="16838"/>
      <w:pgMar w:top="567" w:right="1304" w:bottom="567" w:left="1361" w:header="567" w:footer="737" w:gutter="0"/>
      <w:pgBorders>
        <w:top w:val="none" w:sz="0" w:space="0"/>
        <w:left w:val="none" w:sz="0" w:space="0"/>
        <w:bottom w:val="none" w:sz="0" w:space="0"/>
        <w:right w:val="none" w:sz="0" w:space="0"/>
      </w:pgBorders>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Arial"/>
    <w:panose1 w:val="020B0604020202020204"/>
    <w:charset w:val="00"/>
    <w:family w:val="roman"/>
    <w:pitch w:val="default"/>
    <w:sig w:usb0="00000000" w:usb1="00000000" w:usb2="00000000" w:usb3="00000000" w:csb0="00000001" w:csb1="00000000"/>
  </w:font>
  <w:font w:name="文鼎CS书宋二">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仿宋">
    <w:panose1 w:val="02010609060101010101"/>
    <w:charset w:val="86"/>
    <w:family w:val="modern"/>
    <w:pitch w:val="default"/>
    <w:sig w:usb0="800002BF" w:usb1="38CF7CFA" w:usb2="00000016" w:usb3="00000000" w:csb0="00040001" w:csb1="00000000"/>
  </w:font>
  <w:font w:name="MS Mincho">
    <w:panose1 w:val="02020609040205080304"/>
    <w:charset w:val="80"/>
    <w:family w:val="modern"/>
    <w:pitch w:val="default"/>
    <w:sig w:usb0="E00002FF" w:usb1="6AC7FDFB" w:usb2="00000012" w:usb3="00000000" w:csb0="4002009F" w:csb1="DFD7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416" name="文本框 41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154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vsYzP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154</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right" w:y="1"/>
      <w:rPr>
        <w:rStyle w:val="94"/>
      </w:rPr>
    </w:pPr>
    <w:r>
      <w:fldChar w:fldCharType="begin"/>
    </w:r>
    <w:r>
      <w:rPr>
        <w:rStyle w:val="94"/>
      </w:rPr>
      <w:instrText xml:space="preserve">PAGE  </w:instrText>
    </w:r>
    <w:r>
      <w:fldChar w:fldCharType="end"/>
    </w:r>
  </w:p>
  <w:p>
    <w:pPr>
      <w:pStyle w:val="57"/>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52400"/>
              <wp:effectExtent l="0" t="0" r="0" b="0"/>
              <wp:wrapNone/>
              <wp:docPr id="415" name="文本框 415"/>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0288;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yB2bHfUBAADGAwAADgAAAAAAAAABACAAAAAgAQAAZHJzL2Uyb0RvYy54bWxQSwUGAAAA&#10;AAYABgBZAQAAhw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szCs w:val="18"/>
      </w:rPr>
    </w:pPr>
    <w: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03505" cy="152400"/>
              <wp:effectExtent l="0" t="0" r="0" b="0"/>
              <wp:wrapNone/>
              <wp:docPr id="414" name="文本框 414"/>
              <wp:cNvGraphicFramePr/>
              <a:graphic xmlns:a="http://schemas.openxmlformats.org/drawingml/2006/main">
                <a:graphicData uri="http://schemas.microsoft.com/office/word/2010/wordprocessingShape">
                  <wps:wsp>
                    <wps:cNvSpPr txBox="1">
                      <a:spLocks noChangeArrowheads="1"/>
                    </wps:cNvSpPr>
                    <wps:spPr bwMode="auto">
                      <a:xfrm>
                        <a:off x="0" y="0"/>
                        <a:ext cx="103505" cy="152400"/>
                      </a:xfrm>
                      <a:prstGeom prst="rect">
                        <a:avLst/>
                      </a:prstGeom>
                      <a:noFill/>
                      <a:ln>
                        <a:noFill/>
                      </a:ln>
                      <a:effectLst/>
                    </wps:spPr>
                    <wps:txbx>
                      <w:txbxContent>
                        <w:p>
                          <w:pPr>
                            <w:pStyle w:val="57"/>
                            <w:rPr>
                              <w:rStyle w:val="94"/>
                            </w:rPr>
                          </w:pP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8.15pt;mso-position-horizontal:right;mso-position-horizontal-relative:margin;mso-wrap-style:none;z-index:251661312;mso-width-relative:page;mso-height-relative:page;" filled="f" stroked="f" coordsize="21600,21600" o:gfxdata="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1VaaY0QAAAAMBAAAPAAAAAAAAAAEAIAAAACIAAABkcnMvZG93bnJldi54bWxQSwECFAAUAAAA&#10;CACHTuJATZkhFvUBAADGAwAADgAAAAAAAAABACAAAAAgAQAAZHJzL2Uyb0RvYy54bWxQSwUGAAAA&#10;AAYABgBZAQAAhw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Fonts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szCs w:val="18"/>
      </w:rPr>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13" name="文本框 413"/>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pPr>
                            <w:pStyle w:val="57"/>
                          </w:pPr>
                          <w:r>
                            <w:fldChar w:fldCharType="begin"/>
                          </w:r>
                          <w:r>
                            <w:instrText xml:space="preserve"> PAGE  \* MERGEFORMAT </w:instrText>
                          </w:r>
                          <w:r>
                            <w:fldChar w:fldCharType="separate"/>
                          </w:r>
                          <w:r>
                            <w:t>2</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OqXm5&#10;zwAAAAUBAAAPAAAAAAAAAAEAIAAAACIAAABkcnMvZG93bnJldi54bWxQSwECFAAUAAAACACHTuJA&#10;cFMuvfEBAADIAwAADgAAAAAAAAABACAAAAAeAQAAZHJzL2Uyb0RvYy54bWxQSwUGAAAAAAYABgBZ&#10;AQAAg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5408" behindDoc="0" locked="0" layoutInCell="1" allowOverlap="1">
              <wp:simplePos x="0" y="0"/>
              <wp:positionH relativeFrom="margin">
                <wp:posOffset>3147060</wp:posOffset>
              </wp:positionH>
              <wp:positionV relativeFrom="paragraph">
                <wp:posOffset>-333375</wp:posOffset>
              </wp:positionV>
              <wp:extent cx="116205" cy="152400"/>
              <wp:effectExtent l="0" t="0" r="0" b="0"/>
              <wp:wrapNone/>
              <wp:docPr id="410" name="文本框 410"/>
              <wp:cNvGraphicFramePr/>
              <a:graphic xmlns:a="http://schemas.openxmlformats.org/drawingml/2006/main">
                <a:graphicData uri="http://schemas.microsoft.com/office/word/2010/wordprocessingShape">
                  <wps:wsp>
                    <wps:cNvSpPr txBox="1">
                      <a:spLocks noChangeArrowheads="1"/>
                    </wps:cNvSpPr>
                    <wps:spPr bwMode="auto">
                      <a:xfrm>
                        <a:off x="0" y="0"/>
                        <a:ext cx="116205"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left:247.8pt;margin-top:-26.25pt;height:12pt;width:9.15pt;mso-position-horizontal-relative:margin;mso-wrap-style:none;z-index:251665408;mso-width-relative:page;mso-height-relative:page;" filled="f" stroked="f" coordsize="21600,21600" o:gfxdata="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JoZK52AAAAAsBAAAPAAAAAAAAAAEAIAAAACIAAABkcnMvZG93bnJldi54bWxQSwEC&#10;FAAUAAAACACHTuJAm79+I/QBAADGAwAADgAAAAAAAAABACAAAAAnAQAAZHJzL2Uyb0RvYy54bWxQ&#10;SwUGAAAAAAYABgBZAQAAjQ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framePr w:wrap="around" w:vAnchor="text" w:hAnchor="margin" w:xAlign="center" w:y="1"/>
      <w:rPr>
        <w:rStyle w:val="94"/>
      </w:rPr>
    </w:pPr>
    <w:r>
      <w:fldChar w:fldCharType="begin"/>
    </w:r>
    <w:r>
      <w:rPr>
        <w:rStyle w:val="94"/>
      </w:rPr>
      <w:instrText xml:space="preserve">PAGE  </w:instrText>
    </w:r>
    <w:r>
      <w:fldChar w:fldCharType="end"/>
    </w:r>
  </w:p>
  <w:p>
    <w:pPr>
      <w:pStyle w:val="57"/>
      <w:ind w:right="360" w:firstLine="360"/>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52400"/>
              <wp:effectExtent l="0" t="0" r="0" b="0"/>
              <wp:wrapNone/>
              <wp:docPr id="409" name="文本框 409"/>
              <wp:cNvGraphicFramePr/>
              <a:graphic xmlns:a="http://schemas.openxmlformats.org/drawingml/2006/main">
                <a:graphicData uri="http://schemas.microsoft.com/office/word/2010/wordprocessingShape">
                  <wps:wsp>
                    <wps:cNvSpPr txBox="1">
                      <a:spLocks noChangeArrowheads="1"/>
                    </wps:cNvSpPr>
                    <wps:spPr bwMode="auto">
                      <a:xfrm>
                        <a:off x="0" y="0"/>
                        <a:ext cx="5842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4</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4.6pt;mso-position-horizontal:center;mso-position-horizontal-relative:margin;mso-wrap-style:none;z-index:251666432;mso-width-relative:page;mso-height-relative:page;" filled="f" stroked="f" coordsize="21600,21600" o:gfxdata="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7GmvPQAAAAAgEAAA8AAAAAAAAAAQAgAAAAIgAAAGRycy9kb3ducmV2LnhtbFBLAQIUABQAAAAI&#10;AIdO4kDoA5Kd9QEAAMUDAAAOAAAAAAAAAAEAIAAAAB8BAABkcnMvZTJvRG9jLnhtbFBLBQYAAAAA&#10;BgAGAFkBAACG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4</w:t>
                    </w:r>
                    <w:r>
                      <w:fldChar w:fldCharType="end"/>
                    </w:r>
                  </w:p>
                </w:txbxContent>
              </v:textbox>
            </v:shape>
          </w:pict>
        </mc:Fallback>
      </mc:AlternateContent>
    </w:r>
  </w:p>
  <w:p>
    <w:pPr>
      <w:pStyle w:val="57"/>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11" name="文本框 411"/>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goXO7tEAAAADAQAADwAAAAAAAAABACAAAAAiAAAAZHJzL2Rvd25yZXYueG1sUEsBAhQAFAAA&#10;AAgAh07iQNa6ARz2AQAAxgMAAA4AAAAAAAAAAQAgAAAAIAEAAGRycy9lMm9Eb2MueG1sUEsFBgAA&#10;AAAGAAYAWQEAAIgFA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jc w:val="center"/>
      <w:rPr>
        <w:sz w:val="24"/>
        <w:szCs w:val="24"/>
      </w:rPr>
    </w:pPr>
    <w:r>
      <w:rPr>
        <w:sz w:val="24"/>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73990" cy="152400"/>
              <wp:effectExtent l="0" t="0" r="0" b="0"/>
              <wp:wrapNone/>
              <wp:docPr id="408" name="文本框 408"/>
              <wp:cNvGraphicFramePr/>
              <a:graphic xmlns:a="http://schemas.openxmlformats.org/drawingml/2006/main">
                <a:graphicData uri="http://schemas.microsoft.com/office/word/2010/wordprocessingShape">
                  <wps:wsp>
                    <wps:cNvSpPr txBox="1">
                      <a:spLocks noChangeArrowheads="1"/>
                    </wps:cNvSpPr>
                    <wps:spPr bwMode="auto">
                      <a:xfrm>
                        <a:off x="0" y="0"/>
                        <a:ext cx="173990" cy="152400"/>
                      </a:xfrm>
                      <a:prstGeom prst="rect">
                        <a:avLst/>
                      </a:prstGeom>
                      <a:noFill/>
                      <a:ln>
                        <a:noFill/>
                      </a:ln>
                      <a:effectLst/>
                    </wps:spPr>
                    <wps:txbx>
                      <w:txbxContent>
                        <w:p>
                          <w:pPr>
                            <w:pStyle w:val="57"/>
                          </w:pPr>
                          <w:r>
                            <w:fldChar w:fldCharType="begin"/>
                          </w:r>
                          <w:r>
                            <w:instrText xml:space="preserve"> PAGE  \* MERGEFORMAT </w:instrText>
                          </w:r>
                          <w:r>
                            <w:fldChar w:fldCharType="separate"/>
                          </w:r>
                          <w:r>
                            <w:t>187</w:t>
                          </w:r>
                          <w: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2pt;width:13.7pt;mso-position-horizontal:center;mso-position-horizontal-relative:margin;mso-wrap-style:none;z-index:251667456;mso-width-relative:page;mso-height-relative:page;" filled="f" stroked="f" coordsize="21600,21600" o:gfxdata="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Chc7u0QAAAAMBAAAPAAAAAAAAAAEAIAAAACIAAABkcnMvZG93bnJldi54bWxQSwECFAAUAAAA&#10;CACHTuJAUNe21/UBAADGAwAADgAAAAAAAAABACAAAAAgAQAAZHJzL2Uyb0RvYy54bWxQSwUGAAAA&#10;AAYABgBZAQAAh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187</w:t>
                    </w:r>
                    <w:r>
                      <w:fldChar w:fldCharType="end"/>
                    </w:r>
                  </w:p>
                </w:txbxContent>
              </v:textbox>
            </v:shape>
          </w:pict>
        </mc:Fallback>
      </mc:AlternateContent>
    </w:r>
  </w:p>
  <w:p>
    <w:pPr>
      <w:autoSpaceDE w:val="0"/>
      <w:autoSpaceDN w:val="0"/>
      <w:adjustRightInd w:val="0"/>
      <w:spacing w:line="200" w:lineRule="exact"/>
      <w:jc w:val="center"/>
      <w:rPr>
        <w:kern w:val="0"/>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rPr>
        <w:rFonts w:hint="eastAsia"/>
      </w:rPr>
      <w:drawing>
        <wp:inline distT="0" distB="0" distL="0" distR="0">
          <wp:extent cx="923925" cy="257175"/>
          <wp:effectExtent l="0" t="0" r="9525" b="9525"/>
          <wp:docPr id="407" name="图片 407"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 name="图片 407"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pPr>
    <w:r>
      <w:rPr>
        <w:rFonts w:hint="eastAsia"/>
      </w:rPr>
      <w:drawing>
        <wp:inline distT="0" distB="0" distL="0" distR="0">
          <wp:extent cx="923925" cy="257175"/>
          <wp:effectExtent l="0" t="0" r="9525" b="9525"/>
          <wp:docPr id="406" name="图片 406"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图片 406"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hAnsi="宋体"/>
        <w:szCs w:val="21"/>
      </w:rPr>
    </w:pPr>
    <w:r>
      <w:rPr>
        <w:rFonts w:hint="eastAsia"/>
      </w:rPr>
      <w:drawing>
        <wp:inline distT="0" distB="0" distL="0" distR="0">
          <wp:extent cx="923925" cy="257175"/>
          <wp:effectExtent l="0" t="0" r="9525" b="9525"/>
          <wp:docPr id="405" name="图片 405"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5" name="图片 405"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hAnsi="宋体"/>
        <w:szCs w:val="18"/>
      </w:rPr>
    </w:pPr>
    <w:r>
      <w:rPr>
        <w:rFonts w:hint="eastAsia"/>
      </w:rPr>
      <w:drawing>
        <wp:inline distT="0" distB="0" distL="0" distR="0">
          <wp:extent cx="923925" cy="257175"/>
          <wp:effectExtent l="0" t="0" r="9525" b="9525"/>
          <wp:docPr id="404" name="图片 404" descr="单位图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图片 404" descr="单位图标"/>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923925" cy="25717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F586E8"/>
    <w:multiLevelType w:val="singleLevel"/>
    <w:tmpl w:val="E1F586E8"/>
    <w:lvl w:ilvl="0" w:tentative="0">
      <w:start w:val="1"/>
      <w:numFmt w:val="decimal"/>
      <w:suff w:val="nothing"/>
      <w:lvlText w:val="（%1）"/>
      <w:lvlJc w:val="left"/>
      <w:pPr>
        <w:ind w:left="945" w:firstLine="0"/>
      </w:pPr>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i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3">
    <w:nsid w:val="05A65CA1"/>
    <w:multiLevelType w:val="multilevel"/>
    <w:tmpl w:val="05A65CA1"/>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4">
    <w:nsid w:val="07C82ACA"/>
    <w:multiLevelType w:val="multilevel"/>
    <w:tmpl w:val="07C82ACA"/>
    <w:lvl w:ilvl="0" w:tentative="0">
      <w:start w:val="1"/>
      <w:numFmt w:val="decimal"/>
      <w:lvlText w:val="（%1）"/>
      <w:lvlJc w:val="left"/>
      <w:pPr>
        <w:tabs>
          <w:tab w:val="left" w:pos="2339"/>
        </w:tabs>
        <w:ind w:left="2339" w:hanging="720"/>
      </w:pPr>
      <w:rPr>
        <w:rFonts w:hint="default"/>
      </w:rPr>
    </w:lvl>
    <w:lvl w:ilvl="1" w:tentative="0">
      <w:start w:val="1"/>
      <w:numFmt w:val="lowerLetter"/>
      <w:lvlText w:val="%2)"/>
      <w:lvlJc w:val="left"/>
      <w:pPr>
        <w:tabs>
          <w:tab w:val="left" w:pos="2459"/>
        </w:tabs>
        <w:ind w:left="2459" w:hanging="420"/>
      </w:pPr>
    </w:lvl>
    <w:lvl w:ilvl="2" w:tentative="0">
      <w:start w:val="1"/>
      <w:numFmt w:val="lowerRoman"/>
      <w:lvlText w:val="%3."/>
      <w:lvlJc w:val="right"/>
      <w:pPr>
        <w:tabs>
          <w:tab w:val="left" w:pos="2879"/>
        </w:tabs>
        <w:ind w:left="2879" w:hanging="420"/>
      </w:pPr>
    </w:lvl>
    <w:lvl w:ilvl="3" w:tentative="0">
      <w:start w:val="1"/>
      <w:numFmt w:val="decimal"/>
      <w:lvlText w:val="%4."/>
      <w:lvlJc w:val="left"/>
      <w:pPr>
        <w:tabs>
          <w:tab w:val="left" w:pos="3299"/>
        </w:tabs>
        <w:ind w:left="3299" w:hanging="420"/>
      </w:pPr>
    </w:lvl>
    <w:lvl w:ilvl="4" w:tentative="0">
      <w:start w:val="1"/>
      <w:numFmt w:val="lowerLetter"/>
      <w:lvlText w:val="%5)"/>
      <w:lvlJc w:val="left"/>
      <w:pPr>
        <w:tabs>
          <w:tab w:val="left" w:pos="3719"/>
        </w:tabs>
        <w:ind w:left="3719" w:hanging="420"/>
      </w:pPr>
    </w:lvl>
    <w:lvl w:ilvl="5" w:tentative="0">
      <w:start w:val="1"/>
      <w:numFmt w:val="lowerRoman"/>
      <w:lvlText w:val="%6."/>
      <w:lvlJc w:val="right"/>
      <w:pPr>
        <w:tabs>
          <w:tab w:val="left" w:pos="4139"/>
        </w:tabs>
        <w:ind w:left="4139" w:hanging="420"/>
      </w:pPr>
    </w:lvl>
    <w:lvl w:ilvl="6" w:tentative="0">
      <w:start w:val="1"/>
      <w:numFmt w:val="decimal"/>
      <w:lvlText w:val="%7."/>
      <w:lvlJc w:val="left"/>
      <w:pPr>
        <w:tabs>
          <w:tab w:val="left" w:pos="4559"/>
        </w:tabs>
        <w:ind w:left="4559" w:hanging="420"/>
      </w:pPr>
    </w:lvl>
    <w:lvl w:ilvl="7" w:tentative="0">
      <w:start w:val="1"/>
      <w:numFmt w:val="lowerLetter"/>
      <w:lvlText w:val="%8)"/>
      <w:lvlJc w:val="left"/>
      <w:pPr>
        <w:tabs>
          <w:tab w:val="left" w:pos="4979"/>
        </w:tabs>
        <w:ind w:left="4979" w:hanging="420"/>
      </w:pPr>
    </w:lvl>
    <w:lvl w:ilvl="8" w:tentative="0">
      <w:start w:val="1"/>
      <w:numFmt w:val="lowerRoman"/>
      <w:lvlText w:val="%9."/>
      <w:lvlJc w:val="right"/>
      <w:pPr>
        <w:tabs>
          <w:tab w:val="left" w:pos="5399"/>
        </w:tabs>
        <w:ind w:left="5399" w:hanging="420"/>
      </w:pPr>
    </w:lvl>
  </w:abstractNum>
  <w:abstractNum w:abstractNumId="5">
    <w:nsid w:val="0C1C34D2"/>
    <w:multiLevelType w:val="multilevel"/>
    <w:tmpl w:val="0C1C34D2"/>
    <w:lvl w:ilvl="0" w:tentative="0">
      <w:start w:val="1"/>
      <w:numFmt w:val="decimal"/>
      <w:lvlText w:val="(%1)"/>
      <w:lvlJc w:val="left"/>
      <w:pPr>
        <w:tabs>
          <w:tab w:val="left" w:pos="1560"/>
        </w:tabs>
        <w:ind w:left="1560" w:hanging="1080"/>
      </w:pPr>
      <w:rPr>
        <w:rFonts w:hint="eastAsia"/>
      </w:rPr>
    </w:lvl>
    <w:lvl w:ilvl="1" w:tentative="0">
      <w:start w:val="1"/>
      <w:numFmt w:val="decimal"/>
      <w:lvlText w:val="（%2）"/>
      <w:lvlJc w:val="left"/>
      <w:pPr>
        <w:tabs>
          <w:tab w:val="left" w:pos="1620"/>
        </w:tabs>
        <w:ind w:left="1620" w:hanging="72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6">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i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i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7">
    <w:nsid w:val="1E153F58"/>
    <w:multiLevelType w:val="multilevel"/>
    <w:tmpl w:val="1E153F58"/>
    <w:lvl w:ilvl="0" w:tentative="0">
      <w:start w:val="1"/>
      <w:numFmt w:val="decimal"/>
      <w:lvlText w:val="（%1）"/>
      <w:lvlJc w:val="left"/>
      <w:pPr>
        <w:tabs>
          <w:tab w:val="left" w:pos="2609"/>
        </w:tabs>
        <w:ind w:left="2609" w:hanging="720"/>
      </w:pPr>
      <w:rPr>
        <w:rFonts w:hint="eastAsia"/>
      </w:rPr>
    </w:lvl>
    <w:lvl w:ilvl="1" w:tentative="0">
      <w:start w:val="1"/>
      <w:numFmt w:val="lowerLetter"/>
      <w:lvlText w:val="%2)"/>
      <w:lvlJc w:val="left"/>
      <w:pPr>
        <w:tabs>
          <w:tab w:val="left" w:pos="2729"/>
        </w:tabs>
        <w:ind w:left="2729" w:hanging="420"/>
      </w:pPr>
    </w:lvl>
    <w:lvl w:ilvl="2" w:tentative="0">
      <w:start w:val="1"/>
      <w:numFmt w:val="lowerRoman"/>
      <w:lvlText w:val="%3."/>
      <w:lvlJc w:val="right"/>
      <w:pPr>
        <w:tabs>
          <w:tab w:val="left" w:pos="3149"/>
        </w:tabs>
        <w:ind w:left="3149" w:hanging="420"/>
      </w:pPr>
    </w:lvl>
    <w:lvl w:ilvl="3" w:tentative="0">
      <w:start w:val="1"/>
      <w:numFmt w:val="decimal"/>
      <w:lvlText w:val="%4."/>
      <w:lvlJc w:val="left"/>
      <w:pPr>
        <w:tabs>
          <w:tab w:val="left" w:pos="3569"/>
        </w:tabs>
        <w:ind w:left="3569" w:hanging="420"/>
      </w:pPr>
    </w:lvl>
    <w:lvl w:ilvl="4" w:tentative="0">
      <w:start w:val="1"/>
      <w:numFmt w:val="lowerLetter"/>
      <w:lvlText w:val="%5)"/>
      <w:lvlJc w:val="left"/>
      <w:pPr>
        <w:tabs>
          <w:tab w:val="left" w:pos="3989"/>
        </w:tabs>
        <w:ind w:left="3989" w:hanging="420"/>
      </w:pPr>
    </w:lvl>
    <w:lvl w:ilvl="5" w:tentative="0">
      <w:start w:val="1"/>
      <w:numFmt w:val="lowerRoman"/>
      <w:lvlText w:val="%6."/>
      <w:lvlJc w:val="right"/>
      <w:pPr>
        <w:tabs>
          <w:tab w:val="left" w:pos="4409"/>
        </w:tabs>
        <w:ind w:left="4409" w:hanging="420"/>
      </w:pPr>
    </w:lvl>
    <w:lvl w:ilvl="6" w:tentative="0">
      <w:start w:val="1"/>
      <w:numFmt w:val="decimal"/>
      <w:lvlText w:val="%7."/>
      <w:lvlJc w:val="left"/>
      <w:pPr>
        <w:tabs>
          <w:tab w:val="left" w:pos="4829"/>
        </w:tabs>
        <w:ind w:left="4829" w:hanging="420"/>
      </w:pPr>
    </w:lvl>
    <w:lvl w:ilvl="7" w:tentative="0">
      <w:start w:val="1"/>
      <w:numFmt w:val="lowerLetter"/>
      <w:lvlText w:val="%8)"/>
      <w:lvlJc w:val="left"/>
      <w:pPr>
        <w:tabs>
          <w:tab w:val="left" w:pos="5249"/>
        </w:tabs>
        <w:ind w:left="5249" w:hanging="420"/>
      </w:pPr>
    </w:lvl>
    <w:lvl w:ilvl="8" w:tentative="0">
      <w:start w:val="1"/>
      <w:numFmt w:val="lowerRoman"/>
      <w:lvlText w:val="%9."/>
      <w:lvlJc w:val="right"/>
      <w:pPr>
        <w:tabs>
          <w:tab w:val="left" w:pos="5669"/>
        </w:tabs>
        <w:ind w:left="5669" w:hanging="420"/>
      </w:pPr>
    </w:lvl>
  </w:abstractNum>
  <w:abstractNum w:abstractNumId="8">
    <w:nsid w:val="1FDA3539"/>
    <w:multiLevelType w:val="multilevel"/>
    <w:tmpl w:val="1FDA3539"/>
    <w:lvl w:ilvl="0" w:tentative="0">
      <w:start w:val="1"/>
      <w:numFmt w:val="decimal"/>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9">
    <w:nsid w:val="253A68C1"/>
    <w:multiLevelType w:val="multilevel"/>
    <w:tmpl w:val="253A68C1"/>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0">
    <w:nsid w:val="266F2840"/>
    <w:multiLevelType w:val="multilevel"/>
    <w:tmpl w:val="266F2840"/>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1">
    <w:nsid w:val="305B4031"/>
    <w:multiLevelType w:val="multilevel"/>
    <w:tmpl w:val="305B4031"/>
    <w:lvl w:ilvl="0" w:tentative="0">
      <w:start w:val="1"/>
      <w:numFmt w:val="decimal"/>
      <w:lvlText w:val="(%1)"/>
      <w:lvlJc w:val="left"/>
      <w:pPr>
        <w:tabs>
          <w:tab w:val="left" w:pos="2580"/>
        </w:tabs>
        <w:ind w:left="2580" w:hanging="600"/>
      </w:pPr>
      <w:rPr>
        <w:rFonts w:hint="eastAsia"/>
      </w:rPr>
    </w:lvl>
    <w:lvl w:ilvl="1" w:tentative="0">
      <w:start w:val="1"/>
      <w:numFmt w:val="decimal"/>
      <w:lvlText w:val="(%2)"/>
      <w:lvlJc w:val="left"/>
      <w:pPr>
        <w:tabs>
          <w:tab w:val="left" w:pos="2910"/>
        </w:tabs>
        <w:ind w:left="2910" w:hanging="510"/>
      </w:pPr>
      <w:rPr>
        <w:rFonts w:hint="eastAsia"/>
      </w:rPr>
    </w:lvl>
    <w:lvl w:ilvl="2" w:tentative="0">
      <w:start w:val="1"/>
      <w:numFmt w:val="lowerRoman"/>
      <w:lvlText w:val="%3."/>
      <w:lvlJc w:val="right"/>
      <w:pPr>
        <w:tabs>
          <w:tab w:val="left" w:pos="3240"/>
        </w:tabs>
        <w:ind w:left="3240" w:hanging="420"/>
      </w:pPr>
    </w:lvl>
    <w:lvl w:ilvl="3" w:tentative="0">
      <w:start w:val="1"/>
      <w:numFmt w:val="decimal"/>
      <w:lvlText w:val="%4."/>
      <w:lvlJc w:val="left"/>
      <w:pPr>
        <w:tabs>
          <w:tab w:val="left" w:pos="3660"/>
        </w:tabs>
        <w:ind w:left="3660" w:hanging="420"/>
      </w:pPr>
    </w:lvl>
    <w:lvl w:ilvl="4" w:tentative="0">
      <w:start w:val="1"/>
      <w:numFmt w:val="lowerLetter"/>
      <w:lvlText w:val="%5)"/>
      <w:lvlJc w:val="left"/>
      <w:pPr>
        <w:tabs>
          <w:tab w:val="left" w:pos="4080"/>
        </w:tabs>
        <w:ind w:left="4080" w:hanging="420"/>
      </w:pPr>
    </w:lvl>
    <w:lvl w:ilvl="5" w:tentative="0">
      <w:start w:val="1"/>
      <w:numFmt w:val="lowerRoman"/>
      <w:lvlText w:val="%6."/>
      <w:lvlJc w:val="right"/>
      <w:pPr>
        <w:tabs>
          <w:tab w:val="left" w:pos="4500"/>
        </w:tabs>
        <w:ind w:left="4500" w:hanging="420"/>
      </w:pPr>
    </w:lvl>
    <w:lvl w:ilvl="6" w:tentative="0">
      <w:start w:val="1"/>
      <w:numFmt w:val="decimal"/>
      <w:lvlText w:val="%7."/>
      <w:lvlJc w:val="left"/>
      <w:pPr>
        <w:tabs>
          <w:tab w:val="left" w:pos="4920"/>
        </w:tabs>
        <w:ind w:left="4920" w:hanging="420"/>
      </w:pPr>
    </w:lvl>
    <w:lvl w:ilvl="7" w:tentative="0">
      <w:start w:val="1"/>
      <w:numFmt w:val="lowerLetter"/>
      <w:lvlText w:val="%8)"/>
      <w:lvlJc w:val="left"/>
      <w:pPr>
        <w:tabs>
          <w:tab w:val="left" w:pos="5340"/>
        </w:tabs>
        <w:ind w:left="5340" w:hanging="420"/>
      </w:pPr>
    </w:lvl>
    <w:lvl w:ilvl="8" w:tentative="0">
      <w:start w:val="1"/>
      <w:numFmt w:val="lowerRoman"/>
      <w:lvlText w:val="%9."/>
      <w:lvlJc w:val="right"/>
      <w:pPr>
        <w:tabs>
          <w:tab w:val="left" w:pos="5760"/>
        </w:tabs>
        <w:ind w:left="5760" w:hanging="420"/>
      </w:pPr>
    </w:lvl>
  </w:abstractNum>
  <w:abstractNum w:abstractNumId="12">
    <w:nsid w:val="32C43DC6"/>
    <w:multiLevelType w:val="multilevel"/>
    <w:tmpl w:val="32C43DC6"/>
    <w:lvl w:ilvl="0" w:tentative="0">
      <w:start w:val="1"/>
      <w:numFmt w:val="decimal"/>
      <w:lvlText w:val="(%1)"/>
      <w:lvlJc w:val="left"/>
      <w:pPr>
        <w:tabs>
          <w:tab w:val="left" w:pos="1560"/>
        </w:tabs>
        <w:ind w:left="156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3">
    <w:nsid w:val="36B74DA9"/>
    <w:multiLevelType w:val="multilevel"/>
    <w:tmpl w:val="36B74DA9"/>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3B2E0A0E"/>
    <w:multiLevelType w:val="multilevel"/>
    <w:tmpl w:val="3B2E0A0E"/>
    <w:lvl w:ilvl="0" w:tentative="0">
      <w:start w:val="1"/>
      <w:numFmt w:val="decimal"/>
      <w:lvlText w:val="(%1)"/>
      <w:lvlJc w:val="left"/>
      <w:pPr>
        <w:tabs>
          <w:tab w:val="left" w:pos="1080"/>
        </w:tabs>
        <w:ind w:left="1080" w:hanging="600"/>
      </w:pPr>
      <w:rPr>
        <w:rFonts w:hint="eastAsia"/>
      </w:rPr>
    </w:lvl>
    <w:lvl w:ilvl="1" w:tentative="0">
      <w:start w:val="1"/>
      <w:numFmt w:val="decimal"/>
      <w:lvlText w:val="（%2）"/>
      <w:lvlJc w:val="left"/>
      <w:pPr>
        <w:tabs>
          <w:tab w:val="left" w:pos="1620"/>
        </w:tabs>
        <w:ind w:left="1620" w:hanging="720"/>
      </w:pPr>
      <w:rPr>
        <w:rFonts w:hint="eastAsia" w:ascii="宋体"/>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5">
    <w:nsid w:val="3E0758DE"/>
    <w:multiLevelType w:val="multilevel"/>
    <w:tmpl w:val="3E0758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6">
    <w:nsid w:val="42D478CF"/>
    <w:multiLevelType w:val="multilevel"/>
    <w:tmpl w:val="42D478CF"/>
    <w:lvl w:ilvl="0" w:tentative="0">
      <w:start w:val="1"/>
      <w:numFmt w:val="decimal"/>
      <w:lvlText w:val="(%1)"/>
      <w:lvlJc w:val="left"/>
      <w:pPr>
        <w:tabs>
          <w:tab w:val="left" w:pos="1080"/>
        </w:tabs>
        <w:ind w:left="1080" w:hanging="60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7">
    <w:nsid w:val="46C666F9"/>
    <w:multiLevelType w:val="multilevel"/>
    <w:tmpl w:val="46C666F9"/>
    <w:lvl w:ilvl="0" w:tentative="0">
      <w:start w:val="1"/>
      <w:numFmt w:val="decimal"/>
      <w:lvlText w:val="%1."/>
      <w:lvlJc w:val="left"/>
      <w:pPr>
        <w:ind w:left="420" w:hanging="420"/>
      </w:pPr>
      <w:rPr>
        <w:rFonts w:cs="Times New Roman"/>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abstractNum w:abstractNumId="18">
    <w:nsid w:val="46D47E00"/>
    <w:multiLevelType w:val="multilevel"/>
    <w:tmpl w:val="46D47E00"/>
    <w:lvl w:ilvl="0" w:tentative="0">
      <w:start w:val="1"/>
      <w:numFmt w:val="decimal"/>
      <w:lvlText w:val="(%1)"/>
      <w:lvlJc w:val="left"/>
      <w:pPr>
        <w:tabs>
          <w:tab w:val="left" w:pos="960"/>
        </w:tabs>
        <w:ind w:left="960" w:hanging="4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9">
    <w:nsid w:val="4D5A4498"/>
    <w:multiLevelType w:val="multilevel"/>
    <w:tmpl w:val="4D5A4498"/>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0">
    <w:nsid w:val="4DC73839"/>
    <w:multiLevelType w:val="singleLevel"/>
    <w:tmpl w:val="4DC73839"/>
    <w:lvl w:ilvl="0" w:tentative="0">
      <w:start w:val="2"/>
      <w:numFmt w:val="decimal"/>
      <w:suff w:val="nothing"/>
      <w:lvlText w:val="%1）"/>
      <w:lvlJc w:val="left"/>
    </w:lvl>
  </w:abstractNum>
  <w:abstractNum w:abstractNumId="21">
    <w:nsid w:val="55CC2CEE"/>
    <w:multiLevelType w:val="multilevel"/>
    <w:tmpl w:val="55CC2CEE"/>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2">
    <w:nsid w:val="57D559DE"/>
    <w:multiLevelType w:val="multilevel"/>
    <w:tmpl w:val="57D559DE"/>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3">
    <w:nsid w:val="59031762"/>
    <w:multiLevelType w:val="multilevel"/>
    <w:tmpl w:val="59031762"/>
    <w:lvl w:ilvl="0" w:tentative="0">
      <w:start w:val="1"/>
      <w:numFmt w:val="decimal"/>
      <w:lvlText w:val="%1"/>
      <w:lvlJc w:val="left"/>
      <w:pPr>
        <w:tabs>
          <w:tab w:val="left" w:pos="425"/>
        </w:tabs>
        <w:ind w:left="425" w:hanging="425"/>
      </w:pPr>
      <w:rPr>
        <w:rFonts w:hint="eastAsia"/>
        <w:b/>
      </w:rPr>
    </w:lvl>
    <w:lvl w:ilvl="1" w:tentative="0">
      <w:start w:val="1"/>
      <w:numFmt w:val="decimal"/>
      <w:lvlText w:val="%1.%2."/>
      <w:lvlJc w:val="left"/>
      <w:pPr>
        <w:tabs>
          <w:tab w:val="left" w:pos="567"/>
        </w:tabs>
        <w:ind w:left="567" w:hanging="567"/>
      </w:pPr>
      <w:rPr>
        <w:rFonts w:hint="eastAsia"/>
        <w:b w:val="0"/>
        <w:dstrike w:val="0"/>
        <w:color w:val="auto"/>
        <w:sz w:val="21"/>
        <w:szCs w:val="21"/>
      </w:rPr>
    </w:lvl>
    <w:lvl w:ilvl="2" w:tentative="0">
      <w:start w:val="1"/>
      <w:numFmt w:val="decimal"/>
      <w:lvlText w:val="%1.%2.%3."/>
      <w:lvlJc w:val="left"/>
      <w:pPr>
        <w:tabs>
          <w:tab w:val="left" w:pos="709"/>
        </w:tabs>
        <w:ind w:left="709" w:hanging="709"/>
      </w:pPr>
      <w:rPr>
        <w:rFonts w:hint="eastAsia"/>
        <w:b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4">
    <w:nsid w:val="5B691D0A"/>
    <w:multiLevelType w:val="multilevel"/>
    <w:tmpl w:val="5B691D0A"/>
    <w:lvl w:ilvl="0" w:tentative="0">
      <w:start w:val="1"/>
      <w:numFmt w:val="decimal"/>
      <w:lvlText w:val="(%1)"/>
      <w:lvlJc w:val="left"/>
      <w:pPr>
        <w:tabs>
          <w:tab w:val="left" w:pos="1560"/>
        </w:tabs>
        <w:ind w:left="1560" w:hanging="1080"/>
      </w:pPr>
      <w:rPr>
        <w:rFonts w:hint="eastAsia"/>
      </w:rPr>
    </w:lvl>
    <w:lvl w:ilvl="1" w:tentative="0">
      <w:start w:val="4"/>
      <w:numFmt w:val="decimal"/>
      <w:lvlText w:val="(%2)"/>
      <w:lvlJc w:val="left"/>
      <w:pPr>
        <w:tabs>
          <w:tab w:val="left" w:pos="1410"/>
        </w:tabs>
        <w:ind w:left="1410" w:hanging="510"/>
      </w:pPr>
      <w:rPr>
        <w:rFonts w:hint="default"/>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5">
    <w:nsid w:val="5EEA705D"/>
    <w:multiLevelType w:val="multilevel"/>
    <w:tmpl w:val="5EEA705D"/>
    <w:lvl w:ilvl="0" w:tentative="0">
      <w:start w:val="1"/>
      <w:numFmt w:val="decimal"/>
      <w:lvlText w:val="(%1)"/>
      <w:lvlJc w:val="left"/>
      <w:pPr>
        <w:tabs>
          <w:tab w:val="left" w:pos="1080"/>
        </w:tabs>
        <w:ind w:left="1080" w:hanging="60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62256771"/>
    <w:multiLevelType w:val="multilevel"/>
    <w:tmpl w:val="62256771"/>
    <w:lvl w:ilvl="0" w:tentative="0">
      <w:start w:val="1"/>
      <w:numFmt w:val="decimal"/>
      <w:lvlText w:val="(%1)"/>
      <w:lvlJc w:val="left"/>
      <w:pPr>
        <w:tabs>
          <w:tab w:val="left" w:pos="960"/>
        </w:tabs>
        <w:ind w:left="960" w:hanging="480"/>
      </w:pPr>
      <w:rPr>
        <w:rFonts w:hint="eastAsia"/>
      </w:rPr>
    </w:lvl>
    <w:lvl w:ilvl="1" w:tentative="0">
      <w:start w:val="1"/>
      <w:numFmt w:val="decimal"/>
      <w:lvlText w:val="（%2）"/>
      <w:lvlJc w:val="left"/>
      <w:pPr>
        <w:tabs>
          <w:tab w:val="left" w:pos="1980"/>
        </w:tabs>
        <w:ind w:left="1980" w:hanging="108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7">
    <w:nsid w:val="69774DF0"/>
    <w:multiLevelType w:val="multilevel"/>
    <w:tmpl w:val="69774DF0"/>
    <w:lvl w:ilvl="0" w:tentative="0">
      <w:start w:val="1"/>
      <w:numFmt w:val="decimal"/>
      <w:lvlText w:val="(%1)"/>
      <w:lvlJc w:val="left"/>
      <w:pPr>
        <w:tabs>
          <w:tab w:val="left" w:pos="1350"/>
        </w:tabs>
        <w:ind w:left="1350" w:hanging="870"/>
      </w:pPr>
      <w:rPr>
        <w:rFonts w:hint="eastAsia"/>
      </w:rPr>
    </w:lvl>
    <w:lvl w:ilvl="1" w:tentative="0">
      <w:start w:val="1"/>
      <w:numFmt w:val="decimal"/>
      <w:lvlText w:val="%2."/>
      <w:lvlJc w:val="left"/>
      <w:pPr>
        <w:tabs>
          <w:tab w:val="left" w:pos="1260"/>
        </w:tabs>
        <w:ind w:left="1260" w:hanging="36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8">
    <w:nsid w:val="6B1548AB"/>
    <w:multiLevelType w:val="multilevel"/>
    <w:tmpl w:val="6B1548AB"/>
    <w:lvl w:ilvl="0" w:tentative="0">
      <w:start w:val="1"/>
      <w:numFmt w:val="decimal"/>
      <w:lvlText w:val="(%1)"/>
      <w:lvlJc w:val="left"/>
      <w:pPr>
        <w:tabs>
          <w:tab w:val="left" w:pos="990"/>
        </w:tabs>
        <w:ind w:left="990" w:hanging="99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9">
    <w:nsid w:val="6C1074F8"/>
    <w:multiLevelType w:val="multilevel"/>
    <w:tmpl w:val="6C1074F8"/>
    <w:lvl w:ilvl="0" w:tentative="0">
      <w:start w:val="1"/>
      <w:numFmt w:val="decimal"/>
      <w:lvlText w:val="(%1)"/>
      <w:lvlJc w:val="left"/>
      <w:pPr>
        <w:tabs>
          <w:tab w:val="left" w:pos="990"/>
        </w:tabs>
        <w:ind w:left="990" w:hanging="510"/>
      </w:pPr>
      <w:rPr>
        <w:rFonts w:hint="eastAsia"/>
        <w:color w:val="auto"/>
      </w:rPr>
    </w:lvl>
    <w:lvl w:ilvl="1" w:tentative="0">
      <w:start w:val="1"/>
      <w:numFmt w:val="decimal"/>
      <w:lvlText w:val="(%2)"/>
      <w:lvlJc w:val="left"/>
      <w:pPr>
        <w:tabs>
          <w:tab w:val="left" w:pos="1290"/>
        </w:tabs>
        <w:ind w:left="1290" w:hanging="390"/>
      </w:pPr>
      <w:rPr>
        <w:rFonts w:hint="eastAsia"/>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0">
    <w:nsid w:val="6CBA5776"/>
    <w:multiLevelType w:val="multilevel"/>
    <w:tmpl w:val="6CBA5776"/>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1">
    <w:nsid w:val="706D58B7"/>
    <w:multiLevelType w:val="multilevel"/>
    <w:tmpl w:val="706D58B7"/>
    <w:lvl w:ilvl="0" w:tentative="0">
      <w:start w:val="1"/>
      <w:numFmt w:val="decimal"/>
      <w:lvlText w:val="(%1)"/>
      <w:lvlJc w:val="left"/>
      <w:pPr>
        <w:tabs>
          <w:tab w:val="left" w:pos="1440"/>
        </w:tabs>
        <w:ind w:left="1440" w:hanging="9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2">
    <w:nsid w:val="72FD250D"/>
    <w:multiLevelType w:val="multilevel"/>
    <w:tmpl w:val="72FD250D"/>
    <w:lvl w:ilvl="0" w:tentative="0">
      <w:start w:val="1"/>
      <w:numFmt w:val="decimal"/>
      <w:lvlText w:val="(%1)"/>
      <w:lvlJc w:val="left"/>
      <w:pPr>
        <w:tabs>
          <w:tab w:val="left" w:pos="1080"/>
        </w:tabs>
        <w:ind w:left="1080" w:hanging="600"/>
      </w:pPr>
      <w:rPr>
        <w:rFonts w:hint="eastAsia" w:hAnsi="宋体"/>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3">
    <w:nsid w:val="763E7D68"/>
    <w:multiLevelType w:val="multilevel"/>
    <w:tmpl w:val="763E7D68"/>
    <w:lvl w:ilvl="0" w:tentative="0">
      <w:start w:val="1"/>
      <w:numFmt w:val="japaneseCounting"/>
      <w:lvlText w:val="%1、"/>
      <w:lvlJc w:val="left"/>
      <w:pPr>
        <w:ind w:left="600" w:hanging="600"/>
      </w:pPr>
      <w:rPr>
        <w:rFonts w:hint="default" w:cs="Times New Roman"/>
        <w:b/>
        <w:sz w:val="28"/>
      </w:rPr>
    </w:lvl>
    <w:lvl w:ilvl="1" w:tentative="0">
      <w:start w:val="1"/>
      <w:numFmt w:val="decimal"/>
      <w:lvlText w:val="%2、"/>
      <w:lvlJc w:val="left"/>
      <w:pPr>
        <w:tabs>
          <w:tab w:val="left" w:pos="1125"/>
        </w:tabs>
        <w:ind w:left="1125" w:hanging="705"/>
      </w:pPr>
      <w:rPr>
        <w:rFonts w:hint="default"/>
        <w:b/>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4">
    <w:nsid w:val="774C6470"/>
    <w:multiLevelType w:val="multilevel"/>
    <w:tmpl w:val="774C6470"/>
    <w:lvl w:ilvl="0" w:tentative="0">
      <w:start w:val="1"/>
      <w:numFmt w:val="decimal"/>
      <w:lvlText w:val="(%1)"/>
      <w:lvlJc w:val="left"/>
      <w:pPr>
        <w:tabs>
          <w:tab w:val="left" w:pos="1560"/>
        </w:tabs>
        <w:ind w:left="1560" w:hanging="108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5">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36">
    <w:nsid w:val="7E9C6F08"/>
    <w:multiLevelType w:val="multilevel"/>
    <w:tmpl w:val="7E9C6F08"/>
    <w:lvl w:ilvl="0" w:tentative="0">
      <w:start w:val="1"/>
      <w:numFmt w:val="decimal"/>
      <w:lvlText w:val="(%1)"/>
      <w:lvlJc w:val="left"/>
      <w:pPr>
        <w:tabs>
          <w:tab w:val="left" w:pos="1200"/>
        </w:tabs>
        <w:ind w:left="1200" w:hanging="72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lvlOverride w:ilvl="0">
      <w:startOverride w:val="1"/>
    </w:lvlOverride>
  </w:num>
  <w:num w:numId="2">
    <w:abstractNumId w:val="0"/>
  </w:num>
  <w:num w:numId="3">
    <w:abstractNumId w:val="2"/>
  </w:num>
  <w:num w:numId="4">
    <w:abstractNumId w:val="33"/>
  </w:num>
  <w:num w:numId="5">
    <w:abstractNumId w:val="23"/>
  </w:num>
  <w:num w:numId="6">
    <w:abstractNumId w:val="17"/>
  </w:num>
  <w:num w:numId="7">
    <w:abstractNumId w:val="20"/>
  </w:num>
  <w:num w:numId="8">
    <w:abstractNumId w:val="3"/>
  </w:num>
  <w:num w:numId="9">
    <w:abstractNumId w:val="16"/>
  </w:num>
  <w:num w:numId="10">
    <w:abstractNumId w:val="11"/>
  </w:num>
  <w:num w:numId="11">
    <w:abstractNumId w:val="26"/>
  </w:num>
  <w:num w:numId="12">
    <w:abstractNumId w:val="28"/>
  </w:num>
  <w:num w:numId="13">
    <w:abstractNumId w:val="12"/>
  </w:num>
  <w:num w:numId="14">
    <w:abstractNumId w:val="29"/>
  </w:num>
  <w:num w:numId="15">
    <w:abstractNumId w:val="7"/>
  </w:num>
  <w:num w:numId="16">
    <w:abstractNumId w:val="4"/>
  </w:num>
  <w:num w:numId="17">
    <w:abstractNumId w:val="30"/>
  </w:num>
  <w:num w:numId="18">
    <w:abstractNumId w:val="32"/>
  </w:num>
  <w:num w:numId="19">
    <w:abstractNumId w:val="9"/>
  </w:num>
  <w:num w:numId="20">
    <w:abstractNumId w:val="14"/>
  </w:num>
  <w:num w:numId="21">
    <w:abstractNumId w:val="21"/>
  </w:num>
  <w:num w:numId="22">
    <w:abstractNumId w:val="10"/>
  </w:num>
  <w:num w:numId="23">
    <w:abstractNumId w:val="25"/>
  </w:num>
  <w:num w:numId="24">
    <w:abstractNumId w:val="15"/>
  </w:num>
  <w:num w:numId="25">
    <w:abstractNumId w:val="5"/>
  </w:num>
  <w:num w:numId="26">
    <w:abstractNumId w:val="27"/>
  </w:num>
  <w:num w:numId="27">
    <w:abstractNumId w:val="31"/>
  </w:num>
  <w:num w:numId="28">
    <w:abstractNumId w:val="36"/>
  </w:num>
  <w:num w:numId="29">
    <w:abstractNumId w:val="18"/>
  </w:num>
  <w:num w:numId="30">
    <w:abstractNumId w:val="13"/>
  </w:num>
  <w:num w:numId="31">
    <w:abstractNumId w:val="34"/>
  </w:num>
  <w:num w:numId="32">
    <w:abstractNumId w:val="24"/>
  </w:num>
  <w:num w:numId="33">
    <w:abstractNumId w:val="22"/>
  </w:num>
  <w:num w:numId="34">
    <w:abstractNumId w:val="19"/>
  </w:num>
  <w:num w:numId="35">
    <w:abstractNumId w:val="35"/>
  </w:num>
  <w:num w:numId="3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3FB"/>
    <w:rsid w:val="00007587"/>
    <w:rsid w:val="00090FEB"/>
    <w:rsid w:val="000B151E"/>
    <w:rsid w:val="000B73FB"/>
    <w:rsid w:val="001D6D92"/>
    <w:rsid w:val="001F053A"/>
    <w:rsid w:val="002075A9"/>
    <w:rsid w:val="00422C1A"/>
    <w:rsid w:val="005054B5"/>
    <w:rsid w:val="00511485"/>
    <w:rsid w:val="00542854"/>
    <w:rsid w:val="00545874"/>
    <w:rsid w:val="006E4DAE"/>
    <w:rsid w:val="007A5220"/>
    <w:rsid w:val="007C756C"/>
    <w:rsid w:val="00801945"/>
    <w:rsid w:val="00822326"/>
    <w:rsid w:val="008E4121"/>
    <w:rsid w:val="009F7297"/>
    <w:rsid w:val="00A50D6E"/>
    <w:rsid w:val="00C56CAD"/>
    <w:rsid w:val="00C86501"/>
    <w:rsid w:val="00D71D8C"/>
    <w:rsid w:val="00D75658"/>
    <w:rsid w:val="00D908A5"/>
    <w:rsid w:val="00E6627F"/>
    <w:rsid w:val="00FA526C"/>
    <w:rsid w:val="019C25F4"/>
    <w:rsid w:val="02652F5D"/>
    <w:rsid w:val="03E73DB4"/>
    <w:rsid w:val="05006FA0"/>
    <w:rsid w:val="07161791"/>
    <w:rsid w:val="08694ADA"/>
    <w:rsid w:val="0AE11E48"/>
    <w:rsid w:val="0C045CD2"/>
    <w:rsid w:val="0D8152E8"/>
    <w:rsid w:val="0E294FAB"/>
    <w:rsid w:val="0EAE1EB4"/>
    <w:rsid w:val="10C17524"/>
    <w:rsid w:val="11936206"/>
    <w:rsid w:val="11A42212"/>
    <w:rsid w:val="167654DF"/>
    <w:rsid w:val="168B3EF2"/>
    <w:rsid w:val="16A36F9A"/>
    <w:rsid w:val="189161D3"/>
    <w:rsid w:val="194E3696"/>
    <w:rsid w:val="199B7D6D"/>
    <w:rsid w:val="1A251978"/>
    <w:rsid w:val="1B62425E"/>
    <w:rsid w:val="1B9B22B5"/>
    <w:rsid w:val="1D461912"/>
    <w:rsid w:val="1D603FE9"/>
    <w:rsid w:val="1F1539B4"/>
    <w:rsid w:val="1F9E3FD7"/>
    <w:rsid w:val="210C2156"/>
    <w:rsid w:val="216E2E07"/>
    <w:rsid w:val="22535329"/>
    <w:rsid w:val="2301305E"/>
    <w:rsid w:val="233D3FD3"/>
    <w:rsid w:val="255A3784"/>
    <w:rsid w:val="27410958"/>
    <w:rsid w:val="2988523F"/>
    <w:rsid w:val="2A1810D7"/>
    <w:rsid w:val="2A4464A6"/>
    <w:rsid w:val="2B8F5A11"/>
    <w:rsid w:val="2C2E26F0"/>
    <w:rsid w:val="2CC3315B"/>
    <w:rsid w:val="2EB87B57"/>
    <w:rsid w:val="340B4510"/>
    <w:rsid w:val="348E0D5D"/>
    <w:rsid w:val="354A32AA"/>
    <w:rsid w:val="370D4E81"/>
    <w:rsid w:val="386C4552"/>
    <w:rsid w:val="39144DD2"/>
    <w:rsid w:val="3B91650A"/>
    <w:rsid w:val="3C47493F"/>
    <w:rsid w:val="3E253455"/>
    <w:rsid w:val="40F2232A"/>
    <w:rsid w:val="413E03B5"/>
    <w:rsid w:val="433C464F"/>
    <w:rsid w:val="45816D95"/>
    <w:rsid w:val="45BC0B50"/>
    <w:rsid w:val="47C95CD1"/>
    <w:rsid w:val="47F7074A"/>
    <w:rsid w:val="4BA44348"/>
    <w:rsid w:val="4BC27EF0"/>
    <w:rsid w:val="4DBE3804"/>
    <w:rsid w:val="4E5221B2"/>
    <w:rsid w:val="500819AE"/>
    <w:rsid w:val="52A95F17"/>
    <w:rsid w:val="57C6413F"/>
    <w:rsid w:val="592B775C"/>
    <w:rsid w:val="5CE9656C"/>
    <w:rsid w:val="5E363818"/>
    <w:rsid w:val="5E421EBB"/>
    <w:rsid w:val="5F9100C4"/>
    <w:rsid w:val="61C679A6"/>
    <w:rsid w:val="645475E2"/>
    <w:rsid w:val="666155C1"/>
    <w:rsid w:val="68BC1C18"/>
    <w:rsid w:val="6C3237AC"/>
    <w:rsid w:val="6CF57457"/>
    <w:rsid w:val="6D0C7F81"/>
    <w:rsid w:val="6D757E5C"/>
    <w:rsid w:val="70C704EA"/>
    <w:rsid w:val="7151618F"/>
    <w:rsid w:val="73250F8A"/>
    <w:rsid w:val="73E10AC3"/>
    <w:rsid w:val="73F54074"/>
    <w:rsid w:val="74E45AEB"/>
    <w:rsid w:val="77D008D6"/>
    <w:rsid w:val="781D5E1A"/>
    <w:rsid w:val="7B2E0E6C"/>
    <w:rsid w:val="7CC65E6E"/>
    <w:rsid w:val="7CE37D39"/>
    <w:rsid w:val="7D8D6193"/>
    <w:rsid w:val="7E7E2AD4"/>
    <w:rsid w:val="7F141D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name="index 2"/>
    <w:lsdException w:qFormat="1" w:unhideWhenUsed="0" w:uiPriority="0" w:name="index 3"/>
    <w:lsdException w:qFormat="1" w:unhideWhenUsed="0" w:uiPriority="0" w:name="index 4"/>
    <w:lsdException w:qFormat="1" w:unhideWhenUsed="0" w:uiPriority="0" w:name="index 5"/>
    <w:lsdException w:qFormat="1" w:unhideWhenUsed="0" w:uiPriority="0" w:name="index 6"/>
    <w:lsdException w:qFormat="1" w:unhideWhenUsed="0" w:uiPriority="0" w:name="index 7"/>
    <w:lsdException w:qFormat="1" w:unhideWhenUsed="0" w:uiPriority="0" w:name="index 8"/>
    <w:lsdException w:qFormat="1" w:unhideWhenUsed="0" w:uiPriority="0"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name="annotation text"/>
    <w:lsdException w:qFormat="1" w:unhideWhenUsed="0" w:uiPriority="0" w:semiHidden="0" w:name="header"/>
    <w:lsdException w:qFormat="1" w:unhideWhenUsed="0" w:uiPriority="0" w:semiHidden="0" w:name="footer"/>
    <w:lsdException w:qFormat="1" w:unhideWhenUsed="0" w:uiPriority="0" w:name="index heading"/>
    <w:lsdException w:qFormat="1" w:unhideWhenUsed="0" w:uiPriority="0" w:semiHidden="0" w:name="caption"/>
    <w:lsdException w:qFormat="1" w:unhideWhenUsed="0" w:uiPriority="0" w:name="table of figures"/>
    <w:lsdException w:qFormat="1" w:unhideWhenUsed="0" w:uiPriority="0" w:semiHidden="0" w:name="envelope address"/>
    <w:lsdException w:qFormat="1" w:unhideWhenUsed="0" w:uiPriority="0"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nhideWhenUsed="0" w:uiPriority="0" w:name="endnote text"/>
    <w:lsdException w:qFormat="1" w:unhideWhenUsed="0" w:uiPriority="0" w:name="table of authorities"/>
    <w:lsdException w:qFormat="1" w:unhideWhenUsed="0" w:uiPriority="0" w:name="macro"/>
    <w:lsdException w:qFormat="1" w:unhideWhenUsed="0" w:uiPriority="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link w:val="97"/>
    <w:qFormat/>
    <w:uiPriority w:val="0"/>
    <w:pPr>
      <w:keepNext/>
      <w:spacing w:line="360" w:lineRule="auto"/>
      <w:ind w:right="-441" w:rightChars="-210"/>
      <w:jc w:val="center"/>
      <w:outlineLvl w:val="0"/>
    </w:pPr>
    <w:rPr>
      <w:rFonts w:ascii="宋体" w:hAnsi="宋体"/>
      <w:b/>
      <w:bCs/>
      <w:sz w:val="48"/>
    </w:rPr>
  </w:style>
  <w:style w:type="paragraph" w:styleId="5">
    <w:name w:val="heading 2"/>
    <w:basedOn w:val="1"/>
    <w:next w:val="1"/>
    <w:link w:val="98"/>
    <w:qFormat/>
    <w:uiPriority w:val="0"/>
    <w:pPr>
      <w:keepNext/>
      <w:keepLines/>
      <w:adjustRightInd w:val="0"/>
      <w:spacing w:beforeLines="20" w:afterLines="20" w:line="360" w:lineRule="auto"/>
      <w:textAlignment w:val="baseline"/>
      <w:outlineLvl w:val="1"/>
    </w:pPr>
    <w:rPr>
      <w:rFonts w:ascii="宋体" w:hAnsi="宋体"/>
      <w:b/>
      <w:kern w:val="0"/>
      <w:sz w:val="30"/>
      <w:szCs w:val="20"/>
    </w:rPr>
  </w:style>
  <w:style w:type="paragraph" w:styleId="6">
    <w:name w:val="heading 3"/>
    <w:basedOn w:val="1"/>
    <w:next w:val="1"/>
    <w:link w:val="99"/>
    <w:qFormat/>
    <w:uiPriority w:val="0"/>
    <w:pPr>
      <w:keepNext/>
      <w:keepLines/>
      <w:adjustRightInd w:val="0"/>
      <w:spacing w:before="40" w:after="40" w:line="360" w:lineRule="auto"/>
      <w:textAlignment w:val="baseline"/>
      <w:outlineLvl w:val="2"/>
    </w:pPr>
    <w:rPr>
      <w:rFonts w:ascii="宋体" w:hAnsi="宋体"/>
      <w:b/>
      <w:kern w:val="0"/>
      <w:sz w:val="28"/>
      <w:szCs w:val="20"/>
    </w:rPr>
  </w:style>
  <w:style w:type="paragraph" w:styleId="7">
    <w:name w:val="heading 4"/>
    <w:basedOn w:val="1"/>
    <w:next w:val="1"/>
    <w:link w:val="100"/>
    <w:qFormat/>
    <w:uiPriority w:val="0"/>
    <w:pPr>
      <w:keepNext/>
      <w:keepLines/>
      <w:spacing w:before="280" w:after="290" w:line="376" w:lineRule="auto"/>
      <w:outlineLvl w:val="3"/>
    </w:pPr>
    <w:rPr>
      <w:rFonts w:ascii="Arial" w:hAnsi="Arial" w:eastAsia="黑体"/>
      <w:b/>
      <w:bCs/>
      <w:sz w:val="28"/>
      <w:szCs w:val="28"/>
    </w:rPr>
  </w:style>
  <w:style w:type="paragraph" w:styleId="8">
    <w:name w:val="heading 5"/>
    <w:basedOn w:val="1"/>
    <w:next w:val="1"/>
    <w:link w:val="101"/>
    <w:qFormat/>
    <w:uiPriority w:val="0"/>
    <w:pPr>
      <w:widowControl/>
      <w:tabs>
        <w:tab w:val="left" w:pos="709"/>
        <w:tab w:val="left" w:pos="1008"/>
      </w:tabs>
      <w:spacing w:before="240" w:afterLines="50"/>
      <w:ind w:left="1008" w:hanging="1008"/>
      <w:outlineLvl w:val="4"/>
    </w:pPr>
    <w:rPr>
      <w:rFonts w:ascii="Arial" w:hAnsi="Arial"/>
      <w:kern w:val="0"/>
      <w:sz w:val="22"/>
      <w:szCs w:val="20"/>
    </w:rPr>
  </w:style>
  <w:style w:type="paragraph" w:styleId="9">
    <w:name w:val="heading 6"/>
    <w:basedOn w:val="1"/>
    <w:next w:val="1"/>
    <w:link w:val="102"/>
    <w:qFormat/>
    <w:uiPriority w:val="0"/>
    <w:pPr>
      <w:widowControl/>
      <w:tabs>
        <w:tab w:val="left" w:pos="709"/>
        <w:tab w:val="left" w:pos="1152"/>
      </w:tabs>
      <w:spacing w:before="240" w:afterLines="50"/>
      <w:ind w:left="1152" w:hanging="1152"/>
      <w:outlineLvl w:val="5"/>
    </w:pPr>
    <w:rPr>
      <w:rFonts w:hAnsi="Arial"/>
      <w:i/>
      <w:kern w:val="0"/>
      <w:sz w:val="22"/>
      <w:szCs w:val="20"/>
    </w:rPr>
  </w:style>
  <w:style w:type="paragraph" w:styleId="10">
    <w:name w:val="heading 7"/>
    <w:basedOn w:val="1"/>
    <w:next w:val="1"/>
    <w:link w:val="103"/>
    <w:qFormat/>
    <w:uiPriority w:val="0"/>
    <w:pPr>
      <w:widowControl/>
      <w:tabs>
        <w:tab w:val="left" w:pos="709"/>
        <w:tab w:val="left" w:pos="1296"/>
      </w:tabs>
      <w:spacing w:before="240" w:afterLines="50"/>
      <w:ind w:left="1296" w:hanging="1296"/>
      <w:outlineLvl w:val="6"/>
    </w:pPr>
    <w:rPr>
      <w:rFonts w:ascii="Arial" w:hAnsi="Arial"/>
      <w:kern w:val="0"/>
      <w:sz w:val="20"/>
      <w:szCs w:val="20"/>
    </w:rPr>
  </w:style>
  <w:style w:type="paragraph" w:styleId="11">
    <w:name w:val="heading 8"/>
    <w:basedOn w:val="1"/>
    <w:next w:val="1"/>
    <w:link w:val="104"/>
    <w:qFormat/>
    <w:uiPriority w:val="0"/>
    <w:pPr>
      <w:widowControl/>
      <w:tabs>
        <w:tab w:val="left" w:pos="709"/>
        <w:tab w:val="left" w:pos="1440"/>
      </w:tabs>
      <w:spacing w:before="240" w:afterLines="50"/>
      <w:ind w:left="1440" w:hanging="1440"/>
      <w:outlineLvl w:val="7"/>
    </w:pPr>
    <w:rPr>
      <w:rFonts w:ascii="Arial" w:hAnsi="Arial"/>
      <w:i/>
      <w:kern w:val="0"/>
      <w:sz w:val="20"/>
      <w:szCs w:val="20"/>
    </w:rPr>
  </w:style>
  <w:style w:type="paragraph" w:styleId="12">
    <w:name w:val="heading 9"/>
    <w:basedOn w:val="1"/>
    <w:next w:val="1"/>
    <w:link w:val="105"/>
    <w:qFormat/>
    <w:uiPriority w:val="0"/>
    <w:pPr>
      <w:widowControl/>
      <w:tabs>
        <w:tab w:val="left" w:pos="709"/>
        <w:tab w:val="left" w:pos="1584"/>
      </w:tabs>
      <w:spacing w:before="240" w:afterLines="50"/>
      <w:ind w:left="1584" w:hanging="1584"/>
      <w:outlineLvl w:val="8"/>
    </w:pPr>
    <w:rPr>
      <w:rFonts w:ascii="Arial" w:hAnsi="Arial"/>
      <w:b/>
      <w:i/>
      <w:kern w:val="0"/>
      <w:sz w:val="18"/>
      <w:szCs w:val="20"/>
    </w:rPr>
  </w:style>
  <w:style w:type="character" w:default="1" w:styleId="92">
    <w:name w:val="Default Paragraph Font"/>
    <w:semiHidden/>
    <w:unhideWhenUsed/>
    <w:qFormat/>
    <w:uiPriority w:val="1"/>
  </w:style>
  <w:style w:type="table" w:default="1" w:styleId="90">
    <w:name w:val="Normal Table"/>
    <w:semiHidden/>
    <w:unhideWhenUsed/>
    <w:qFormat/>
    <w:uiPriority w:val="99"/>
    <w:tblPr>
      <w:tblCellMar>
        <w:top w:w="0" w:type="dxa"/>
        <w:left w:w="108" w:type="dxa"/>
        <w:bottom w:w="0" w:type="dxa"/>
        <w:right w:w="108" w:type="dxa"/>
      </w:tblCellMar>
    </w:tblPr>
  </w:style>
  <w:style w:type="paragraph" w:customStyle="1" w:styleId="2">
    <w:name w:val="样式 宋体 小四 行距: 1.5 倍行距"/>
    <w:basedOn w:val="1"/>
    <w:qFormat/>
    <w:uiPriority w:val="0"/>
    <w:rPr>
      <w:rFonts w:ascii="宋体" w:hAnsi="宋体" w:cs="宋体"/>
      <w:sz w:val="28"/>
    </w:rPr>
  </w:style>
  <w:style w:type="paragraph" w:styleId="3">
    <w:name w:val="macro"/>
    <w:link w:val="150"/>
    <w:semiHidden/>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0"/>
    <w:pPr>
      <w:ind w:left="100" w:leftChars="400" w:hanging="200" w:hangingChars="200"/>
    </w:pPr>
  </w:style>
  <w:style w:type="paragraph" w:styleId="14">
    <w:name w:val="toc 7"/>
    <w:basedOn w:val="1"/>
    <w:next w:val="1"/>
    <w:qFormat/>
    <w:uiPriority w:val="0"/>
    <w:pPr>
      <w:ind w:left="1260"/>
      <w:jc w:val="left"/>
    </w:pPr>
    <w:rPr>
      <w:sz w:val="18"/>
      <w:szCs w:val="18"/>
    </w:rPr>
  </w:style>
  <w:style w:type="paragraph" w:styleId="15">
    <w:name w:val="List Number 2"/>
    <w:basedOn w:val="1"/>
    <w:qFormat/>
    <w:uiPriority w:val="0"/>
    <w:pPr>
      <w:tabs>
        <w:tab w:val="left" w:pos="780"/>
      </w:tabs>
      <w:ind w:left="780" w:hanging="360"/>
    </w:pPr>
  </w:style>
  <w:style w:type="paragraph" w:styleId="16">
    <w:name w:val="table of authorities"/>
    <w:basedOn w:val="1"/>
    <w:next w:val="1"/>
    <w:semiHidden/>
    <w:qFormat/>
    <w:uiPriority w:val="0"/>
    <w:pPr>
      <w:ind w:left="420" w:leftChars="200"/>
    </w:pPr>
  </w:style>
  <w:style w:type="paragraph" w:styleId="17">
    <w:name w:val="Note Heading"/>
    <w:basedOn w:val="1"/>
    <w:next w:val="1"/>
    <w:link w:val="143"/>
    <w:qFormat/>
    <w:uiPriority w:val="0"/>
    <w:pPr>
      <w:jc w:val="center"/>
    </w:pPr>
  </w:style>
  <w:style w:type="paragraph" w:styleId="18">
    <w:name w:val="List Bullet 4"/>
    <w:basedOn w:val="1"/>
    <w:qFormat/>
    <w:uiPriority w:val="0"/>
    <w:pPr>
      <w:tabs>
        <w:tab w:val="left" w:pos="1620"/>
      </w:tabs>
      <w:ind w:left="1620" w:hanging="360"/>
    </w:pPr>
  </w:style>
  <w:style w:type="paragraph" w:styleId="19">
    <w:name w:val="index 8"/>
    <w:basedOn w:val="1"/>
    <w:next w:val="1"/>
    <w:semiHidden/>
    <w:qFormat/>
    <w:uiPriority w:val="0"/>
    <w:pPr>
      <w:ind w:left="1400" w:leftChars="1400"/>
    </w:pPr>
  </w:style>
  <w:style w:type="paragraph" w:styleId="20">
    <w:name w:val="E-mail Signature"/>
    <w:basedOn w:val="1"/>
    <w:link w:val="154"/>
    <w:qFormat/>
    <w:uiPriority w:val="0"/>
  </w:style>
  <w:style w:type="paragraph" w:styleId="21">
    <w:name w:val="List Number"/>
    <w:basedOn w:val="1"/>
    <w:qFormat/>
    <w:uiPriority w:val="0"/>
    <w:pPr>
      <w:tabs>
        <w:tab w:val="left" w:pos="360"/>
      </w:tabs>
      <w:ind w:left="360" w:hanging="360"/>
    </w:pPr>
  </w:style>
  <w:style w:type="paragraph" w:styleId="22">
    <w:name w:val="Normal Indent"/>
    <w:basedOn w:val="1"/>
    <w:link w:val="120"/>
    <w:qFormat/>
    <w:uiPriority w:val="0"/>
    <w:pPr>
      <w:widowControl/>
      <w:ind w:firstLine="420"/>
      <w:jc w:val="left"/>
    </w:pPr>
    <w:rPr>
      <w:rFonts w:asciiTheme="minorHAnsi" w:hAnsiTheme="minorHAnsi" w:eastAsiaTheme="minorEastAsia" w:cstheme="minorBidi"/>
      <w:szCs w:val="22"/>
    </w:rPr>
  </w:style>
  <w:style w:type="paragraph" w:styleId="23">
    <w:name w:val="caption"/>
    <w:basedOn w:val="1"/>
    <w:next w:val="1"/>
    <w:qFormat/>
    <w:uiPriority w:val="0"/>
    <w:rPr>
      <w:rFonts w:ascii="Arial" w:hAnsi="Arial" w:eastAsia="黑体" w:cs="Arial"/>
      <w:sz w:val="20"/>
      <w:szCs w:val="20"/>
    </w:rPr>
  </w:style>
  <w:style w:type="paragraph" w:styleId="24">
    <w:name w:val="index 5"/>
    <w:basedOn w:val="1"/>
    <w:next w:val="1"/>
    <w:semiHidden/>
    <w:qFormat/>
    <w:uiPriority w:val="0"/>
    <w:pPr>
      <w:ind w:left="800" w:leftChars="800"/>
    </w:pPr>
  </w:style>
  <w:style w:type="paragraph" w:styleId="25">
    <w:name w:val="List Bullet"/>
    <w:basedOn w:val="1"/>
    <w:qFormat/>
    <w:uiPriority w:val="0"/>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snapToGrid w:val="0"/>
      <w:color w:val="000000"/>
      <w:kern w:val="24"/>
      <w:sz w:val="24"/>
      <w:szCs w:val="20"/>
    </w:rPr>
  </w:style>
  <w:style w:type="paragraph" w:styleId="26">
    <w:name w:val="envelope address"/>
    <w:basedOn w:val="1"/>
    <w:qFormat/>
    <w:uiPriority w:val="0"/>
    <w:pPr>
      <w:framePr w:w="7920" w:h="1980" w:hRule="exact" w:hSpace="180" w:wrap="around" w:vAnchor="margin" w:hAnchor="page" w:xAlign="center" w:yAlign="bottom"/>
      <w:snapToGrid w:val="0"/>
      <w:ind w:left="100" w:leftChars="1400"/>
    </w:pPr>
    <w:rPr>
      <w:rFonts w:ascii="Arial" w:hAnsi="Arial" w:cs="Arial"/>
      <w:sz w:val="24"/>
    </w:rPr>
  </w:style>
  <w:style w:type="paragraph" w:styleId="27">
    <w:name w:val="Document Map"/>
    <w:basedOn w:val="1"/>
    <w:link w:val="115"/>
    <w:qFormat/>
    <w:uiPriority w:val="0"/>
    <w:pPr>
      <w:shd w:val="clear" w:color="auto" w:fill="000080"/>
    </w:pPr>
    <w:rPr>
      <w:rFonts w:asciiTheme="minorHAnsi" w:hAnsiTheme="minorHAnsi" w:eastAsiaTheme="minorEastAsia" w:cstheme="minorBidi"/>
      <w:shd w:val="clear" w:color="auto" w:fill="000080"/>
    </w:rPr>
  </w:style>
  <w:style w:type="paragraph" w:styleId="28">
    <w:name w:val="toa heading"/>
    <w:basedOn w:val="1"/>
    <w:next w:val="1"/>
    <w:semiHidden/>
    <w:qFormat/>
    <w:uiPriority w:val="0"/>
    <w:pPr>
      <w:spacing w:before="120"/>
    </w:pPr>
    <w:rPr>
      <w:rFonts w:ascii="Arial" w:hAnsi="Arial" w:cs="Arial"/>
      <w:sz w:val="24"/>
    </w:rPr>
  </w:style>
  <w:style w:type="paragraph" w:styleId="29">
    <w:name w:val="annotation text"/>
    <w:basedOn w:val="1"/>
    <w:link w:val="113"/>
    <w:semiHidden/>
    <w:qFormat/>
    <w:uiPriority w:val="0"/>
    <w:pPr>
      <w:jc w:val="left"/>
    </w:pPr>
    <w:rPr>
      <w:rFonts w:asciiTheme="minorHAnsi" w:hAnsiTheme="minorHAnsi" w:cstheme="minorBidi"/>
    </w:rPr>
  </w:style>
  <w:style w:type="paragraph" w:styleId="30">
    <w:name w:val="index 6"/>
    <w:basedOn w:val="1"/>
    <w:next w:val="1"/>
    <w:semiHidden/>
    <w:qFormat/>
    <w:uiPriority w:val="0"/>
    <w:pPr>
      <w:ind w:left="1000" w:leftChars="1000"/>
    </w:pPr>
  </w:style>
  <w:style w:type="paragraph" w:styleId="31">
    <w:name w:val="Salutation"/>
    <w:basedOn w:val="1"/>
    <w:next w:val="1"/>
    <w:link w:val="131"/>
    <w:qFormat/>
    <w:uiPriority w:val="0"/>
  </w:style>
  <w:style w:type="paragraph" w:styleId="32">
    <w:name w:val="Body Text 3"/>
    <w:basedOn w:val="1"/>
    <w:link w:val="118"/>
    <w:qFormat/>
    <w:uiPriority w:val="0"/>
    <w:pPr>
      <w:widowControl/>
      <w:jc w:val="left"/>
    </w:pPr>
    <w:rPr>
      <w:rFonts w:asciiTheme="minorHAnsi" w:hAnsiTheme="minorHAnsi" w:eastAsiaTheme="minorEastAsia" w:cstheme="minorBidi"/>
      <w:sz w:val="24"/>
      <w:szCs w:val="22"/>
    </w:rPr>
  </w:style>
  <w:style w:type="paragraph" w:styleId="33">
    <w:name w:val="Closing"/>
    <w:basedOn w:val="1"/>
    <w:link w:val="142"/>
    <w:qFormat/>
    <w:uiPriority w:val="0"/>
    <w:pPr>
      <w:ind w:left="100" w:leftChars="2100"/>
    </w:pPr>
  </w:style>
  <w:style w:type="paragraph" w:styleId="34">
    <w:name w:val="List Bullet 3"/>
    <w:basedOn w:val="1"/>
    <w:qFormat/>
    <w:uiPriority w:val="0"/>
    <w:pPr>
      <w:tabs>
        <w:tab w:val="left" w:pos="905"/>
      </w:tabs>
      <w:ind w:left="905" w:hanging="425"/>
    </w:pPr>
    <w:rPr>
      <w:sz w:val="24"/>
      <w:szCs w:val="20"/>
    </w:rPr>
  </w:style>
  <w:style w:type="paragraph" w:styleId="35">
    <w:name w:val="Body Text"/>
    <w:basedOn w:val="1"/>
    <w:link w:val="109"/>
    <w:qFormat/>
    <w:uiPriority w:val="0"/>
    <w:pPr>
      <w:spacing w:after="120"/>
    </w:pPr>
    <w:rPr>
      <w:rFonts w:asciiTheme="minorHAnsi" w:hAnsiTheme="minorHAnsi" w:cstheme="minorBidi"/>
    </w:rPr>
  </w:style>
  <w:style w:type="paragraph" w:styleId="36">
    <w:name w:val="Body Text Indent"/>
    <w:basedOn w:val="1"/>
    <w:link w:val="126"/>
    <w:unhideWhenUsed/>
    <w:qFormat/>
    <w:uiPriority w:val="0"/>
    <w:pPr>
      <w:spacing w:after="120"/>
      <w:ind w:left="420" w:leftChars="200"/>
    </w:pPr>
  </w:style>
  <w:style w:type="paragraph" w:styleId="37">
    <w:name w:val="List Number 3"/>
    <w:basedOn w:val="1"/>
    <w:qFormat/>
    <w:uiPriority w:val="0"/>
    <w:pPr>
      <w:tabs>
        <w:tab w:val="left" w:pos="1200"/>
      </w:tabs>
      <w:ind w:left="1200" w:hanging="360"/>
    </w:pPr>
  </w:style>
  <w:style w:type="paragraph" w:styleId="38">
    <w:name w:val="List 2"/>
    <w:basedOn w:val="1"/>
    <w:qFormat/>
    <w:uiPriority w:val="0"/>
    <w:pPr>
      <w:ind w:left="100" w:leftChars="200" w:hanging="200" w:hangingChars="200"/>
    </w:pPr>
  </w:style>
  <w:style w:type="paragraph" w:styleId="39">
    <w:name w:val="List Continue"/>
    <w:basedOn w:val="1"/>
    <w:qFormat/>
    <w:uiPriority w:val="0"/>
    <w:pPr>
      <w:spacing w:after="120"/>
      <w:ind w:left="420" w:leftChars="200"/>
    </w:pPr>
  </w:style>
  <w:style w:type="paragraph" w:styleId="40">
    <w:name w:val="Block Text"/>
    <w:basedOn w:val="1"/>
    <w:qFormat/>
    <w:uiPriority w:val="0"/>
    <w:pPr>
      <w:spacing w:after="120"/>
      <w:ind w:left="1440" w:leftChars="700" w:right="1440" w:rightChars="700"/>
    </w:pPr>
  </w:style>
  <w:style w:type="paragraph" w:styleId="41">
    <w:name w:val="List Bullet 2"/>
    <w:basedOn w:val="1"/>
    <w:qFormat/>
    <w:uiPriority w:val="0"/>
    <w:pPr>
      <w:tabs>
        <w:tab w:val="left" w:pos="780"/>
      </w:tabs>
      <w:ind w:left="780" w:hanging="360"/>
    </w:pPr>
  </w:style>
  <w:style w:type="paragraph" w:styleId="42">
    <w:name w:val="HTML Address"/>
    <w:basedOn w:val="1"/>
    <w:link w:val="135"/>
    <w:qFormat/>
    <w:uiPriority w:val="0"/>
    <w:rPr>
      <w:i/>
      <w:iCs/>
    </w:rPr>
  </w:style>
  <w:style w:type="paragraph" w:styleId="43">
    <w:name w:val="index 4"/>
    <w:basedOn w:val="1"/>
    <w:next w:val="1"/>
    <w:semiHidden/>
    <w:qFormat/>
    <w:uiPriority w:val="0"/>
    <w:pPr>
      <w:ind w:left="600" w:leftChars="600"/>
    </w:pPr>
  </w:style>
  <w:style w:type="paragraph" w:styleId="44">
    <w:name w:val="toc 5"/>
    <w:basedOn w:val="1"/>
    <w:next w:val="1"/>
    <w:qFormat/>
    <w:uiPriority w:val="0"/>
    <w:pPr>
      <w:ind w:left="840"/>
      <w:jc w:val="left"/>
    </w:pPr>
    <w:rPr>
      <w:sz w:val="18"/>
      <w:szCs w:val="18"/>
    </w:rPr>
  </w:style>
  <w:style w:type="paragraph" w:styleId="45">
    <w:name w:val="toc 3"/>
    <w:basedOn w:val="1"/>
    <w:next w:val="1"/>
    <w:qFormat/>
    <w:uiPriority w:val="0"/>
    <w:pPr>
      <w:ind w:left="420"/>
      <w:jc w:val="left"/>
    </w:pPr>
    <w:rPr>
      <w:i/>
      <w:iCs/>
      <w:sz w:val="20"/>
      <w:szCs w:val="20"/>
    </w:rPr>
  </w:style>
  <w:style w:type="paragraph" w:styleId="46">
    <w:name w:val="Plain Text"/>
    <w:basedOn w:val="1"/>
    <w:next w:val="47"/>
    <w:link w:val="108"/>
    <w:qFormat/>
    <w:uiPriority w:val="0"/>
    <w:rPr>
      <w:rFonts w:ascii="宋体" w:hAnsi="Courier New" w:cstheme="minorBidi"/>
      <w:szCs w:val="22"/>
    </w:rPr>
  </w:style>
  <w:style w:type="paragraph" w:customStyle="1" w:styleId="47">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48">
    <w:name w:val="List Bullet 5"/>
    <w:basedOn w:val="1"/>
    <w:qFormat/>
    <w:uiPriority w:val="0"/>
    <w:pPr>
      <w:tabs>
        <w:tab w:val="left" w:pos="2040"/>
      </w:tabs>
      <w:ind w:left="2040" w:hanging="360"/>
    </w:pPr>
  </w:style>
  <w:style w:type="paragraph" w:styleId="49">
    <w:name w:val="List Number 4"/>
    <w:basedOn w:val="1"/>
    <w:qFormat/>
    <w:uiPriority w:val="0"/>
    <w:pPr>
      <w:tabs>
        <w:tab w:val="left" w:pos="1620"/>
      </w:tabs>
      <w:ind w:left="1620" w:hanging="360"/>
    </w:pPr>
  </w:style>
  <w:style w:type="paragraph" w:styleId="50">
    <w:name w:val="toc 8"/>
    <w:basedOn w:val="1"/>
    <w:next w:val="1"/>
    <w:qFormat/>
    <w:uiPriority w:val="0"/>
    <w:pPr>
      <w:ind w:left="1470"/>
      <w:jc w:val="left"/>
    </w:pPr>
    <w:rPr>
      <w:sz w:val="18"/>
      <w:szCs w:val="18"/>
    </w:rPr>
  </w:style>
  <w:style w:type="paragraph" w:styleId="51">
    <w:name w:val="index 3"/>
    <w:basedOn w:val="1"/>
    <w:next w:val="1"/>
    <w:semiHidden/>
    <w:qFormat/>
    <w:uiPriority w:val="0"/>
    <w:pPr>
      <w:ind w:left="400" w:leftChars="400"/>
    </w:pPr>
  </w:style>
  <w:style w:type="paragraph" w:styleId="52">
    <w:name w:val="Date"/>
    <w:basedOn w:val="1"/>
    <w:next w:val="1"/>
    <w:link w:val="137"/>
    <w:qFormat/>
    <w:uiPriority w:val="0"/>
    <w:pPr>
      <w:autoSpaceDE w:val="0"/>
      <w:autoSpaceDN w:val="0"/>
      <w:adjustRightInd w:val="0"/>
      <w:spacing w:line="312" w:lineRule="atLeast"/>
      <w:textAlignment w:val="baseline"/>
    </w:pPr>
    <w:rPr>
      <w:kern w:val="0"/>
      <w:sz w:val="32"/>
      <w:szCs w:val="20"/>
    </w:rPr>
  </w:style>
  <w:style w:type="paragraph" w:styleId="53">
    <w:name w:val="Body Text Indent 2"/>
    <w:basedOn w:val="1"/>
    <w:link w:val="134"/>
    <w:qFormat/>
    <w:uiPriority w:val="0"/>
    <w:pPr>
      <w:spacing w:line="360" w:lineRule="auto"/>
      <w:ind w:left="718" w:leftChars="342"/>
    </w:pPr>
    <w:rPr>
      <w:rFonts w:ascii="宋体" w:hAnsi="宋体"/>
      <w:sz w:val="24"/>
    </w:rPr>
  </w:style>
  <w:style w:type="paragraph" w:styleId="54">
    <w:name w:val="endnote text"/>
    <w:basedOn w:val="1"/>
    <w:link w:val="141"/>
    <w:semiHidden/>
    <w:qFormat/>
    <w:uiPriority w:val="0"/>
    <w:pPr>
      <w:snapToGrid w:val="0"/>
      <w:jc w:val="left"/>
    </w:pPr>
  </w:style>
  <w:style w:type="paragraph" w:styleId="55">
    <w:name w:val="List Continue 5"/>
    <w:basedOn w:val="1"/>
    <w:qFormat/>
    <w:uiPriority w:val="0"/>
    <w:pPr>
      <w:spacing w:after="120"/>
      <w:ind w:left="2100" w:leftChars="1000"/>
    </w:pPr>
  </w:style>
  <w:style w:type="paragraph" w:styleId="56">
    <w:name w:val="Balloon Text"/>
    <w:basedOn w:val="1"/>
    <w:link w:val="114"/>
    <w:qFormat/>
    <w:uiPriority w:val="0"/>
    <w:rPr>
      <w:rFonts w:asciiTheme="minorHAnsi" w:hAnsiTheme="minorHAnsi" w:eastAsiaTheme="minorEastAsia" w:cstheme="minorBidi"/>
      <w:sz w:val="18"/>
      <w:szCs w:val="18"/>
    </w:rPr>
  </w:style>
  <w:style w:type="paragraph" w:styleId="57">
    <w:name w:val="footer"/>
    <w:basedOn w:val="1"/>
    <w:link w:val="111"/>
    <w:qFormat/>
    <w:uiPriority w:val="0"/>
    <w:pPr>
      <w:tabs>
        <w:tab w:val="center" w:pos="4153"/>
        <w:tab w:val="right" w:pos="8306"/>
      </w:tabs>
      <w:adjustRightInd w:val="0"/>
      <w:spacing w:line="240" w:lineRule="atLeast"/>
      <w:jc w:val="left"/>
      <w:textAlignment w:val="baseline"/>
    </w:pPr>
    <w:rPr>
      <w:rFonts w:asciiTheme="minorHAnsi" w:hAnsiTheme="minorHAnsi" w:eastAsiaTheme="minorEastAsia" w:cstheme="minorBidi"/>
      <w:sz w:val="18"/>
      <w:szCs w:val="22"/>
    </w:rPr>
  </w:style>
  <w:style w:type="paragraph" w:styleId="58">
    <w:name w:val="envelope return"/>
    <w:basedOn w:val="1"/>
    <w:qFormat/>
    <w:uiPriority w:val="0"/>
    <w:pPr>
      <w:snapToGrid w:val="0"/>
    </w:pPr>
    <w:rPr>
      <w:rFonts w:ascii="Arial" w:hAnsi="Arial" w:cs="Arial"/>
    </w:rPr>
  </w:style>
  <w:style w:type="paragraph" w:styleId="59">
    <w:name w:val="header"/>
    <w:basedOn w:val="1"/>
    <w:link w:val="112"/>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0">
    <w:name w:val="Signature"/>
    <w:basedOn w:val="1"/>
    <w:link w:val="146"/>
    <w:qFormat/>
    <w:uiPriority w:val="0"/>
    <w:pPr>
      <w:ind w:left="100" w:leftChars="2100"/>
    </w:pPr>
  </w:style>
  <w:style w:type="paragraph" w:styleId="61">
    <w:name w:val="toc 1"/>
    <w:basedOn w:val="1"/>
    <w:next w:val="1"/>
    <w:qFormat/>
    <w:uiPriority w:val="39"/>
    <w:pPr>
      <w:spacing w:before="120" w:after="120"/>
      <w:jc w:val="left"/>
    </w:pPr>
    <w:rPr>
      <w:b/>
      <w:bCs/>
      <w:caps/>
      <w:sz w:val="20"/>
      <w:szCs w:val="20"/>
    </w:rPr>
  </w:style>
  <w:style w:type="paragraph" w:styleId="62">
    <w:name w:val="List Continue 4"/>
    <w:basedOn w:val="1"/>
    <w:qFormat/>
    <w:uiPriority w:val="0"/>
    <w:pPr>
      <w:spacing w:after="120"/>
      <w:ind w:left="1680" w:leftChars="800"/>
    </w:pPr>
  </w:style>
  <w:style w:type="paragraph" w:styleId="63">
    <w:name w:val="toc 4"/>
    <w:basedOn w:val="1"/>
    <w:next w:val="1"/>
    <w:qFormat/>
    <w:uiPriority w:val="0"/>
    <w:pPr>
      <w:ind w:left="630"/>
      <w:jc w:val="left"/>
    </w:pPr>
    <w:rPr>
      <w:sz w:val="18"/>
      <w:szCs w:val="18"/>
    </w:rPr>
  </w:style>
  <w:style w:type="paragraph" w:styleId="64">
    <w:name w:val="index heading"/>
    <w:basedOn w:val="1"/>
    <w:next w:val="65"/>
    <w:semiHidden/>
    <w:qFormat/>
    <w:uiPriority w:val="0"/>
    <w:rPr>
      <w:rFonts w:ascii="Arial" w:hAnsi="Arial" w:cs="Arial"/>
      <w:b/>
      <w:bCs/>
    </w:rPr>
  </w:style>
  <w:style w:type="paragraph" w:styleId="65">
    <w:name w:val="index 1"/>
    <w:basedOn w:val="1"/>
    <w:next w:val="1"/>
    <w:semiHidden/>
    <w:qFormat/>
    <w:uiPriority w:val="0"/>
  </w:style>
  <w:style w:type="paragraph" w:styleId="66">
    <w:name w:val="Subtitle"/>
    <w:basedOn w:val="1"/>
    <w:link w:val="133"/>
    <w:qFormat/>
    <w:uiPriority w:val="0"/>
    <w:pPr>
      <w:spacing w:before="240" w:after="60" w:line="312" w:lineRule="auto"/>
      <w:jc w:val="center"/>
      <w:outlineLvl w:val="1"/>
    </w:pPr>
    <w:rPr>
      <w:rFonts w:ascii="Arial" w:hAnsi="Arial" w:cs="Arial"/>
      <w:b/>
      <w:bCs/>
      <w:kern w:val="28"/>
      <w:sz w:val="32"/>
      <w:szCs w:val="32"/>
    </w:rPr>
  </w:style>
  <w:style w:type="paragraph" w:styleId="67">
    <w:name w:val="List Number 5"/>
    <w:basedOn w:val="1"/>
    <w:qFormat/>
    <w:uiPriority w:val="0"/>
    <w:pPr>
      <w:tabs>
        <w:tab w:val="left" w:pos="2040"/>
      </w:tabs>
      <w:ind w:left="2040" w:hanging="360"/>
    </w:pPr>
  </w:style>
  <w:style w:type="paragraph" w:styleId="68">
    <w:name w:val="List"/>
    <w:basedOn w:val="1"/>
    <w:qFormat/>
    <w:uiPriority w:val="0"/>
    <w:pPr>
      <w:tabs>
        <w:tab w:val="left" w:pos="360"/>
        <w:tab w:val="left" w:pos="709"/>
      </w:tabs>
      <w:spacing w:line="300" w:lineRule="auto"/>
      <w:ind w:left="363" w:hanging="170"/>
    </w:pPr>
    <w:rPr>
      <w:spacing w:val="20"/>
      <w:szCs w:val="20"/>
    </w:rPr>
  </w:style>
  <w:style w:type="paragraph" w:styleId="69">
    <w:name w:val="footnote text"/>
    <w:basedOn w:val="1"/>
    <w:link w:val="156"/>
    <w:semiHidden/>
    <w:qFormat/>
    <w:uiPriority w:val="0"/>
    <w:pPr>
      <w:snapToGrid w:val="0"/>
      <w:jc w:val="left"/>
    </w:pPr>
    <w:rPr>
      <w:sz w:val="18"/>
      <w:szCs w:val="18"/>
    </w:rPr>
  </w:style>
  <w:style w:type="paragraph" w:styleId="70">
    <w:name w:val="toc 6"/>
    <w:basedOn w:val="1"/>
    <w:next w:val="1"/>
    <w:qFormat/>
    <w:uiPriority w:val="0"/>
    <w:pPr>
      <w:ind w:left="1050"/>
      <w:jc w:val="left"/>
    </w:pPr>
    <w:rPr>
      <w:sz w:val="18"/>
      <w:szCs w:val="18"/>
    </w:rPr>
  </w:style>
  <w:style w:type="paragraph" w:styleId="71">
    <w:name w:val="List 5"/>
    <w:basedOn w:val="1"/>
    <w:qFormat/>
    <w:uiPriority w:val="0"/>
    <w:pPr>
      <w:ind w:left="100" w:leftChars="800" w:hanging="200" w:hangingChars="200"/>
    </w:pPr>
  </w:style>
  <w:style w:type="paragraph" w:styleId="72">
    <w:name w:val="Body Text Indent 3"/>
    <w:basedOn w:val="1"/>
    <w:link w:val="157"/>
    <w:qFormat/>
    <w:uiPriority w:val="0"/>
    <w:pPr>
      <w:spacing w:line="360" w:lineRule="auto"/>
      <w:ind w:firstLine="480" w:firstLineChars="200"/>
    </w:pPr>
    <w:rPr>
      <w:rFonts w:ascii="宋体" w:hAnsi="宋体"/>
      <w:sz w:val="24"/>
    </w:rPr>
  </w:style>
  <w:style w:type="paragraph" w:styleId="73">
    <w:name w:val="index 7"/>
    <w:basedOn w:val="1"/>
    <w:next w:val="1"/>
    <w:semiHidden/>
    <w:qFormat/>
    <w:uiPriority w:val="0"/>
    <w:pPr>
      <w:ind w:left="1200" w:leftChars="1200"/>
    </w:pPr>
  </w:style>
  <w:style w:type="paragraph" w:styleId="74">
    <w:name w:val="index 9"/>
    <w:basedOn w:val="1"/>
    <w:next w:val="1"/>
    <w:semiHidden/>
    <w:qFormat/>
    <w:uiPriority w:val="0"/>
    <w:pPr>
      <w:ind w:left="1600" w:leftChars="1600"/>
    </w:pPr>
  </w:style>
  <w:style w:type="paragraph" w:styleId="75">
    <w:name w:val="table of figures"/>
    <w:basedOn w:val="1"/>
    <w:next w:val="1"/>
    <w:semiHidden/>
    <w:qFormat/>
    <w:uiPriority w:val="0"/>
    <w:pPr>
      <w:ind w:left="200" w:leftChars="200" w:hanging="200" w:hangingChars="200"/>
    </w:pPr>
  </w:style>
  <w:style w:type="paragraph" w:styleId="76">
    <w:name w:val="toc 2"/>
    <w:basedOn w:val="1"/>
    <w:next w:val="1"/>
    <w:qFormat/>
    <w:uiPriority w:val="0"/>
    <w:pPr>
      <w:ind w:left="210"/>
      <w:jc w:val="left"/>
    </w:pPr>
    <w:rPr>
      <w:smallCaps/>
      <w:sz w:val="20"/>
      <w:szCs w:val="20"/>
    </w:rPr>
  </w:style>
  <w:style w:type="paragraph" w:styleId="77">
    <w:name w:val="toc 9"/>
    <w:basedOn w:val="1"/>
    <w:next w:val="1"/>
    <w:qFormat/>
    <w:uiPriority w:val="0"/>
    <w:pPr>
      <w:ind w:left="1680"/>
      <w:jc w:val="left"/>
    </w:pPr>
    <w:rPr>
      <w:sz w:val="18"/>
      <w:szCs w:val="18"/>
    </w:rPr>
  </w:style>
  <w:style w:type="paragraph" w:styleId="78">
    <w:name w:val="Body Text 2"/>
    <w:basedOn w:val="1"/>
    <w:link w:val="119"/>
    <w:qFormat/>
    <w:uiPriority w:val="0"/>
    <w:rPr>
      <w:rFonts w:asciiTheme="minorHAnsi" w:hAnsiTheme="minorHAnsi" w:eastAsiaTheme="minorEastAsia" w:cstheme="minorBidi"/>
      <w:sz w:val="18"/>
    </w:rPr>
  </w:style>
  <w:style w:type="paragraph" w:styleId="79">
    <w:name w:val="List 4"/>
    <w:basedOn w:val="1"/>
    <w:qFormat/>
    <w:uiPriority w:val="0"/>
    <w:pPr>
      <w:ind w:left="100" w:leftChars="600" w:hanging="200" w:hangingChars="200"/>
    </w:pPr>
  </w:style>
  <w:style w:type="paragraph" w:styleId="80">
    <w:name w:val="List Continue 2"/>
    <w:basedOn w:val="1"/>
    <w:qFormat/>
    <w:uiPriority w:val="0"/>
    <w:pPr>
      <w:spacing w:after="120"/>
      <w:ind w:left="840" w:leftChars="400"/>
    </w:pPr>
  </w:style>
  <w:style w:type="paragraph" w:styleId="81">
    <w:name w:val="Message Header"/>
    <w:basedOn w:val="1"/>
    <w:link w:val="147"/>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sz w:val="24"/>
    </w:rPr>
  </w:style>
  <w:style w:type="paragraph" w:styleId="82">
    <w:name w:val="HTML Preformatted"/>
    <w:basedOn w:val="1"/>
    <w:link w:val="125"/>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kern w:val="0"/>
      <w:sz w:val="20"/>
      <w:szCs w:val="20"/>
    </w:rPr>
  </w:style>
  <w:style w:type="paragraph" w:styleId="83">
    <w:name w:val="Normal (Web)"/>
    <w:basedOn w:val="1"/>
    <w:qFormat/>
    <w:uiPriority w:val="0"/>
    <w:pPr>
      <w:widowControl/>
      <w:spacing w:before="100" w:beforeAutospacing="1" w:after="100" w:afterAutospacing="1"/>
      <w:jc w:val="left"/>
    </w:pPr>
    <w:rPr>
      <w:rFonts w:ascii="宋体" w:hAnsi="宋体"/>
      <w:kern w:val="0"/>
      <w:sz w:val="24"/>
    </w:rPr>
  </w:style>
  <w:style w:type="paragraph" w:styleId="84">
    <w:name w:val="List Continue 3"/>
    <w:basedOn w:val="1"/>
    <w:qFormat/>
    <w:uiPriority w:val="0"/>
    <w:pPr>
      <w:spacing w:after="120"/>
      <w:ind w:left="1260" w:leftChars="600"/>
    </w:pPr>
  </w:style>
  <w:style w:type="paragraph" w:styleId="85">
    <w:name w:val="index 2"/>
    <w:basedOn w:val="1"/>
    <w:next w:val="1"/>
    <w:semiHidden/>
    <w:qFormat/>
    <w:uiPriority w:val="0"/>
    <w:pPr>
      <w:ind w:left="200" w:leftChars="200"/>
    </w:pPr>
  </w:style>
  <w:style w:type="paragraph" w:styleId="86">
    <w:name w:val="Title"/>
    <w:basedOn w:val="1"/>
    <w:link w:val="123"/>
    <w:qFormat/>
    <w:uiPriority w:val="0"/>
    <w:pPr>
      <w:spacing w:before="240" w:after="60"/>
      <w:jc w:val="center"/>
      <w:outlineLvl w:val="0"/>
    </w:pPr>
    <w:rPr>
      <w:rFonts w:ascii="Arial" w:hAnsi="Arial" w:eastAsiaTheme="minorEastAsia" w:cstheme="minorBidi"/>
      <w:b/>
      <w:bCs/>
      <w:sz w:val="32"/>
      <w:szCs w:val="32"/>
    </w:rPr>
  </w:style>
  <w:style w:type="paragraph" w:styleId="87">
    <w:name w:val="annotation subject"/>
    <w:basedOn w:val="29"/>
    <w:next w:val="29"/>
    <w:link w:val="116"/>
    <w:qFormat/>
    <w:uiPriority w:val="0"/>
    <w:rPr>
      <w:rFonts w:eastAsiaTheme="minorEastAsia"/>
      <w:b/>
      <w:bCs/>
    </w:rPr>
  </w:style>
  <w:style w:type="paragraph" w:styleId="88">
    <w:name w:val="Body Text First Indent"/>
    <w:basedOn w:val="35"/>
    <w:link w:val="117"/>
    <w:qFormat/>
    <w:uiPriority w:val="0"/>
    <w:pPr>
      <w:widowControl/>
      <w:ind w:firstLine="420" w:firstLineChars="100"/>
      <w:jc w:val="left"/>
    </w:pPr>
    <w:rPr>
      <w:rFonts w:ascii="楷体_GB2312" w:eastAsia="楷体_GB2312"/>
      <w:b/>
      <w:sz w:val="30"/>
    </w:rPr>
  </w:style>
  <w:style w:type="paragraph" w:styleId="89">
    <w:name w:val="Body Text First Indent 2"/>
    <w:basedOn w:val="36"/>
    <w:link w:val="127"/>
    <w:qFormat/>
    <w:uiPriority w:val="0"/>
    <w:pPr>
      <w:ind w:firstLine="420" w:firstLineChars="200"/>
    </w:pPr>
    <w:rPr>
      <w:rFonts w:ascii="Times New Roman" w:hAnsi="Times New Roman"/>
    </w:rPr>
  </w:style>
  <w:style w:type="table" w:styleId="91">
    <w:name w:val="Table Grid"/>
    <w:basedOn w:val="90"/>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3">
    <w:name w:val="Strong"/>
    <w:qFormat/>
    <w:uiPriority w:val="0"/>
    <w:rPr>
      <w:rFonts w:eastAsia="黑体"/>
      <w:b/>
      <w:bCs/>
      <w:sz w:val="44"/>
    </w:rPr>
  </w:style>
  <w:style w:type="character" w:styleId="94">
    <w:name w:val="page number"/>
    <w:basedOn w:val="92"/>
    <w:qFormat/>
    <w:uiPriority w:val="0"/>
  </w:style>
  <w:style w:type="character" w:styleId="95">
    <w:name w:val="Hyperlink"/>
    <w:qFormat/>
    <w:uiPriority w:val="99"/>
    <w:rPr>
      <w:color w:val="0000FF"/>
      <w:u w:val="single"/>
    </w:rPr>
  </w:style>
  <w:style w:type="character" w:styleId="96">
    <w:name w:val="annotation reference"/>
    <w:qFormat/>
    <w:uiPriority w:val="0"/>
    <w:rPr>
      <w:sz w:val="21"/>
      <w:szCs w:val="21"/>
    </w:rPr>
  </w:style>
  <w:style w:type="character" w:customStyle="1" w:styleId="97">
    <w:name w:val="标题 1 Char"/>
    <w:basedOn w:val="92"/>
    <w:link w:val="4"/>
    <w:qFormat/>
    <w:uiPriority w:val="0"/>
    <w:rPr>
      <w:rFonts w:ascii="宋体" w:hAnsi="宋体" w:eastAsia="宋体" w:cs="Times New Roman"/>
      <w:b/>
      <w:bCs/>
      <w:sz w:val="48"/>
      <w:szCs w:val="24"/>
    </w:rPr>
  </w:style>
  <w:style w:type="character" w:customStyle="1" w:styleId="98">
    <w:name w:val="标题 2 Char"/>
    <w:basedOn w:val="92"/>
    <w:link w:val="5"/>
    <w:qFormat/>
    <w:uiPriority w:val="0"/>
    <w:rPr>
      <w:rFonts w:ascii="宋体" w:hAnsi="宋体" w:eastAsia="宋体" w:cs="Times New Roman"/>
      <w:b/>
      <w:kern w:val="0"/>
      <w:sz w:val="30"/>
      <w:szCs w:val="20"/>
    </w:rPr>
  </w:style>
  <w:style w:type="character" w:customStyle="1" w:styleId="99">
    <w:name w:val="标题 3 Char"/>
    <w:basedOn w:val="92"/>
    <w:link w:val="6"/>
    <w:qFormat/>
    <w:uiPriority w:val="0"/>
    <w:rPr>
      <w:rFonts w:ascii="宋体" w:hAnsi="宋体" w:eastAsia="宋体" w:cs="Times New Roman"/>
      <w:b/>
      <w:kern w:val="0"/>
      <w:sz w:val="28"/>
      <w:szCs w:val="20"/>
    </w:rPr>
  </w:style>
  <w:style w:type="character" w:customStyle="1" w:styleId="100">
    <w:name w:val="标题 4 Char"/>
    <w:basedOn w:val="92"/>
    <w:link w:val="7"/>
    <w:qFormat/>
    <w:uiPriority w:val="0"/>
    <w:rPr>
      <w:rFonts w:ascii="Arial" w:hAnsi="Arial" w:eastAsia="黑体" w:cs="Times New Roman"/>
      <w:b/>
      <w:bCs/>
      <w:sz w:val="28"/>
      <w:szCs w:val="28"/>
    </w:rPr>
  </w:style>
  <w:style w:type="character" w:customStyle="1" w:styleId="101">
    <w:name w:val="标题 5 Char"/>
    <w:basedOn w:val="92"/>
    <w:link w:val="8"/>
    <w:qFormat/>
    <w:uiPriority w:val="0"/>
    <w:rPr>
      <w:rFonts w:ascii="Arial" w:hAnsi="Arial" w:eastAsia="宋体" w:cs="Times New Roman"/>
      <w:kern w:val="0"/>
      <w:sz w:val="22"/>
      <w:szCs w:val="20"/>
    </w:rPr>
  </w:style>
  <w:style w:type="character" w:customStyle="1" w:styleId="102">
    <w:name w:val="标题 6 Char"/>
    <w:basedOn w:val="92"/>
    <w:link w:val="9"/>
    <w:qFormat/>
    <w:uiPriority w:val="0"/>
    <w:rPr>
      <w:rFonts w:ascii="Calibri" w:hAnsi="Arial" w:eastAsia="宋体" w:cs="Times New Roman"/>
      <w:i/>
      <w:kern w:val="0"/>
      <w:sz w:val="22"/>
      <w:szCs w:val="20"/>
    </w:rPr>
  </w:style>
  <w:style w:type="character" w:customStyle="1" w:styleId="103">
    <w:name w:val="标题 7 Char"/>
    <w:basedOn w:val="92"/>
    <w:link w:val="10"/>
    <w:qFormat/>
    <w:uiPriority w:val="0"/>
    <w:rPr>
      <w:rFonts w:ascii="Arial" w:hAnsi="Arial" w:eastAsia="宋体" w:cs="Times New Roman"/>
      <w:kern w:val="0"/>
      <w:sz w:val="20"/>
      <w:szCs w:val="20"/>
    </w:rPr>
  </w:style>
  <w:style w:type="character" w:customStyle="1" w:styleId="104">
    <w:name w:val="标题 8 Char"/>
    <w:basedOn w:val="92"/>
    <w:link w:val="11"/>
    <w:qFormat/>
    <w:uiPriority w:val="0"/>
    <w:rPr>
      <w:rFonts w:ascii="Arial" w:hAnsi="Arial" w:eastAsia="宋体" w:cs="Times New Roman"/>
      <w:i/>
      <w:kern w:val="0"/>
      <w:sz w:val="20"/>
      <w:szCs w:val="20"/>
    </w:rPr>
  </w:style>
  <w:style w:type="character" w:customStyle="1" w:styleId="105">
    <w:name w:val="标题 9 Char"/>
    <w:basedOn w:val="92"/>
    <w:link w:val="12"/>
    <w:qFormat/>
    <w:uiPriority w:val="0"/>
    <w:rPr>
      <w:rFonts w:ascii="Arial" w:hAnsi="Arial" w:eastAsia="宋体" w:cs="Times New Roman"/>
      <w:b/>
      <w:i/>
      <w:kern w:val="0"/>
      <w:sz w:val="18"/>
      <w:szCs w:val="20"/>
    </w:rPr>
  </w:style>
  <w:style w:type="character" w:customStyle="1" w:styleId="106">
    <w:name w:val="页脚2 Char"/>
    <w:link w:val="107"/>
    <w:qFormat/>
    <w:uiPriority w:val="0"/>
    <w:rPr>
      <w:rFonts w:ascii="宋体" w:hAnsi="宋体" w:eastAsia="宋体"/>
      <w:sz w:val="18"/>
      <w:szCs w:val="18"/>
    </w:rPr>
  </w:style>
  <w:style w:type="paragraph" w:customStyle="1" w:styleId="107">
    <w:name w:val="页脚2"/>
    <w:basedOn w:val="1"/>
    <w:link w:val="106"/>
    <w:qFormat/>
    <w:uiPriority w:val="0"/>
    <w:pPr>
      <w:widowControl/>
      <w:pBdr>
        <w:top w:val="single" w:color="auto" w:sz="6" w:space="0"/>
      </w:pBdr>
      <w:jc w:val="right"/>
      <w:textAlignment w:val="center"/>
    </w:pPr>
    <w:rPr>
      <w:rFonts w:ascii="宋体" w:hAnsi="宋体" w:cstheme="minorBidi"/>
      <w:sz w:val="18"/>
      <w:szCs w:val="18"/>
    </w:rPr>
  </w:style>
  <w:style w:type="character" w:customStyle="1" w:styleId="108">
    <w:name w:val="纯文本 Char"/>
    <w:link w:val="46"/>
    <w:qFormat/>
    <w:locked/>
    <w:uiPriority w:val="0"/>
    <w:rPr>
      <w:rFonts w:ascii="宋体" w:hAnsi="Courier New" w:eastAsia="宋体"/>
    </w:rPr>
  </w:style>
  <w:style w:type="character" w:customStyle="1" w:styleId="109">
    <w:name w:val="正文文本 Char"/>
    <w:link w:val="35"/>
    <w:qFormat/>
    <w:uiPriority w:val="0"/>
    <w:rPr>
      <w:rFonts w:eastAsia="宋体"/>
      <w:szCs w:val="24"/>
    </w:rPr>
  </w:style>
  <w:style w:type="character" w:customStyle="1" w:styleId="110">
    <w:name w:val="正文文本缩进 Char"/>
    <w:qFormat/>
    <w:uiPriority w:val="0"/>
    <w:rPr>
      <w:rFonts w:ascii="Arial" w:hAnsi="Arial" w:eastAsia="宋体"/>
      <w:kern w:val="2"/>
      <w:sz w:val="21"/>
      <w:szCs w:val="24"/>
      <w:lang w:val="en-US" w:eastAsia="zh-CN" w:bidi="ar-SA"/>
    </w:rPr>
  </w:style>
  <w:style w:type="character" w:customStyle="1" w:styleId="111">
    <w:name w:val="页脚 Char"/>
    <w:link w:val="57"/>
    <w:qFormat/>
    <w:uiPriority w:val="0"/>
    <w:rPr>
      <w:sz w:val="18"/>
    </w:rPr>
  </w:style>
  <w:style w:type="character" w:customStyle="1" w:styleId="112">
    <w:name w:val="页眉 Char"/>
    <w:link w:val="59"/>
    <w:qFormat/>
    <w:uiPriority w:val="0"/>
    <w:rPr>
      <w:sz w:val="18"/>
      <w:szCs w:val="18"/>
    </w:rPr>
  </w:style>
  <w:style w:type="character" w:customStyle="1" w:styleId="113">
    <w:name w:val="批注文字 Char"/>
    <w:link w:val="29"/>
    <w:semiHidden/>
    <w:qFormat/>
    <w:uiPriority w:val="0"/>
    <w:rPr>
      <w:rFonts w:eastAsia="宋体"/>
      <w:szCs w:val="24"/>
    </w:rPr>
  </w:style>
  <w:style w:type="character" w:customStyle="1" w:styleId="114">
    <w:name w:val="批注框文本 Char"/>
    <w:link w:val="56"/>
    <w:qFormat/>
    <w:uiPriority w:val="0"/>
    <w:rPr>
      <w:sz w:val="18"/>
      <w:szCs w:val="18"/>
    </w:rPr>
  </w:style>
  <w:style w:type="character" w:customStyle="1" w:styleId="115">
    <w:name w:val="文档结构图 Char"/>
    <w:link w:val="27"/>
    <w:qFormat/>
    <w:uiPriority w:val="0"/>
    <w:rPr>
      <w:szCs w:val="24"/>
      <w:shd w:val="clear" w:color="auto" w:fill="000080"/>
    </w:rPr>
  </w:style>
  <w:style w:type="character" w:customStyle="1" w:styleId="116">
    <w:name w:val="批注主题 Char"/>
    <w:link w:val="87"/>
    <w:qFormat/>
    <w:uiPriority w:val="0"/>
    <w:rPr>
      <w:b/>
      <w:bCs/>
      <w:szCs w:val="24"/>
    </w:rPr>
  </w:style>
  <w:style w:type="character" w:customStyle="1" w:styleId="117">
    <w:name w:val="正文首行缩进 Char"/>
    <w:link w:val="88"/>
    <w:qFormat/>
    <w:uiPriority w:val="0"/>
    <w:rPr>
      <w:rFonts w:ascii="楷体_GB2312" w:eastAsia="楷体_GB2312"/>
      <w:b/>
      <w:sz w:val="30"/>
      <w:szCs w:val="24"/>
    </w:rPr>
  </w:style>
  <w:style w:type="character" w:customStyle="1" w:styleId="118">
    <w:name w:val="正文文本 3 Char"/>
    <w:link w:val="32"/>
    <w:qFormat/>
    <w:uiPriority w:val="0"/>
    <w:rPr>
      <w:sz w:val="24"/>
    </w:rPr>
  </w:style>
  <w:style w:type="character" w:customStyle="1" w:styleId="119">
    <w:name w:val="正文文本 2 Char"/>
    <w:link w:val="78"/>
    <w:qFormat/>
    <w:uiPriority w:val="0"/>
    <w:rPr>
      <w:sz w:val="18"/>
      <w:szCs w:val="24"/>
    </w:rPr>
  </w:style>
  <w:style w:type="character" w:customStyle="1" w:styleId="120">
    <w:name w:val="正文缩进 Char"/>
    <w:link w:val="22"/>
    <w:qFormat/>
    <w:uiPriority w:val="0"/>
  </w:style>
  <w:style w:type="character" w:customStyle="1" w:styleId="121">
    <w:name w:val="列出段落 Char"/>
    <w:link w:val="122"/>
    <w:qFormat/>
    <w:uiPriority w:val="0"/>
    <w:rPr>
      <w:rFonts w:ascii="Calibri" w:hAnsi="Calibri"/>
    </w:rPr>
  </w:style>
  <w:style w:type="paragraph" w:styleId="122">
    <w:name w:val="List Paragraph"/>
    <w:basedOn w:val="1"/>
    <w:link w:val="121"/>
    <w:qFormat/>
    <w:uiPriority w:val="0"/>
    <w:pPr>
      <w:ind w:firstLine="420" w:firstLineChars="200"/>
    </w:pPr>
    <w:rPr>
      <w:rFonts w:eastAsiaTheme="minorEastAsia" w:cstheme="minorBidi"/>
      <w:szCs w:val="22"/>
    </w:rPr>
  </w:style>
  <w:style w:type="character" w:customStyle="1" w:styleId="123">
    <w:name w:val="标题 Char"/>
    <w:link w:val="86"/>
    <w:qFormat/>
    <w:uiPriority w:val="0"/>
    <w:rPr>
      <w:rFonts w:ascii="Arial" w:hAnsi="Arial"/>
      <w:b/>
      <w:bCs/>
      <w:sz w:val="32"/>
      <w:szCs w:val="32"/>
    </w:rPr>
  </w:style>
  <w:style w:type="character" w:customStyle="1" w:styleId="124">
    <w:name w:val="页眉 Char1"/>
    <w:basedOn w:val="92"/>
    <w:semiHidden/>
    <w:qFormat/>
    <w:uiPriority w:val="99"/>
    <w:rPr>
      <w:rFonts w:ascii="Calibri" w:hAnsi="Calibri" w:eastAsia="宋体" w:cs="Times New Roman"/>
      <w:sz w:val="18"/>
      <w:szCs w:val="18"/>
    </w:rPr>
  </w:style>
  <w:style w:type="character" w:customStyle="1" w:styleId="125">
    <w:name w:val="HTML 预设格式 Char"/>
    <w:basedOn w:val="92"/>
    <w:link w:val="82"/>
    <w:qFormat/>
    <w:uiPriority w:val="0"/>
    <w:rPr>
      <w:rFonts w:ascii="黑体" w:hAnsi="Courier New" w:eastAsia="黑体" w:cs="Courier New"/>
      <w:kern w:val="0"/>
      <w:sz w:val="20"/>
      <w:szCs w:val="20"/>
    </w:rPr>
  </w:style>
  <w:style w:type="character" w:customStyle="1" w:styleId="126">
    <w:name w:val="正文文本缩进 Char1"/>
    <w:basedOn w:val="92"/>
    <w:link w:val="36"/>
    <w:semiHidden/>
    <w:qFormat/>
    <w:uiPriority w:val="99"/>
    <w:rPr>
      <w:rFonts w:ascii="Calibri" w:hAnsi="Calibri" w:eastAsia="宋体" w:cs="Times New Roman"/>
      <w:szCs w:val="24"/>
    </w:rPr>
  </w:style>
  <w:style w:type="character" w:customStyle="1" w:styleId="127">
    <w:name w:val="正文首行缩进 2 Char"/>
    <w:basedOn w:val="126"/>
    <w:link w:val="89"/>
    <w:qFormat/>
    <w:uiPriority w:val="0"/>
    <w:rPr>
      <w:rFonts w:ascii="Times New Roman" w:hAnsi="Times New Roman" w:eastAsia="宋体" w:cs="Times New Roman"/>
      <w:szCs w:val="24"/>
    </w:rPr>
  </w:style>
  <w:style w:type="character" w:customStyle="1" w:styleId="128">
    <w:name w:val="正文文本 3 Char1"/>
    <w:basedOn w:val="92"/>
    <w:semiHidden/>
    <w:qFormat/>
    <w:uiPriority w:val="99"/>
    <w:rPr>
      <w:rFonts w:ascii="Calibri" w:hAnsi="Calibri" w:eastAsia="宋体" w:cs="Times New Roman"/>
      <w:sz w:val="16"/>
      <w:szCs w:val="16"/>
    </w:rPr>
  </w:style>
  <w:style w:type="paragraph" w:customStyle="1" w:styleId="129">
    <w:name w:val="Char Char2 Char1"/>
    <w:basedOn w:val="1"/>
    <w:qFormat/>
    <w:uiPriority w:val="0"/>
  </w:style>
  <w:style w:type="character" w:customStyle="1" w:styleId="130">
    <w:name w:val="正文文本 Char1"/>
    <w:basedOn w:val="92"/>
    <w:semiHidden/>
    <w:qFormat/>
    <w:uiPriority w:val="99"/>
    <w:rPr>
      <w:rFonts w:ascii="Calibri" w:hAnsi="Calibri" w:eastAsia="宋体" w:cs="Times New Roman"/>
      <w:szCs w:val="24"/>
    </w:rPr>
  </w:style>
  <w:style w:type="character" w:customStyle="1" w:styleId="131">
    <w:name w:val="称呼 Char"/>
    <w:basedOn w:val="92"/>
    <w:link w:val="31"/>
    <w:qFormat/>
    <w:uiPriority w:val="0"/>
    <w:rPr>
      <w:rFonts w:ascii="Calibri" w:hAnsi="Calibri" w:eastAsia="宋体" w:cs="Times New Roman"/>
      <w:szCs w:val="24"/>
    </w:rPr>
  </w:style>
  <w:style w:type="character" w:customStyle="1" w:styleId="132">
    <w:name w:val="正文文本 2 Char1"/>
    <w:basedOn w:val="92"/>
    <w:semiHidden/>
    <w:qFormat/>
    <w:uiPriority w:val="99"/>
    <w:rPr>
      <w:rFonts w:ascii="Calibri" w:hAnsi="Calibri" w:eastAsia="宋体" w:cs="Times New Roman"/>
      <w:szCs w:val="24"/>
    </w:rPr>
  </w:style>
  <w:style w:type="character" w:customStyle="1" w:styleId="133">
    <w:name w:val="副标题 Char"/>
    <w:basedOn w:val="92"/>
    <w:link w:val="66"/>
    <w:qFormat/>
    <w:uiPriority w:val="0"/>
    <w:rPr>
      <w:rFonts w:ascii="Arial" w:hAnsi="Arial" w:eastAsia="宋体" w:cs="Arial"/>
      <w:b/>
      <w:bCs/>
      <w:kern w:val="28"/>
      <w:sz w:val="32"/>
      <w:szCs w:val="32"/>
    </w:rPr>
  </w:style>
  <w:style w:type="character" w:customStyle="1" w:styleId="134">
    <w:name w:val="正文文本缩进 2 Char"/>
    <w:basedOn w:val="92"/>
    <w:link w:val="53"/>
    <w:qFormat/>
    <w:uiPriority w:val="0"/>
    <w:rPr>
      <w:rFonts w:ascii="宋体" w:hAnsi="宋体" w:eastAsia="宋体" w:cs="Times New Roman"/>
      <w:sz w:val="24"/>
      <w:szCs w:val="24"/>
    </w:rPr>
  </w:style>
  <w:style w:type="character" w:customStyle="1" w:styleId="135">
    <w:name w:val="HTML 地址 Char"/>
    <w:basedOn w:val="92"/>
    <w:link w:val="42"/>
    <w:qFormat/>
    <w:uiPriority w:val="0"/>
    <w:rPr>
      <w:rFonts w:ascii="Calibri" w:hAnsi="Calibri" w:eastAsia="宋体" w:cs="Times New Roman"/>
      <w:i/>
      <w:iCs/>
      <w:szCs w:val="24"/>
    </w:rPr>
  </w:style>
  <w:style w:type="character" w:customStyle="1" w:styleId="136">
    <w:name w:val="批注文字 Char1"/>
    <w:basedOn w:val="92"/>
    <w:semiHidden/>
    <w:qFormat/>
    <w:uiPriority w:val="99"/>
    <w:rPr>
      <w:rFonts w:ascii="Calibri" w:hAnsi="Calibri" w:eastAsia="宋体" w:cs="Times New Roman"/>
      <w:szCs w:val="24"/>
    </w:rPr>
  </w:style>
  <w:style w:type="character" w:customStyle="1" w:styleId="137">
    <w:name w:val="日期 Char"/>
    <w:basedOn w:val="92"/>
    <w:link w:val="52"/>
    <w:qFormat/>
    <w:uiPriority w:val="0"/>
    <w:rPr>
      <w:rFonts w:ascii="Calibri" w:hAnsi="Calibri" w:eastAsia="宋体" w:cs="Times New Roman"/>
      <w:kern w:val="0"/>
      <w:sz w:val="32"/>
      <w:szCs w:val="20"/>
    </w:rPr>
  </w:style>
  <w:style w:type="paragraph" w:customStyle="1" w:styleId="138">
    <w:name w:val="Char Char Char Char"/>
    <w:basedOn w:val="1"/>
    <w:qFormat/>
    <w:uiPriority w:val="0"/>
    <w:pPr>
      <w:widowControl/>
      <w:spacing w:after="160" w:line="240" w:lineRule="exact"/>
      <w:jc w:val="left"/>
    </w:pPr>
    <w:rPr>
      <w:szCs w:val="20"/>
    </w:rPr>
  </w:style>
  <w:style w:type="character" w:customStyle="1" w:styleId="139">
    <w:name w:val="文档结构图 Char1"/>
    <w:basedOn w:val="92"/>
    <w:semiHidden/>
    <w:qFormat/>
    <w:uiPriority w:val="99"/>
    <w:rPr>
      <w:rFonts w:ascii="宋体" w:hAnsi="Calibri" w:eastAsia="宋体" w:cs="Times New Roman"/>
      <w:sz w:val="18"/>
      <w:szCs w:val="18"/>
    </w:rPr>
  </w:style>
  <w:style w:type="paragraph" w:customStyle="1" w:styleId="140">
    <w:name w:val="Char Char Char Char Char Char Char Char Char Char Char Char Char"/>
    <w:basedOn w:val="27"/>
    <w:qFormat/>
    <w:uiPriority w:val="0"/>
    <w:rPr>
      <w:szCs w:val="20"/>
    </w:rPr>
  </w:style>
  <w:style w:type="character" w:customStyle="1" w:styleId="141">
    <w:name w:val="尾注文本 Char"/>
    <w:basedOn w:val="92"/>
    <w:link w:val="54"/>
    <w:semiHidden/>
    <w:qFormat/>
    <w:uiPriority w:val="0"/>
    <w:rPr>
      <w:rFonts w:ascii="Calibri" w:hAnsi="Calibri" w:eastAsia="宋体" w:cs="Times New Roman"/>
      <w:szCs w:val="24"/>
    </w:rPr>
  </w:style>
  <w:style w:type="character" w:customStyle="1" w:styleId="142">
    <w:name w:val="结束语 Char"/>
    <w:basedOn w:val="92"/>
    <w:link w:val="33"/>
    <w:qFormat/>
    <w:uiPriority w:val="0"/>
    <w:rPr>
      <w:rFonts w:ascii="Calibri" w:hAnsi="Calibri" w:eastAsia="宋体" w:cs="Times New Roman"/>
      <w:szCs w:val="24"/>
    </w:rPr>
  </w:style>
  <w:style w:type="character" w:customStyle="1" w:styleId="143">
    <w:name w:val="注释标题 Char"/>
    <w:basedOn w:val="92"/>
    <w:link w:val="17"/>
    <w:qFormat/>
    <w:uiPriority w:val="0"/>
    <w:rPr>
      <w:rFonts w:ascii="Calibri" w:hAnsi="Calibri" w:eastAsia="宋体" w:cs="Times New Roman"/>
      <w:szCs w:val="24"/>
    </w:rPr>
  </w:style>
  <w:style w:type="paragraph" w:customStyle="1" w:styleId="144">
    <w:name w:val="样式 小四 段前: 5 磅 段后: 5 磅 首行缩进:  2 字符"/>
    <w:basedOn w:val="1"/>
    <w:qFormat/>
    <w:uiPriority w:val="0"/>
    <w:pPr>
      <w:spacing w:line="360" w:lineRule="auto"/>
    </w:pPr>
    <w:rPr>
      <w:rFonts w:ascii="宋体" w:hAnsi="宋体"/>
      <w:color w:val="000000"/>
      <w:sz w:val="24"/>
    </w:rPr>
  </w:style>
  <w:style w:type="character" w:customStyle="1" w:styleId="145">
    <w:name w:val="标题 Char1"/>
    <w:basedOn w:val="92"/>
    <w:qFormat/>
    <w:uiPriority w:val="10"/>
    <w:rPr>
      <w:rFonts w:eastAsia="宋体" w:asciiTheme="majorHAnsi" w:hAnsiTheme="majorHAnsi" w:cstheme="majorBidi"/>
      <w:b/>
      <w:bCs/>
      <w:sz w:val="32"/>
      <w:szCs w:val="32"/>
    </w:rPr>
  </w:style>
  <w:style w:type="character" w:customStyle="1" w:styleId="146">
    <w:name w:val="签名 Char"/>
    <w:basedOn w:val="92"/>
    <w:link w:val="60"/>
    <w:qFormat/>
    <w:uiPriority w:val="0"/>
    <w:rPr>
      <w:rFonts w:ascii="Calibri" w:hAnsi="Calibri" w:eastAsia="宋体" w:cs="Times New Roman"/>
      <w:szCs w:val="24"/>
    </w:rPr>
  </w:style>
  <w:style w:type="character" w:customStyle="1" w:styleId="147">
    <w:name w:val="信息标题 Char"/>
    <w:basedOn w:val="92"/>
    <w:link w:val="81"/>
    <w:qFormat/>
    <w:uiPriority w:val="0"/>
    <w:rPr>
      <w:rFonts w:ascii="Arial" w:hAnsi="Arial" w:eastAsia="宋体" w:cs="Arial"/>
      <w:sz w:val="24"/>
      <w:szCs w:val="24"/>
      <w:shd w:val="pct20" w:color="auto" w:fill="auto"/>
    </w:rPr>
  </w:style>
  <w:style w:type="character" w:customStyle="1" w:styleId="148">
    <w:name w:val="批注框文本 Char1"/>
    <w:basedOn w:val="92"/>
    <w:semiHidden/>
    <w:qFormat/>
    <w:uiPriority w:val="99"/>
    <w:rPr>
      <w:rFonts w:ascii="Calibri" w:hAnsi="Calibri" w:eastAsia="宋体" w:cs="Times New Roman"/>
      <w:sz w:val="18"/>
      <w:szCs w:val="18"/>
    </w:rPr>
  </w:style>
  <w:style w:type="character" w:customStyle="1" w:styleId="149">
    <w:name w:val="正文首行缩进 Char1"/>
    <w:basedOn w:val="130"/>
    <w:semiHidden/>
    <w:qFormat/>
    <w:uiPriority w:val="99"/>
    <w:rPr>
      <w:rFonts w:ascii="Calibri" w:hAnsi="Calibri" w:eastAsia="宋体" w:cs="Times New Roman"/>
      <w:szCs w:val="24"/>
    </w:rPr>
  </w:style>
  <w:style w:type="character" w:customStyle="1" w:styleId="150">
    <w:name w:val="宏文本 Char"/>
    <w:basedOn w:val="92"/>
    <w:link w:val="3"/>
    <w:semiHidden/>
    <w:qFormat/>
    <w:uiPriority w:val="0"/>
    <w:rPr>
      <w:rFonts w:ascii="Courier New" w:hAnsi="Courier New" w:eastAsia="宋体" w:cs="Courier New"/>
      <w:sz w:val="24"/>
      <w:szCs w:val="24"/>
    </w:rPr>
  </w:style>
  <w:style w:type="character" w:customStyle="1" w:styleId="151">
    <w:name w:val="页脚 Char1"/>
    <w:basedOn w:val="92"/>
    <w:semiHidden/>
    <w:qFormat/>
    <w:uiPriority w:val="99"/>
    <w:rPr>
      <w:rFonts w:ascii="Calibri" w:hAnsi="Calibri" w:eastAsia="宋体" w:cs="Times New Roman"/>
      <w:sz w:val="18"/>
      <w:szCs w:val="18"/>
    </w:rPr>
  </w:style>
  <w:style w:type="character" w:customStyle="1" w:styleId="152">
    <w:name w:val="批注主题 Char1"/>
    <w:basedOn w:val="136"/>
    <w:semiHidden/>
    <w:qFormat/>
    <w:uiPriority w:val="99"/>
    <w:rPr>
      <w:rFonts w:ascii="Calibri" w:hAnsi="Calibri" w:eastAsia="宋体" w:cs="Times New Roman"/>
      <w:b/>
      <w:bCs/>
      <w:szCs w:val="24"/>
    </w:rPr>
  </w:style>
  <w:style w:type="character" w:customStyle="1" w:styleId="153">
    <w:name w:val="纯文本 Char1"/>
    <w:basedOn w:val="92"/>
    <w:semiHidden/>
    <w:qFormat/>
    <w:uiPriority w:val="99"/>
    <w:rPr>
      <w:rFonts w:ascii="宋体" w:hAnsi="Courier New" w:eastAsia="宋体" w:cs="Courier New"/>
      <w:szCs w:val="21"/>
    </w:rPr>
  </w:style>
  <w:style w:type="character" w:customStyle="1" w:styleId="154">
    <w:name w:val="电子邮件签名 Char"/>
    <w:basedOn w:val="92"/>
    <w:link w:val="20"/>
    <w:qFormat/>
    <w:uiPriority w:val="0"/>
    <w:rPr>
      <w:rFonts w:ascii="Calibri" w:hAnsi="Calibri" w:eastAsia="宋体" w:cs="Times New Roman"/>
      <w:szCs w:val="24"/>
    </w:rPr>
  </w:style>
  <w:style w:type="paragraph" w:customStyle="1" w:styleId="155">
    <w:name w:val="样式4"/>
    <w:basedOn w:val="1"/>
    <w:qFormat/>
    <w:uiPriority w:val="0"/>
    <w:pPr>
      <w:tabs>
        <w:tab w:val="left" w:pos="2328"/>
      </w:tabs>
      <w:ind w:left="2328" w:hanging="708"/>
    </w:pPr>
  </w:style>
  <w:style w:type="character" w:customStyle="1" w:styleId="156">
    <w:name w:val="脚注文本 Char"/>
    <w:basedOn w:val="92"/>
    <w:link w:val="69"/>
    <w:semiHidden/>
    <w:qFormat/>
    <w:uiPriority w:val="0"/>
    <w:rPr>
      <w:rFonts w:ascii="Calibri" w:hAnsi="Calibri" w:eastAsia="宋体" w:cs="Times New Roman"/>
      <w:sz w:val="18"/>
      <w:szCs w:val="18"/>
    </w:rPr>
  </w:style>
  <w:style w:type="character" w:customStyle="1" w:styleId="157">
    <w:name w:val="正文文本缩进 3 Char"/>
    <w:basedOn w:val="92"/>
    <w:link w:val="72"/>
    <w:qFormat/>
    <w:uiPriority w:val="0"/>
    <w:rPr>
      <w:rFonts w:ascii="宋体" w:hAnsi="宋体" w:eastAsia="宋体" w:cs="Times New Roman"/>
      <w:sz w:val="24"/>
      <w:szCs w:val="24"/>
    </w:rPr>
  </w:style>
  <w:style w:type="paragraph" w:customStyle="1" w:styleId="158">
    <w:name w:val="xl2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楷体_GB2312" w:hAnsi="宋体" w:eastAsia="楷体_GB2312"/>
      <w:kern w:val="0"/>
      <w:sz w:val="24"/>
    </w:rPr>
  </w:style>
  <w:style w:type="paragraph" w:customStyle="1" w:styleId="159">
    <w:name w:val="Char2"/>
    <w:basedOn w:val="1"/>
    <w:qFormat/>
    <w:uiPriority w:val="0"/>
    <w:rPr>
      <w:rFonts w:ascii="Tahoma" w:hAnsi="Tahoma"/>
      <w:sz w:val="24"/>
      <w:szCs w:val="20"/>
    </w:rPr>
  </w:style>
  <w:style w:type="paragraph" w:customStyle="1" w:styleId="160">
    <w:name w:val="xl3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161">
    <w:name w:val="列出段落1"/>
    <w:basedOn w:val="1"/>
    <w:qFormat/>
    <w:uiPriority w:val="0"/>
    <w:pPr>
      <w:ind w:firstLine="420" w:firstLineChars="200"/>
    </w:pPr>
  </w:style>
  <w:style w:type="paragraph" w:customStyle="1" w:styleId="162">
    <w:name w:val="内正文"/>
    <w:basedOn w:val="1"/>
    <w:qFormat/>
    <w:uiPriority w:val="0"/>
    <w:pPr>
      <w:ind w:firstLine="420"/>
    </w:pPr>
    <w:rPr>
      <w:rFonts w:eastAsia="文鼎CS书宋二"/>
      <w:szCs w:val="20"/>
    </w:rPr>
  </w:style>
  <w:style w:type="paragraph" w:customStyle="1" w:styleId="163">
    <w:name w:val="Char Char Char Char Char Char Char Char Char Char"/>
    <w:basedOn w:val="1"/>
    <w:qFormat/>
    <w:uiPriority w:val="0"/>
    <w:rPr>
      <w:rFonts w:ascii="Tahoma" w:hAnsi="Tahoma"/>
      <w:sz w:val="24"/>
      <w:szCs w:val="20"/>
    </w:rPr>
  </w:style>
  <w:style w:type="paragraph" w:customStyle="1" w:styleId="164">
    <w:name w:val="5"/>
    <w:basedOn w:val="1"/>
    <w:qFormat/>
    <w:uiPriority w:val="0"/>
    <w:rPr>
      <w:rFonts w:ascii="Tahoma" w:hAnsi="Tahoma"/>
      <w:sz w:val="24"/>
      <w:szCs w:val="20"/>
    </w:rPr>
  </w:style>
  <w:style w:type="paragraph" w:customStyle="1" w:styleId="165">
    <w:name w:val="Char"/>
    <w:basedOn w:val="1"/>
    <w:qFormat/>
    <w:uiPriority w:val="0"/>
    <w:pPr>
      <w:adjustRightInd w:val="0"/>
      <w:spacing w:line="360" w:lineRule="auto"/>
    </w:pPr>
    <w:rPr>
      <w:kern w:val="0"/>
      <w:sz w:val="24"/>
      <w:szCs w:val="20"/>
    </w:rPr>
  </w:style>
  <w:style w:type="paragraph" w:customStyle="1" w:styleId="166">
    <w:name w:val="Char Char Char1"/>
    <w:basedOn w:val="1"/>
    <w:qFormat/>
    <w:uiPriority w:val="0"/>
    <w:rPr>
      <w:rFonts w:ascii="宋体" w:hAnsi="宋体"/>
      <w:b/>
      <w:sz w:val="28"/>
      <w:szCs w:val="28"/>
    </w:rPr>
  </w:style>
  <w:style w:type="paragraph" w:customStyle="1" w:styleId="167">
    <w:name w:val="表"/>
    <w:basedOn w:val="1"/>
    <w:qFormat/>
    <w:uiPriority w:val="0"/>
    <w:pPr>
      <w:spacing w:line="460" w:lineRule="exact"/>
    </w:pPr>
    <w:rPr>
      <w:rFonts w:ascii="宋体" w:hAnsi="宋体"/>
      <w:b/>
      <w:bCs/>
      <w:szCs w:val="20"/>
    </w:rPr>
  </w:style>
  <w:style w:type="paragraph" w:customStyle="1" w:styleId="168">
    <w:name w:val="样式"/>
    <w:basedOn w:val="1"/>
    <w:next w:val="36"/>
    <w:qFormat/>
    <w:uiPriority w:val="0"/>
    <w:pPr>
      <w:jc w:val="center"/>
    </w:pPr>
    <w:rPr>
      <w:rFonts w:ascii="宋体" w:hAnsi="宋体"/>
      <w:color w:val="FF0000"/>
      <w:sz w:val="24"/>
    </w:rPr>
  </w:style>
  <w:style w:type="paragraph" w:customStyle="1" w:styleId="169">
    <w:name w:val="Char1 Char Char Char"/>
    <w:basedOn w:val="1"/>
    <w:qFormat/>
    <w:uiPriority w:val="0"/>
    <w:rPr>
      <w:szCs w:val="20"/>
    </w:rPr>
  </w:style>
  <w:style w:type="paragraph" w:customStyle="1" w:styleId="170">
    <w:name w:val="列出段落111"/>
    <w:basedOn w:val="1"/>
    <w:qFormat/>
    <w:uiPriority w:val="0"/>
    <w:pPr>
      <w:ind w:firstLine="420" w:firstLineChars="200"/>
    </w:pPr>
  </w:style>
  <w:style w:type="paragraph" w:customStyle="1" w:styleId="171">
    <w:name w:val="默认段落字体 Para Char Char Char Char Char Char Char"/>
    <w:basedOn w:val="1"/>
    <w:qFormat/>
    <w:uiPriority w:val="0"/>
    <w:rPr>
      <w:rFonts w:ascii="Tahoma" w:hAnsi="Tahoma"/>
      <w:sz w:val="24"/>
      <w:szCs w:val="20"/>
    </w:rPr>
  </w:style>
  <w:style w:type="paragraph" w:customStyle="1" w:styleId="172">
    <w:name w:val="Style Body Text + 12 pt"/>
    <w:basedOn w:val="35"/>
    <w:qFormat/>
    <w:uiPriority w:val="0"/>
    <w:pPr>
      <w:widowControl/>
      <w:tabs>
        <w:tab w:val="left" w:pos="2487"/>
      </w:tabs>
      <w:spacing w:before="120"/>
      <w:ind w:left="2487" w:hanging="360"/>
    </w:pPr>
    <w:rPr>
      <w:kern w:val="0"/>
      <w:sz w:val="24"/>
      <w:szCs w:val="20"/>
      <w:lang w:val="zh-CN"/>
    </w:rPr>
  </w:style>
  <w:style w:type="paragraph" w:customStyle="1" w:styleId="173">
    <w:name w:val="Table Paragraph"/>
    <w:basedOn w:val="1"/>
    <w:qFormat/>
    <w:uiPriority w:val="0"/>
    <w:pPr>
      <w:jc w:val="left"/>
    </w:pPr>
    <w:rPr>
      <w:kern w:val="0"/>
      <w:sz w:val="22"/>
      <w:szCs w:val="22"/>
      <w:lang w:eastAsia="en-US"/>
    </w:rPr>
  </w:style>
  <w:style w:type="paragraph" w:customStyle="1" w:styleId="174">
    <w:name w:val="qw"/>
    <w:qFormat/>
    <w:uiPriority w:val="0"/>
    <w:pPr>
      <w:widowControl w:val="0"/>
      <w:adjustRightInd w:val="0"/>
      <w:spacing w:line="312" w:lineRule="atLeast"/>
      <w:jc w:val="both"/>
      <w:textAlignment w:val="baseline"/>
    </w:pPr>
    <w:rPr>
      <w:rFonts w:ascii="宋体" w:hAnsi="Calibri" w:eastAsia="宋体" w:cs="Times New Roman"/>
      <w:sz w:val="24"/>
      <w:lang w:val="en-US" w:eastAsia="zh-CN" w:bidi="ar-SA"/>
    </w:rPr>
  </w:style>
  <w:style w:type="paragraph" w:customStyle="1" w:styleId="175">
    <w:name w:val="xl29"/>
    <w:basedOn w:val="1"/>
    <w:qFormat/>
    <w:uiPriority w:val="0"/>
    <w:pPr>
      <w:widowControl/>
      <w:spacing w:before="100" w:beforeAutospacing="1" w:after="100" w:afterAutospacing="1"/>
      <w:jc w:val="center"/>
    </w:pPr>
    <w:rPr>
      <w:rFonts w:ascii="宋体" w:hAnsi="宋体"/>
      <w:kern w:val="0"/>
      <w:sz w:val="28"/>
      <w:szCs w:val="28"/>
    </w:rPr>
  </w:style>
  <w:style w:type="paragraph" w:customStyle="1" w:styleId="176">
    <w:name w:val="Char Char Char 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77">
    <w:name w:val="样式1"/>
    <w:basedOn w:val="1"/>
    <w:qFormat/>
    <w:uiPriority w:val="0"/>
    <w:pPr>
      <w:spacing w:line="440" w:lineRule="atLeast"/>
      <w:outlineLvl w:val="0"/>
    </w:pPr>
    <w:rPr>
      <w:rFonts w:ascii="宋体" w:hAnsi="宋体"/>
      <w:sz w:val="24"/>
    </w:rPr>
  </w:style>
  <w:style w:type="paragraph" w:customStyle="1" w:styleId="178">
    <w:name w:val="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17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80">
    <w:name w:val="Char Char Char Char Char Char1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81">
    <w:name w:val="tabletext"/>
    <w:basedOn w:val="1"/>
    <w:qFormat/>
    <w:uiPriority w:val="0"/>
    <w:pPr>
      <w:widowControl/>
      <w:spacing w:before="100" w:beforeAutospacing="1" w:after="100" w:afterAutospacing="1" w:line="268" w:lineRule="atLeast"/>
      <w:jc w:val="left"/>
    </w:pPr>
    <w:rPr>
      <w:rFonts w:ascii="Arial Unicode MS" w:hAnsi="Arial Unicode MS" w:eastAsia="Arial Unicode MS"/>
      <w:kern w:val="0"/>
      <w:sz w:val="20"/>
      <w:szCs w:val="20"/>
    </w:rPr>
  </w:style>
  <w:style w:type="paragraph" w:customStyle="1" w:styleId="182">
    <w:name w:val="Char Char Char Char Char Char1 Char1"/>
    <w:basedOn w:val="1"/>
    <w:qFormat/>
    <w:uiPriority w:val="0"/>
    <w:pPr>
      <w:widowControl/>
      <w:spacing w:after="160" w:line="240" w:lineRule="exact"/>
      <w:jc w:val="left"/>
    </w:pPr>
    <w:rPr>
      <w:rFonts w:ascii="Arial" w:hAnsi="Arial" w:eastAsia="楷体_GB2312" w:cs="Verdana"/>
      <w:b/>
      <w:kern w:val="0"/>
      <w:sz w:val="24"/>
      <w:lang w:eastAsia="en-US"/>
    </w:rPr>
  </w:style>
  <w:style w:type="paragraph" w:customStyle="1" w:styleId="183">
    <w:name w:val="正文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84">
    <w:name w:val="列出段落11"/>
    <w:basedOn w:val="1"/>
    <w:qFormat/>
    <w:uiPriority w:val="0"/>
    <w:pPr>
      <w:ind w:firstLine="420" w:firstLineChars="200"/>
    </w:pPr>
    <w:rPr>
      <w:szCs w:val="22"/>
    </w:rPr>
  </w:style>
  <w:style w:type="paragraph" w:customStyle="1" w:styleId="185">
    <w:name w:val="表格和图形名称"/>
    <w:basedOn w:val="1"/>
    <w:next w:val="1"/>
    <w:qFormat/>
    <w:uiPriority w:val="0"/>
    <w:pPr>
      <w:widowControl/>
      <w:spacing w:afterLines="50" w:line="360" w:lineRule="auto"/>
      <w:jc w:val="center"/>
    </w:pPr>
    <w:rPr>
      <w:kern w:val="0"/>
      <w:szCs w:val="20"/>
    </w:rPr>
  </w:style>
  <w:style w:type="paragraph" w:customStyle="1" w:styleId="186">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paragraph" w:customStyle="1" w:styleId="187">
    <w:name w:val="正文1"/>
    <w:basedOn w:val="1"/>
    <w:qFormat/>
    <w:uiPriority w:val="0"/>
    <w:pPr>
      <w:adjustRightInd w:val="0"/>
      <w:spacing w:line="312" w:lineRule="atLeast"/>
    </w:pPr>
    <w:rPr>
      <w:kern w:val="0"/>
      <w:sz w:val="28"/>
      <w:szCs w:val="20"/>
    </w:rPr>
  </w:style>
  <w:style w:type="paragraph" w:customStyle="1" w:styleId="188">
    <w:name w:val="排列"/>
    <w:basedOn w:val="68"/>
    <w:next w:val="68"/>
    <w:qFormat/>
    <w:uiPriority w:val="0"/>
    <w:pPr>
      <w:tabs>
        <w:tab w:val="left" w:pos="1261"/>
        <w:tab w:val="clear" w:pos="360"/>
      </w:tabs>
      <w:ind w:left="1261" w:hanging="420"/>
    </w:pPr>
  </w:style>
  <w:style w:type="paragraph" w:customStyle="1" w:styleId="189">
    <w:name w:val="Char1 Char Char Char1"/>
    <w:basedOn w:val="1"/>
    <w:qFormat/>
    <w:uiPriority w:val="0"/>
    <w:pPr>
      <w:ind w:left="420" w:hanging="420"/>
    </w:pPr>
    <w:rPr>
      <w:sz w:val="24"/>
    </w:rPr>
  </w:style>
  <w:style w:type="paragraph" w:customStyle="1" w:styleId="190">
    <w:name w:val="修订1"/>
    <w:semiHidden/>
    <w:qFormat/>
    <w:uiPriority w:val="0"/>
    <w:rPr>
      <w:rFonts w:ascii="Calibri" w:hAnsi="Calibri" w:eastAsia="宋体" w:cs="Times New Roman"/>
      <w:kern w:val="2"/>
      <w:sz w:val="21"/>
      <w:szCs w:val="24"/>
      <w:lang w:val="en-US" w:eastAsia="zh-CN" w:bidi="ar-SA"/>
    </w:rPr>
  </w:style>
  <w:style w:type="paragraph" w:customStyle="1" w:styleId="191">
    <w:name w:val="Char Char Char Char Char Char Char Char Char Char Char Char Char1"/>
    <w:basedOn w:val="27"/>
    <w:qFormat/>
    <w:uiPriority w:val="0"/>
    <w:rPr>
      <w:szCs w:val="20"/>
    </w:rPr>
  </w:style>
  <w:style w:type="paragraph" w:customStyle="1" w:styleId="192">
    <w:name w:val="Char Char1 Char Char Char Char"/>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3">
    <w:name w:val="封面2"/>
    <w:basedOn w:val="1"/>
    <w:qFormat/>
    <w:uiPriority w:val="0"/>
    <w:pPr>
      <w:spacing w:line="360" w:lineRule="auto"/>
      <w:jc w:val="center"/>
    </w:pPr>
    <w:rPr>
      <w:rFonts w:ascii="黑体" w:hAnsi="宋体" w:eastAsia="黑体"/>
      <w:b/>
      <w:spacing w:val="-30"/>
      <w:sz w:val="96"/>
    </w:rPr>
  </w:style>
  <w:style w:type="paragraph" w:customStyle="1" w:styleId="194">
    <w:name w:val="Char Char Char Char1"/>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95">
    <w:name w:val="Char Char1 Char Char Char Char1"/>
    <w:basedOn w:val="1"/>
    <w:qFormat/>
    <w:uiPriority w:val="0"/>
    <w:pPr>
      <w:widowControl/>
      <w:spacing w:after="160" w:line="240" w:lineRule="exact"/>
      <w:jc w:val="left"/>
    </w:pPr>
    <w:rPr>
      <w:rFonts w:ascii="Arial" w:hAnsi="Arial" w:eastAsia="Times New Roman"/>
      <w:kern w:val="0"/>
      <w:sz w:val="20"/>
      <w:szCs w:val="20"/>
      <w:lang w:eastAsia="en-US"/>
    </w:rPr>
  </w:style>
  <w:style w:type="paragraph" w:customStyle="1" w:styleId="196">
    <w:name w:val="Char Char2 Char"/>
    <w:basedOn w:val="1"/>
    <w:qFormat/>
    <w:uiPriority w:val="0"/>
  </w:style>
  <w:style w:type="paragraph" w:customStyle="1" w:styleId="197">
    <w:name w:val="Char Char Char Char Char Char Char Char Char Char1"/>
    <w:basedOn w:val="1"/>
    <w:qFormat/>
    <w:uiPriority w:val="0"/>
    <w:rPr>
      <w:rFonts w:ascii="Tahoma" w:hAnsi="Tahoma"/>
      <w:sz w:val="24"/>
      <w:szCs w:val="20"/>
    </w:rPr>
  </w:style>
  <w:style w:type="paragraph" w:customStyle="1" w:styleId="198">
    <w:name w:val="p1215"/>
    <w:basedOn w:val="1"/>
    <w:qFormat/>
    <w:uiPriority w:val="0"/>
    <w:pPr>
      <w:widowControl/>
      <w:spacing w:before="100" w:beforeAutospacing="1" w:after="100" w:afterAutospacing="1"/>
      <w:jc w:val="left"/>
    </w:pPr>
    <w:rPr>
      <w:rFonts w:ascii="宋体" w:hAnsi="宋体"/>
      <w:color w:val="003399"/>
      <w:kern w:val="0"/>
      <w:sz w:val="24"/>
    </w:rPr>
  </w:style>
  <w:style w:type="paragraph" w:customStyle="1" w:styleId="19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36"/>
      <w:szCs w:val="36"/>
    </w:rPr>
  </w:style>
  <w:style w:type="paragraph" w:customStyle="1" w:styleId="200">
    <w:name w:val="Char Char Char"/>
    <w:basedOn w:val="1"/>
    <w:qFormat/>
    <w:uiPriority w:val="0"/>
    <w:rPr>
      <w:rFonts w:ascii="宋体" w:hAnsi="宋体"/>
      <w:b/>
      <w:sz w:val="28"/>
      <w:szCs w:val="28"/>
    </w:rPr>
  </w:style>
  <w:style w:type="paragraph" w:customStyle="1" w:styleId="201">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02">
    <w:name w:val="Char Char Char1 Char"/>
    <w:basedOn w:val="1"/>
    <w:qFormat/>
    <w:uiPriority w:val="0"/>
    <w:pPr>
      <w:tabs>
        <w:tab w:val="left" w:pos="425"/>
      </w:tabs>
      <w:ind w:left="425" w:hanging="425"/>
    </w:pPr>
    <w:rPr>
      <w:rFonts w:eastAsia="仿宋_GB2312"/>
      <w:kern w:val="24"/>
      <w:sz w:val="24"/>
    </w:rPr>
  </w:style>
  <w:style w:type="paragraph" w:customStyle="1" w:styleId="203">
    <w:name w:val="样式 样式 正文首行缩进 + (符号) 宋体 + 左侧:  2 字符 首行缩进:  2 字符"/>
    <w:basedOn w:val="1"/>
    <w:qFormat/>
    <w:uiPriority w:val="0"/>
    <w:pPr>
      <w:spacing w:line="360" w:lineRule="auto"/>
      <w:ind w:firstLine="200" w:firstLineChars="200"/>
      <w:jc w:val="left"/>
    </w:pPr>
    <w:rPr>
      <w:rFonts w:hAnsi="宋体"/>
      <w:kern w:val="0"/>
      <w:szCs w:val="20"/>
      <w:lang w:eastAsia="en-US"/>
    </w:rPr>
  </w:style>
  <w:style w:type="paragraph" w:customStyle="1" w:styleId="204">
    <w:name w:val="130"/>
    <w:basedOn w:val="1"/>
    <w:qFormat/>
    <w:uiPriority w:val="0"/>
    <w:pPr>
      <w:widowControl/>
      <w:spacing w:before="100" w:beforeAutospacing="1" w:after="100" w:afterAutospacing="1" w:line="324" w:lineRule="auto"/>
      <w:jc w:val="left"/>
    </w:pPr>
    <w:rPr>
      <w:rFonts w:ascii="宋体" w:hAnsi="宋体"/>
      <w:color w:val="000000"/>
      <w:kern w:val="0"/>
      <w:sz w:val="24"/>
    </w:rPr>
  </w:style>
  <w:style w:type="paragraph" w:customStyle="1" w:styleId="205">
    <w:name w:val="标准"/>
    <w:basedOn w:val="1"/>
    <w:qFormat/>
    <w:uiPriority w:val="0"/>
    <w:pPr>
      <w:overflowPunct w:val="0"/>
      <w:autoSpaceDE w:val="0"/>
      <w:autoSpaceDN w:val="0"/>
      <w:adjustRightInd w:val="0"/>
      <w:spacing w:line="240" w:lineRule="atLeast"/>
      <w:textAlignment w:val="baseline"/>
    </w:pPr>
    <w:rPr>
      <w:rFonts w:eastAsia="楷体_GB2312"/>
      <w:kern w:val="0"/>
      <w:sz w:val="24"/>
      <w:szCs w:val="20"/>
    </w:rPr>
  </w:style>
  <w:style w:type="paragraph" w:customStyle="1" w:styleId="206">
    <w:name w:val="xl25"/>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kern w:val="0"/>
      <w:szCs w:val="21"/>
    </w:rPr>
  </w:style>
  <w:style w:type="table" w:customStyle="1" w:styleId="207">
    <w:name w:val="网格型1"/>
    <w:basedOn w:val="90"/>
    <w:qFormat/>
    <w:uiPriority w:val="0"/>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208">
    <w:name w:val="网格型2"/>
    <w:basedOn w:val="90"/>
    <w:qFormat/>
    <w:uiPriority w:val="0"/>
    <w:pPr>
      <w:spacing w:beforeAutospacing="1" w:afterAutospacing="1"/>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209">
    <w:name w:val="修订2"/>
    <w:hidden/>
    <w:semiHidden/>
    <w:qFormat/>
    <w:uiPriority w:val="99"/>
    <w:rPr>
      <w:rFonts w:ascii="Calibri" w:hAnsi="Calibri" w:eastAsia="宋体" w:cs="Times New Roman"/>
      <w:kern w:val="2"/>
      <w:sz w:val="21"/>
      <w:szCs w:val="24"/>
      <w:lang w:val="en-US" w:eastAsia="zh-CN" w:bidi="ar-SA"/>
    </w:rPr>
  </w:style>
  <w:style w:type="paragraph" w:customStyle="1" w:styleId="210">
    <w:name w:val="正文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11">
    <w:name w:val="font31"/>
    <w:basedOn w:val="92"/>
    <w:qFormat/>
    <w:uiPriority w:val="0"/>
    <w:rPr>
      <w:rFonts w:hint="eastAsia" w:ascii="宋体" w:hAnsi="宋体" w:eastAsia="宋体" w:cs="宋体"/>
      <w:color w:val="000000"/>
      <w:sz w:val="22"/>
      <w:szCs w:val="22"/>
      <w:u w:val="none"/>
    </w:rPr>
  </w:style>
  <w:style w:type="character" w:customStyle="1" w:styleId="212">
    <w:name w:val="font01"/>
    <w:basedOn w:val="92"/>
    <w:qFormat/>
    <w:uiPriority w:val="0"/>
    <w:rPr>
      <w:rFonts w:hint="eastAsia" w:ascii="宋体" w:hAnsi="宋体" w:eastAsia="宋体" w:cs="宋体"/>
      <w:color w:val="333333"/>
      <w:sz w:val="22"/>
      <w:szCs w:val="22"/>
      <w:u w:val="none"/>
    </w:rPr>
  </w:style>
  <w:style w:type="character" w:customStyle="1" w:styleId="213">
    <w:name w:val="font51"/>
    <w:basedOn w:val="92"/>
    <w:qFormat/>
    <w:uiPriority w:val="0"/>
    <w:rPr>
      <w:rFonts w:hint="eastAsia" w:ascii="宋体" w:hAnsi="宋体" w:eastAsia="宋体" w:cs="宋体"/>
      <w:color w:val="000000"/>
      <w:sz w:val="22"/>
      <w:szCs w:val="22"/>
      <w:u w:val="none"/>
    </w:rPr>
  </w:style>
  <w:style w:type="paragraph" w:customStyle="1" w:styleId="214">
    <w:name w:val="文一"/>
    <w:basedOn w:val="1"/>
    <w:qFormat/>
    <w:uiPriority w:val="0"/>
    <w:pPr>
      <w:topLinePunct/>
      <w:adjustRightInd w:val="0"/>
      <w:snapToGrid w:val="0"/>
      <w:spacing w:line="360" w:lineRule="auto"/>
      <w:ind w:firstLine="200" w:firstLineChars="200"/>
    </w:pPr>
    <w:rPr>
      <w:spacing w:val="4"/>
      <w:kern w:val="0"/>
      <w:sz w:val="24"/>
      <w:szCs w:val="24"/>
    </w:rPr>
  </w:style>
  <w:style w:type="character" w:customStyle="1" w:styleId="215">
    <w:name w:val="font41"/>
    <w:basedOn w:val="92"/>
    <w:qFormat/>
    <w:uiPriority w:val="0"/>
    <w:rPr>
      <w:rFonts w:hint="eastAsia" w:ascii="宋体" w:hAnsi="宋体" w:eastAsia="宋体" w:cs="宋体"/>
      <w:color w:val="000000"/>
      <w:sz w:val="22"/>
      <w:szCs w:val="22"/>
      <w:u w:val="none"/>
    </w:rPr>
  </w:style>
  <w:style w:type="character" w:customStyle="1" w:styleId="216">
    <w:name w:val="font61"/>
    <w:basedOn w:val="92"/>
    <w:qFormat/>
    <w:uiPriority w:val="0"/>
    <w:rPr>
      <w:rFonts w:hint="eastAsia" w:ascii="宋体" w:hAnsi="宋体" w:eastAsia="宋体" w:cs="宋体"/>
      <w:color w:val="000000"/>
      <w:sz w:val="22"/>
      <w:szCs w:val="22"/>
      <w:u w:val="none"/>
    </w:rPr>
  </w:style>
  <w:style w:type="character" w:customStyle="1" w:styleId="217">
    <w:name w:val="font21"/>
    <w:basedOn w:val="92"/>
    <w:qFormat/>
    <w:uiPriority w:val="0"/>
    <w:rPr>
      <w:rFonts w:hint="eastAsia" w:ascii="宋体" w:hAnsi="宋体" w:eastAsia="宋体" w:cs="宋体"/>
      <w:color w:val="000000"/>
      <w:sz w:val="22"/>
      <w:szCs w:val="22"/>
      <w:u w:val="none"/>
    </w:rPr>
  </w:style>
  <w:style w:type="character" w:customStyle="1" w:styleId="218">
    <w:name w:val="font151"/>
    <w:basedOn w:val="92"/>
    <w:qFormat/>
    <w:uiPriority w:val="0"/>
    <w:rPr>
      <w:rFonts w:hint="default" w:ascii="Times New Roman" w:hAnsi="Times New Roman" w:cs="Times New Roman"/>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theme" Target="theme/theme1.xml"/><Relationship Id="rId21" Type="http://schemas.openxmlformats.org/officeDocument/2006/relationships/footer" Target="footer10.xml"/><Relationship Id="rId20" Type="http://schemas.openxmlformats.org/officeDocument/2006/relationships/header" Target="header9.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header" Target="header8.xml"/><Relationship Id="rId17" Type="http://schemas.openxmlformats.org/officeDocument/2006/relationships/footer" Target="footer8.xml"/><Relationship Id="rId16" Type="http://schemas.openxmlformats.org/officeDocument/2006/relationships/footer" Target="footer7.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26695</Words>
  <Characters>152167</Characters>
  <Lines>1268</Lines>
  <Paragraphs>357</Paragraphs>
  <TotalTime>0</TotalTime>
  <ScaleCrop>false</ScaleCrop>
  <LinksUpToDate>false</LinksUpToDate>
  <CharactersWithSpaces>178505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2019-10-23T10:23:00Z</dcterms:created>
  <dc:creator>LBDZ</dc:creator>
  <cp:lastModifiedBy>小笼包</cp:lastModifiedBy>
  <cp:lastPrinted>2020-09-07T00:45:00Z</cp:lastPrinted>
  <dcterms:modified xsi:type="dcterms:W3CDTF">2020-09-07T04:38:26Z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