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p>
    <w:p>
      <w:pPr>
        <w:spacing w:beforeLines="100" w:line="360" w:lineRule="auto"/>
        <w:jc w:val="center"/>
        <w:rPr>
          <w:rFonts w:ascii="宋体" w:hAnsi="宋体"/>
          <w:b/>
          <w:bCs/>
          <w:color w:val="auto"/>
          <w:spacing w:val="100"/>
          <w:sz w:val="96"/>
          <w:szCs w:val="96"/>
          <w:highlight w:val="none"/>
        </w:rPr>
      </w:pPr>
      <w:r>
        <w:rPr>
          <w:rFonts w:hint="eastAsia" w:ascii="宋体" w:hAnsi="宋体"/>
          <w:b/>
          <w:bCs/>
          <w:color w:val="auto"/>
          <w:spacing w:val="100"/>
          <w:sz w:val="96"/>
          <w:szCs w:val="96"/>
          <w:highlight w:val="none"/>
        </w:rPr>
        <w:t>政府采购</w:t>
      </w:r>
    </w:p>
    <w:p>
      <w:pPr>
        <w:spacing w:line="360" w:lineRule="auto"/>
        <w:rPr>
          <w:rFonts w:ascii="宋体" w:hAnsi="宋体"/>
          <w:b/>
          <w:bCs/>
          <w:color w:val="auto"/>
          <w:spacing w:val="100"/>
          <w:sz w:val="28"/>
          <w:szCs w:val="28"/>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项目名称：</w:t>
      </w:r>
      <w:r>
        <w:rPr>
          <w:rFonts w:hint="eastAsia" w:ascii="宋体" w:hAnsi="宋体"/>
          <w:b/>
          <w:color w:val="auto"/>
          <w:sz w:val="28"/>
          <w:szCs w:val="28"/>
          <w:highlight w:val="none"/>
          <w:lang w:eastAsia="zh-CN"/>
        </w:rPr>
        <w:t>广东省农业科学院领军人才项目微生物实验室台柜采购及配套服务项目</w:t>
      </w:r>
      <w:r>
        <w:rPr>
          <w:rFonts w:hint="eastAsia" w:ascii="宋体" w:hAnsi="宋体"/>
          <w:b/>
          <w:color w:val="auto"/>
          <w:sz w:val="28"/>
          <w:szCs w:val="28"/>
          <w:highlight w:val="none"/>
        </w:rPr>
        <w:t xml:space="preserve"> </w:t>
      </w: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项目编号：</w:t>
      </w:r>
      <w:r>
        <w:rPr>
          <w:rFonts w:hint="eastAsia" w:ascii="宋体" w:hAnsi="宋体"/>
          <w:b/>
          <w:color w:val="auto"/>
          <w:sz w:val="28"/>
          <w:szCs w:val="28"/>
          <w:highlight w:val="none"/>
          <w:lang w:eastAsia="zh-CN"/>
        </w:rPr>
        <w:t>202009-184098-0053</w:t>
      </w:r>
      <w:r>
        <w:rPr>
          <w:rFonts w:hint="eastAsia" w:ascii="宋体" w:hAnsi="宋体"/>
          <w:b/>
          <w:color w:val="auto"/>
          <w:sz w:val="28"/>
          <w:szCs w:val="28"/>
          <w:highlight w:val="none"/>
        </w:rPr>
        <w:t xml:space="preserve"> </w:t>
      </w:r>
    </w:p>
    <w:p>
      <w:pPr>
        <w:spacing w:line="360" w:lineRule="auto"/>
        <w:rPr>
          <w:rFonts w:ascii="宋体" w:hAnsi="宋体"/>
          <w:color w:val="auto"/>
          <w:sz w:val="84"/>
          <w:highlight w:val="none"/>
        </w:rPr>
      </w:pPr>
    </w:p>
    <w:p>
      <w:pPr>
        <w:spacing w:line="360" w:lineRule="auto"/>
        <w:ind w:firstLine="1687" w:firstLineChars="200"/>
        <w:rPr>
          <w:rFonts w:ascii="宋体" w:hAnsi="宋体"/>
          <w:b/>
          <w:color w:val="auto"/>
          <w:sz w:val="84"/>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   购   人：</w:t>
      </w:r>
      <w:r>
        <w:rPr>
          <w:rFonts w:hint="eastAsia" w:ascii="宋体" w:hAnsi="宋体" w:cs="宋体"/>
          <w:b/>
          <w:bCs/>
          <w:color w:val="auto"/>
          <w:sz w:val="30"/>
          <w:szCs w:val="30"/>
          <w:highlight w:val="none"/>
        </w:rPr>
        <w:t>广东省农业科学院动物科学研究所</w:t>
      </w:r>
      <w:r>
        <w:rPr>
          <w:rFonts w:hint="eastAsia" w:ascii="宋体" w:hAnsi="宋体"/>
          <w:b/>
          <w:color w:val="auto"/>
          <w:sz w:val="30"/>
          <w:szCs w:val="30"/>
          <w:highlight w:val="none"/>
        </w:rPr>
        <w:t xml:space="preserve">  </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4"/>
          <w:rFonts w:ascii="宋体" w:hAnsi="宋体"/>
          <w:b/>
          <w:color w:val="auto"/>
          <w:sz w:val="30"/>
          <w:szCs w:val="30"/>
          <w:highlight w:val="none"/>
        </w:rPr>
        <w:sectPr>
          <w:headerReference r:id="rId4" w:type="first"/>
          <w:footerReference r:id="rId7" w:type="first"/>
          <w:footerReference r:id="rId5" w:type="default"/>
          <w:headerReference r:id="rId3" w:type="even"/>
          <w:footerReference r:id="rId6" w:type="even"/>
          <w:pgSz w:w="11906" w:h="16838"/>
          <w:pgMar w:top="1134" w:right="1417" w:bottom="1134" w:left="1417" w:header="567" w:footer="737" w:gutter="0"/>
          <w:pgBorders>
            <w:top w:val="none" w:sz="0" w:space="0"/>
            <w:left w:val="none" w:sz="0" w:space="0"/>
            <w:bottom w:val="none" w:sz="0" w:space="0"/>
            <w:right w:val="none" w:sz="0" w:space="0"/>
          </w:pgBorders>
          <w:cols w:space="720" w:num="1"/>
          <w:titlePg/>
          <w:docGrid w:linePitch="312" w:charSpace="0"/>
        </w:sectPr>
      </w:pPr>
      <w:r>
        <w:rPr>
          <w:rFonts w:hint="eastAsia" w:ascii="宋体" w:hAnsi="宋体"/>
          <w:b/>
          <w:color w:val="auto"/>
          <w:sz w:val="30"/>
          <w:szCs w:val="30"/>
          <w:highlight w:val="none"/>
        </w:rPr>
        <w:t>日        期：</w:t>
      </w:r>
      <w:bookmarkStart w:id="0" w:name="_Toc14450806"/>
      <w:bookmarkStart w:id="1" w:name="_Toc28489433"/>
      <w:r>
        <w:rPr>
          <w:rStyle w:val="94"/>
          <w:rFonts w:hint="eastAsia" w:ascii="宋体" w:hAnsi="宋体"/>
          <w:b/>
          <w:color w:val="auto"/>
          <w:sz w:val="30"/>
          <w:szCs w:val="30"/>
          <w:highlight w:val="none"/>
          <w:u w:val="none"/>
        </w:rPr>
        <w:t xml:space="preserve"> 二○二○年</w:t>
      </w:r>
      <w:r>
        <w:rPr>
          <w:rStyle w:val="94"/>
          <w:rFonts w:hint="eastAsia" w:ascii="宋体" w:hAnsi="宋体"/>
          <w:b/>
          <w:color w:val="auto"/>
          <w:sz w:val="30"/>
          <w:szCs w:val="30"/>
          <w:highlight w:val="none"/>
          <w:u w:val="none"/>
          <w:lang w:eastAsia="zh-CN"/>
        </w:rPr>
        <w:t>九</w:t>
      </w:r>
      <w:r>
        <w:rPr>
          <w:rStyle w:val="94"/>
          <w:rFonts w:hint="eastAsia" w:ascii="宋体" w:hAnsi="宋体"/>
          <w:b/>
          <w:color w:val="auto"/>
          <w:sz w:val="30"/>
          <w:szCs w:val="30"/>
          <w:highlight w:val="none"/>
          <w:u w:val="none"/>
        </w:rPr>
        <w:t>月</w:t>
      </w:r>
    </w:p>
    <w:p>
      <w:pPr>
        <w:spacing w:beforeLines="50" w:afterLines="50" w:line="360" w:lineRule="auto"/>
        <w:rPr>
          <w:rFonts w:ascii="宋体" w:hAnsi="宋体"/>
          <w:b/>
          <w:color w:val="auto"/>
          <w:sz w:val="36"/>
          <w:highlight w:val="none"/>
        </w:rPr>
      </w:pPr>
    </w:p>
    <w:p>
      <w:pPr>
        <w:spacing w:beforeLines="5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请仔细检查投标/报价文件是否已按采购文件要求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w:t>
      </w:r>
      <w:r>
        <w:rPr>
          <w:rFonts w:hint="eastAsia" w:ascii="Arial" w:hAnsi="宋体" w:cs="Arial"/>
          <w:color w:val="auto"/>
          <w:szCs w:val="21"/>
          <w:highlight w:val="none"/>
          <w:lang w:eastAsia="zh-CN"/>
        </w:rPr>
        <w:t>报价人</w:t>
      </w:r>
      <w:r>
        <w:rPr>
          <w:rFonts w:hint="eastAsia" w:ascii="Arial" w:hAnsi="宋体" w:cs="Arial"/>
          <w:color w:val="auto"/>
          <w:szCs w:val="21"/>
          <w:highlight w:val="none"/>
        </w:rPr>
        <w:t>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r>
        <w:rPr>
          <w:rFonts w:hint="eastAsia" w:ascii="宋体" w:hAnsi="宋体"/>
          <w:color w:val="auto"/>
          <w:szCs w:val="21"/>
          <w:highlight w:val="none"/>
        </w:rPr>
        <w:t xml:space="preserve"> </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w:t>
      </w:r>
      <w:r>
        <w:rPr>
          <w:rFonts w:hint="eastAsia" w:ascii="宋体" w:hAnsi="宋体"/>
          <w:color w:val="auto"/>
          <w:szCs w:val="21"/>
          <w:highlight w:val="none"/>
          <w:lang w:eastAsia="zh-CN"/>
        </w:rPr>
        <w:t>报价人</w:t>
      </w:r>
      <w:r>
        <w:rPr>
          <w:rFonts w:hint="eastAsia" w:ascii="宋体" w:hAnsi="宋体"/>
          <w:color w:val="auto"/>
          <w:szCs w:val="21"/>
          <w:highlight w:val="none"/>
        </w:rPr>
        <w:t>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为了提高政府采购效率，节约社会交易成本与时间，希望购买了采购文件而决定不参加本次投标/报价的</w:t>
      </w:r>
      <w:r>
        <w:rPr>
          <w:rFonts w:hint="eastAsia" w:ascii="宋体" w:hAnsi="宋体"/>
          <w:color w:val="auto"/>
          <w:szCs w:val="21"/>
          <w:highlight w:val="none"/>
          <w:lang w:eastAsia="zh-CN"/>
        </w:rPr>
        <w:t>报价人</w:t>
      </w:r>
      <w:r>
        <w:rPr>
          <w:rFonts w:hint="eastAsia" w:ascii="宋体" w:hAnsi="宋体"/>
          <w:color w:val="auto"/>
          <w:szCs w:val="21"/>
          <w:highlight w:val="none"/>
        </w:rPr>
        <w:t>，在投标/报价文件递交截止时间的3日前，按《投标/报价邀请函》中的联系方式，以书面形式告知采购代理机构。对您的支持与配合，谨此致谢。</w:t>
      </w:r>
    </w:p>
    <w:p>
      <w:pPr>
        <w:spacing w:beforeLines="5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（本提示内容非采购文件的组成部分，仅为善意提醒。如有不一致，以采购文件为准）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Lines="100" w:afterLines="100" w:line="360" w:lineRule="auto"/>
        <w:rPr>
          <w:rStyle w:val="94"/>
          <w:rFonts w:ascii="宋体" w:hAnsi="宋体"/>
          <w:smallCaps/>
          <w:color w:val="auto"/>
          <w:sz w:val="28"/>
          <w:szCs w:val="28"/>
          <w:highlight w:val="none"/>
        </w:rPr>
      </w:pPr>
    </w:p>
    <w:p>
      <w:pPr>
        <w:pStyle w:val="60"/>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4"/>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4"/>
          <w:rFonts w:hint="eastAsia"/>
          <w:color w:val="auto"/>
          <w:sz w:val="28"/>
          <w:szCs w:val="28"/>
          <w:highlight w:val="none"/>
        </w:rPr>
        <w:t>第一章 竞争性磋商</w:t>
      </w:r>
      <w:r>
        <w:rPr>
          <w:rStyle w:val="94"/>
          <w:rFonts w:hint="eastAsia"/>
          <w:color w:val="auto"/>
          <w:sz w:val="28"/>
          <w:szCs w:val="28"/>
          <w:highlight w:val="none"/>
          <w:lang w:val="en-US" w:eastAsia="zh-CN"/>
        </w:rPr>
        <w:t>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4</w:t>
      </w:r>
      <w:r>
        <w:rPr>
          <w:color w:val="auto"/>
          <w:sz w:val="28"/>
          <w:szCs w:val="28"/>
          <w:highlight w:val="none"/>
        </w:rPr>
        <w:fldChar w:fldCharType="end"/>
      </w:r>
      <w:r>
        <w:rPr>
          <w:color w:val="auto"/>
          <w:sz w:val="28"/>
          <w:szCs w:val="28"/>
          <w:highlight w:val="none"/>
        </w:rPr>
        <w:fldChar w:fldCharType="end"/>
      </w:r>
    </w:p>
    <w:p>
      <w:pPr>
        <w:pStyle w:val="60"/>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4"/>
          <w:rFonts w:hint="eastAsia"/>
          <w:color w:val="auto"/>
          <w:sz w:val="28"/>
          <w:szCs w:val="28"/>
          <w:highlight w:val="none"/>
        </w:rPr>
        <w:t>第二章 竞争性磋商须</w:t>
      </w:r>
      <w:bookmarkStart w:id="2" w:name="_Hlt509928387"/>
      <w:r>
        <w:rPr>
          <w:rStyle w:val="94"/>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8</w:t>
      </w:r>
    </w:p>
    <w:p>
      <w:pPr>
        <w:pStyle w:val="60"/>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4"/>
          <w:rFonts w:hint="eastAsia"/>
          <w:color w:val="auto"/>
          <w:sz w:val="28"/>
          <w:szCs w:val="28"/>
          <w:highlight w:val="none"/>
        </w:rPr>
        <w:t>第三章 采购人</w:t>
      </w:r>
      <w:bookmarkStart w:id="3" w:name="_Hlt510014101"/>
      <w:r>
        <w:rPr>
          <w:rStyle w:val="94"/>
          <w:rFonts w:hint="eastAsia"/>
          <w:color w:val="auto"/>
          <w:sz w:val="28"/>
          <w:szCs w:val="28"/>
          <w:highlight w:val="none"/>
        </w:rPr>
        <w:t>需</w:t>
      </w:r>
      <w:bookmarkEnd w:id="3"/>
      <w:bookmarkStart w:id="4" w:name="_Hlt510971526"/>
      <w:r>
        <w:rPr>
          <w:rStyle w:val="94"/>
          <w:rFonts w:hint="eastAsia"/>
          <w:color w:val="auto"/>
          <w:sz w:val="28"/>
          <w:szCs w:val="28"/>
          <w:highlight w:val="none"/>
        </w:rPr>
        <w:t>求</w:t>
      </w:r>
      <w:bookmarkEnd w:id="4"/>
      <w:bookmarkStart w:id="5" w:name="_Hlt510014036"/>
      <w:bookmarkStart w:id="6" w:name="_Hlt510014037"/>
      <w:r>
        <w:rPr>
          <w:rStyle w:val="94"/>
          <w:rFonts w:hint="eastAsia"/>
          <w:color w:val="auto"/>
          <w:sz w:val="28"/>
          <w:szCs w:val="28"/>
          <w:highlight w:val="none"/>
        </w:rPr>
        <w:t>书</w:t>
      </w:r>
      <w:bookmarkEnd w:id="5"/>
      <w:bookmarkEnd w:id="6"/>
      <w:bookmarkStart w:id="7" w:name="_Hlt509994710"/>
      <w:bookmarkStart w:id="8" w:name="_Hlt509991847"/>
      <w:bookmarkStart w:id="9" w:name="_Hlt509994711"/>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w:t>
      </w:r>
      <w:r>
        <w:rPr>
          <w:rFonts w:hint="eastAsia"/>
          <w:color w:val="auto"/>
          <w:sz w:val="28"/>
          <w:szCs w:val="28"/>
          <w:highlight w:val="none"/>
          <w:lang w:val="en-US" w:eastAsia="zh-CN"/>
        </w:rPr>
        <w:t>5</w:t>
      </w:r>
    </w:p>
    <w:p>
      <w:pPr>
        <w:pStyle w:val="60"/>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4"/>
          <w:rFonts w:hint="eastAsia"/>
          <w:color w:val="auto"/>
          <w:sz w:val="28"/>
          <w:szCs w:val="28"/>
          <w:highlight w:val="none"/>
        </w:rPr>
        <w:t xml:space="preserve">第四章 </w:t>
      </w:r>
      <w:bookmarkStart w:id="10" w:name="_Hlt511828826"/>
      <w:r>
        <w:rPr>
          <w:rStyle w:val="94"/>
          <w:rFonts w:hint="eastAsia"/>
          <w:color w:val="auto"/>
          <w:sz w:val="28"/>
          <w:szCs w:val="28"/>
          <w:highlight w:val="none"/>
        </w:rPr>
        <w:t>政府采购合同（</w:t>
      </w:r>
      <w:bookmarkEnd w:id="10"/>
      <w:r>
        <w:rPr>
          <w:rStyle w:val="94"/>
          <w:rFonts w:hint="eastAsia"/>
          <w:color w:val="auto"/>
          <w:sz w:val="28"/>
          <w:szCs w:val="28"/>
          <w:highlight w:val="none"/>
        </w:rPr>
        <w:t>样本）</w:t>
      </w:r>
      <w:r>
        <w:rPr>
          <w:rStyle w:val="94"/>
          <w:rFonts w:hint="eastAsia"/>
          <w:color w:val="auto"/>
          <w:sz w:val="28"/>
          <w:szCs w:val="28"/>
          <w:highlight w:val="none"/>
        </w:rPr>
        <w:fldChar w:fldCharType="end"/>
      </w:r>
      <w:r>
        <w:rPr>
          <w:rFonts w:hint="eastAsia"/>
          <w:color w:val="auto"/>
          <w:sz w:val="28"/>
          <w:szCs w:val="28"/>
          <w:highlight w:val="none"/>
        </w:rPr>
        <w:t>........................................................................</w:t>
      </w:r>
      <w:r>
        <w:rPr>
          <w:rFonts w:hint="eastAsia"/>
          <w:color w:val="auto"/>
          <w:sz w:val="28"/>
          <w:szCs w:val="28"/>
          <w:highlight w:val="none"/>
          <w:lang w:val="en-US" w:eastAsia="zh-CN"/>
        </w:rPr>
        <w:t>41</w:t>
      </w:r>
    </w:p>
    <w:p>
      <w:pPr>
        <w:pStyle w:val="60"/>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4"/>
          <w:rFonts w:hint="eastAsia"/>
          <w:color w:val="auto"/>
          <w:sz w:val="28"/>
          <w:szCs w:val="28"/>
          <w:highlight w:val="none"/>
        </w:rPr>
        <w:t>第五章 评分</w:t>
      </w:r>
      <w:bookmarkStart w:id="11" w:name="_Hlt509997395"/>
      <w:r>
        <w:rPr>
          <w:rStyle w:val="94"/>
          <w:rFonts w:hint="eastAsia"/>
          <w:color w:val="auto"/>
          <w:sz w:val="28"/>
          <w:szCs w:val="28"/>
          <w:highlight w:val="none"/>
        </w:rPr>
        <w:t>体</w:t>
      </w:r>
      <w:bookmarkEnd w:id="11"/>
      <w:bookmarkStart w:id="12" w:name="_Hlt475104622"/>
      <w:r>
        <w:rPr>
          <w:rStyle w:val="94"/>
          <w:rFonts w:hint="eastAsia"/>
          <w:color w:val="auto"/>
          <w:sz w:val="28"/>
          <w:szCs w:val="28"/>
          <w:highlight w:val="none"/>
        </w:rPr>
        <w:t>系</w:t>
      </w:r>
      <w:bookmarkEnd w:id="12"/>
      <w:bookmarkStart w:id="13" w:name="_Hlt509932461"/>
      <w:bookmarkStart w:id="14" w:name="_Hlt510014093"/>
      <w:bookmarkStart w:id="15" w:name="_Hlt509932460"/>
      <w:r>
        <w:rPr>
          <w:rStyle w:val="94"/>
          <w:rFonts w:hint="eastAsia"/>
          <w:color w:val="auto"/>
          <w:sz w:val="28"/>
          <w:szCs w:val="28"/>
          <w:highlight w:val="none"/>
        </w:rPr>
        <w:t>与</w:t>
      </w:r>
      <w:bookmarkEnd w:id="13"/>
      <w:bookmarkEnd w:id="14"/>
      <w:bookmarkEnd w:id="15"/>
      <w:bookmarkStart w:id="16" w:name="_Hlt509994748"/>
      <w:r>
        <w:rPr>
          <w:rStyle w:val="94"/>
          <w:rFonts w:hint="eastAsia"/>
          <w:color w:val="auto"/>
          <w:sz w:val="28"/>
          <w:szCs w:val="28"/>
          <w:highlight w:val="none"/>
        </w:rPr>
        <w:t>标</w:t>
      </w:r>
      <w:bookmarkEnd w:id="16"/>
      <w:bookmarkStart w:id="17" w:name="_Hlt509992254"/>
      <w:bookmarkStart w:id="18" w:name="_Hlt510014176"/>
      <w:r>
        <w:rPr>
          <w:rStyle w:val="94"/>
          <w:rFonts w:hint="eastAsia"/>
          <w:color w:val="auto"/>
          <w:sz w:val="28"/>
          <w:szCs w:val="28"/>
          <w:highlight w:val="none"/>
        </w:rPr>
        <w:t>准</w:t>
      </w:r>
      <w:bookmarkEnd w:id="17"/>
      <w:bookmarkEnd w:id="18"/>
      <w:bookmarkStart w:id="19" w:name="_Hlt509991721"/>
      <w:bookmarkStart w:id="20" w:name="_Hlt509991939"/>
      <w:bookmarkStart w:id="21" w:name="_Hlt509991722"/>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lang w:val="en-US" w:eastAsia="zh-CN"/>
        </w:rPr>
        <w:t>46</w:t>
      </w:r>
    </w:p>
    <w:p>
      <w:pPr>
        <w:pStyle w:val="60"/>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4"/>
          <w:rFonts w:hint="eastAsia"/>
          <w:color w:val="auto"/>
          <w:sz w:val="28"/>
          <w:szCs w:val="28"/>
          <w:highlight w:val="none"/>
        </w:rPr>
        <w:t>第六章 附件（格</w:t>
      </w:r>
      <w:bookmarkStart w:id="22" w:name="_Hlt510014049"/>
      <w:r>
        <w:rPr>
          <w:rStyle w:val="94"/>
          <w:rFonts w:hint="eastAsia"/>
          <w:color w:val="auto"/>
          <w:sz w:val="28"/>
          <w:szCs w:val="28"/>
          <w:highlight w:val="none"/>
        </w:rPr>
        <w:t>式</w:t>
      </w:r>
      <w:bookmarkEnd w:id="22"/>
      <w:r>
        <w:rPr>
          <w:rStyle w:val="94"/>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54</w:t>
      </w:r>
    </w:p>
    <w:p>
      <w:pPr>
        <w:pStyle w:val="60"/>
        <w:tabs>
          <w:tab w:val="right" w:leader="dot" w:pos="9231"/>
        </w:tabs>
        <w:spacing w:line="360" w:lineRule="auto"/>
        <w:rPr>
          <w:b w:val="0"/>
          <w:bCs w:val="0"/>
          <w:caps w:val="0"/>
          <w:color w:val="auto"/>
          <w:sz w:val="28"/>
          <w:szCs w:val="28"/>
          <w:highlight w:val="none"/>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pgBorders>
            <w:top w:val="none" w:sz="0" w:space="0"/>
            <w:left w:val="none" w:sz="0" w:space="0"/>
            <w:bottom w:val="none" w:sz="0" w:space="0"/>
            <w:right w:val="none" w:sz="0" w:space="0"/>
          </w:pgBorders>
          <w:cols w:space="720" w:num="1"/>
          <w:titlePg/>
          <w:docGrid w:linePitch="312" w:charSpace="0"/>
        </w:sectPr>
      </w:pPr>
    </w:p>
    <w:p>
      <w:pPr>
        <w:pStyle w:val="60"/>
        <w:tabs>
          <w:tab w:val="right" w:leader="dot" w:pos="9231"/>
        </w:tabs>
        <w:spacing w:line="360" w:lineRule="auto"/>
        <w:rPr>
          <w:b w:val="0"/>
          <w:bCs w:val="0"/>
          <w:caps w:val="0"/>
          <w:color w:val="auto"/>
          <w:sz w:val="28"/>
          <w:szCs w:val="28"/>
          <w:highlight w:val="none"/>
        </w:rPr>
      </w:pPr>
    </w:p>
    <w:p>
      <w:pPr>
        <w:pStyle w:val="60"/>
        <w:tabs>
          <w:tab w:val="right" w:leader="dot" w:pos="9231"/>
        </w:tabs>
        <w:spacing w:line="360" w:lineRule="auto"/>
        <w:rPr>
          <w:b w:val="0"/>
          <w:bCs w:val="0"/>
          <w:caps w:val="0"/>
          <w:color w:val="auto"/>
          <w:sz w:val="28"/>
          <w:szCs w:val="28"/>
          <w:highlight w:val="none"/>
        </w:rPr>
      </w:pPr>
    </w:p>
    <w:p>
      <w:pPr>
        <w:snapToGrid w:val="0"/>
        <w:spacing w:beforeLines="10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rFonts w:hint="eastAsia" w:eastAsia="宋体"/>
          <w:color w:val="auto"/>
          <w:sz w:val="44"/>
          <w:highlight w:val="none"/>
          <w:lang w:eastAsia="zh-CN"/>
        </w:rPr>
      </w:pPr>
      <w:bookmarkStart w:id="23" w:name="_Toc475104466"/>
      <w:bookmarkStart w:id="24" w:name="_Toc320515014"/>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w:t>
      </w:r>
      <w:bookmarkEnd w:id="0"/>
      <w:bookmarkEnd w:id="1"/>
      <w:bookmarkEnd w:id="23"/>
      <w:bookmarkEnd w:id="24"/>
      <w:bookmarkEnd w:id="25"/>
      <w:r>
        <w:rPr>
          <w:rFonts w:hint="eastAsia"/>
          <w:color w:val="auto"/>
          <w:sz w:val="44"/>
          <w:highlight w:val="none"/>
          <w:lang w:val="en-US" w:eastAsia="zh-CN"/>
        </w:rPr>
        <w:t>公告</w:t>
      </w:r>
    </w:p>
    <w:p>
      <w:pPr>
        <w:spacing w:line="480" w:lineRule="auto"/>
        <w:jc w:val="center"/>
        <w:rPr>
          <w:rFonts w:hint="eastAsia" w:ascii="宋体" w:hAnsi="宋体" w:eastAsia="宋体"/>
          <w:b/>
          <w:color w:val="auto"/>
          <w:sz w:val="30"/>
          <w:szCs w:val="30"/>
          <w:highlight w:val="none"/>
          <w:lang w:eastAsia="zh-CN"/>
        </w:rPr>
      </w:pPr>
      <w:r>
        <w:rPr>
          <w:rFonts w:ascii="宋体" w:hAnsi="宋体"/>
          <w:color w:val="auto"/>
          <w:highlight w:val="none"/>
        </w:rPr>
        <w:br w:type="page"/>
      </w:r>
      <w:r>
        <w:rPr>
          <w:rFonts w:hint="eastAsia" w:ascii="宋体" w:hAnsi="宋体"/>
          <w:b/>
          <w:color w:val="auto"/>
          <w:sz w:val="30"/>
          <w:szCs w:val="30"/>
          <w:highlight w:val="none"/>
        </w:rPr>
        <w:t>竞争性磋商</w:t>
      </w:r>
      <w:r>
        <w:rPr>
          <w:rFonts w:hint="eastAsia" w:ascii="宋体" w:hAnsi="宋体"/>
          <w:b/>
          <w:color w:val="auto"/>
          <w:sz w:val="30"/>
          <w:szCs w:val="30"/>
          <w:highlight w:val="none"/>
          <w:lang w:val="en-US" w:eastAsia="zh-CN"/>
        </w:rPr>
        <w:t>公告</w:t>
      </w:r>
    </w:p>
    <w:p>
      <w:pPr>
        <w:widowControl/>
        <w:adjustRightInd w:val="0"/>
        <w:snapToGrid w:val="0"/>
        <w:spacing w:before="100" w:beforeAutospacing="1" w:after="100" w:afterAutospacing="1"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项目概况</w:t>
      </w:r>
    </w:p>
    <w:p>
      <w:pPr>
        <w:widowControl/>
        <w:adjustRightInd w:val="0"/>
        <w:snapToGrid w:val="0"/>
        <w:spacing w:before="100" w:beforeAutospacing="1" w:after="100" w:afterAutospacing="1"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eastAsia="zh-CN"/>
        </w:rPr>
        <w:t>广东省农业科学院领军人才项目微生物实验室台柜采购及配套服务项目</w:t>
      </w:r>
      <w:r>
        <w:rPr>
          <w:rFonts w:hint="eastAsia" w:ascii="宋体" w:hAnsi="宋体" w:cs="宋体"/>
          <w:color w:val="auto"/>
          <w:szCs w:val="21"/>
          <w:highlight w:val="none"/>
        </w:rPr>
        <w:t xml:space="preserve"> 招标项目的潜在</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应在广州市海珠区红卫新村西路29号UP智谷D栋503房获取</w:t>
      </w:r>
      <w:r>
        <w:rPr>
          <w:rFonts w:hint="eastAsia" w:ascii="宋体" w:hAnsi="宋体" w:cs="宋体"/>
          <w:color w:val="auto"/>
          <w:szCs w:val="21"/>
          <w:highlight w:val="none"/>
          <w:lang w:eastAsia="zh-CN"/>
        </w:rPr>
        <w:t>竞争性磋商文件</w:t>
      </w:r>
      <w:r>
        <w:rPr>
          <w:rFonts w:hint="eastAsia" w:ascii="宋体" w:hAnsi="宋体" w:cs="宋体"/>
          <w:color w:val="auto"/>
          <w:szCs w:val="21"/>
          <w:highlight w:val="none"/>
        </w:rPr>
        <w:t>，并于</w:t>
      </w:r>
      <w:r>
        <w:rPr>
          <w:rFonts w:hint="eastAsia" w:ascii="宋体" w:hAnsi="宋体" w:cs="宋体"/>
          <w:color w:val="auto"/>
          <w:szCs w:val="21"/>
          <w:highlight w:val="none"/>
        </w:rPr>
        <w:t>2020年</w:t>
      </w:r>
      <w:r>
        <w:rPr>
          <w:rFonts w:hint="eastAsia" w:ascii="宋体" w:hAnsi="宋体" w:cs="宋体"/>
          <w:color w:val="auto"/>
          <w:szCs w:val="21"/>
          <w:highlight w:val="none"/>
          <w:lang w:val="en-US" w:eastAsia="zh-CN"/>
        </w:rPr>
        <w:t>09</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18</w:t>
      </w:r>
      <w:r>
        <w:rPr>
          <w:rFonts w:hint="eastAsia" w:ascii="宋体" w:hAnsi="宋体" w:cs="宋体"/>
          <w:color w:val="auto"/>
          <w:szCs w:val="21"/>
          <w:highlight w:val="none"/>
        </w:rPr>
        <w:t>日</w:t>
      </w:r>
      <w:r>
        <w:rPr>
          <w:rFonts w:hint="eastAsia" w:ascii="宋体" w:hAnsi="宋体" w:cs="宋体"/>
          <w:color w:val="auto"/>
          <w:szCs w:val="21"/>
          <w:highlight w:val="none"/>
          <w:lang w:val="en-US" w:eastAsia="zh-CN"/>
        </w:rPr>
        <w:t>14</w:t>
      </w:r>
      <w:r>
        <w:rPr>
          <w:rFonts w:hint="eastAsia" w:ascii="宋体" w:hAnsi="宋体" w:cs="宋体"/>
          <w:color w:val="auto"/>
          <w:szCs w:val="21"/>
          <w:highlight w:val="none"/>
        </w:rPr>
        <w:t>点30分</w:t>
      </w:r>
      <w:r>
        <w:rPr>
          <w:rFonts w:hint="eastAsia" w:ascii="宋体" w:hAnsi="宋体" w:cs="宋体"/>
          <w:color w:val="auto"/>
          <w:szCs w:val="21"/>
          <w:highlight w:val="none"/>
        </w:rPr>
        <w:t>（北京时间）前递交响应文件。</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一、项目基本情况</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项目编号：</w:t>
      </w:r>
      <w:r>
        <w:rPr>
          <w:rFonts w:hint="eastAsia" w:ascii="宋体" w:hAnsi="宋体" w:cs="宋体"/>
          <w:bCs/>
          <w:color w:val="auto"/>
          <w:szCs w:val="20"/>
          <w:highlight w:val="none"/>
          <w:lang w:eastAsia="zh-CN"/>
        </w:rPr>
        <w:t>202009-184098-0053</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项目名称：</w:t>
      </w:r>
      <w:r>
        <w:rPr>
          <w:rFonts w:hint="eastAsia" w:ascii="宋体" w:hAnsi="宋体" w:cs="宋体"/>
          <w:bCs/>
          <w:color w:val="auto"/>
          <w:szCs w:val="20"/>
          <w:highlight w:val="none"/>
          <w:lang w:eastAsia="zh-CN"/>
        </w:rPr>
        <w:t>广东省农业科学院领军人才项目微生物实验室台柜采购及配套服务项目</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采购方式：竞争性磋商</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预算金额：</w:t>
      </w:r>
      <w:r>
        <w:rPr>
          <w:rFonts w:hint="eastAsia" w:ascii="宋体" w:hAnsi="宋体" w:cs="宋体"/>
          <w:bCs/>
          <w:color w:val="auto"/>
          <w:szCs w:val="20"/>
          <w:highlight w:val="none"/>
          <w:lang w:eastAsia="zh-CN"/>
        </w:rPr>
        <w:t>638822.90</w:t>
      </w:r>
      <w:r>
        <w:rPr>
          <w:rFonts w:hint="eastAsia" w:ascii="宋体" w:hAnsi="宋体" w:cs="宋体"/>
          <w:bCs/>
          <w:color w:val="auto"/>
          <w:szCs w:val="20"/>
          <w:highlight w:val="none"/>
          <w:lang w:val="en-US" w:eastAsia="zh-CN"/>
        </w:rPr>
        <w:t>元</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最高限价：</w:t>
      </w:r>
      <w:r>
        <w:rPr>
          <w:rFonts w:hint="eastAsia" w:ascii="宋体" w:hAnsi="宋体" w:cs="宋体"/>
          <w:bCs/>
          <w:color w:val="auto"/>
          <w:szCs w:val="20"/>
          <w:highlight w:val="none"/>
          <w:lang w:eastAsia="zh-CN"/>
        </w:rPr>
        <w:t>638822.90</w:t>
      </w:r>
      <w:r>
        <w:rPr>
          <w:rFonts w:hint="eastAsia" w:ascii="宋体" w:hAnsi="宋体" w:cs="宋体"/>
          <w:bCs/>
          <w:color w:val="auto"/>
          <w:szCs w:val="20"/>
          <w:highlight w:val="none"/>
          <w:lang w:val="en-US" w:eastAsia="zh-CN"/>
        </w:rPr>
        <w:t>元</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采购需求：（包括但不限于标的的名称、数量、简要技术需求或服务要求等）</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1、标的名称：</w:t>
      </w:r>
      <w:r>
        <w:rPr>
          <w:rFonts w:hint="eastAsia" w:ascii="宋体" w:hAnsi="宋体" w:cs="宋体"/>
          <w:bCs/>
          <w:color w:val="auto"/>
          <w:szCs w:val="20"/>
          <w:highlight w:val="none"/>
          <w:lang w:eastAsia="zh-CN"/>
        </w:rPr>
        <w:t>广东省农业科学院领军人才项目微生物实验室台柜采购及配套服务项目</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2、标的数量：1项</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3、简要技术需求或服务要求：</w:t>
      </w:r>
    </w:p>
    <w:tbl>
      <w:tblPr>
        <w:tblStyle w:val="89"/>
        <w:tblW w:w="8214" w:type="dxa"/>
        <w:tblCellSpacing w:w="0" w:type="dxa"/>
        <w:tblInd w:w="991"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4038"/>
        <w:gridCol w:w="2053"/>
        <w:gridCol w:w="212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9"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采购内容</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数量</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采购预算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55"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hint="eastAsia" w:ascii="宋体" w:hAnsi="宋体" w:eastAsia="宋体" w:cs="宋体"/>
                <w:bCs/>
                <w:color w:val="auto"/>
                <w:szCs w:val="20"/>
                <w:highlight w:val="none"/>
                <w:lang w:eastAsia="zh-CN"/>
              </w:rPr>
            </w:pPr>
            <w:r>
              <w:rPr>
                <w:rFonts w:hint="eastAsia" w:ascii="宋体" w:hAnsi="宋体" w:cs="宋体"/>
                <w:bCs/>
                <w:color w:val="auto"/>
                <w:szCs w:val="20"/>
                <w:highlight w:val="none"/>
                <w:lang w:eastAsia="zh-CN"/>
              </w:rPr>
              <w:t>广东省农业科学院领军人才项目微生物实验室台柜采购及配套服务项目</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1项</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lang w:eastAsia="zh-CN"/>
              </w:rPr>
              <w:t>638822.90</w:t>
            </w:r>
            <w:r>
              <w:rPr>
                <w:rFonts w:hint="eastAsia" w:ascii="宋体" w:hAnsi="宋体" w:cs="宋体"/>
                <w:bCs/>
                <w:color w:val="auto"/>
                <w:szCs w:val="20"/>
                <w:highlight w:val="none"/>
              </w:rPr>
              <w:t>元</w:t>
            </w:r>
          </w:p>
        </w:tc>
      </w:tr>
    </w:tbl>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详细请看第三章采购人需求书 。</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子项目1：最高限价：</w:t>
      </w:r>
      <w:r>
        <w:rPr>
          <w:rFonts w:hint="eastAsia" w:ascii="宋体" w:hAnsi="宋体" w:cs="宋体"/>
          <w:bCs/>
          <w:color w:val="auto"/>
          <w:szCs w:val="20"/>
          <w:highlight w:val="none"/>
        </w:rPr>
        <w:t>人民币</w:t>
      </w:r>
      <w:r>
        <w:rPr>
          <w:rFonts w:hint="eastAsia" w:ascii="宋体" w:hAnsi="宋体" w:cs="宋体"/>
          <w:bCs/>
          <w:color w:val="auto"/>
          <w:szCs w:val="20"/>
          <w:highlight w:val="none"/>
          <w:lang w:eastAsia="zh-CN"/>
        </w:rPr>
        <w:t>638822.90</w:t>
      </w:r>
      <w:r>
        <w:rPr>
          <w:rFonts w:hint="eastAsia" w:ascii="宋体" w:hAnsi="宋体" w:cs="宋体"/>
          <w:bCs/>
          <w:color w:val="auto"/>
          <w:szCs w:val="20"/>
          <w:highlight w:val="none"/>
        </w:rPr>
        <w:t>元。</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项目基本概况简述：本项目为</w:t>
      </w:r>
      <w:r>
        <w:rPr>
          <w:rFonts w:hint="eastAsia" w:ascii="宋体" w:hAnsi="宋体" w:cs="宋体"/>
          <w:bCs/>
          <w:color w:val="auto"/>
          <w:szCs w:val="20"/>
          <w:highlight w:val="none"/>
          <w:lang w:eastAsia="zh-CN"/>
        </w:rPr>
        <w:t>广东省农业科学院领军人才项目微生物实验室台柜采购及配套服务项目</w:t>
      </w:r>
      <w:r>
        <w:rPr>
          <w:rFonts w:hint="eastAsia"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4、其他：</w:t>
      </w:r>
      <w:r>
        <w:rPr>
          <w:rFonts w:hint="eastAsia" w:ascii="宋体" w:hAnsi="宋体" w:cs="宋体"/>
          <w:bCs/>
          <w:color w:val="auto"/>
          <w:szCs w:val="20"/>
          <w:highlight w:val="none"/>
        </w:rPr>
        <w:t>无</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合同履行期限</w:t>
      </w: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45</w:t>
      </w:r>
      <w:r>
        <w:rPr>
          <w:rFonts w:hint="eastAsia" w:ascii="宋体" w:hAnsi="宋体" w:cs="宋体"/>
          <w:bCs/>
          <w:color w:val="auto"/>
          <w:szCs w:val="20"/>
          <w:highlight w:val="none"/>
          <w:lang w:eastAsia="zh-CN"/>
        </w:rPr>
        <w:t>日历天内</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本项目不接受联合体</w:t>
      </w:r>
      <w:r>
        <w:rPr>
          <w:rFonts w:hint="eastAsia"/>
          <w:color w:val="auto"/>
          <w:szCs w:val="21"/>
          <w:highlight w:val="none"/>
        </w:rPr>
        <w:t>磋商</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二、申请人的资格要求</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1.满足《中华人民共和国政府采购法》第二十二条规定；</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2.落实政府采购政策需满足的资格要求：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rPr>
        <w:t>1）《政府采购促进中小企业发展暂行办法》（财库〔2011〕181号）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2</w:t>
      </w:r>
      <w:r>
        <w:rPr>
          <w:rFonts w:hint="eastAsia" w:ascii="宋体" w:hAnsi="宋体" w:cs="宋体"/>
          <w:bCs/>
          <w:color w:val="auto"/>
          <w:szCs w:val="20"/>
          <w:highlight w:val="none"/>
        </w:rPr>
        <w:t>）《关于政府采购支持监狱企业发展有关问题的通知》(财库〔2014〕68号)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3</w:t>
      </w:r>
      <w:r>
        <w:rPr>
          <w:rFonts w:hint="eastAsia" w:ascii="宋体" w:hAnsi="宋体" w:cs="宋体"/>
          <w:bCs/>
          <w:color w:val="auto"/>
          <w:szCs w:val="20"/>
          <w:highlight w:val="none"/>
        </w:rPr>
        <w:t>）《关于促进残疾人就业政府采购政策的通知》（财库〔2017〕141号)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4</w:t>
      </w:r>
      <w:r>
        <w:rPr>
          <w:rFonts w:hint="eastAsia" w:ascii="宋体" w:hAnsi="宋体" w:cs="宋体"/>
          <w:bCs/>
          <w:color w:val="auto"/>
          <w:szCs w:val="20"/>
          <w:highlight w:val="none"/>
        </w:rPr>
        <w:t>）《关于环境标志产品政府采购实施的意见》(财库〔2006〕90号）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5</w:t>
      </w:r>
      <w:r>
        <w:rPr>
          <w:rFonts w:hint="eastAsia" w:ascii="宋体" w:hAnsi="宋体" w:cs="宋体"/>
          <w:bCs/>
          <w:color w:val="auto"/>
          <w:szCs w:val="20"/>
          <w:highlight w:val="none"/>
        </w:rPr>
        <w:t>）《节能产品政府采购实施意见》的通知（财库〔2004〕185号）。</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3.本项目的特定资格要求：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rPr>
        <w:t>1）满足《中华人民共和国政府采购法》第二十二条规定；</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lang w:eastAsia="zh-CN"/>
        </w:rPr>
      </w:pPr>
      <w:r>
        <w:rPr>
          <w:rFonts w:hint="eastAsia" w:ascii="宋体" w:hAnsi="宋体" w:cs="宋体"/>
          <w:bCs/>
          <w:color w:val="auto"/>
          <w:szCs w:val="20"/>
          <w:highlight w:val="none"/>
        </w:rPr>
        <w:t>1）具有独立承担民事责任的能力；（提供法人或者其他组织的营业执照、组织机构代码证和税务登记证（或三证合一证明）等证明文件）</w:t>
      </w:r>
      <w:r>
        <w:rPr>
          <w:rFonts w:hint="eastAsia" w:ascii="宋体" w:hAnsi="宋体" w:cs="宋体"/>
          <w:bCs/>
          <w:color w:val="auto"/>
          <w:szCs w:val="20"/>
          <w:highlight w:val="none"/>
          <w:lang w:eastAsia="zh-CN"/>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lang w:eastAsia="zh-CN"/>
        </w:rPr>
      </w:pPr>
      <w:r>
        <w:rPr>
          <w:rFonts w:hint="eastAsia" w:ascii="宋体" w:hAnsi="宋体" w:cs="宋体"/>
          <w:bCs/>
          <w:color w:val="auto"/>
          <w:szCs w:val="20"/>
          <w:highlight w:val="none"/>
          <w:lang w:val="en-US" w:eastAsia="zh-CN"/>
        </w:rPr>
        <w:t>2</w:t>
      </w:r>
      <w:r>
        <w:rPr>
          <w:rFonts w:hint="eastAsia" w:ascii="宋体" w:hAnsi="宋体" w:cs="宋体"/>
          <w:bCs/>
          <w:color w:val="auto"/>
          <w:szCs w:val="20"/>
          <w:highlight w:val="none"/>
        </w:rPr>
        <w:t>）具有良好的商业信誉和健全的财务会计制度；（提供2018年或2019年的财务状况报告或基本开户行（提供开户许可证）出具的资信证明复印件。如</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为新注册的，提供成立至今的月或季度财务状况报告复印件）</w:t>
      </w:r>
      <w:r>
        <w:rPr>
          <w:rFonts w:hint="eastAsia" w:ascii="宋体" w:hAnsi="宋体" w:cs="宋体"/>
          <w:bCs/>
          <w:color w:val="auto"/>
          <w:szCs w:val="20"/>
          <w:highlight w:val="none"/>
          <w:lang w:eastAsia="zh-CN"/>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lang w:eastAsia="zh-CN"/>
        </w:rPr>
      </w:pPr>
      <w:r>
        <w:rPr>
          <w:rFonts w:hint="eastAsia" w:ascii="宋体" w:hAnsi="宋体" w:cs="宋体"/>
          <w:bCs/>
          <w:color w:val="auto"/>
          <w:szCs w:val="20"/>
          <w:highlight w:val="none"/>
          <w:lang w:val="en-US" w:eastAsia="zh-CN"/>
        </w:rPr>
        <w:t>3</w:t>
      </w:r>
      <w:r>
        <w:rPr>
          <w:rFonts w:hint="eastAsia" w:ascii="宋体" w:hAnsi="宋体" w:cs="宋体"/>
          <w:bCs/>
          <w:color w:val="auto"/>
          <w:szCs w:val="20"/>
          <w:highlight w:val="none"/>
        </w:rPr>
        <w:t>）具有履行合同所必需的设备和专业技术能力；（提供履行合同所必需的设备清单以及技术人员的名单材料）</w:t>
      </w:r>
      <w:r>
        <w:rPr>
          <w:rFonts w:hint="eastAsia" w:ascii="宋体" w:hAnsi="宋体" w:cs="宋体"/>
          <w:bCs/>
          <w:color w:val="auto"/>
          <w:szCs w:val="20"/>
          <w:highlight w:val="none"/>
          <w:lang w:eastAsia="zh-CN"/>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lang w:eastAsia="zh-CN"/>
        </w:rPr>
      </w:pPr>
      <w:r>
        <w:rPr>
          <w:rFonts w:hint="eastAsia" w:ascii="宋体" w:hAnsi="宋体" w:cs="宋体"/>
          <w:bCs/>
          <w:color w:val="auto"/>
          <w:szCs w:val="20"/>
          <w:highlight w:val="none"/>
          <w:lang w:val="en-US" w:eastAsia="zh-CN"/>
        </w:rPr>
        <w:t>4</w:t>
      </w:r>
      <w:r>
        <w:rPr>
          <w:rFonts w:hint="eastAsia" w:ascii="宋体" w:hAnsi="宋体" w:cs="宋体"/>
          <w:bCs/>
          <w:color w:val="auto"/>
          <w:szCs w:val="20"/>
          <w:highlight w:val="none"/>
        </w:rPr>
        <w:t>）有依法缴纳税收和社会保障资金的良好记录；（提供缴纳税收和社会保险的凭证。如依法免税或不需要缴纳社会保障资金的，应提供相应文件证明）</w:t>
      </w:r>
      <w:r>
        <w:rPr>
          <w:rFonts w:hint="eastAsia" w:ascii="宋体" w:hAnsi="宋体" w:cs="宋体"/>
          <w:bCs/>
          <w:color w:val="auto"/>
          <w:szCs w:val="20"/>
          <w:highlight w:val="none"/>
          <w:lang w:eastAsia="zh-CN"/>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val="en-US" w:eastAsia="zh-CN"/>
        </w:rPr>
        <w:t>5</w:t>
      </w:r>
      <w:r>
        <w:rPr>
          <w:rFonts w:hint="eastAsia" w:ascii="宋体" w:hAnsi="宋体" w:cs="宋体"/>
          <w:bCs/>
          <w:color w:val="auto"/>
          <w:szCs w:val="20"/>
          <w:highlight w:val="none"/>
        </w:rPr>
        <w:t>）参加政府采购活动前三年内，在经营活动中没有重大违法记录；（提供书面声明）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lang w:eastAsia="zh-CN"/>
        </w:rPr>
      </w:pPr>
      <w:r>
        <w:rPr>
          <w:rFonts w:hint="eastAsia" w:ascii="宋体" w:hAnsi="宋体" w:cs="宋体"/>
          <w:bCs/>
          <w:color w:val="auto"/>
          <w:szCs w:val="20"/>
          <w:highlight w:val="none"/>
          <w:lang w:val="en-US" w:eastAsia="zh-CN"/>
        </w:rPr>
        <w:t>6</w:t>
      </w:r>
      <w:r>
        <w:rPr>
          <w:rFonts w:hint="eastAsia" w:ascii="宋体" w:hAnsi="宋体" w:cs="宋体"/>
          <w:bCs/>
          <w:color w:val="auto"/>
          <w:szCs w:val="20"/>
          <w:highlight w:val="none"/>
        </w:rPr>
        <w:t>）法律、行政法规规定的其他条件</w:t>
      </w:r>
      <w:r>
        <w:rPr>
          <w:rFonts w:hint="eastAsia" w:ascii="宋体" w:hAnsi="宋体" w:cs="宋体"/>
          <w:bCs/>
          <w:color w:val="auto"/>
          <w:szCs w:val="20"/>
          <w:highlight w:val="none"/>
          <w:lang w:eastAsia="zh-CN"/>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2</w:t>
      </w:r>
      <w:r>
        <w:rPr>
          <w:rFonts w:hint="eastAsia" w:ascii="宋体" w:hAnsi="宋体" w:cs="宋体"/>
          <w:bCs/>
          <w:color w:val="auto"/>
          <w:szCs w:val="20"/>
          <w:highlight w:val="none"/>
        </w:rPr>
        <w:t>）</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《公平竞争承诺书》原件。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3</w:t>
      </w:r>
      <w:r>
        <w:rPr>
          <w:rFonts w:hint="eastAsia" w:ascii="宋体" w:hAnsi="宋体" w:cs="宋体"/>
          <w:bCs/>
          <w:color w:val="auto"/>
          <w:szCs w:val="20"/>
          <w:highlight w:val="none"/>
        </w:rPr>
        <w:t>）本项目</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为非独立法人（即由合法法人依法建立的分公司），除了对</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进行信息查询外，同时对总公司的信息查询记录和证据截图或下载存档）。</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4</w:t>
      </w:r>
      <w:r>
        <w:rPr>
          <w:rFonts w:hint="eastAsia" w:ascii="宋体" w:hAnsi="宋体" w:cs="宋体"/>
          <w:bCs/>
          <w:color w:val="auto"/>
          <w:szCs w:val="20"/>
          <w:highlight w:val="none"/>
        </w:rPr>
        <w:t>）</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单位负责人为同一人或者存在直接控股、管理关系的不同</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，不得参加同一合同项下的政府采购活动。为采购项目提供整体设计、规范编制或者项目管理、监理、检测等服务的</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，不得再参加该采购项目的其他采购活动。</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三、获取</w:t>
      </w:r>
      <w:r>
        <w:rPr>
          <w:rFonts w:hint="eastAsia" w:ascii="宋体" w:hAnsi="宋体" w:cs="宋体"/>
          <w:b/>
          <w:bCs/>
          <w:color w:val="auto"/>
          <w:szCs w:val="20"/>
          <w:highlight w:val="none"/>
        </w:rPr>
        <w:t>采购</w:t>
      </w:r>
      <w:r>
        <w:rPr>
          <w:rFonts w:ascii="宋体" w:hAnsi="宋体" w:cs="宋体"/>
          <w:b/>
          <w:bCs/>
          <w:color w:val="auto"/>
          <w:szCs w:val="20"/>
          <w:highlight w:val="none"/>
        </w:rPr>
        <w:t>文件</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时间：</w:t>
      </w:r>
      <w:r>
        <w:rPr>
          <w:rFonts w:ascii="宋体" w:hAnsi="宋体" w:cs="宋体"/>
          <w:bCs/>
          <w:color w:val="auto"/>
          <w:szCs w:val="20"/>
          <w:highlight w:val="none"/>
        </w:rPr>
        <w:t>2020年</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08</w:t>
      </w:r>
      <w:r>
        <w:rPr>
          <w:rFonts w:ascii="宋体" w:hAnsi="宋体" w:cs="宋体"/>
          <w:bCs/>
          <w:color w:val="auto"/>
          <w:szCs w:val="20"/>
          <w:highlight w:val="none"/>
        </w:rPr>
        <w:t>日至2020年</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14</w:t>
      </w:r>
      <w:r>
        <w:rPr>
          <w:rFonts w:ascii="宋体" w:hAnsi="宋体" w:cs="宋体"/>
          <w:bCs/>
          <w:color w:val="auto"/>
          <w:szCs w:val="20"/>
          <w:highlight w:val="none"/>
        </w:rPr>
        <w:t>日</w:t>
      </w:r>
      <w:r>
        <w:rPr>
          <w:rFonts w:ascii="宋体" w:hAnsi="宋体" w:cs="宋体"/>
          <w:bCs/>
          <w:color w:val="auto"/>
          <w:szCs w:val="20"/>
          <w:highlight w:val="none"/>
        </w:rPr>
        <w:t>（磋商文件的发售期限自开始之日起不得少于5个工作日），每天上午</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w:t>
      </w:r>
      <w:r>
        <w:rPr>
          <w:rFonts w:hint="eastAsia" w:ascii="宋体" w:hAnsi="宋体" w:cs="宋体"/>
          <w:bCs/>
          <w:color w:val="auto"/>
          <w:szCs w:val="20"/>
          <w:highlight w:val="none"/>
          <w:lang w:val="en-US" w:eastAsia="zh-CN"/>
        </w:rPr>
        <w:t>0</w:t>
      </w:r>
      <w:r>
        <w:rPr>
          <w:rFonts w:ascii="宋体" w:hAnsi="宋体" w:cs="宋体"/>
          <w:bCs/>
          <w:color w:val="auto"/>
          <w:szCs w:val="20"/>
          <w:highlight w:val="none"/>
        </w:rPr>
        <w:t>0至12:00，下午14:30至17:30（北京时间，法定节假日除外 ）</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方式：现场</w:t>
      </w:r>
      <w:r>
        <w:rPr>
          <w:rFonts w:hint="eastAsia" w:ascii="宋体" w:hAnsi="宋体" w:cs="宋体"/>
          <w:bCs/>
          <w:color w:val="auto"/>
          <w:szCs w:val="20"/>
          <w:highlight w:val="none"/>
        </w:rPr>
        <w:t>登记</w:t>
      </w:r>
      <w:r>
        <w:rPr>
          <w:rFonts w:ascii="宋体" w:hAnsi="宋体" w:cs="宋体"/>
          <w:bCs/>
          <w:color w:val="auto"/>
          <w:szCs w:val="20"/>
          <w:highlight w:val="none"/>
        </w:rPr>
        <w:t>。</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售价（元）：</w:t>
      </w:r>
      <w:r>
        <w:rPr>
          <w:rFonts w:hint="eastAsia" w:ascii="宋体" w:hAnsi="宋体" w:cs="宋体"/>
          <w:bCs/>
          <w:color w:val="auto"/>
          <w:szCs w:val="20"/>
          <w:highlight w:val="none"/>
          <w:lang w:val="en-US" w:eastAsia="zh-CN"/>
        </w:rPr>
        <w:t>5</w:t>
      </w:r>
      <w:r>
        <w:rPr>
          <w:rFonts w:ascii="宋体" w:hAnsi="宋体" w:cs="宋体"/>
          <w:bCs/>
          <w:color w:val="auto"/>
          <w:szCs w:val="20"/>
          <w:highlight w:val="none"/>
        </w:rPr>
        <w:t>00</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四、响应文件提交</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hint="eastAsia" w:ascii="宋体" w:hAnsi="宋体" w:cs="宋体"/>
          <w:bCs/>
          <w:color w:val="auto"/>
          <w:szCs w:val="20"/>
          <w:highlight w:val="none"/>
        </w:rPr>
        <w:t>截止时间</w:t>
      </w:r>
      <w:r>
        <w:rPr>
          <w:rFonts w:hint="eastAsia" w:ascii="仿宋" w:hAnsi="仿宋" w:eastAsia="仿宋"/>
          <w:color w:val="auto"/>
          <w:sz w:val="28"/>
          <w:szCs w:val="28"/>
          <w:highlight w:val="none"/>
        </w:rPr>
        <w:t>：</w:t>
      </w:r>
      <w:r>
        <w:rPr>
          <w:rFonts w:ascii="宋体" w:hAnsi="宋体" w:cs="宋体"/>
          <w:bCs/>
          <w:color w:val="auto"/>
          <w:szCs w:val="20"/>
          <w:highlight w:val="none"/>
        </w:rPr>
        <w:t>2020年</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18</w:t>
      </w:r>
      <w:r>
        <w:rPr>
          <w:rFonts w:ascii="宋体" w:hAnsi="宋体" w:cs="宋体"/>
          <w:bCs/>
          <w:color w:val="auto"/>
          <w:szCs w:val="20"/>
          <w:highlight w:val="none"/>
        </w:rPr>
        <w:t>日</w:t>
      </w:r>
      <w:r>
        <w:rPr>
          <w:rFonts w:hint="eastAsia" w:ascii="宋体" w:hAnsi="宋体" w:cs="宋体"/>
          <w:bCs/>
          <w:color w:val="auto"/>
          <w:szCs w:val="20"/>
          <w:highlight w:val="none"/>
          <w:lang w:val="en-US" w:eastAsia="zh-CN"/>
        </w:rPr>
        <w:t>14</w:t>
      </w:r>
      <w:r>
        <w:rPr>
          <w:rFonts w:ascii="宋体" w:hAnsi="宋体" w:cs="宋体"/>
          <w:bCs/>
          <w:color w:val="auto"/>
          <w:szCs w:val="20"/>
          <w:highlight w:val="none"/>
        </w:rPr>
        <w:t>点30分</w:t>
      </w:r>
      <w:r>
        <w:rPr>
          <w:rFonts w:ascii="宋体" w:hAnsi="宋体" w:cs="宋体"/>
          <w:bCs/>
          <w:color w:val="auto"/>
          <w:szCs w:val="20"/>
          <w:highlight w:val="none"/>
        </w:rPr>
        <w:t>（北京时间）（从磋商文件开始发出之日起至</w:t>
      </w:r>
      <w:r>
        <w:rPr>
          <w:rFonts w:hint="eastAsia" w:ascii="宋体" w:hAnsi="宋体" w:cs="宋体"/>
          <w:bCs/>
          <w:color w:val="auto"/>
          <w:szCs w:val="20"/>
          <w:highlight w:val="none"/>
          <w:lang w:eastAsia="zh-CN"/>
        </w:rPr>
        <w:t>报价人</w:t>
      </w:r>
      <w:r>
        <w:rPr>
          <w:rFonts w:ascii="宋体" w:hAnsi="宋体" w:cs="宋体"/>
          <w:bCs/>
          <w:color w:val="auto"/>
          <w:szCs w:val="20"/>
          <w:highlight w:val="none"/>
        </w:rPr>
        <w:t>提交首次响应文件截止之日止不得少于10日）</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bookmarkStart w:id="26" w:name="_Toc35393633"/>
      <w:bookmarkStart w:id="27" w:name="_Toc35393802"/>
      <w:bookmarkStart w:id="28" w:name="_Toc28359016"/>
      <w:bookmarkStart w:id="29" w:name="_Toc28359093"/>
      <w:r>
        <w:rPr>
          <w:rFonts w:hint="eastAsia" w:ascii="宋体" w:hAnsi="宋体" w:cs="宋体"/>
          <w:b/>
          <w:bCs/>
          <w:color w:val="auto"/>
          <w:szCs w:val="20"/>
          <w:highlight w:val="none"/>
        </w:rPr>
        <w:t>五、开启</w:t>
      </w:r>
      <w:bookmarkEnd w:id="26"/>
      <w:bookmarkEnd w:id="27"/>
      <w:bookmarkEnd w:id="28"/>
      <w:bookmarkEnd w:id="29"/>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时间：</w:t>
      </w:r>
      <w:r>
        <w:rPr>
          <w:rFonts w:hint="eastAsia" w:ascii="宋体" w:hAnsi="宋体" w:cs="宋体"/>
          <w:bCs/>
          <w:color w:val="auto"/>
          <w:szCs w:val="20"/>
          <w:highlight w:val="none"/>
        </w:rPr>
        <w:t>2020年</w:t>
      </w:r>
      <w:r>
        <w:rPr>
          <w:rFonts w:hint="eastAsia" w:ascii="宋体" w:hAnsi="宋体" w:cs="宋体"/>
          <w:bCs/>
          <w:color w:val="auto"/>
          <w:szCs w:val="20"/>
          <w:highlight w:val="none"/>
          <w:lang w:val="en-US" w:eastAsia="zh-CN"/>
        </w:rPr>
        <w:t>09</w:t>
      </w:r>
      <w:r>
        <w:rPr>
          <w:rFonts w:hint="eastAsia" w:ascii="宋体" w:hAnsi="宋体" w:cs="宋体"/>
          <w:bCs/>
          <w:color w:val="auto"/>
          <w:szCs w:val="20"/>
          <w:highlight w:val="none"/>
        </w:rPr>
        <w:t>月</w:t>
      </w:r>
      <w:r>
        <w:rPr>
          <w:rFonts w:hint="eastAsia" w:ascii="宋体" w:hAnsi="宋体" w:cs="宋体"/>
          <w:bCs/>
          <w:color w:val="auto"/>
          <w:szCs w:val="20"/>
          <w:highlight w:val="none"/>
          <w:lang w:val="en-US" w:eastAsia="zh-CN"/>
        </w:rPr>
        <w:t xml:space="preserve">18 </w:t>
      </w:r>
      <w:r>
        <w:rPr>
          <w:rFonts w:hint="eastAsia" w:ascii="宋体" w:hAnsi="宋体" w:cs="宋体"/>
          <w:bCs/>
          <w:color w:val="auto"/>
          <w:szCs w:val="20"/>
          <w:highlight w:val="none"/>
        </w:rPr>
        <w:t>日</w:t>
      </w:r>
      <w:r>
        <w:rPr>
          <w:rFonts w:hint="eastAsia" w:ascii="宋体" w:hAnsi="宋体" w:cs="宋体"/>
          <w:bCs/>
          <w:color w:val="auto"/>
          <w:szCs w:val="20"/>
          <w:highlight w:val="none"/>
          <w:lang w:val="en-US" w:eastAsia="zh-CN"/>
        </w:rPr>
        <w:t>14</w:t>
      </w:r>
      <w:r>
        <w:rPr>
          <w:rFonts w:hint="eastAsia" w:ascii="宋体" w:hAnsi="宋体" w:cs="宋体"/>
          <w:bCs/>
          <w:color w:val="auto"/>
          <w:szCs w:val="20"/>
          <w:highlight w:val="none"/>
        </w:rPr>
        <w:t>点</w:t>
      </w:r>
      <w:r>
        <w:rPr>
          <w:rFonts w:hint="eastAsia" w:ascii="宋体" w:hAnsi="宋体" w:cs="宋体"/>
          <w:bCs/>
          <w:color w:val="auto"/>
          <w:szCs w:val="20"/>
          <w:highlight w:val="none"/>
          <w:lang w:val="en-US" w:eastAsia="zh-CN"/>
        </w:rPr>
        <w:t>30</w:t>
      </w:r>
      <w:r>
        <w:rPr>
          <w:rFonts w:hint="eastAsia" w:ascii="宋体" w:hAnsi="宋体" w:cs="宋体"/>
          <w:bCs/>
          <w:color w:val="auto"/>
          <w:szCs w:val="20"/>
          <w:highlight w:val="none"/>
        </w:rPr>
        <w:t>分</w:t>
      </w:r>
      <w:r>
        <w:rPr>
          <w:rFonts w:hint="eastAsia" w:ascii="宋体" w:hAnsi="宋体" w:cs="宋体"/>
          <w:bCs/>
          <w:color w:val="auto"/>
          <w:szCs w:val="20"/>
          <w:highlight w:val="none"/>
        </w:rPr>
        <w:t>（北京时间）</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六</w:t>
      </w:r>
      <w:r>
        <w:rPr>
          <w:rFonts w:ascii="宋体" w:hAnsi="宋体" w:cs="宋体"/>
          <w:b/>
          <w:bCs/>
          <w:color w:val="auto"/>
          <w:szCs w:val="20"/>
          <w:highlight w:val="none"/>
        </w:rPr>
        <w:t>、公告期限</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自本公告发布之日起</w:t>
      </w:r>
      <w:r>
        <w:rPr>
          <w:rFonts w:hint="eastAsia" w:ascii="宋体" w:hAnsi="宋体" w:cs="宋体"/>
          <w:bCs/>
          <w:color w:val="auto"/>
          <w:szCs w:val="20"/>
          <w:highlight w:val="none"/>
        </w:rPr>
        <w:t>3</w:t>
      </w:r>
      <w:r>
        <w:rPr>
          <w:rFonts w:ascii="宋体" w:hAnsi="宋体" w:cs="宋体"/>
          <w:bCs/>
          <w:color w:val="auto"/>
          <w:szCs w:val="20"/>
          <w:highlight w:val="none"/>
        </w:rPr>
        <w:t>个工作日。</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七</w:t>
      </w:r>
      <w:r>
        <w:rPr>
          <w:rFonts w:ascii="宋体" w:hAnsi="宋体" w:cs="宋体"/>
          <w:b/>
          <w:bCs/>
          <w:color w:val="auto"/>
          <w:szCs w:val="20"/>
          <w:highlight w:val="none"/>
        </w:rPr>
        <w:t>、其他补充事宜</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1.只接受登记及领购采购文件的</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投标。</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2.已成功登记及领购采购文件的</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参加投标的，不代表通过资格性、符合性审查。投标资格最终根据</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投标文件中的资格审查资料作出的结论为准。</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3.若已登记及领购采购文件而决定不参加本项目投标的</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，应在开标前三日以书面形式（书面材料、信函或传真加盖</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公章）通知采购代理机构。</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4.采购文件的公示，根据《广东省实施〈中华人民共和国政府采购法〉办法》第三十五条的规定，</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认为政府采购文件的内容损害其权益的，可以在公示期间或者自期满之日起七个工作日内以书面形式向采购人或者代理机构提出质疑。质疑书应当署名。质疑</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为自然人的，应当由本人签字；质疑</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为法人或者其他组织的，应当由法定代表人或者主要负责人签字盖章并加盖公章。</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八</w:t>
      </w:r>
      <w:r>
        <w:rPr>
          <w:rFonts w:ascii="宋体" w:hAnsi="宋体" w:cs="宋体"/>
          <w:b/>
          <w:bCs/>
          <w:color w:val="auto"/>
          <w:szCs w:val="20"/>
          <w:highlight w:val="none"/>
        </w:rPr>
        <w:t>、</w:t>
      </w:r>
      <w:r>
        <w:rPr>
          <w:rFonts w:hint="eastAsia" w:ascii="宋体" w:hAnsi="宋体" w:cs="宋体"/>
          <w:b/>
          <w:bCs/>
          <w:color w:val="auto"/>
          <w:szCs w:val="20"/>
          <w:highlight w:val="none"/>
        </w:rPr>
        <w:t>凡</w:t>
      </w:r>
      <w:r>
        <w:rPr>
          <w:rFonts w:ascii="宋体" w:hAnsi="宋体" w:cs="宋体"/>
          <w:b/>
          <w:bCs/>
          <w:color w:val="auto"/>
          <w:szCs w:val="20"/>
          <w:highlight w:val="none"/>
        </w:rPr>
        <w:t>对本次招标提出询问，请按以下方式联系</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1.采购人信息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w:t>
      </w:r>
      <w:r>
        <w:rPr>
          <w:rFonts w:hint="eastAsia" w:ascii="宋体" w:hAnsi="宋体" w:cs="宋体"/>
          <w:color w:val="auto"/>
          <w:szCs w:val="21"/>
          <w:highlight w:val="none"/>
        </w:rPr>
        <w:t>广东省农业科学院动物科学研究所</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地址：广州市天河区五山大丰一街1号</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联系方式：020-87577013</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2.采购代理机构信息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名称：广州市信怡招标代理有限公司</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地址：广州市海珠区红卫新村西路29号UP智谷D栋503房</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联系方式：020-8900129</w:t>
      </w:r>
      <w:r>
        <w:rPr>
          <w:rFonts w:hint="eastAsia" w:ascii="宋体" w:hAnsi="宋体" w:cs="宋体"/>
          <w:bCs/>
          <w:color w:val="auto"/>
          <w:szCs w:val="20"/>
          <w:highlight w:val="none"/>
          <w:lang w:val="en-US" w:eastAsia="zh-CN"/>
        </w:rPr>
        <w:t>6</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3.项目联系方式</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项目联系人：陈小姐</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电话：020-8900129</w:t>
      </w:r>
      <w:r>
        <w:rPr>
          <w:rFonts w:hint="eastAsia" w:ascii="宋体" w:hAnsi="宋体" w:cs="宋体"/>
          <w:bCs/>
          <w:color w:val="auto"/>
          <w:szCs w:val="20"/>
          <w:highlight w:val="none"/>
          <w:lang w:val="en-US" w:eastAsia="zh-CN"/>
        </w:rPr>
        <w:t>6</w:t>
      </w:r>
    </w:p>
    <w:p>
      <w:pPr>
        <w:pStyle w:val="46"/>
        <w:rPr>
          <w:rFonts w:hint="eastAsia" w:ascii="宋体" w:hAnsi="宋体" w:cs="宋体"/>
          <w:bCs/>
          <w:color w:val="auto"/>
          <w:szCs w:val="20"/>
          <w:highlight w:val="none"/>
        </w:rPr>
      </w:pPr>
    </w:p>
    <w:p>
      <w:pPr>
        <w:pStyle w:val="96"/>
        <w:rPr>
          <w:color w:val="auto"/>
          <w:highlight w:val="none"/>
        </w:rPr>
      </w:pPr>
    </w:p>
    <w:p>
      <w:pPr>
        <w:tabs>
          <w:tab w:val="left" w:pos="840"/>
          <w:tab w:val="left" w:pos="945"/>
        </w:tabs>
        <w:snapToGrid w:val="0"/>
        <w:spacing w:line="360" w:lineRule="auto"/>
        <w:ind w:left="525"/>
        <w:jc w:val="right"/>
        <w:rPr>
          <w:rFonts w:ascii="宋体" w:hAnsi="宋体" w:cs="宋体"/>
          <w:bCs/>
          <w:color w:val="auto"/>
          <w:szCs w:val="20"/>
          <w:highlight w:val="none"/>
        </w:rPr>
      </w:pPr>
      <w:r>
        <w:rPr>
          <w:rFonts w:ascii="宋体" w:hAnsi="宋体" w:cs="宋体"/>
          <w:bCs/>
          <w:color w:val="auto"/>
          <w:szCs w:val="20"/>
          <w:highlight w:val="none"/>
        </w:rPr>
        <w:t>发布人：广州市信怡招标代理有限公司</w:t>
      </w:r>
    </w:p>
    <w:p>
      <w:pPr>
        <w:pStyle w:val="36"/>
        <w:snapToGrid w:val="0"/>
        <w:spacing w:line="528" w:lineRule="auto"/>
        <w:ind w:firstLine="630" w:firstLineChars="300"/>
        <w:jc w:val="right"/>
        <w:rPr>
          <w:rFonts w:ascii="宋体" w:hAnsi="宋体"/>
          <w:color w:val="auto"/>
          <w:sz w:val="28"/>
          <w:highlight w:val="none"/>
        </w:rPr>
      </w:pPr>
      <w:r>
        <w:rPr>
          <w:rFonts w:ascii="宋体" w:hAnsi="宋体" w:cs="宋体"/>
          <w:bCs/>
          <w:color w:val="auto"/>
          <w:szCs w:val="20"/>
          <w:highlight w:val="none"/>
        </w:rPr>
        <w:t>发布时间：2020 年</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07</w:t>
      </w:r>
      <w:r>
        <w:rPr>
          <w:rFonts w:ascii="宋体" w:hAnsi="宋体" w:cs="宋体"/>
          <w:bCs/>
          <w:color w:val="auto"/>
          <w:szCs w:val="20"/>
          <w:highlight w:val="none"/>
        </w:rPr>
        <w:t>日</w:t>
      </w:r>
      <w:bookmarkStart w:id="30" w:name="_Toc28489434"/>
      <w:bookmarkStart w:id="31" w:name="_Toc14450807"/>
    </w:p>
    <w:p>
      <w:pPr>
        <w:rPr>
          <w:rFonts w:ascii="宋体" w:hAnsi="宋体"/>
          <w:color w:val="auto"/>
          <w:sz w:val="28"/>
          <w:highlight w:val="none"/>
        </w:rPr>
      </w:pPr>
      <w:r>
        <w:rPr>
          <w:rFonts w:ascii="宋体" w:hAnsi="宋体"/>
          <w:color w:val="auto"/>
          <w:sz w:val="28"/>
          <w:highlight w:val="none"/>
        </w:rPr>
        <w:br w:type="page"/>
      </w:r>
      <w:bookmarkStart w:id="371" w:name="_GoBack"/>
      <w:bookmarkEnd w:id="371"/>
    </w:p>
    <w:p>
      <w:pPr>
        <w:pStyle w:val="2"/>
        <w:rPr>
          <w:color w:val="auto"/>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32" w:name="_Toc320515015"/>
      <w:bookmarkStart w:id="33" w:name="_Toc475104467"/>
      <w:r>
        <w:rPr>
          <w:rFonts w:cs="ZWAdobeF"/>
          <w:b w:val="0"/>
          <w:color w:val="auto"/>
          <w:sz w:val="2"/>
          <w:szCs w:val="2"/>
          <w:highlight w:val="none"/>
        </w:rPr>
        <w:t>1B1B</w:t>
      </w:r>
      <w:r>
        <w:rPr>
          <w:rFonts w:hint="eastAsia"/>
          <w:color w:val="auto"/>
          <w:sz w:val="44"/>
          <w:highlight w:val="none"/>
        </w:rPr>
        <w:t>第二章</w:t>
      </w:r>
      <w:bookmarkStart w:id="34" w:name="_Toc10525515"/>
      <w:r>
        <w:rPr>
          <w:rFonts w:hint="eastAsia"/>
          <w:color w:val="auto"/>
          <w:sz w:val="44"/>
          <w:highlight w:val="none"/>
        </w:rPr>
        <w:t xml:space="preserve"> 竞争性磋商须知</w:t>
      </w:r>
      <w:bookmarkEnd w:id="30"/>
      <w:bookmarkEnd w:id="31"/>
      <w:bookmarkEnd w:id="32"/>
      <w:bookmarkEnd w:id="33"/>
      <w:bookmarkEnd w:id="34"/>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89"/>
        <w:tblW w:w="994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ascii="宋体" w:hAnsi="宋体" w:cs="宋体"/>
                <w:color w:val="auto"/>
                <w:szCs w:val="21"/>
                <w:highlight w:val="none"/>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p>
        </w:tc>
        <w:tc>
          <w:tcPr>
            <w:tcW w:w="623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s="宋体"/>
                <w:color w:val="auto"/>
                <w:szCs w:val="21"/>
                <w:highlight w:val="none"/>
              </w:rPr>
            </w:pPr>
            <w:r>
              <w:rPr>
                <w:rFonts w:hint="eastAsia" w:ascii="宋体" w:hAnsi="宋体" w:eastAsia="宋体" w:cs="宋体"/>
                <w:b/>
                <w:bCs/>
                <w:color w:val="auto"/>
                <w:szCs w:val="21"/>
                <w:highlight w:val="none"/>
                <w:lang w:eastAsia="zh-CN"/>
              </w:rPr>
              <w:t>收费依据及方法：</w:t>
            </w:r>
            <w:r>
              <w:rPr>
                <w:rFonts w:hint="eastAsia" w:ascii="宋体" w:hAnsi="宋体" w:eastAsia="宋体" w:cs="宋体"/>
                <w:color w:val="auto"/>
                <w:szCs w:val="21"/>
                <w:highlight w:val="none"/>
                <w:lang w:eastAsia="zh-CN"/>
              </w:rPr>
              <w:t>招标代理服务费按中华人民共和国国家发展计划委员会颁发的计价格[2002]1980号、国家发改委[2003]857号及发改价格</w:t>
            </w:r>
            <w:r>
              <w:rPr>
                <w:rFonts w:hint="eastAsia" w:ascii="宋体" w:hAnsi="宋体" w:eastAsia="宋体" w:cs="宋体"/>
                <w:color w:val="auto"/>
                <w:szCs w:val="21"/>
                <w:highlight w:val="none"/>
              </w:rPr>
              <w:sym w:font="Symbol" w:char="F05B"/>
            </w:r>
            <w:r>
              <w:rPr>
                <w:rFonts w:hint="eastAsia" w:ascii="宋体" w:hAnsi="宋体" w:eastAsia="宋体" w:cs="宋体"/>
                <w:color w:val="auto"/>
                <w:szCs w:val="21"/>
                <w:highlight w:val="none"/>
              </w:rPr>
              <w:t>2011</w:t>
            </w:r>
            <w:r>
              <w:rPr>
                <w:rFonts w:hint="eastAsia" w:ascii="宋体" w:hAnsi="宋体" w:eastAsia="宋体" w:cs="宋体"/>
                <w:color w:val="auto"/>
                <w:szCs w:val="21"/>
                <w:highlight w:val="none"/>
              </w:rPr>
              <w:sym w:font="Symbol" w:char="F05D"/>
            </w:r>
            <w:r>
              <w:rPr>
                <w:rFonts w:hint="eastAsia" w:ascii="宋体" w:hAnsi="宋体" w:eastAsia="宋体" w:cs="宋体"/>
                <w:color w:val="auto"/>
                <w:szCs w:val="21"/>
                <w:highlight w:val="none"/>
              </w:rPr>
              <w:t>534</w:t>
            </w:r>
            <w:r>
              <w:rPr>
                <w:rFonts w:hint="eastAsia" w:ascii="宋体" w:hAnsi="宋体" w:eastAsia="宋体" w:cs="宋体"/>
                <w:color w:val="auto"/>
                <w:szCs w:val="21"/>
                <w:highlight w:val="none"/>
                <w:lang w:eastAsia="zh-CN"/>
              </w:rPr>
              <w:t>号文规定</w:t>
            </w:r>
            <w:r>
              <w:rPr>
                <w:rFonts w:hint="eastAsia" w:ascii="宋体" w:hAnsi="宋体" w:cs="宋体"/>
                <w:color w:val="auto"/>
                <w:szCs w:val="21"/>
                <w:highlight w:val="none"/>
                <w:lang w:eastAsia="zh-CN"/>
              </w:rPr>
              <w:t>进行</w:t>
            </w:r>
            <w:r>
              <w:rPr>
                <w:rFonts w:hint="eastAsia" w:ascii="宋体" w:hAnsi="宋体" w:eastAsia="宋体" w:cs="宋体"/>
                <w:color w:val="auto"/>
                <w:szCs w:val="21"/>
                <w:highlight w:val="none"/>
                <w:lang w:eastAsia="zh-CN"/>
              </w:rPr>
              <w:t>计算。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采购代理服务费及专家费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olor w:val="auto"/>
                <w:szCs w:val="21"/>
                <w:highlight w:val="none"/>
              </w:rPr>
            </w:pPr>
            <w:r>
              <w:rPr>
                <w:rFonts w:hint="eastAsia" w:ascii="宋体" w:hAnsi="宋体" w:cs="宋体"/>
                <w:color w:val="auto"/>
                <w:szCs w:val="21"/>
                <w:highlight w:val="none"/>
                <w:lang w:eastAsia="zh-CN"/>
              </w:rPr>
              <w:t>成交人</w:t>
            </w:r>
            <w:r>
              <w:rPr>
                <w:rFonts w:hint="eastAsia" w:ascii="宋体" w:hAnsi="宋体" w:eastAsia="宋体" w:cs="宋体"/>
                <w:color w:val="auto"/>
                <w:szCs w:val="21"/>
                <w:highlight w:val="none"/>
              </w:rPr>
              <w:t>在领取《中标通知书》前直接一次性向采购代理机构足额支付招标代理服务费及专家费</w:t>
            </w:r>
            <w:r>
              <w:rPr>
                <w:rFonts w:hint="eastAsia" w:ascii="宋体" w:hAnsi="宋体" w:eastAsia="宋体" w:cs="宋体"/>
                <w:color w:val="auto"/>
                <w:szCs w:val="21"/>
                <w:highlight w:val="none"/>
                <w:lang w:eastAsia="zh-CN"/>
              </w:rPr>
              <w:t>（专家费按实进行结算）</w:t>
            </w:r>
            <w:r>
              <w:rPr>
                <w:rFonts w:hint="eastAsia" w:ascii="宋体" w:hAnsi="宋体" w:eastAsia="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w:t>
            </w:r>
            <w:r>
              <w:rPr>
                <w:rFonts w:hint="eastAsia" w:ascii="宋体" w:hAnsi="宋体"/>
                <w:color w:val="auto"/>
                <w:szCs w:val="21"/>
                <w:highlight w:val="none"/>
                <w:lang w:eastAsia="zh-CN"/>
              </w:rPr>
              <w:t>报价人</w:t>
            </w:r>
            <w:r>
              <w:rPr>
                <w:rFonts w:hint="eastAsia" w:ascii="宋体" w:hAnsi="宋体"/>
                <w:color w:val="auto"/>
                <w:szCs w:val="21"/>
                <w:highlight w:val="none"/>
              </w:rPr>
              <w:t>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w:t>
            </w:r>
            <w:r>
              <w:rPr>
                <w:rFonts w:hint="eastAsia" w:ascii="宋体" w:hAnsi="宋体"/>
                <w:color w:val="auto"/>
                <w:szCs w:val="21"/>
                <w:highlight w:val="none"/>
                <w:lang w:eastAsia="zh-CN"/>
              </w:rPr>
              <w:t>报价人</w:t>
            </w:r>
            <w:r>
              <w:rPr>
                <w:rFonts w:hint="eastAsia" w:ascii="宋体" w:hAnsi="宋体"/>
                <w:color w:val="auto"/>
                <w:szCs w:val="21"/>
                <w:highlight w:val="none"/>
              </w:rPr>
              <w:t>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须知</w:t>
            </w:r>
          </w:p>
        </w:tc>
      </w:tr>
    </w:tbl>
    <w:p>
      <w:pPr>
        <w:spacing w:line="360" w:lineRule="auto"/>
        <w:jc w:val="center"/>
        <w:rPr>
          <w:rFonts w:ascii="宋体" w:hAnsi="宋体"/>
          <w:b/>
          <w:bCs/>
          <w:color w:val="auto"/>
          <w:sz w:val="30"/>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5" w:name="_Toc320515065"/>
      <w:bookmarkStart w:id="36" w:name="_Toc363737682"/>
      <w:bookmarkStart w:id="37" w:name="_Toc322680342"/>
      <w:bookmarkStart w:id="38" w:name="_Toc323110975"/>
      <w:bookmarkStart w:id="39" w:name="_Toc315793450"/>
      <w:bookmarkStart w:id="40" w:name="_Toc475104468"/>
      <w:bookmarkStart w:id="41" w:name="_Toc320515016"/>
      <w:r>
        <w:rPr>
          <w:rFonts w:hint="eastAsia" w:ascii="宋体" w:hAnsi="宋体"/>
          <w:b/>
          <w:color w:val="auto"/>
          <w:sz w:val="28"/>
          <w:szCs w:val="28"/>
          <w:highlight w:val="none"/>
          <w:lang w:eastAsia="zh-TW"/>
        </w:rPr>
        <w:t>说 明</w:t>
      </w:r>
      <w:bookmarkEnd w:id="35"/>
      <w:bookmarkEnd w:id="36"/>
      <w:bookmarkEnd w:id="37"/>
      <w:bookmarkEnd w:id="38"/>
      <w:bookmarkEnd w:id="39"/>
      <w:bookmarkEnd w:id="40"/>
      <w:bookmarkEnd w:id="41"/>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2" w:name="_Toc322680343"/>
      <w:bookmarkStart w:id="43" w:name="_Toc323110976"/>
      <w:bookmarkStart w:id="44" w:name="_Toc320515017"/>
      <w:bookmarkStart w:id="45" w:name="_Toc315793451"/>
      <w:bookmarkStart w:id="46" w:name="_Toc363737683"/>
      <w:bookmarkStart w:id="47" w:name="_Toc320515066"/>
      <w:bookmarkStart w:id="48" w:name="_Toc475104469"/>
      <w:r>
        <w:rPr>
          <w:rFonts w:hint="eastAsia" w:ascii="宋体" w:hAnsi="宋体"/>
          <w:b/>
          <w:bCs/>
          <w:color w:val="auto"/>
          <w:sz w:val="24"/>
          <w:highlight w:val="none"/>
        </w:rPr>
        <w:t>招标适用范围</w:t>
      </w:r>
      <w:bookmarkEnd w:id="42"/>
      <w:bookmarkEnd w:id="43"/>
      <w:bookmarkEnd w:id="44"/>
      <w:bookmarkEnd w:id="45"/>
      <w:bookmarkEnd w:id="46"/>
      <w:bookmarkEnd w:id="47"/>
      <w:bookmarkEnd w:id="48"/>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9" w:name="_Toc363737684"/>
      <w:bookmarkStart w:id="50" w:name="_Toc323110977"/>
      <w:bookmarkStart w:id="51" w:name="_Toc320515018"/>
      <w:bookmarkStart w:id="52" w:name="_Toc475104470"/>
      <w:bookmarkStart w:id="53" w:name="_Toc320515067"/>
      <w:bookmarkStart w:id="54" w:name="_Toc322680344"/>
      <w:r>
        <w:rPr>
          <w:rFonts w:hint="eastAsia" w:ascii="宋体" w:hAnsi="宋体"/>
          <w:b/>
          <w:bCs/>
          <w:color w:val="auto"/>
          <w:sz w:val="24"/>
          <w:highlight w:val="none"/>
        </w:rPr>
        <w:t>定义</w:t>
      </w:r>
      <w:bookmarkEnd w:id="49"/>
      <w:bookmarkEnd w:id="50"/>
      <w:bookmarkEnd w:id="51"/>
      <w:bookmarkEnd w:id="52"/>
      <w:bookmarkEnd w:id="53"/>
      <w:bookmarkEnd w:id="54"/>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rPr>
        <w:t>广东省农业科学院动物科学研究所</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lang w:eastAsia="zh-CN"/>
        </w:rPr>
        <w:t>报价人</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5"/>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”系指</w:t>
      </w:r>
      <w:r>
        <w:rPr>
          <w:rFonts w:hint="eastAsia" w:ascii="宋体" w:hAnsi="宋体"/>
          <w:color w:val="auto"/>
          <w:szCs w:val="21"/>
          <w:highlight w:val="none"/>
        </w:rPr>
        <w:t>法定程序确定并授予合同的</w:t>
      </w:r>
      <w:r>
        <w:rPr>
          <w:rFonts w:hint="eastAsia" w:ascii="宋体" w:hAnsi="宋体"/>
          <w:color w:val="auto"/>
          <w:highlight w:val="none"/>
          <w:lang w:eastAsia="zh-CN"/>
        </w:rPr>
        <w:t>报价人</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lang w:eastAsia="zh-CN"/>
        </w:rPr>
        <w:t>报价人</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lang w:eastAsia="zh-CN"/>
        </w:rPr>
        <w:t>报价人</w:t>
      </w:r>
      <w:r>
        <w:rPr>
          <w:rFonts w:hint="eastAsia" w:ascii="宋体" w:hAnsi="宋体" w:cs="宋体"/>
          <w:color w:val="auto"/>
          <w:szCs w:val="21"/>
          <w:highlight w:val="none"/>
        </w:rPr>
        <w:t>的公平竞争地位。</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55" w:name="_Toc363737685"/>
      <w:bookmarkStart w:id="56" w:name="_Toc322680345"/>
      <w:bookmarkStart w:id="57" w:name="_Toc323110978"/>
      <w:bookmarkStart w:id="58" w:name="_Toc320515019"/>
      <w:bookmarkStart w:id="59" w:name="_Toc320515068"/>
      <w:bookmarkStart w:id="60" w:name="_Toc315793453"/>
      <w:bookmarkStart w:id="61" w:name="_Toc475104471"/>
      <w:r>
        <w:rPr>
          <w:rFonts w:hint="eastAsia" w:ascii="宋体" w:hAnsi="宋体"/>
          <w:b/>
          <w:bCs/>
          <w:color w:val="auto"/>
          <w:sz w:val="24"/>
          <w:highlight w:val="none"/>
        </w:rPr>
        <w:t>合格的</w:t>
      </w:r>
      <w:bookmarkEnd w:id="55"/>
      <w:bookmarkEnd w:id="56"/>
      <w:bookmarkEnd w:id="57"/>
      <w:bookmarkEnd w:id="58"/>
      <w:bookmarkEnd w:id="59"/>
      <w:bookmarkEnd w:id="60"/>
      <w:bookmarkEnd w:id="61"/>
      <w:r>
        <w:rPr>
          <w:rFonts w:hint="eastAsia" w:ascii="宋体" w:hAnsi="宋体"/>
          <w:b/>
          <w:bCs/>
          <w:color w:val="auto"/>
          <w:sz w:val="24"/>
          <w:highlight w:val="none"/>
          <w:lang w:eastAsia="zh-CN"/>
        </w:rPr>
        <w:t>报价人</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lang w:eastAsia="zh-CN"/>
        </w:rPr>
        <w:t>报价人</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lang w:eastAsia="zh-CN"/>
        </w:rPr>
        <w:t>报价人</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lang w:eastAsia="zh-CN"/>
        </w:rPr>
        <w:t>报价人</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w:t>
      </w:r>
      <w:r>
        <w:rPr>
          <w:rFonts w:hint="eastAsia" w:ascii="宋体" w:hAnsi="宋体" w:cs="黑体"/>
          <w:color w:val="auto"/>
          <w:szCs w:val="21"/>
          <w:highlight w:val="none"/>
          <w:lang w:eastAsia="zh-CN"/>
        </w:rPr>
        <w:t>报价人</w:t>
      </w:r>
      <w:r>
        <w:rPr>
          <w:rFonts w:hint="eastAsia" w:ascii="宋体" w:hAnsi="宋体" w:cs="黑体"/>
          <w:color w:val="auto"/>
          <w:szCs w:val="21"/>
          <w:highlight w:val="none"/>
        </w:rPr>
        <w:t>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lang w:eastAsia="zh-CN"/>
        </w:rPr>
        <w:t>报价人</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lang w:eastAsia="zh-CN"/>
        </w:rPr>
        <w:t>报价人</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lang w:eastAsia="zh-CN"/>
        </w:rPr>
        <w:t>报价人</w:t>
      </w:r>
      <w:r>
        <w:rPr>
          <w:rFonts w:hint="eastAsia"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lang w:eastAsia="zh-CN"/>
        </w:rPr>
        <w:t>报价人</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lang w:eastAsia="zh-CN"/>
        </w:rPr>
        <w:t>报价人</w:t>
      </w:r>
      <w:r>
        <w:rPr>
          <w:rFonts w:hint="eastAsia" w:ascii="宋体" w:hAnsi="宋体"/>
          <w:color w:val="auto"/>
          <w:szCs w:val="21"/>
          <w:highlight w:val="none"/>
        </w:rPr>
        <w:t>参加竞争，但只作为一家</w:t>
      </w:r>
      <w:r>
        <w:rPr>
          <w:rFonts w:hint="eastAsia" w:ascii="宋体" w:hAnsi="宋体"/>
          <w:color w:val="auto"/>
          <w:highlight w:val="none"/>
          <w:lang w:eastAsia="zh-CN"/>
        </w:rPr>
        <w:t>报价人</w:t>
      </w:r>
      <w:r>
        <w:rPr>
          <w:rFonts w:hint="eastAsia" w:ascii="宋体" w:hAnsi="宋体"/>
          <w:color w:val="auto"/>
          <w:szCs w:val="21"/>
          <w:highlight w:val="none"/>
        </w:rPr>
        <w:t>计算。同一品牌不同型号的产品由多家</w:t>
      </w:r>
      <w:r>
        <w:rPr>
          <w:rFonts w:hint="eastAsia" w:ascii="宋体" w:hAnsi="宋体"/>
          <w:color w:val="auto"/>
          <w:highlight w:val="none"/>
          <w:lang w:eastAsia="zh-CN"/>
        </w:rPr>
        <w:t>报价人</w:t>
      </w:r>
      <w:r>
        <w:rPr>
          <w:rFonts w:hint="eastAsia" w:ascii="宋体" w:hAnsi="宋体"/>
          <w:color w:val="auto"/>
          <w:szCs w:val="21"/>
          <w:highlight w:val="none"/>
        </w:rPr>
        <w:t>参加竞争，作为不同的</w:t>
      </w:r>
      <w:r>
        <w:rPr>
          <w:rFonts w:hint="eastAsia" w:ascii="宋体" w:hAnsi="宋体"/>
          <w:color w:val="auto"/>
          <w:highlight w:val="none"/>
          <w:lang w:eastAsia="zh-CN"/>
        </w:rPr>
        <w:t>报价人</w:t>
      </w:r>
      <w:r>
        <w:rPr>
          <w:rFonts w:hint="eastAsia" w:ascii="宋体" w:hAnsi="宋体"/>
          <w:color w:val="auto"/>
          <w:szCs w:val="21"/>
          <w:highlight w:val="none"/>
        </w:rPr>
        <w:t>计算。</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62" w:name="_Toc475104472"/>
      <w:bookmarkStart w:id="63" w:name="_Toc363737686"/>
      <w:bookmarkStart w:id="64" w:name="_Toc333236630"/>
      <w:bookmarkStart w:id="65" w:name="_Toc320515070"/>
      <w:bookmarkStart w:id="66" w:name="_Toc320515021"/>
      <w:bookmarkStart w:id="67" w:name="_Toc323110980"/>
      <w:bookmarkStart w:id="68" w:name="_Toc315793455"/>
      <w:bookmarkStart w:id="69" w:name="_Toc322680347"/>
      <w:r>
        <w:rPr>
          <w:rFonts w:hint="eastAsia" w:ascii="宋体" w:hAnsi="宋体"/>
          <w:b/>
          <w:bCs/>
          <w:color w:val="auto"/>
          <w:sz w:val="24"/>
          <w:highlight w:val="none"/>
        </w:rPr>
        <w:t>合格的服务和货物</w:t>
      </w:r>
      <w:bookmarkEnd w:id="62"/>
      <w:bookmarkEnd w:id="63"/>
      <w:bookmarkEnd w:id="64"/>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lang w:eastAsia="zh-CN"/>
        </w:rPr>
        <w:t>报价人</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lang w:eastAsia="zh-CN"/>
        </w:rPr>
        <w:t>报价人</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lang w:eastAsia="zh-CN"/>
        </w:rPr>
        <w:t>报价人</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lang w:eastAsia="zh-CN"/>
        </w:rPr>
        <w:t>报价人</w:t>
      </w:r>
      <w:r>
        <w:rPr>
          <w:rFonts w:hint="eastAsia" w:ascii="宋体" w:hAnsi="宋体"/>
          <w:color w:val="auto"/>
          <w:szCs w:val="21"/>
          <w:highlight w:val="none"/>
        </w:rPr>
        <w:t>自行承担。</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lang w:eastAsia="zh-CN"/>
        </w:rPr>
        <w:t>报价人</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lang w:eastAsia="zh-CN"/>
        </w:rPr>
        <w:t>报价人</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lang w:eastAsia="zh-CN"/>
        </w:rPr>
        <w:t>报价人</w:t>
      </w:r>
      <w:r>
        <w:rPr>
          <w:rFonts w:hint="eastAsia" w:ascii="宋体" w:hAnsi="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0" w:name="_Toc363737687"/>
      <w:bookmarkStart w:id="71" w:name="_Toc475104473"/>
      <w:r>
        <w:rPr>
          <w:rFonts w:hint="eastAsia" w:ascii="宋体" w:hAnsi="宋体"/>
          <w:b/>
          <w:bCs/>
          <w:color w:val="auto"/>
          <w:sz w:val="24"/>
          <w:highlight w:val="none"/>
        </w:rPr>
        <w:t>磋商费用</w:t>
      </w:r>
      <w:bookmarkEnd w:id="65"/>
      <w:bookmarkEnd w:id="66"/>
      <w:bookmarkEnd w:id="67"/>
      <w:bookmarkEnd w:id="68"/>
      <w:bookmarkEnd w:id="69"/>
      <w:bookmarkEnd w:id="70"/>
      <w:bookmarkEnd w:id="71"/>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bookmarkStart w:id="72" w:name="_Toc320515022"/>
      <w:bookmarkStart w:id="73" w:name="_Toc322680348"/>
      <w:bookmarkStart w:id="74" w:name="_Toc320515071"/>
      <w:bookmarkStart w:id="75" w:name="_Toc323110981"/>
      <w:bookmarkStart w:id="76" w:name="_Toc315793456"/>
      <w:r>
        <w:rPr>
          <w:rFonts w:hint="eastAsia" w:ascii="宋体" w:hAnsi="宋体"/>
          <w:color w:val="auto"/>
          <w:highlight w:val="none"/>
          <w:lang w:eastAsia="zh-CN"/>
        </w:rPr>
        <w:t>报价人</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72"/>
      <w:bookmarkEnd w:id="73"/>
      <w:bookmarkEnd w:id="74"/>
      <w:bookmarkEnd w:id="75"/>
    </w:p>
    <w:bookmarkEnd w:id="76"/>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77" w:name="_Toc475104474"/>
      <w:r>
        <w:rPr>
          <w:rFonts w:hint="eastAsia" w:ascii="宋体" w:hAnsi="宋体"/>
          <w:b/>
          <w:color w:val="auto"/>
          <w:sz w:val="28"/>
          <w:szCs w:val="28"/>
          <w:highlight w:val="none"/>
          <w:lang w:eastAsia="zh-TW"/>
        </w:rPr>
        <w:t>竞争性磋商文件</w:t>
      </w:r>
      <w:bookmarkEnd w:id="77"/>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8" w:name="_Toc320515024"/>
      <w:bookmarkStart w:id="79" w:name="_Toc320515073"/>
      <w:bookmarkStart w:id="80" w:name="_Toc315793458"/>
      <w:bookmarkStart w:id="81" w:name="_Toc322680350"/>
      <w:bookmarkStart w:id="82" w:name="_Toc323110983"/>
      <w:bookmarkStart w:id="83" w:name="_Toc475104475"/>
      <w:bookmarkStart w:id="84" w:name="_Toc363737689"/>
      <w:r>
        <w:rPr>
          <w:rFonts w:hint="eastAsia" w:ascii="宋体" w:hAnsi="宋体"/>
          <w:b/>
          <w:bCs/>
          <w:color w:val="auto"/>
          <w:sz w:val="24"/>
          <w:highlight w:val="none"/>
        </w:rPr>
        <w:t>竞争性磋商文件的编制依据与构成</w:t>
      </w:r>
      <w:bookmarkEnd w:id="78"/>
      <w:bookmarkEnd w:id="79"/>
      <w:bookmarkEnd w:id="80"/>
      <w:bookmarkEnd w:id="81"/>
      <w:bookmarkEnd w:id="82"/>
      <w:bookmarkEnd w:id="83"/>
      <w:bookmarkEnd w:id="84"/>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5"/>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hint="eastAsia" w:ascii="宋体" w:hAnsi="宋体"/>
          <w:color w:val="auto"/>
          <w:szCs w:val="21"/>
          <w:highlight w:val="none"/>
        </w:rPr>
      </w:pPr>
      <w:r>
        <w:rPr>
          <w:rFonts w:hint="eastAsia" w:ascii="宋体" w:hAnsi="宋体"/>
          <w:color w:val="auto"/>
          <w:szCs w:val="21"/>
          <w:highlight w:val="none"/>
        </w:rPr>
        <w:t>（5）附件（格式）</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lang w:eastAsia="zh-CN"/>
        </w:rPr>
        <w:t>报价人</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lang w:eastAsia="zh-CN"/>
        </w:rPr>
        <w:t>报价人</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lang w:eastAsia="zh-CN"/>
        </w:rPr>
        <w:t>报价人</w:t>
      </w:r>
      <w:r>
        <w:rPr>
          <w:rFonts w:hint="eastAsia" w:ascii="宋体" w:hAnsi="宋体" w:cs="宋体"/>
          <w:color w:val="auto"/>
          <w:szCs w:val="21"/>
          <w:highlight w:val="none"/>
        </w:rPr>
        <w:t>的风险，有可能导致其报价被拒绝，或被认定为无效响应。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85" w:name="_Toc320515074"/>
      <w:bookmarkStart w:id="86" w:name="_Toc322680351"/>
      <w:bookmarkStart w:id="87" w:name="_Toc475104476"/>
      <w:bookmarkStart w:id="88" w:name="_Toc315793459"/>
      <w:bookmarkStart w:id="89" w:name="_Toc320515025"/>
      <w:bookmarkStart w:id="90" w:name="_Toc323110984"/>
      <w:bookmarkStart w:id="91" w:name="_Toc363737690"/>
      <w:r>
        <w:rPr>
          <w:rFonts w:hint="eastAsia" w:ascii="宋体" w:hAnsi="宋体"/>
          <w:b/>
          <w:bCs/>
          <w:color w:val="auto"/>
          <w:sz w:val="24"/>
          <w:highlight w:val="none"/>
        </w:rPr>
        <w:t>竞争性磋商文件的澄清</w:t>
      </w:r>
      <w:bookmarkEnd w:id="85"/>
      <w:bookmarkEnd w:id="86"/>
      <w:bookmarkEnd w:id="87"/>
      <w:bookmarkEnd w:id="88"/>
      <w:bookmarkEnd w:id="89"/>
      <w:bookmarkEnd w:id="90"/>
      <w:bookmarkEnd w:id="91"/>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lang w:eastAsia="zh-CN"/>
        </w:rPr>
        <w:t>报价人</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lang w:eastAsia="zh-CN"/>
        </w:rPr>
        <w:t>报价人</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lang w:eastAsia="zh-CN"/>
        </w:rPr>
        <w:t>报价人</w:t>
      </w:r>
      <w:r>
        <w:rPr>
          <w:rFonts w:hint="eastAsia" w:ascii="宋体" w:hAnsi="宋体" w:cs="宋体"/>
          <w:color w:val="auto"/>
          <w:szCs w:val="21"/>
          <w:highlight w:val="none"/>
        </w:rPr>
        <w:t>，答复中不包括问题的来源。</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lang w:eastAsia="zh-CN"/>
        </w:rPr>
        <w:t>报价人</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lang w:eastAsia="zh-CN"/>
        </w:rPr>
        <w:t>报价人</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lang w:eastAsia="zh-CN"/>
        </w:rPr>
        <w:t>报价人</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lang w:eastAsia="zh-CN"/>
        </w:rPr>
        <w:t>报价人</w:t>
      </w:r>
      <w:r>
        <w:rPr>
          <w:rFonts w:hint="eastAsia" w:ascii="宋体" w:hAnsi="宋体" w:cs="宋体"/>
          <w:color w:val="auto"/>
          <w:szCs w:val="21"/>
          <w:highlight w:val="none"/>
        </w:rPr>
        <w:t>授权代表于上述的时间和地点出席答疑会或现场考察。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lang w:eastAsia="zh-CN"/>
        </w:rPr>
        <w:t>报价人</w:t>
      </w:r>
      <w:r>
        <w:rPr>
          <w:rFonts w:hint="eastAsia" w:ascii="宋体" w:hAnsi="宋体" w:cs="宋体"/>
          <w:color w:val="auto"/>
          <w:szCs w:val="21"/>
          <w:highlight w:val="none"/>
        </w:rPr>
        <w:t>如不出席答疑会或现场考察视为对竞争性磋商文件所有内容无任何异议。</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92" w:name="_Toc320515075"/>
      <w:bookmarkStart w:id="93" w:name="_Toc315793460"/>
      <w:bookmarkStart w:id="94" w:name="_Toc475104477"/>
      <w:bookmarkStart w:id="95" w:name="_Toc322680352"/>
      <w:bookmarkStart w:id="96" w:name="_Toc323110985"/>
      <w:bookmarkStart w:id="97" w:name="_Toc363737691"/>
      <w:bookmarkStart w:id="98" w:name="_Toc320515026"/>
      <w:r>
        <w:rPr>
          <w:rFonts w:hint="eastAsia" w:ascii="宋体" w:hAnsi="宋体"/>
          <w:b/>
          <w:bCs/>
          <w:color w:val="auto"/>
          <w:sz w:val="24"/>
          <w:highlight w:val="none"/>
        </w:rPr>
        <w:t>竞争性磋商文件的修改</w:t>
      </w:r>
      <w:bookmarkEnd w:id="92"/>
      <w:bookmarkEnd w:id="93"/>
      <w:bookmarkEnd w:id="94"/>
      <w:bookmarkEnd w:id="95"/>
      <w:bookmarkEnd w:id="96"/>
      <w:bookmarkEnd w:id="97"/>
      <w:bookmarkEnd w:id="98"/>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lang w:eastAsia="zh-CN"/>
        </w:rPr>
        <w:t>报价人</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lang w:eastAsia="zh-CN"/>
        </w:rPr>
        <w:t>报价人</w:t>
      </w:r>
      <w:r>
        <w:rPr>
          <w:rFonts w:hint="eastAsia" w:ascii="宋体" w:hAnsi="宋体"/>
          <w:bCs/>
          <w:color w:val="auto"/>
          <w:szCs w:val="21"/>
          <w:highlight w:val="none"/>
        </w:rPr>
        <w:t>，</w:t>
      </w:r>
      <w:r>
        <w:rPr>
          <w:rFonts w:hint="eastAsia" w:ascii="宋体" w:hAnsi="宋体"/>
          <w:color w:val="auto"/>
          <w:highlight w:val="none"/>
          <w:lang w:eastAsia="zh-CN"/>
        </w:rPr>
        <w:t>报价人</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5"/>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lang w:eastAsia="zh-CN"/>
        </w:rPr>
        <w:t>报价人</w:t>
      </w:r>
      <w:r>
        <w:rPr>
          <w:rFonts w:hint="eastAsia" w:ascii="宋体" w:hAnsi="宋体"/>
          <w:bCs/>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lang w:eastAsia="zh-CN"/>
        </w:rPr>
        <w:t>报价人</w:t>
      </w:r>
      <w:r>
        <w:rPr>
          <w:rFonts w:hint="eastAsia" w:ascii="宋体" w:hAnsi="宋体" w:cs="宋体"/>
          <w:color w:val="auto"/>
          <w:szCs w:val="21"/>
          <w:highlight w:val="none"/>
        </w:rPr>
        <w:t>，并对潜在</w:t>
      </w:r>
      <w:r>
        <w:rPr>
          <w:rFonts w:hint="eastAsia" w:ascii="宋体" w:hAnsi="宋体"/>
          <w:color w:val="auto"/>
          <w:highlight w:val="none"/>
          <w:lang w:eastAsia="zh-CN"/>
        </w:rPr>
        <w:t>报价人</w:t>
      </w:r>
      <w:r>
        <w:rPr>
          <w:rFonts w:hint="eastAsia" w:ascii="宋体" w:hAnsi="宋体" w:cs="宋体"/>
          <w:color w:val="auto"/>
          <w:szCs w:val="21"/>
          <w:highlight w:val="none"/>
        </w:rPr>
        <w:t>具有约束力。潜在</w:t>
      </w:r>
      <w:r>
        <w:rPr>
          <w:rFonts w:hint="eastAsia" w:ascii="宋体" w:hAnsi="宋体"/>
          <w:color w:val="auto"/>
          <w:highlight w:val="none"/>
          <w:lang w:eastAsia="zh-CN"/>
        </w:rPr>
        <w:t>报价人</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99" w:name="_Toc323110986"/>
      <w:bookmarkStart w:id="100" w:name="_Toc363737692"/>
      <w:bookmarkStart w:id="101" w:name="_Toc315793461"/>
      <w:bookmarkStart w:id="102" w:name="_Toc320515076"/>
      <w:bookmarkStart w:id="103" w:name="_Toc320515027"/>
      <w:bookmarkStart w:id="104" w:name="_Toc475104478"/>
      <w:bookmarkStart w:id="105" w:name="_Toc322680353"/>
      <w:r>
        <w:rPr>
          <w:rFonts w:hint="eastAsia" w:ascii="宋体" w:hAnsi="宋体"/>
          <w:b/>
          <w:color w:val="auto"/>
          <w:sz w:val="28"/>
          <w:szCs w:val="28"/>
          <w:highlight w:val="none"/>
          <w:lang w:eastAsia="zh-TW"/>
        </w:rPr>
        <w:t>磋商响应文件的编制</w:t>
      </w:r>
      <w:bookmarkEnd w:id="99"/>
      <w:bookmarkEnd w:id="100"/>
      <w:bookmarkEnd w:id="101"/>
      <w:bookmarkEnd w:id="102"/>
      <w:bookmarkEnd w:id="103"/>
      <w:bookmarkEnd w:id="104"/>
      <w:bookmarkEnd w:id="10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06" w:name="_Toc363737693"/>
      <w:bookmarkStart w:id="107" w:name="_Toc320515028"/>
      <w:bookmarkStart w:id="108" w:name="_Toc322680354"/>
      <w:bookmarkStart w:id="109" w:name="_Toc315793462"/>
      <w:bookmarkStart w:id="110" w:name="_Toc323110987"/>
      <w:bookmarkStart w:id="111" w:name="_Toc320515077"/>
      <w:bookmarkStart w:id="112" w:name="_Toc475104479"/>
      <w:r>
        <w:rPr>
          <w:rFonts w:hint="eastAsia" w:ascii="宋体" w:hAnsi="宋体"/>
          <w:b/>
          <w:bCs/>
          <w:color w:val="auto"/>
          <w:sz w:val="24"/>
          <w:highlight w:val="none"/>
        </w:rPr>
        <w:t>响应的语言</w:t>
      </w:r>
      <w:bookmarkEnd w:id="106"/>
      <w:bookmarkEnd w:id="107"/>
      <w:bookmarkEnd w:id="108"/>
      <w:bookmarkEnd w:id="109"/>
      <w:bookmarkEnd w:id="110"/>
      <w:bookmarkEnd w:id="111"/>
      <w:bookmarkEnd w:id="11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lang w:eastAsia="zh-CN"/>
        </w:rPr>
        <w:t>报价人</w:t>
      </w:r>
      <w:r>
        <w:rPr>
          <w:rFonts w:hint="eastAsia" w:ascii="宋体" w:hAnsi="宋体" w:cs="宋体"/>
          <w:color w:val="auto"/>
          <w:szCs w:val="21"/>
          <w:highlight w:val="none"/>
        </w:rPr>
        <w:t>提交的磋商响应文件以及</w:t>
      </w:r>
      <w:r>
        <w:rPr>
          <w:rFonts w:hint="eastAsia" w:ascii="宋体" w:hAnsi="宋体"/>
          <w:color w:val="auto"/>
          <w:highlight w:val="none"/>
          <w:lang w:eastAsia="zh-CN"/>
        </w:rPr>
        <w:t>报价人</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lang w:eastAsia="zh-CN"/>
        </w:rPr>
        <w:t>报价人</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13" w:name="_Toc320515029"/>
      <w:bookmarkStart w:id="114" w:name="_Toc475104480"/>
      <w:bookmarkStart w:id="115" w:name="_Toc320515078"/>
      <w:bookmarkStart w:id="116" w:name="_Toc315793463"/>
      <w:bookmarkStart w:id="117" w:name="_Toc323110988"/>
      <w:bookmarkStart w:id="118" w:name="_Toc363737694"/>
      <w:bookmarkStart w:id="119" w:name="_Toc322680355"/>
      <w:r>
        <w:rPr>
          <w:rFonts w:hint="eastAsia" w:ascii="宋体" w:hAnsi="宋体"/>
          <w:b/>
          <w:bCs/>
          <w:color w:val="auto"/>
          <w:sz w:val="24"/>
          <w:highlight w:val="none"/>
        </w:rPr>
        <w:t>磋商响应文件的构成</w:t>
      </w:r>
      <w:bookmarkEnd w:id="113"/>
      <w:bookmarkEnd w:id="114"/>
      <w:bookmarkEnd w:id="115"/>
      <w:bookmarkEnd w:id="116"/>
      <w:bookmarkEnd w:id="117"/>
      <w:bookmarkEnd w:id="118"/>
      <w:bookmarkEnd w:id="119"/>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lang w:eastAsia="zh-CN"/>
        </w:rPr>
        <w:t>报价人</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lang w:eastAsia="zh-CN"/>
        </w:rPr>
        <w:t>报价人</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lang w:eastAsia="zh-CN"/>
        </w:rPr>
        <w:t>报价人</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lang w:eastAsia="zh-CN"/>
        </w:rPr>
        <w:t>报价人</w:t>
      </w:r>
      <w:r>
        <w:rPr>
          <w:rFonts w:hint="eastAsia" w:ascii="宋体" w:hAnsi="宋体" w:cs="宋体"/>
          <w:color w:val="auto"/>
          <w:szCs w:val="21"/>
          <w:highlight w:val="none"/>
        </w:rPr>
        <w:t>认为须提交与评审内容相关的其他资料。</w:t>
      </w:r>
    </w:p>
    <w:p>
      <w:pPr>
        <w:pStyle w:val="177"/>
        <w:numPr>
          <w:ilvl w:val="1"/>
          <w:numId w:val="5"/>
        </w:numPr>
        <w:tabs>
          <w:tab w:val="left" w:pos="360"/>
          <w:tab w:val="left" w:pos="709"/>
        </w:tabs>
        <w:adjustRightInd w:val="0"/>
        <w:spacing w:line="360" w:lineRule="auto"/>
        <w:textAlignment w:val="baseline"/>
        <w:outlineLvl w:val="9"/>
        <w:rPr>
          <w:rFonts w:cs="宋体"/>
          <w:color w:val="auto"/>
          <w:sz w:val="21"/>
          <w:szCs w:val="21"/>
          <w:highlight w:val="none"/>
        </w:rPr>
      </w:pPr>
      <w:bookmarkStart w:id="120" w:name="_Toc475104481"/>
      <w:r>
        <w:rPr>
          <w:rFonts w:hint="eastAsia" w:cs="宋体"/>
          <w:color w:val="auto"/>
          <w:sz w:val="21"/>
          <w:szCs w:val="21"/>
          <w:highlight w:val="none"/>
        </w:rPr>
        <w:t>商务部分文件是指</w:t>
      </w:r>
      <w:r>
        <w:rPr>
          <w:rFonts w:hint="eastAsia" w:cs="宋体"/>
          <w:color w:val="auto"/>
          <w:sz w:val="21"/>
          <w:szCs w:val="21"/>
          <w:highlight w:val="none"/>
          <w:lang w:eastAsia="zh-CN"/>
        </w:rPr>
        <w:t>报价人</w:t>
      </w:r>
      <w:r>
        <w:rPr>
          <w:rFonts w:hint="eastAsia" w:cs="宋体"/>
          <w:color w:val="auto"/>
          <w:sz w:val="21"/>
          <w:szCs w:val="21"/>
          <w:highlight w:val="none"/>
        </w:rPr>
        <w:t>提交的证明</w:t>
      </w:r>
      <w:r>
        <w:rPr>
          <w:rFonts w:hint="eastAsia" w:cs="宋体"/>
          <w:color w:val="auto"/>
          <w:sz w:val="21"/>
          <w:szCs w:val="21"/>
          <w:highlight w:val="none"/>
          <w:lang w:eastAsia="zh-CN"/>
        </w:rPr>
        <w:t>报价人</w:t>
      </w:r>
      <w:r>
        <w:rPr>
          <w:rFonts w:hint="eastAsia" w:cs="宋体"/>
          <w:color w:val="auto"/>
          <w:sz w:val="21"/>
          <w:szCs w:val="21"/>
          <w:highlight w:val="none"/>
        </w:rPr>
        <w:t>的资格合格，且获得成交资格后有能力履行合同的文件。服务部分文件是指证明</w:t>
      </w:r>
      <w:r>
        <w:rPr>
          <w:rFonts w:hint="eastAsia" w:cs="宋体"/>
          <w:color w:val="auto"/>
          <w:sz w:val="21"/>
          <w:szCs w:val="21"/>
          <w:highlight w:val="none"/>
          <w:lang w:eastAsia="zh-CN"/>
        </w:rPr>
        <w:t>报价人</w:t>
      </w:r>
      <w:r>
        <w:rPr>
          <w:rFonts w:hint="eastAsia" w:cs="宋体"/>
          <w:color w:val="auto"/>
          <w:sz w:val="21"/>
          <w:szCs w:val="21"/>
          <w:highlight w:val="none"/>
        </w:rPr>
        <w:t>提供的服务和货物是合格的，而且符合本竞争性磋商文件规定的文件。</w:t>
      </w:r>
      <w:bookmarkEnd w:id="12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1" w:name="_Toc323110989"/>
      <w:bookmarkStart w:id="122" w:name="_Toc320515030"/>
      <w:bookmarkStart w:id="123" w:name="_Toc322680356"/>
      <w:bookmarkStart w:id="124" w:name="_Toc475104482"/>
      <w:bookmarkStart w:id="125" w:name="_Toc363737695"/>
      <w:bookmarkStart w:id="126" w:name="_Toc315793464"/>
      <w:bookmarkStart w:id="127" w:name="_Toc320515079"/>
      <w:r>
        <w:rPr>
          <w:rFonts w:hint="eastAsia" w:ascii="宋体" w:hAnsi="宋体"/>
          <w:b/>
          <w:bCs/>
          <w:color w:val="auto"/>
          <w:sz w:val="24"/>
          <w:highlight w:val="none"/>
        </w:rPr>
        <w:t>磋商响应文件的编写</w:t>
      </w:r>
      <w:bookmarkEnd w:id="121"/>
      <w:bookmarkEnd w:id="122"/>
      <w:bookmarkEnd w:id="123"/>
      <w:bookmarkEnd w:id="124"/>
      <w:bookmarkEnd w:id="125"/>
      <w:bookmarkEnd w:id="126"/>
      <w:bookmarkEnd w:id="127"/>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lang w:eastAsia="zh-CN"/>
        </w:rPr>
        <w:t>报价人</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lang w:eastAsia="zh-CN"/>
        </w:rPr>
        <w:t>报价人</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lang w:eastAsia="zh-CN"/>
        </w:rPr>
        <w:t>报价人</w:t>
      </w:r>
      <w:r>
        <w:rPr>
          <w:rFonts w:hint="eastAsia" w:ascii="宋体" w:hAnsi="宋体" w:cs="宋体"/>
          <w:color w:val="auto"/>
          <w:szCs w:val="21"/>
          <w:highlight w:val="none"/>
        </w:rPr>
        <w:t>承担。</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lang w:eastAsia="zh-CN"/>
        </w:rPr>
        <w:t>报价人</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lang w:eastAsia="zh-CN"/>
        </w:rPr>
        <w:t>报价人</w:t>
      </w:r>
      <w:r>
        <w:rPr>
          <w:rFonts w:hint="eastAsia" w:ascii="宋体" w:hAnsi="宋体" w:cs="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8" w:name="_Toc475104483"/>
      <w:bookmarkStart w:id="129" w:name="_Toc323110990"/>
      <w:bookmarkStart w:id="130" w:name="_Toc363737696"/>
      <w:r>
        <w:rPr>
          <w:rFonts w:hint="eastAsia" w:ascii="宋体" w:hAnsi="宋体"/>
          <w:b/>
          <w:bCs/>
          <w:color w:val="auto"/>
          <w:sz w:val="24"/>
          <w:highlight w:val="none"/>
        </w:rPr>
        <w:t>竞争性磋商报价</w:t>
      </w:r>
      <w:bookmarkEnd w:id="128"/>
      <w:bookmarkEnd w:id="129"/>
      <w:bookmarkEnd w:id="13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31" w:name="_Toc323110991"/>
      <w:bookmarkStart w:id="132" w:name="_Toc320515081"/>
      <w:bookmarkStart w:id="133" w:name="_Toc315793468"/>
      <w:bookmarkStart w:id="134" w:name="_Toc322680358"/>
      <w:bookmarkStart w:id="135" w:name="_Toc320515032"/>
      <w:r>
        <w:rPr>
          <w:rFonts w:hint="eastAsia" w:cs="宋体"/>
          <w:color w:val="auto"/>
          <w:szCs w:val="21"/>
          <w:highlight w:val="none"/>
          <w:lang w:eastAsia="zh-CN"/>
        </w:rPr>
        <w:t>报价人</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lang w:eastAsia="zh-CN"/>
        </w:rPr>
        <w:t>报价人</w:t>
      </w:r>
      <w:r>
        <w:rPr>
          <w:rFonts w:hint="eastAsia" w:ascii="宋体" w:hAnsi="宋体" w:cs="宋体"/>
          <w:color w:val="auto"/>
          <w:szCs w:val="21"/>
          <w:highlight w:val="none"/>
        </w:rPr>
        <w:t>作出书面说明并提供相关证明材料。</w:t>
      </w:r>
      <w:r>
        <w:rPr>
          <w:rFonts w:hint="eastAsia" w:cs="宋体"/>
          <w:color w:val="auto"/>
          <w:szCs w:val="21"/>
          <w:highlight w:val="none"/>
          <w:lang w:eastAsia="zh-CN"/>
        </w:rPr>
        <w:t>报价人</w:t>
      </w:r>
      <w:r>
        <w:rPr>
          <w:rFonts w:hint="eastAsia" w:ascii="宋体" w:hAnsi="宋体" w:cs="宋体"/>
          <w:color w:val="auto"/>
          <w:szCs w:val="21"/>
          <w:highlight w:val="none"/>
        </w:rPr>
        <w:t>不能合理说明或者不能提供相关证明材料的，由磋商小组认定该</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以低于成本报价竞标其报价应作无效竞标处理。</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报价为本次采购内容的综合单价包干响应报价即为合同价，不得在成交后提出任何增加费用要求，</w:t>
      </w:r>
      <w:r>
        <w:rPr>
          <w:rFonts w:hint="eastAsia" w:cs="宋体"/>
          <w:color w:val="auto"/>
          <w:szCs w:val="21"/>
          <w:highlight w:val="none"/>
          <w:lang w:eastAsia="zh-CN"/>
        </w:rPr>
        <w:t>报价人</w:t>
      </w:r>
      <w:r>
        <w:rPr>
          <w:rFonts w:hint="eastAsia" w:ascii="宋体" w:hAnsi="宋体" w:cs="宋体"/>
          <w:color w:val="auto"/>
          <w:szCs w:val="21"/>
          <w:highlight w:val="none"/>
        </w:rPr>
        <w:t>在报价时应充分考虑相关风险性因素。</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lang w:eastAsia="zh-CN"/>
        </w:rPr>
        <w:t>报价人</w:t>
      </w:r>
      <w:r>
        <w:rPr>
          <w:rFonts w:hint="eastAsia" w:ascii="宋体" w:hAnsi="宋体" w:cs="宋体"/>
          <w:color w:val="auto"/>
          <w:szCs w:val="21"/>
          <w:highlight w:val="none"/>
        </w:rPr>
        <w:t>在获得成交资格并签署合同后，服务期限内出现的任何遗漏，均由成交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负责，采购人将不再支付任何费用。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投标报价应为包括设计图纸和清单项目所发生的人工费、材料费、机械费、管理费、利润、项目措施费、规费、税金、配合费、预留金以及施工合同包含的所有风险、责任等全部费用。</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6" w:name="_Toc475104484"/>
      <w:bookmarkStart w:id="137" w:name="_Toc363737697"/>
      <w:r>
        <w:rPr>
          <w:rFonts w:hint="eastAsia" w:ascii="宋体" w:hAnsi="宋体"/>
          <w:b/>
          <w:bCs/>
          <w:color w:val="auto"/>
          <w:sz w:val="24"/>
          <w:highlight w:val="none"/>
        </w:rPr>
        <w:t>证明</w:t>
      </w:r>
      <w:r>
        <w:rPr>
          <w:rFonts w:hint="eastAsia" w:ascii="宋体" w:hAnsi="宋体"/>
          <w:b/>
          <w:bCs/>
          <w:color w:val="auto"/>
          <w:sz w:val="24"/>
          <w:highlight w:val="none"/>
          <w:lang w:eastAsia="zh-CN"/>
        </w:rPr>
        <w:t>报价人</w:t>
      </w:r>
      <w:r>
        <w:rPr>
          <w:rFonts w:hint="eastAsia" w:ascii="宋体" w:hAnsi="宋体"/>
          <w:b/>
          <w:bCs/>
          <w:color w:val="auto"/>
          <w:sz w:val="24"/>
          <w:highlight w:val="none"/>
        </w:rPr>
        <w:t>合格和资格的文件</w:t>
      </w:r>
      <w:bookmarkEnd w:id="131"/>
      <w:bookmarkEnd w:id="132"/>
      <w:bookmarkEnd w:id="133"/>
      <w:bookmarkEnd w:id="134"/>
      <w:bookmarkEnd w:id="135"/>
      <w:bookmarkEnd w:id="136"/>
      <w:bookmarkEnd w:id="137"/>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lang w:eastAsia="zh-CN"/>
        </w:rPr>
        <w:t>报价人</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提交的资格证明文件应证明其满足本须知定义的合格</w:t>
      </w:r>
      <w:r>
        <w:rPr>
          <w:rFonts w:hint="eastAsia" w:cs="宋体"/>
          <w:color w:val="auto"/>
          <w:szCs w:val="21"/>
          <w:highlight w:val="none"/>
          <w:lang w:eastAsia="zh-CN"/>
        </w:rPr>
        <w:t>报价人</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8" w:name="_Toc320515033"/>
      <w:bookmarkStart w:id="139" w:name="_Toc333236642"/>
      <w:bookmarkStart w:id="140" w:name="_Toc320515082"/>
      <w:bookmarkStart w:id="141" w:name="_Toc363737698"/>
      <w:bookmarkStart w:id="142" w:name="_Toc315793469"/>
      <w:bookmarkStart w:id="143" w:name="_Toc475104485"/>
      <w:bookmarkStart w:id="144" w:name="_Toc323110993"/>
      <w:r>
        <w:rPr>
          <w:rFonts w:hint="eastAsia" w:ascii="宋体" w:hAnsi="宋体"/>
          <w:b/>
          <w:bCs/>
          <w:color w:val="auto"/>
          <w:sz w:val="24"/>
          <w:highlight w:val="none"/>
        </w:rPr>
        <w:t>证明服务的合格性和符合磋商文件规定的文件</w:t>
      </w:r>
      <w:bookmarkEnd w:id="138"/>
      <w:bookmarkEnd w:id="139"/>
      <w:bookmarkEnd w:id="140"/>
      <w:bookmarkEnd w:id="141"/>
      <w:bookmarkEnd w:id="142"/>
      <w:bookmarkEnd w:id="143"/>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lang w:eastAsia="zh-CN"/>
        </w:rPr>
        <w:t>报价人</w:t>
      </w:r>
      <w:r>
        <w:rPr>
          <w:rFonts w:hint="eastAsia" w:ascii="宋体" w:hAnsi="宋体" w:cs="宋体"/>
          <w:color w:val="auto"/>
          <w:szCs w:val="21"/>
          <w:highlight w:val="none"/>
          <w:lang w:eastAsia="zh-TW"/>
        </w:rPr>
        <w:t>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lang w:eastAsia="zh-CN"/>
        </w:rPr>
        <w:t>报价人</w:t>
      </w:r>
      <w:r>
        <w:rPr>
          <w:rFonts w:hint="eastAsia" w:ascii="宋体" w:hAnsi="宋体" w:cs="宋体"/>
          <w:color w:val="auto"/>
          <w:szCs w:val="21"/>
          <w:highlight w:val="none"/>
        </w:rPr>
        <w:t>须提供所投服务的具体参数值。</w:t>
      </w:r>
      <w:r>
        <w:rPr>
          <w:rFonts w:hint="eastAsia" w:cs="宋体"/>
          <w:color w:val="auto"/>
          <w:szCs w:val="21"/>
          <w:highlight w:val="none"/>
          <w:lang w:eastAsia="zh-CN"/>
        </w:rPr>
        <w:t>报价人</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lang w:eastAsia="zh-CN"/>
        </w:rPr>
        <w:t>报价人</w:t>
      </w:r>
      <w:r>
        <w:rPr>
          <w:rFonts w:hint="eastAsia" w:ascii="宋体" w:hAnsi="宋体" w:cs="宋体"/>
          <w:color w:val="auto"/>
          <w:szCs w:val="21"/>
          <w:highlight w:val="none"/>
        </w:rPr>
        <w:t>在报价中要实质上满足或超过竞争性磋商文件的要求。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5" w:name="_Toc363737699"/>
      <w:r>
        <w:rPr>
          <w:rFonts w:hint="eastAsia" w:ascii="宋体" w:hAnsi="宋体"/>
          <w:b/>
          <w:bCs/>
          <w:color w:val="auto"/>
          <w:sz w:val="24"/>
          <w:highlight w:val="none"/>
        </w:rPr>
        <w:t>磋商保证金</w:t>
      </w:r>
    </w:p>
    <w:bookmarkEnd w:id="145"/>
    <w:p>
      <w:pPr>
        <w:numPr>
          <w:ilvl w:val="1"/>
          <w:numId w:val="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本项目不收取磋商保证金</w:t>
      </w:r>
    </w:p>
    <w:bookmarkEnd w:id="144"/>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6" w:name="_Toc351550769"/>
      <w:bookmarkStart w:id="147" w:name="_Toc394926941"/>
      <w:bookmarkStart w:id="148" w:name="_Toc475104487"/>
      <w:bookmarkStart w:id="149" w:name="_Toc323110994"/>
      <w:bookmarkStart w:id="150" w:name="_Toc363737700"/>
      <w:bookmarkStart w:id="151" w:name="_Toc320515084"/>
      <w:bookmarkStart w:id="152" w:name="_Toc322680361"/>
      <w:bookmarkStart w:id="153" w:name="_Toc315793471"/>
      <w:bookmarkStart w:id="154" w:name="_Toc320515035"/>
      <w:r>
        <w:rPr>
          <w:rFonts w:hint="eastAsia" w:ascii="宋体" w:hAnsi="宋体"/>
          <w:b/>
          <w:bCs/>
          <w:color w:val="auto"/>
          <w:sz w:val="24"/>
          <w:highlight w:val="none"/>
        </w:rPr>
        <w:t>政府采购信用担保</w:t>
      </w:r>
      <w:bookmarkEnd w:id="146"/>
      <w:bookmarkEnd w:id="147"/>
      <w:bookmarkEnd w:id="148"/>
    </w:p>
    <w:bookmarkEnd w:id="149"/>
    <w:bookmarkEnd w:id="150"/>
    <w:bookmarkEnd w:id="151"/>
    <w:bookmarkEnd w:id="152"/>
    <w:bookmarkEnd w:id="153"/>
    <w:bookmarkEnd w:id="154"/>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5" w:name="_Toc475104489"/>
      <w:r>
        <w:rPr>
          <w:rFonts w:hint="eastAsia" w:ascii="宋体" w:hAnsi="宋体"/>
          <w:color w:val="auto"/>
          <w:szCs w:val="21"/>
          <w:highlight w:val="none"/>
        </w:rPr>
        <w:t>履约担保，是指由专业担保机构为</w:t>
      </w:r>
      <w:r>
        <w:rPr>
          <w:rFonts w:hint="eastAsia" w:cs="宋体"/>
          <w:color w:val="auto"/>
          <w:szCs w:val="21"/>
          <w:highlight w:val="none"/>
          <w:lang w:eastAsia="zh-CN"/>
        </w:rPr>
        <w:t>报价人</w:t>
      </w:r>
      <w:r>
        <w:rPr>
          <w:rFonts w:hint="eastAsia" w:ascii="宋体" w:hAnsi="宋体"/>
          <w:color w:val="auto"/>
          <w:szCs w:val="21"/>
          <w:highlight w:val="none"/>
        </w:rPr>
        <w:t>支付履约保证金的义务向采购人提供的保证担保。</w:t>
      </w:r>
      <w:r>
        <w:rPr>
          <w:rFonts w:hint="eastAsia" w:cs="宋体"/>
          <w:color w:val="auto"/>
          <w:szCs w:val="21"/>
          <w:highlight w:val="none"/>
          <w:lang w:eastAsia="zh-CN"/>
        </w:rPr>
        <w:t>报价人</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lang w:eastAsia="zh-CN"/>
        </w:rPr>
        <w:t>报价人</w:t>
      </w:r>
      <w:r>
        <w:rPr>
          <w:rFonts w:hint="eastAsia" w:ascii="宋体" w:hAnsi="宋体"/>
          <w:color w:val="auto"/>
          <w:szCs w:val="21"/>
          <w:highlight w:val="none"/>
        </w:rPr>
        <w:t>可以自行选择是否采取履约担保函的形式交纳履约保证金。</w:t>
      </w:r>
      <w:bookmarkEnd w:id="155"/>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6" w:name="_Toc315793300"/>
      <w:bookmarkStart w:id="157" w:name="_Toc475104490"/>
      <w:r>
        <w:rPr>
          <w:rFonts w:hint="eastAsia"/>
          <w:color w:val="auto"/>
          <w:szCs w:val="21"/>
          <w:highlight w:val="none"/>
        </w:rPr>
        <w:t>融资担保，是指由专业担保机构为</w:t>
      </w:r>
      <w:r>
        <w:rPr>
          <w:rFonts w:hint="eastAsia" w:cs="宋体"/>
          <w:color w:val="auto"/>
          <w:szCs w:val="21"/>
          <w:highlight w:val="none"/>
          <w:lang w:eastAsia="zh-CN"/>
        </w:rPr>
        <w:t>报价人</w:t>
      </w:r>
      <w:r>
        <w:rPr>
          <w:rFonts w:hint="eastAsia"/>
          <w:color w:val="auto"/>
          <w:szCs w:val="21"/>
          <w:highlight w:val="none"/>
        </w:rPr>
        <w:t>向银行融资提供的保证担保。</w:t>
      </w:r>
      <w:r>
        <w:rPr>
          <w:rFonts w:hint="eastAsia" w:cs="宋体"/>
          <w:color w:val="auto"/>
          <w:szCs w:val="21"/>
          <w:highlight w:val="none"/>
          <w:lang w:eastAsia="zh-CN"/>
        </w:rPr>
        <w:t>报价人</w:t>
      </w:r>
      <w:r>
        <w:rPr>
          <w:rFonts w:hint="eastAsia"/>
          <w:color w:val="auto"/>
          <w:szCs w:val="21"/>
          <w:highlight w:val="none"/>
        </w:rPr>
        <w:t>可以自愿选择是否采取融资担保的形式为政府采购履约进行融资。</w:t>
      </w:r>
      <w:bookmarkEnd w:id="156"/>
      <w:bookmarkEnd w:id="157"/>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8" w:name="_Toc475104493"/>
      <w:r>
        <w:rPr>
          <w:rFonts w:hint="eastAsia" w:ascii="宋体" w:hAnsi="宋体"/>
          <w:color w:val="auto"/>
          <w:szCs w:val="21"/>
          <w:highlight w:val="none"/>
        </w:rPr>
        <w:t>专业担保机构的选择。</w:t>
      </w:r>
      <w:r>
        <w:rPr>
          <w:rFonts w:hint="eastAsia" w:cs="宋体"/>
          <w:color w:val="auto"/>
          <w:szCs w:val="21"/>
          <w:highlight w:val="none"/>
          <w:lang w:eastAsia="zh-CN"/>
        </w:rPr>
        <w:t>报价人</w:t>
      </w:r>
      <w:r>
        <w:rPr>
          <w:rFonts w:hint="eastAsia" w:ascii="宋体" w:hAnsi="宋体"/>
          <w:color w:val="auto"/>
          <w:szCs w:val="21"/>
          <w:highlight w:val="none"/>
        </w:rPr>
        <w:t>必须选定有合法资质的担保公司任一家作为专业担保机构。</w:t>
      </w:r>
    </w:p>
    <w:bookmarkEnd w:id="158"/>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lang w:eastAsia="zh-CN"/>
        </w:rPr>
        <w:t>报价人</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lang w:eastAsia="zh-CN"/>
        </w:rPr>
        <w:t>报价人</w:t>
      </w:r>
      <w:r>
        <w:rPr>
          <w:rFonts w:hint="eastAsia" w:ascii="宋体" w:hAnsi="宋体" w:cs="宋体"/>
          <w:color w:val="auto"/>
          <w:szCs w:val="21"/>
          <w:highlight w:val="none"/>
        </w:rPr>
        <w:t>可拒绝政府采购代理机构的这种要求，但其磋商响应在原响应有效期期满后将不再有效。同意延长响应有效期的</w:t>
      </w:r>
      <w:r>
        <w:rPr>
          <w:rFonts w:hint="eastAsia" w:cs="宋体"/>
          <w:color w:val="auto"/>
          <w:szCs w:val="21"/>
          <w:highlight w:val="none"/>
          <w:lang w:eastAsia="zh-CN"/>
        </w:rPr>
        <w:t>报价人</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59" w:name="_Toc320515085"/>
      <w:bookmarkStart w:id="160" w:name="_Toc363737701"/>
      <w:bookmarkStart w:id="161" w:name="_Toc320515036"/>
      <w:bookmarkStart w:id="162" w:name="_Toc315793472"/>
      <w:bookmarkStart w:id="163" w:name="_Toc475104494"/>
      <w:bookmarkStart w:id="164" w:name="_Toc322680363"/>
      <w:bookmarkStart w:id="165" w:name="_Toc320515037"/>
      <w:bookmarkStart w:id="166" w:name="_Toc320515086"/>
      <w:bookmarkStart w:id="167" w:name="_Toc323110996"/>
      <w:bookmarkStart w:id="168" w:name="_Toc315793473"/>
      <w:r>
        <w:rPr>
          <w:rFonts w:hint="eastAsia" w:ascii="宋体" w:hAnsi="宋体"/>
          <w:b/>
          <w:bCs/>
          <w:color w:val="auto"/>
          <w:sz w:val="24"/>
          <w:highlight w:val="none"/>
        </w:rPr>
        <w:t>磋商响应文件的式样和签署</w:t>
      </w:r>
      <w:bookmarkEnd w:id="159"/>
      <w:bookmarkEnd w:id="160"/>
      <w:bookmarkEnd w:id="161"/>
      <w:bookmarkEnd w:id="162"/>
      <w:bookmarkEnd w:id="16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lang w:eastAsia="zh-CN"/>
        </w:rPr>
        <w:t>报价人</w:t>
      </w:r>
      <w:r>
        <w:rPr>
          <w:rFonts w:hint="eastAsia" w:ascii="宋体" w:hAnsi="宋体" w:cs="宋体"/>
          <w:color w:val="auto"/>
          <w:szCs w:val="21"/>
          <w:highlight w:val="none"/>
        </w:rPr>
        <w:t>的全部磋商响应文件均不退回。</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w:t>
      </w:r>
      <w:r>
        <w:rPr>
          <w:rFonts w:hint="eastAsia" w:ascii="宋体" w:hAnsi="宋体" w:cs="宋体"/>
          <w:b/>
          <w:color w:val="auto"/>
          <w:szCs w:val="21"/>
          <w:highlight w:val="none"/>
          <w:u w:val="single"/>
          <w:lang w:eastAsia="zh-CN"/>
        </w:rPr>
        <w:t>报价人</w:t>
      </w:r>
      <w:r>
        <w:rPr>
          <w:rFonts w:hint="eastAsia" w:ascii="宋体" w:hAnsi="宋体" w:cs="宋体"/>
          <w:b/>
          <w:color w:val="auto"/>
          <w:szCs w:val="21"/>
          <w:highlight w:val="none"/>
          <w:u w:val="single"/>
        </w:rPr>
        <w:t>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69" w:name="_Toc363737702"/>
      <w:bookmarkStart w:id="170" w:name="_Toc475104495"/>
      <w:r>
        <w:rPr>
          <w:rFonts w:hint="eastAsia" w:ascii="宋体" w:hAnsi="宋体"/>
          <w:b/>
          <w:color w:val="auto"/>
          <w:sz w:val="28"/>
          <w:szCs w:val="28"/>
          <w:highlight w:val="none"/>
          <w:lang w:eastAsia="zh-TW"/>
        </w:rPr>
        <w:t>磋商响应文件的递交</w:t>
      </w:r>
      <w:bookmarkEnd w:id="164"/>
      <w:bookmarkEnd w:id="165"/>
      <w:bookmarkEnd w:id="166"/>
      <w:bookmarkEnd w:id="167"/>
      <w:bookmarkEnd w:id="168"/>
      <w:bookmarkEnd w:id="169"/>
      <w:bookmarkEnd w:id="170"/>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1" w:name="_Toc315793474"/>
      <w:bookmarkStart w:id="172" w:name="_Toc475104496"/>
      <w:bookmarkStart w:id="173" w:name="_Toc320515038"/>
      <w:bookmarkStart w:id="174" w:name="_Toc363737703"/>
      <w:bookmarkStart w:id="175" w:name="_Toc320515087"/>
      <w:r>
        <w:rPr>
          <w:rFonts w:hint="eastAsia" w:ascii="宋体" w:hAnsi="宋体"/>
          <w:b/>
          <w:bCs/>
          <w:color w:val="auto"/>
          <w:sz w:val="24"/>
          <w:highlight w:val="none"/>
        </w:rPr>
        <w:t>磋商响应文件的密封和标记</w:t>
      </w:r>
      <w:bookmarkEnd w:id="171"/>
      <w:bookmarkEnd w:id="172"/>
      <w:bookmarkEnd w:id="173"/>
      <w:bookmarkEnd w:id="174"/>
      <w:bookmarkEnd w:id="175"/>
    </w:p>
    <w:p>
      <w:pPr>
        <w:numPr>
          <w:ilvl w:val="1"/>
          <w:numId w:val="5"/>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5"/>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（3）密封不严、册装不整的。</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89"/>
        <w:tblW w:w="7200" w:type="dxa"/>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lang w:eastAsia="zh-CN"/>
              </w:rPr>
              <w:t>报价人</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lang w:eastAsia="zh-CN"/>
              </w:rPr>
              <w:t>报价人</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在规定的磋商时间2020</w:t>
            </w:r>
            <w:r>
              <w:rPr>
                <w:rFonts w:ascii="宋体" w:hAnsi="宋体"/>
                <w:color w:val="auto"/>
                <w:szCs w:val="21"/>
                <w:highlight w:val="none"/>
              </w:rPr>
              <w:t>年</w:t>
            </w:r>
            <w:r>
              <w:rPr>
                <w:rFonts w:hint="eastAsia" w:ascii="宋体" w:hAnsi="宋体"/>
                <w:color w:val="auto"/>
                <w:szCs w:val="21"/>
                <w:highlight w:val="none"/>
              </w:rPr>
              <w:t xml:space="preserve"> </w:t>
            </w:r>
            <w:r>
              <w:rPr>
                <w:rFonts w:ascii="宋体" w:hAnsi="宋体"/>
                <w:color w:val="auto"/>
                <w:szCs w:val="21"/>
                <w:highlight w:val="none"/>
              </w:rPr>
              <w:t>月</w:t>
            </w:r>
            <w:r>
              <w:rPr>
                <w:rFonts w:hint="eastAsia" w:ascii="宋体" w:hAnsi="宋体"/>
                <w:color w:val="auto"/>
                <w:szCs w:val="21"/>
                <w:highlight w:val="none"/>
              </w:rPr>
              <w:t xml:space="preserve"> </w:t>
            </w:r>
            <w:r>
              <w:rPr>
                <w:rFonts w:ascii="宋体" w:hAnsi="宋体"/>
                <w:color w:val="auto"/>
                <w:szCs w:val="21"/>
                <w:highlight w:val="none"/>
              </w:rPr>
              <w:t>日</w:t>
            </w:r>
            <w:r>
              <w:rPr>
                <w:rFonts w:hint="eastAsia" w:ascii="宋体" w:hAnsi="宋体"/>
                <w:color w:val="auto"/>
                <w:szCs w:val="21"/>
                <w:highlight w:val="none"/>
              </w:rPr>
              <w:t>前不得启封</w:t>
            </w:r>
          </w:p>
        </w:tc>
      </w:tr>
    </w:tbl>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6" w:name="_Toc320515040"/>
      <w:bookmarkStart w:id="177" w:name="_Toc323110999"/>
      <w:bookmarkStart w:id="178" w:name="_Toc315793476"/>
      <w:bookmarkStart w:id="179" w:name="_Toc322680366"/>
      <w:bookmarkStart w:id="180" w:name="_Toc320515089"/>
      <w:r>
        <w:rPr>
          <w:rFonts w:hint="eastAsia" w:ascii="宋体" w:hAnsi="宋体"/>
          <w:b/>
          <w:bCs/>
          <w:color w:val="auto"/>
          <w:sz w:val="24"/>
          <w:highlight w:val="none"/>
        </w:rPr>
        <w:t>磋商响应文件递交截止期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6"/>
    <w:bookmarkEnd w:id="177"/>
    <w:bookmarkEnd w:id="178"/>
    <w:bookmarkEnd w:id="179"/>
    <w:bookmarkEnd w:id="180"/>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1" w:name="_Toc363737705"/>
      <w:bookmarkStart w:id="182" w:name="_Toc475104498"/>
      <w:bookmarkStart w:id="183" w:name="_Toc323111000"/>
      <w:r>
        <w:rPr>
          <w:rFonts w:hint="eastAsia" w:ascii="宋体" w:hAnsi="宋体"/>
          <w:b/>
          <w:bCs/>
          <w:color w:val="auto"/>
          <w:sz w:val="24"/>
          <w:highlight w:val="none"/>
        </w:rPr>
        <w:t>磋商响应文件的修改和撤回</w:t>
      </w:r>
      <w:bookmarkEnd w:id="181"/>
      <w:bookmarkEnd w:id="18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lang w:eastAsia="zh-CN"/>
        </w:rPr>
        <w:t>报价人</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84" w:name="_Toc363737706"/>
      <w:bookmarkStart w:id="185" w:name="_Toc475104499"/>
      <w:r>
        <w:rPr>
          <w:rFonts w:hint="eastAsia" w:ascii="宋体" w:hAnsi="宋体"/>
          <w:b/>
          <w:color w:val="auto"/>
          <w:sz w:val="28"/>
          <w:szCs w:val="28"/>
          <w:highlight w:val="none"/>
        </w:rPr>
        <w:t>竞争性磋商流程</w:t>
      </w:r>
      <w:bookmarkEnd w:id="183"/>
      <w:bookmarkEnd w:id="184"/>
      <w:bookmarkEnd w:id="18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6" w:name="_Toc323111001"/>
      <w:bookmarkStart w:id="187" w:name="_Toc475104500"/>
      <w:bookmarkStart w:id="188" w:name="_Toc363737707"/>
      <w:r>
        <w:rPr>
          <w:rFonts w:hint="eastAsia" w:ascii="宋体" w:hAnsi="宋体"/>
          <w:b/>
          <w:bCs/>
          <w:color w:val="auto"/>
          <w:sz w:val="24"/>
          <w:highlight w:val="none"/>
        </w:rPr>
        <w:t>磋商及抽取磋商顺序</w:t>
      </w:r>
      <w:bookmarkEnd w:id="186"/>
      <w:bookmarkEnd w:id="187"/>
      <w:bookmarkEnd w:id="18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w:t>
      </w:r>
      <w:r>
        <w:rPr>
          <w:rFonts w:hint="eastAsia" w:ascii="宋体" w:hAnsi="宋体" w:cs="宋体"/>
          <w:b/>
          <w:color w:val="auto"/>
          <w:szCs w:val="21"/>
          <w:highlight w:val="none"/>
          <w:lang w:eastAsia="zh-CN"/>
        </w:rPr>
        <w:t>报价人</w:t>
      </w:r>
      <w:r>
        <w:rPr>
          <w:rFonts w:hint="eastAsia" w:ascii="宋体" w:hAnsi="宋体" w:cs="宋体"/>
          <w:b/>
          <w:color w:val="auto"/>
          <w:szCs w:val="21"/>
          <w:highlight w:val="none"/>
          <w:lang w:eastAsia="zh-TW"/>
        </w:rPr>
        <w:t>代表持本人身份证原件</w:t>
      </w:r>
      <w:r>
        <w:rPr>
          <w:rFonts w:hint="eastAsia" w:ascii="宋体" w:hAnsi="宋体" w:cs="宋体"/>
          <w:b/>
          <w:color w:val="auto"/>
          <w:szCs w:val="21"/>
          <w:highlight w:val="none"/>
        </w:rPr>
        <w:t>、法定代表人证明书、法定代表人授权书（如适用）参加。</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lang w:eastAsia="zh-CN"/>
        </w:rPr>
        <w:t>报价人</w:t>
      </w:r>
      <w:r>
        <w:rPr>
          <w:rFonts w:hint="eastAsia" w:ascii="宋体" w:hAnsi="宋体" w:cs="宋体"/>
          <w:color w:val="auto"/>
          <w:kern w:val="0"/>
          <w:szCs w:val="21"/>
          <w:highlight w:val="none"/>
        </w:rPr>
        <w:t>授权代表作为全体</w:t>
      </w:r>
      <w:r>
        <w:rPr>
          <w:rFonts w:hint="eastAsia" w:cs="宋体"/>
          <w:color w:val="auto"/>
          <w:szCs w:val="21"/>
          <w:highlight w:val="none"/>
          <w:lang w:eastAsia="zh-CN"/>
        </w:rPr>
        <w:t>报价人</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lang w:eastAsia="zh-CN"/>
        </w:rPr>
        <w:t>报价人</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lang w:eastAsia="zh-CN"/>
        </w:rPr>
        <w:t>报价人</w:t>
      </w:r>
      <w:r>
        <w:rPr>
          <w:rFonts w:hint="eastAsia" w:ascii="宋体" w:hAnsi="宋体" w:cs="宋体"/>
          <w:color w:val="auto"/>
          <w:szCs w:val="21"/>
          <w:highlight w:val="none"/>
        </w:rPr>
        <w:t>抽签决定磋商顺序。</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9" w:name="_Toc475104501"/>
      <w:bookmarkStart w:id="190" w:name="_Toc363737708"/>
      <w:bookmarkStart w:id="191" w:name="_Toc323111002"/>
      <w:r>
        <w:rPr>
          <w:rFonts w:hint="eastAsia" w:ascii="宋体" w:hAnsi="宋体"/>
          <w:b/>
          <w:bCs/>
          <w:color w:val="auto"/>
          <w:sz w:val="24"/>
          <w:highlight w:val="none"/>
        </w:rPr>
        <w:t>磋商小组</w:t>
      </w:r>
      <w:bookmarkEnd w:id="189"/>
      <w:bookmarkEnd w:id="190"/>
      <w:bookmarkEnd w:id="191"/>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92" w:name="_Toc315793480"/>
      <w:bookmarkStart w:id="193" w:name="_Toc363737709"/>
      <w:bookmarkStart w:id="194" w:name="_Toc323111003"/>
      <w:bookmarkStart w:id="195" w:name="_Toc322680370"/>
      <w:bookmarkStart w:id="196" w:name="_Toc320515044"/>
      <w:bookmarkStart w:id="197" w:name="_Toc320515093"/>
      <w:bookmarkStart w:id="198"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lang w:eastAsia="zh-CN"/>
        </w:rPr>
        <w:t>报价人</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lang w:eastAsia="zh-CN"/>
        </w:rPr>
        <w:t>报价人</w:t>
      </w:r>
      <w:r>
        <w:rPr>
          <w:rFonts w:hint="eastAsia" w:ascii="宋体" w:hAnsi="宋体" w:cs="宋体"/>
          <w:color w:val="auto"/>
          <w:szCs w:val="21"/>
          <w:highlight w:val="none"/>
        </w:rPr>
        <w:t>发生过法律纠纷；</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lang w:eastAsia="zh-CN"/>
        </w:rPr>
        <w:t>报价人</w:t>
      </w:r>
      <w:r>
        <w:rPr>
          <w:rFonts w:hint="eastAsia" w:ascii="宋体" w:hAnsi="宋体" w:cs="宋体"/>
          <w:color w:val="auto"/>
          <w:szCs w:val="21"/>
          <w:highlight w:val="none"/>
        </w:rPr>
        <w:t>存在行政隶属关系；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lang w:eastAsia="zh-CN"/>
        </w:rPr>
        <w:t>报价人</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lang w:eastAsia="zh-CN"/>
        </w:rPr>
        <w:t>报价人</w:t>
      </w:r>
      <w:r>
        <w:rPr>
          <w:rFonts w:hint="eastAsia" w:ascii="宋体" w:hAnsi="宋体" w:cs="宋体"/>
          <w:color w:val="auto"/>
          <w:szCs w:val="21"/>
          <w:highlight w:val="none"/>
        </w:rPr>
        <w:t>存在其他经济利益关系；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lang w:eastAsia="zh-CN"/>
        </w:rPr>
        <w:t>报价人</w:t>
      </w:r>
      <w:r>
        <w:rPr>
          <w:rFonts w:hint="eastAsia" w:ascii="宋体" w:hAnsi="宋体" w:cs="宋体"/>
          <w:color w:val="auto"/>
          <w:szCs w:val="21"/>
          <w:highlight w:val="none"/>
        </w:rPr>
        <w:t>的法定代表人或者负责人有夫妻、直系血亲、三代以内旁系血亲或者近姻亲关系；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92"/>
      <w:bookmarkEnd w:id="193"/>
      <w:bookmarkEnd w:id="194"/>
      <w:bookmarkEnd w:id="195"/>
      <w:bookmarkEnd w:id="196"/>
      <w:bookmarkEnd w:id="197"/>
      <w:r>
        <w:rPr>
          <w:rFonts w:hint="eastAsia" w:ascii="宋体" w:hAnsi="宋体"/>
          <w:b/>
          <w:bCs/>
          <w:color w:val="auto"/>
          <w:sz w:val="24"/>
          <w:highlight w:val="none"/>
        </w:rPr>
        <w:t>资格性审查及符合性检查</w:t>
      </w:r>
      <w:bookmarkEnd w:id="19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lang w:eastAsia="zh-CN"/>
        </w:rPr>
        <w:t>报价人</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lang w:eastAsia="zh-CN"/>
        </w:rPr>
        <w:t>报价人</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lang w:eastAsia="zh-CN"/>
        </w:rPr>
        <w:t>报价人</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lang w:eastAsia="zh-CN"/>
        </w:rPr>
        <w:t>报价人</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lang w:eastAsia="zh-CN"/>
        </w:rPr>
        <w:t>报价人</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lang w:eastAsia="zh-CN"/>
        </w:rPr>
        <w:t>报价人</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9" w:name="_Toc323111004"/>
      <w:bookmarkStart w:id="200" w:name="_Toc475104503"/>
      <w:bookmarkStart w:id="201" w:name="_Toc363737710"/>
      <w:bookmarkStart w:id="202" w:name="_Toc351716665"/>
      <w:bookmarkStart w:id="203" w:name="_Toc323111005"/>
      <w:bookmarkStart w:id="204" w:name="_Toc320515096"/>
      <w:bookmarkStart w:id="205" w:name="_Toc322680372"/>
      <w:bookmarkStart w:id="206" w:name="_Toc320515047"/>
      <w:bookmarkStart w:id="207" w:name="_Toc315793483"/>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lang w:eastAsia="zh-CN"/>
        </w:rPr>
        <w:t>报价人</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lang w:eastAsia="zh-CN"/>
        </w:rPr>
        <w:t>报价人</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9"/>
      <w:r>
        <w:rPr>
          <w:rFonts w:hint="eastAsia" w:ascii="宋体" w:hAnsi="宋体"/>
          <w:b/>
          <w:bCs/>
          <w:color w:val="auto"/>
          <w:sz w:val="24"/>
          <w:highlight w:val="none"/>
        </w:rPr>
        <w:t>及谈判</w:t>
      </w:r>
      <w:bookmarkEnd w:id="200"/>
      <w:bookmarkEnd w:id="201"/>
      <w:bookmarkEnd w:id="202"/>
    </w:p>
    <w:p>
      <w:pPr>
        <w:numPr>
          <w:ilvl w:val="1"/>
          <w:numId w:val="5"/>
        </w:numPr>
        <w:autoSpaceDE w:val="0"/>
        <w:autoSpaceDN w:val="0"/>
        <w:adjustRightInd w:val="0"/>
        <w:snapToGrid w:val="0"/>
        <w:spacing w:line="360" w:lineRule="auto"/>
        <w:jc w:val="left"/>
        <w:rPr>
          <w:rFonts w:ascii="宋体" w:hAnsi="宋体"/>
          <w:color w:val="auto"/>
          <w:szCs w:val="21"/>
          <w:highlight w:val="none"/>
        </w:rPr>
      </w:pPr>
      <w:bookmarkStart w:id="208" w:name="_Toc475104505"/>
      <w:bookmarkStart w:id="209"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lang w:eastAsia="zh-CN"/>
        </w:rPr>
        <w:t>报价人</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lang w:eastAsia="zh-CN"/>
        </w:rPr>
        <w:t>报价人</w:t>
      </w:r>
      <w:r>
        <w:rPr>
          <w:rFonts w:hint="eastAsia" w:ascii="宋体" w:hAnsi="宋体"/>
          <w:color w:val="auto"/>
          <w:szCs w:val="21"/>
          <w:highlight w:val="none"/>
        </w:rPr>
        <w:t>应实行现场告知，以让其核证、澄清事实。</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w:t>
      </w:r>
      <w:r>
        <w:rPr>
          <w:rFonts w:hint="eastAsia" w:ascii="宋体" w:hAnsi="宋体"/>
          <w:color w:val="auto"/>
          <w:szCs w:val="21"/>
          <w:highlight w:val="none"/>
          <w:lang w:eastAsia="zh-CN"/>
        </w:rPr>
        <w:t>报价人</w:t>
      </w:r>
      <w:r>
        <w:rPr>
          <w:rFonts w:hint="eastAsia" w:ascii="宋体" w:hAnsi="宋体"/>
          <w:color w:val="auto"/>
          <w:szCs w:val="21"/>
          <w:highlight w:val="none"/>
        </w:rPr>
        <w:t>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w:t>
      </w:r>
      <w:r>
        <w:rPr>
          <w:rFonts w:hint="eastAsia" w:ascii="宋体" w:hAnsi="宋体"/>
          <w:color w:val="auto"/>
          <w:szCs w:val="21"/>
          <w:highlight w:val="none"/>
          <w:lang w:eastAsia="zh-CN"/>
        </w:rPr>
        <w:t>报价人</w:t>
      </w:r>
      <w:r>
        <w:rPr>
          <w:rFonts w:hint="eastAsia" w:ascii="宋体" w:hAnsi="宋体"/>
          <w:color w:val="auto"/>
          <w:szCs w:val="21"/>
          <w:highlight w:val="none"/>
        </w:rPr>
        <w:t>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lang w:eastAsia="zh-CN"/>
        </w:rPr>
        <w:t>报价人</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lang w:eastAsia="zh-CN"/>
        </w:rPr>
        <w:t>报价人</w:t>
      </w:r>
      <w:r>
        <w:rPr>
          <w:rFonts w:hint="eastAsia" w:ascii="宋体" w:hAnsi="宋体"/>
          <w:color w:val="auto"/>
          <w:szCs w:val="21"/>
          <w:highlight w:val="none"/>
        </w:rPr>
        <w:t>的服务、价格和其他任何信息。</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lang w:eastAsia="zh-CN"/>
        </w:rPr>
        <w:t>报价人</w:t>
      </w:r>
      <w:r>
        <w:rPr>
          <w:rFonts w:hint="eastAsia" w:ascii="宋体" w:hAnsi="宋体"/>
          <w:color w:val="auto"/>
          <w:szCs w:val="21"/>
          <w:highlight w:val="none"/>
        </w:rPr>
        <w:t>。但任何形式的决定须以符合公平、公正原则和有利于项目的顺利实施为前提。</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lang w:eastAsia="zh-CN"/>
        </w:rPr>
        <w:t>报价人</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lang w:eastAsia="zh-CN"/>
        </w:rPr>
        <w:t>报价人</w:t>
      </w:r>
      <w:r>
        <w:rPr>
          <w:rFonts w:hint="eastAsia" w:ascii="宋体" w:hAnsi="宋体"/>
          <w:color w:val="auto"/>
          <w:szCs w:val="21"/>
          <w:highlight w:val="none"/>
        </w:rPr>
        <w:t>提交的澄清文件和最后报价文件，由</w:t>
      </w:r>
      <w:r>
        <w:rPr>
          <w:rFonts w:hint="eastAsia" w:cs="宋体"/>
          <w:color w:val="auto"/>
          <w:szCs w:val="21"/>
          <w:highlight w:val="none"/>
          <w:lang w:eastAsia="zh-CN"/>
        </w:rPr>
        <w:t>报价人</w:t>
      </w:r>
      <w:r>
        <w:rPr>
          <w:rFonts w:hint="eastAsia" w:ascii="宋体" w:hAnsi="宋体"/>
          <w:color w:val="auto"/>
          <w:szCs w:val="21"/>
          <w:highlight w:val="none"/>
        </w:rPr>
        <w:t>法人代表或其授权代表签字或加盖公章后生效。</w:t>
      </w:r>
      <w:r>
        <w:rPr>
          <w:rFonts w:hint="eastAsia" w:ascii="宋体" w:hAnsi="宋体"/>
          <w:color w:val="auto"/>
          <w:szCs w:val="21"/>
          <w:highlight w:val="none"/>
          <w:lang w:eastAsia="zh-CN"/>
        </w:rPr>
        <w:t>报价人</w:t>
      </w:r>
      <w:r>
        <w:rPr>
          <w:rFonts w:hint="eastAsia" w:ascii="宋体" w:hAnsi="宋体"/>
          <w:color w:val="auto"/>
          <w:szCs w:val="21"/>
          <w:highlight w:val="none"/>
        </w:rPr>
        <w:t>为自然人的，应当由本人签字并附身份证明。</w:t>
      </w:r>
      <w:r>
        <w:rPr>
          <w:rFonts w:hint="eastAsia" w:cs="宋体"/>
          <w:color w:val="auto"/>
          <w:szCs w:val="21"/>
          <w:highlight w:val="none"/>
          <w:lang w:eastAsia="zh-CN"/>
        </w:rPr>
        <w:t>报价人</w:t>
      </w:r>
      <w:r>
        <w:rPr>
          <w:rFonts w:hint="eastAsia" w:ascii="宋体" w:hAnsi="宋体"/>
          <w:color w:val="auto"/>
          <w:szCs w:val="21"/>
          <w:highlight w:val="none"/>
        </w:rPr>
        <w:t>应受其约束。</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w:t>
      </w:r>
      <w:r>
        <w:rPr>
          <w:rFonts w:hint="eastAsia" w:ascii="宋体" w:hAnsi="宋体"/>
          <w:color w:val="auto"/>
          <w:szCs w:val="21"/>
          <w:highlight w:val="none"/>
          <w:lang w:eastAsia="zh-CN"/>
        </w:rPr>
        <w:t>报价人</w:t>
      </w:r>
      <w:r>
        <w:rPr>
          <w:rFonts w:hint="eastAsia" w:ascii="宋体" w:hAnsi="宋体"/>
          <w:color w:val="auto"/>
          <w:szCs w:val="21"/>
          <w:highlight w:val="none"/>
        </w:rPr>
        <w:t>后，由磋商小组采用综合评分法对提交最后报价的</w:t>
      </w:r>
      <w:r>
        <w:rPr>
          <w:rFonts w:hint="eastAsia" w:ascii="宋体" w:hAnsi="宋体"/>
          <w:color w:val="auto"/>
          <w:szCs w:val="21"/>
          <w:highlight w:val="none"/>
          <w:lang w:eastAsia="zh-CN"/>
        </w:rPr>
        <w:t>报价人</w:t>
      </w:r>
      <w:r>
        <w:rPr>
          <w:rFonts w:hint="eastAsia" w:ascii="宋体" w:hAnsi="宋体"/>
          <w:color w:val="auto"/>
          <w:szCs w:val="21"/>
          <w:highlight w:val="none"/>
        </w:rPr>
        <w:t>的响应文件和最后报价进行综合评分。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0" w:name="_Toc475104504"/>
      <w:bookmarkStart w:id="211" w:name="_Toc363737711"/>
      <w:bookmarkStart w:id="212" w:name="_Toc351716666"/>
      <w:r>
        <w:rPr>
          <w:rFonts w:hint="eastAsia" w:ascii="宋体" w:hAnsi="宋体"/>
          <w:b/>
          <w:bCs/>
          <w:color w:val="auto"/>
          <w:sz w:val="24"/>
          <w:highlight w:val="none"/>
        </w:rPr>
        <w:t>评定成交的评审方法和标准</w:t>
      </w:r>
      <w:bookmarkEnd w:id="210"/>
      <w:bookmarkEnd w:id="211"/>
      <w:bookmarkEnd w:id="212"/>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小型和微型企业产品价格扣除</w:t>
      </w:r>
      <w:bookmarkEnd w:id="208"/>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27.1根据财政部、工业和信息化部印发的《政府采购促进中小企业发展暂行办法》（财库[2011]181号）和《广州市人民政府办公厅关于印发应对疫情影响进一步支持中小微企业健康发展若干措施的通知》（穗府办规〔2020〕9号）的规定，对小型和微型企业产品的价格给予8%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27.3符合中小企业划分标准，并以</w:t>
      </w:r>
      <w:r>
        <w:rPr>
          <w:rFonts w:hint="eastAsia" w:ascii="宋体" w:hAnsi="宋体"/>
          <w:bCs/>
          <w:color w:val="auto"/>
          <w:szCs w:val="21"/>
          <w:highlight w:val="none"/>
          <w:u w:val="single"/>
        </w:rPr>
        <w:t>提供中小企业管理部门出具的证明为准</w:t>
      </w:r>
      <w:r>
        <w:rPr>
          <w:rFonts w:hint="eastAsia" w:ascii="宋体" w:hAnsi="宋体"/>
          <w:bCs/>
          <w:color w:val="auto"/>
          <w:szCs w:val="21"/>
          <w:highlight w:val="none"/>
        </w:rPr>
        <w:t>；</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szCs w:val="21"/>
          <w:highlight w:val="none"/>
        </w:rPr>
        <w:t>27.7</w:t>
      </w:r>
      <w:r>
        <w:rPr>
          <w:rFonts w:hint="eastAsia" w:ascii="宋体" w:hAnsi="宋体"/>
          <w:bCs/>
          <w:color w:val="auto"/>
          <w:highlight w:val="none"/>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highlight w:val="none"/>
        </w:rPr>
        <w:t>27.9</w:t>
      </w:r>
      <w:r>
        <w:rPr>
          <w:rFonts w:hint="eastAsia" w:ascii="宋体" w:hAnsi="宋体"/>
          <w:bCs/>
          <w:color w:val="auto"/>
          <w:highlight w:val="none"/>
          <w:lang w:eastAsia="zh-CN"/>
        </w:rPr>
        <w:t>报价人</w:t>
      </w:r>
      <w:r>
        <w:rPr>
          <w:rFonts w:hint="eastAsia" w:ascii="宋体" w:hAnsi="宋体"/>
          <w:bCs/>
          <w:color w:val="auto"/>
          <w:highlight w:val="none"/>
        </w:rPr>
        <w:t>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auto"/>
          <w:szCs w:val="21"/>
          <w:highlight w:val="none"/>
        </w:rPr>
      </w:pPr>
      <w:r>
        <w:rPr>
          <w:rFonts w:hint="eastAsia" w:ascii="宋体" w:hAnsi="宋体"/>
          <w:bCs/>
          <w:color w:val="auto"/>
          <w:szCs w:val="21"/>
          <w:highlight w:val="none"/>
        </w:rPr>
        <w:t>27.10</w:t>
      </w:r>
      <w:r>
        <w:rPr>
          <w:rFonts w:hint="eastAsia" w:ascii="宋体" w:hAnsi="宋体"/>
          <w:color w:val="auto"/>
          <w:szCs w:val="21"/>
          <w:highlight w:val="none"/>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auto"/>
          <w:sz w:val="24"/>
          <w:highlight w:val="none"/>
        </w:rPr>
      </w:pPr>
      <w:bookmarkStart w:id="213" w:name="_Toc475104506"/>
      <w:r>
        <w:rPr>
          <w:rFonts w:hint="eastAsia" w:ascii="宋体" w:hAnsi="宋体"/>
          <w:color w:val="auto"/>
          <w:szCs w:val="21"/>
          <w:highlight w:val="none"/>
        </w:rPr>
        <w:t>27.11</w:t>
      </w:r>
      <w:r>
        <w:rPr>
          <w:rFonts w:hint="eastAsia" w:ascii="宋体" w:hAnsi="宋体"/>
          <w:bCs/>
          <w:color w:val="auto"/>
          <w:highlight w:val="none"/>
          <w:lang w:eastAsia="zh-CN"/>
        </w:rPr>
        <w:t>报价人</w:t>
      </w:r>
      <w:r>
        <w:rPr>
          <w:rFonts w:hint="eastAsia" w:ascii="宋体" w:hAnsi="宋体"/>
          <w:bCs/>
          <w:color w:val="auto"/>
          <w:szCs w:val="21"/>
          <w:highlight w:val="none"/>
        </w:rPr>
        <w:t>应当提供《</w:t>
      </w:r>
      <w:r>
        <w:rPr>
          <w:rFonts w:hint="eastAsia" w:ascii="宋体" w:hAnsi="宋体"/>
          <w:color w:val="auto"/>
          <w:szCs w:val="21"/>
          <w:highlight w:val="none"/>
          <w:lang w:val="en-GB"/>
        </w:rPr>
        <w:t>产品适用政府采购政策情况表</w:t>
      </w:r>
      <w:r>
        <w:rPr>
          <w:rFonts w:hint="eastAsia" w:ascii="宋体" w:hAnsi="宋体"/>
          <w:bCs/>
          <w:color w:val="auto"/>
          <w:szCs w:val="21"/>
          <w:highlight w:val="none"/>
        </w:rPr>
        <w:t>》（格式见报价文件格式）。</w:t>
      </w:r>
      <w:bookmarkEnd w:id="213"/>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4" w:name="_Toc475104507"/>
      <w:r>
        <w:rPr>
          <w:rFonts w:hint="eastAsia" w:ascii="宋体" w:hAnsi="宋体"/>
          <w:b/>
          <w:bCs/>
          <w:color w:val="auto"/>
          <w:sz w:val="24"/>
          <w:highlight w:val="none"/>
        </w:rPr>
        <w:t>定标原则与授标</w:t>
      </w:r>
      <w:bookmarkEnd w:id="203"/>
      <w:bookmarkEnd w:id="204"/>
      <w:bookmarkEnd w:id="205"/>
      <w:bookmarkEnd w:id="206"/>
      <w:bookmarkEnd w:id="207"/>
      <w:bookmarkEnd w:id="209"/>
      <w:bookmarkEnd w:id="214"/>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15" w:name="_Toc363737713"/>
      <w:bookmarkStart w:id="216" w:name="_Toc320515048"/>
      <w:bookmarkStart w:id="217" w:name="_Toc320515097"/>
      <w:bookmarkStart w:id="218" w:name="_Toc315793484"/>
      <w:bookmarkStart w:id="219" w:name="_Toc475104508"/>
      <w:bookmarkStart w:id="220" w:name="_Toc323111007"/>
      <w:bookmarkStart w:id="221" w:name="_Toc322680374"/>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w:t>
      </w:r>
      <w:r>
        <w:rPr>
          <w:rFonts w:hint="eastAsia" w:ascii="宋体" w:hAnsi="宋体"/>
          <w:color w:val="auto"/>
          <w:szCs w:val="21"/>
          <w:highlight w:val="none"/>
          <w:lang w:eastAsia="zh-CN"/>
        </w:rPr>
        <w:t>报价人</w:t>
      </w:r>
      <w:r>
        <w:rPr>
          <w:rFonts w:hint="eastAsia" w:ascii="宋体" w:hAnsi="宋体"/>
          <w:color w:val="auto"/>
          <w:szCs w:val="21"/>
          <w:highlight w:val="none"/>
        </w:rPr>
        <w:t>，也可以事先授权磋商小组直接确定成交</w:t>
      </w:r>
      <w:r>
        <w:rPr>
          <w:rFonts w:hint="eastAsia" w:ascii="宋体" w:hAnsi="宋体"/>
          <w:color w:val="auto"/>
          <w:szCs w:val="21"/>
          <w:highlight w:val="none"/>
          <w:lang w:eastAsia="zh-CN"/>
        </w:rPr>
        <w:t>报价人</w:t>
      </w:r>
      <w:r>
        <w:rPr>
          <w:rFonts w:hint="eastAsia" w:ascii="宋体" w:hAnsi="宋体"/>
          <w:color w:val="auto"/>
          <w:szCs w:val="21"/>
          <w:highlight w:val="none"/>
        </w:rPr>
        <w:t>。确认后政府采购代理机构将在政府采购指定媒体上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w:t>
      </w:r>
      <w:r>
        <w:rPr>
          <w:rFonts w:hint="eastAsia" w:ascii="宋体" w:hAnsi="宋体"/>
          <w:color w:val="auto"/>
          <w:szCs w:val="21"/>
          <w:highlight w:val="none"/>
          <w:lang w:eastAsia="zh-CN"/>
        </w:rPr>
        <w:t>报价人</w:t>
      </w:r>
      <w:r>
        <w:rPr>
          <w:rFonts w:hint="eastAsia" w:ascii="宋体" w:hAnsi="宋体"/>
          <w:color w:val="auto"/>
          <w:szCs w:val="21"/>
          <w:highlight w:val="none"/>
        </w:rPr>
        <w:t>，政府采购代理机构不再以其他方式另行通知。</w:t>
      </w:r>
    </w:p>
    <w:p>
      <w:pPr>
        <w:numPr>
          <w:ilvl w:val="1"/>
          <w:numId w:val="5"/>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政府购买服务项目（含政府和社会资本合作项目），在采购过程中符合要求的</w:t>
      </w:r>
      <w:r>
        <w:rPr>
          <w:rFonts w:hint="eastAsia" w:ascii="宋体" w:hAnsi="宋体"/>
          <w:bCs/>
          <w:color w:val="auto"/>
          <w:highlight w:val="none"/>
          <w:lang w:eastAsia="zh-CN"/>
        </w:rPr>
        <w:t>报价人</w:t>
      </w:r>
      <w:r>
        <w:rPr>
          <w:rFonts w:hint="eastAsia" w:ascii="宋体" w:hAnsi="宋体"/>
          <w:color w:val="auto"/>
          <w:highlight w:val="none"/>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highlight w:val="none"/>
        </w:rPr>
      </w:pPr>
      <w:r>
        <w:rPr>
          <w:rFonts w:hint="eastAsia" w:ascii="宋体" w:hAnsi="宋体"/>
          <w:color w:val="auto"/>
          <w:szCs w:val="21"/>
          <w:highlight w:val="none"/>
        </w:rPr>
        <w:t>27.5.</w:t>
      </w:r>
      <w:r>
        <w:rPr>
          <w:rFonts w:hint="eastAsia" w:ascii="宋体" w:hAnsi="宋体"/>
          <w:color w:val="auto"/>
          <w:highlight w:val="none"/>
        </w:rPr>
        <w:t>因不可抗力或自身原因不能履行政府采购合同的、不按要求与采购人签订政府采购合同、成交</w:t>
      </w:r>
      <w:r>
        <w:rPr>
          <w:rFonts w:hint="eastAsia" w:ascii="宋体" w:hAnsi="宋体"/>
          <w:color w:val="auto"/>
          <w:highlight w:val="none"/>
          <w:lang w:eastAsia="zh-CN"/>
        </w:rPr>
        <w:t>报价人</w:t>
      </w:r>
      <w:r>
        <w:rPr>
          <w:rFonts w:hint="eastAsia" w:ascii="宋体" w:hAnsi="宋体"/>
          <w:color w:val="auto"/>
          <w:highlight w:val="none"/>
        </w:rPr>
        <w:t>放弃成交、成交资格被依法确认无效的，采购人可以与排位在成交</w:t>
      </w:r>
      <w:r>
        <w:rPr>
          <w:rFonts w:hint="eastAsia" w:ascii="宋体" w:hAnsi="宋体"/>
          <w:color w:val="auto"/>
          <w:highlight w:val="none"/>
          <w:lang w:eastAsia="zh-CN"/>
        </w:rPr>
        <w:t>报价人</w:t>
      </w:r>
      <w:r>
        <w:rPr>
          <w:rFonts w:hint="eastAsia" w:ascii="宋体" w:hAnsi="宋体"/>
          <w:color w:val="auto"/>
          <w:highlight w:val="none"/>
        </w:rPr>
        <w:t>之后第一位的成交候选人签订政府采购合同，没有其他成交候选人的，应当重新组织采购活动。</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5"/>
      <w:bookmarkEnd w:id="216"/>
      <w:bookmarkEnd w:id="217"/>
      <w:bookmarkEnd w:id="218"/>
      <w:bookmarkEnd w:id="219"/>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lang w:eastAsia="zh-CN"/>
        </w:rPr>
        <w:t>报价人</w:t>
      </w:r>
      <w:r>
        <w:rPr>
          <w:rFonts w:hint="eastAsia" w:ascii="宋体" w:hAnsi="宋体"/>
          <w:color w:val="auto"/>
          <w:szCs w:val="21"/>
          <w:highlight w:val="none"/>
        </w:rPr>
        <w:t>的姓名或者名称、地址、邮编、联系人及联系电话；</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w:t>
      </w:r>
      <w:r>
        <w:rPr>
          <w:rFonts w:hint="eastAsia" w:ascii="宋体" w:hAnsi="宋体"/>
          <w:color w:val="auto"/>
          <w:szCs w:val="21"/>
          <w:highlight w:val="none"/>
          <w:lang w:eastAsia="zh-CN"/>
        </w:rPr>
        <w:t>报价人</w:t>
      </w:r>
      <w:r>
        <w:rPr>
          <w:rFonts w:hint="eastAsia" w:ascii="宋体" w:hAnsi="宋体"/>
          <w:color w:val="auto"/>
          <w:szCs w:val="21"/>
          <w:highlight w:val="none"/>
        </w:rPr>
        <w:t>为自然人的，应当由本人签字；</w:t>
      </w:r>
      <w:r>
        <w:rPr>
          <w:rFonts w:hint="eastAsia" w:ascii="宋体" w:hAnsi="宋体"/>
          <w:color w:val="auto"/>
          <w:szCs w:val="21"/>
          <w:highlight w:val="none"/>
          <w:lang w:eastAsia="zh-CN"/>
        </w:rPr>
        <w:t>报价人</w:t>
      </w:r>
      <w:r>
        <w:rPr>
          <w:rFonts w:hint="eastAsia" w:ascii="宋体" w:hAnsi="宋体"/>
          <w:color w:val="auto"/>
          <w:szCs w:val="21"/>
          <w:highlight w:val="none"/>
        </w:rPr>
        <w:t>为法人或者其他组织的，应当由法定代表人、主要负责人，或者其授权代表签字或者盖章，并加盖公章。</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lang w:eastAsia="zh-CN"/>
        </w:rPr>
        <w:t>报价人</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lang w:eastAsia="zh-CN"/>
        </w:rPr>
        <w:t>报价人</w:t>
      </w:r>
      <w:r>
        <w:rPr>
          <w:rFonts w:hint="eastAsia" w:ascii="宋体" w:hAnsi="宋体"/>
          <w:color w:val="auto"/>
          <w:szCs w:val="21"/>
          <w:highlight w:val="none"/>
        </w:rPr>
        <w:t>公章）在竞争性磋商文件公示期间或者自期满之日起7个工作日内向政府采购代理机构提交质疑书，逾期质疑无效。</w:t>
      </w:r>
      <w:r>
        <w:rPr>
          <w:rFonts w:hint="eastAsia" w:ascii="宋体" w:hAnsi="宋体"/>
          <w:bCs/>
          <w:color w:val="auto"/>
          <w:highlight w:val="none"/>
          <w:lang w:eastAsia="zh-CN"/>
        </w:rPr>
        <w:t>报价人</w:t>
      </w:r>
      <w:r>
        <w:rPr>
          <w:rFonts w:hint="eastAsia" w:ascii="宋体" w:hAnsi="宋体"/>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lang w:eastAsia="zh-CN"/>
        </w:rPr>
        <w:t>报价人</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lang w:eastAsia="zh-CN"/>
        </w:rPr>
        <w:t>报价人</w:t>
      </w:r>
      <w:r>
        <w:rPr>
          <w:rFonts w:hint="eastAsia" w:ascii="宋体" w:hAnsi="宋体" w:cs="黑体"/>
          <w:bCs/>
          <w:color w:val="auto"/>
          <w:szCs w:val="21"/>
          <w:highlight w:val="none"/>
        </w:rPr>
        <w:t>公章）在知道或者应知其权益受到损害之日起7个工作日内向政府采购代理机构提交质疑书，逾期质疑无效。</w:t>
      </w:r>
      <w:r>
        <w:rPr>
          <w:rFonts w:hint="eastAsia" w:ascii="宋体" w:hAnsi="宋体"/>
          <w:bCs/>
          <w:color w:val="auto"/>
          <w:highlight w:val="none"/>
          <w:lang w:eastAsia="zh-CN"/>
        </w:rPr>
        <w:t>报价人</w:t>
      </w:r>
      <w:r>
        <w:rPr>
          <w:rFonts w:hint="eastAsia" w:ascii="宋体" w:hAnsi="宋体" w:cs="黑体"/>
          <w:bCs/>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lang w:eastAsia="zh-CN"/>
        </w:rPr>
        <w:t>报价人</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lang w:eastAsia="zh-CN"/>
        </w:rPr>
        <w:t>报价人</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lang w:eastAsia="zh-CN"/>
        </w:rPr>
        <w:t>报价人</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lang w:eastAsia="zh-CN"/>
        </w:rPr>
        <w:t>报价人</w:t>
      </w:r>
      <w:r>
        <w:rPr>
          <w:rFonts w:hint="eastAsia" w:ascii="宋体" w:hAnsi="宋体"/>
          <w:color w:val="auto"/>
          <w:szCs w:val="21"/>
          <w:highlight w:val="none"/>
        </w:rPr>
        <w:t>需要修改、补充质疑函的，应当在质疑有效期内提交修改或补充材料。质疑函收到日期以提交修改或补充的质疑函之日计算。</w:t>
      </w:r>
    </w:p>
    <w:bookmarkEnd w:id="220"/>
    <w:bookmarkEnd w:id="221"/>
    <w:p>
      <w:pPr>
        <w:numPr>
          <w:ilvl w:val="0"/>
          <w:numId w:val="5"/>
        </w:numPr>
        <w:autoSpaceDE w:val="0"/>
        <w:autoSpaceDN w:val="0"/>
        <w:adjustRightInd w:val="0"/>
        <w:snapToGrid w:val="0"/>
        <w:spacing w:line="360" w:lineRule="auto"/>
        <w:outlineLvl w:val="0"/>
        <w:rPr>
          <w:rFonts w:hint="eastAsia" w:ascii="宋体" w:hAnsi="宋体"/>
          <w:b/>
          <w:bCs/>
          <w:color w:val="auto"/>
          <w:sz w:val="24"/>
          <w:highlight w:val="none"/>
        </w:rPr>
      </w:pPr>
      <w:bookmarkStart w:id="222" w:name="_Toc363737714"/>
      <w:bookmarkStart w:id="223" w:name="_Toc475104509"/>
      <w:r>
        <w:rPr>
          <w:rFonts w:hint="eastAsia" w:ascii="宋体" w:hAnsi="宋体" w:cs="宋体"/>
          <w:b/>
          <w:bCs/>
          <w:color w:val="auto"/>
          <w:sz w:val="24"/>
          <w:highlight w:val="none"/>
          <w:lang w:eastAsia="zh-CN"/>
        </w:rPr>
        <w:t>报价人</w:t>
      </w:r>
      <w:r>
        <w:rPr>
          <w:rFonts w:hint="eastAsia" w:ascii="宋体" w:hAnsi="宋体" w:eastAsia="宋体" w:cs="宋体"/>
          <w:b/>
          <w:bCs/>
          <w:color w:val="auto"/>
          <w:sz w:val="24"/>
          <w:highlight w:val="none"/>
        </w:rPr>
        <w:t>询问的途径、接收质疑函的方式</w:t>
      </w:r>
      <w:r>
        <w:rPr>
          <w:rFonts w:hint="eastAsia" w:ascii="宋体" w:hAnsi="宋体"/>
          <w:b/>
          <w:bCs/>
          <w:color w:val="auto"/>
          <w:sz w:val="24"/>
          <w:highlight w:val="none"/>
        </w:rPr>
        <w:t>：</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质疑接收机构名称：</w:t>
      </w:r>
      <w:r>
        <w:rPr>
          <w:rFonts w:hint="eastAsia" w:ascii="宋体" w:hAnsi="宋体" w:eastAsia="宋体" w:cs="宋体"/>
          <w:color w:val="auto"/>
          <w:szCs w:val="21"/>
          <w:highlight w:val="none"/>
          <w:lang w:eastAsia="zh-CN"/>
        </w:rPr>
        <w:t>广州市信怡招标代理有限公司</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质疑接收机构地址：</w:t>
      </w:r>
      <w:r>
        <w:rPr>
          <w:rFonts w:hint="eastAsia" w:ascii="宋体" w:hAnsi="宋体" w:eastAsia="宋体" w:cs="宋体"/>
          <w:color w:val="auto"/>
          <w:szCs w:val="21"/>
          <w:highlight w:val="none"/>
          <w:lang w:eastAsia="zh-CN"/>
        </w:rPr>
        <w:t>广州市海珠区红卫新村西路29号UP智谷D栋503房</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质疑接收部门联系人：</w:t>
      </w:r>
      <w:r>
        <w:rPr>
          <w:rFonts w:hint="eastAsia" w:ascii="宋体" w:hAnsi="宋体" w:eastAsia="宋体" w:cs="宋体"/>
          <w:color w:val="auto"/>
          <w:szCs w:val="21"/>
          <w:highlight w:val="none"/>
          <w:lang w:eastAsia="zh-CN"/>
        </w:rPr>
        <w:t>胡先生</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质疑接收机构电话：020-</w:t>
      </w:r>
      <w:r>
        <w:rPr>
          <w:rFonts w:hint="eastAsia" w:ascii="宋体" w:hAnsi="宋体" w:eastAsia="宋体" w:cs="宋体"/>
          <w:color w:val="auto"/>
          <w:szCs w:val="21"/>
          <w:highlight w:val="none"/>
          <w:lang w:val="en-US" w:eastAsia="zh-CN"/>
        </w:rPr>
        <w:t>89001296</w:t>
      </w:r>
      <w:r>
        <w:rPr>
          <w:rFonts w:hint="eastAsia" w:ascii="宋体" w:hAnsi="宋体" w:eastAsia="宋体" w:cs="宋体"/>
          <w:color w:val="auto"/>
          <w:szCs w:val="21"/>
          <w:highlight w:val="none"/>
        </w:rPr>
        <w:t>（工作/接收时间：</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0-17：00）</w:t>
      </w:r>
    </w:p>
    <w:p>
      <w:pPr>
        <w:numPr>
          <w:ilvl w:val="1"/>
          <w:numId w:val="5"/>
        </w:numPr>
        <w:autoSpaceDE w:val="0"/>
        <w:autoSpaceDN w:val="0"/>
        <w:adjustRightInd w:val="0"/>
        <w:snapToGrid w:val="0"/>
        <w:spacing w:line="360" w:lineRule="auto"/>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质疑接收机构传真：020-</w:t>
      </w:r>
      <w:r>
        <w:rPr>
          <w:rFonts w:hint="eastAsia" w:ascii="宋体" w:hAnsi="宋体" w:eastAsia="宋体" w:cs="宋体"/>
          <w:color w:val="auto"/>
          <w:szCs w:val="21"/>
          <w:highlight w:val="none"/>
          <w:lang w:val="en-US" w:eastAsia="zh-CN"/>
        </w:rPr>
        <w:t>89001292</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成交通知书</w:t>
      </w:r>
      <w:bookmarkEnd w:id="222"/>
      <w:bookmarkEnd w:id="22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lang w:eastAsia="zh-TW"/>
        </w:rPr>
        <w:t>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lang w:eastAsia="zh-TW"/>
        </w:rPr>
        <w:t>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lang w:eastAsia="zh-TW"/>
        </w:rPr>
        <w:t>和采购人具有同等法律效力。</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224" w:name="_Toc315793486"/>
      <w:bookmarkStart w:id="225" w:name="_Toc363737715"/>
      <w:bookmarkStart w:id="226" w:name="_Toc320515099"/>
      <w:bookmarkStart w:id="227" w:name="_Toc475104510"/>
      <w:bookmarkStart w:id="228" w:name="_Toc320515050"/>
      <w:bookmarkStart w:id="229" w:name="_Toc28489462"/>
      <w:bookmarkStart w:id="230" w:name="_Toc14450813"/>
      <w:r>
        <w:rPr>
          <w:rFonts w:hint="eastAsia" w:ascii="宋体" w:hAnsi="宋体"/>
          <w:b/>
          <w:color w:val="auto"/>
          <w:sz w:val="28"/>
          <w:szCs w:val="28"/>
          <w:highlight w:val="none"/>
          <w:lang w:eastAsia="zh-TW"/>
        </w:rPr>
        <w:t>授予合同</w:t>
      </w:r>
      <w:bookmarkEnd w:id="224"/>
      <w:bookmarkEnd w:id="225"/>
      <w:bookmarkEnd w:id="226"/>
      <w:bookmarkEnd w:id="227"/>
      <w:bookmarkEnd w:id="228"/>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31" w:name="_Toc475104511"/>
      <w:bookmarkStart w:id="232" w:name="_Toc320515100"/>
      <w:bookmarkStart w:id="233" w:name="_Toc363737716"/>
      <w:bookmarkStart w:id="234" w:name="_Toc320515051"/>
      <w:bookmarkStart w:id="235" w:name="_Toc315793487"/>
      <w:r>
        <w:rPr>
          <w:rFonts w:hint="eastAsia" w:ascii="宋体" w:hAnsi="宋体"/>
          <w:b/>
          <w:bCs/>
          <w:color w:val="auto"/>
          <w:sz w:val="24"/>
          <w:highlight w:val="none"/>
        </w:rPr>
        <w:t>合同的订立</w:t>
      </w:r>
      <w:bookmarkEnd w:id="231"/>
      <w:bookmarkEnd w:id="232"/>
      <w:bookmarkEnd w:id="233"/>
      <w:bookmarkEnd w:id="234"/>
      <w:bookmarkEnd w:id="235"/>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36" w:name="_Toc315793488"/>
      <w:bookmarkStart w:id="237" w:name="_Toc320515101"/>
      <w:bookmarkStart w:id="238" w:name="_Toc363737717"/>
      <w:bookmarkStart w:id="239" w:name="_Toc320515052"/>
      <w:bookmarkStart w:id="240" w:name="_Toc475104512"/>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w:t>
      </w:r>
      <w:r>
        <w:rPr>
          <w:rFonts w:hint="eastAsia" w:ascii="宋体" w:hAnsi="宋体" w:cs="宋体"/>
          <w:color w:val="auto"/>
          <w:szCs w:val="21"/>
          <w:highlight w:val="none"/>
          <w:lang w:eastAsia="zh-CN"/>
        </w:rPr>
        <w:t>报价人</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lang w:eastAsia="zh-TW"/>
        </w:rPr>
        <w:t>签订书面合同。所签订的合同不得对竞争性磋商文件和成交</w:t>
      </w:r>
      <w:r>
        <w:rPr>
          <w:rFonts w:hint="eastAsia" w:ascii="宋体" w:hAnsi="宋体" w:cs="宋体"/>
          <w:color w:val="auto"/>
          <w:szCs w:val="21"/>
          <w:highlight w:val="none"/>
          <w:lang w:eastAsia="zh-CN"/>
        </w:rPr>
        <w:t>报价人</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招标采购单位不得向成交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提出任何不合理的要求，作为签订合同的条件，不得与成交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 xml:space="preserve">私下订立背离合同实质性内容的协议。 </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6"/>
      <w:bookmarkEnd w:id="237"/>
      <w:bookmarkEnd w:id="238"/>
      <w:bookmarkEnd w:id="239"/>
      <w:bookmarkEnd w:id="240"/>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lang w:eastAsia="zh-TW"/>
        </w:rPr>
        <w:t>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1" w:name="_Toc363737720"/>
      <w:bookmarkStart w:id="242" w:name="_Toc475104515"/>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41"/>
      <w:bookmarkEnd w:id="242"/>
    </w:p>
    <w:p>
      <w:pPr>
        <w:numPr>
          <w:ilvl w:val="0"/>
          <w:numId w:val="5"/>
        </w:numPr>
        <w:autoSpaceDE w:val="0"/>
        <w:autoSpaceDN w:val="0"/>
        <w:adjustRightInd w:val="0"/>
        <w:snapToGrid w:val="0"/>
        <w:spacing w:line="360" w:lineRule="auto"/>
        <w:outlineLvl w:val="0"/>
        <w:rPr>
          <w:rFonts w:ascii="宋体" w:hAnsi="宋体" w:cs="宋体"/>
          <w:b/>
          <w:color w:val="auto"/>
          <w:sz w:val="24"/>
          <w:highlight w:val="none"/>
        </w:rPr>
      </w:pPr>
      <w:bookmarkStart w:id="243" w:name="_Toc475104518"/>
      <w:bookmarkStart w:id="244" w:name="_Toc363737723"/>
      <w:r>
        <w:rPr>
          <w:rFonts w:hint="eastAsia" w:ascii="宋体" w:hAnsi="宋体" w:cs="宋体"/>
          <w:b/>
          <w:color w:val="auto"/>
          <w:sz w:val="24"/>
          <w:highlight w:val="none"/>
        </w:rPr>
        <w:t>其他</w:t>
      </w:r>
      <w:bookmarkEnd w:id="243"/>
      <w:bookmarkEnd w:id="244"/>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5" w:name="_Toc363737724"/>
      <w:bookmarkStart w:id="246" w:name="_Toc475104519"/>
      <w:r>
        <w:rPr>
          <w:rFonts w:hint="eastAsia" w:ascii="宋体" w:hAnsi="宋体" w:cs="宋体"/>
          <w:color w:val="auto"/>
          <w:szCs w:val="21"/>
          <w:highlight w:val="none"/>
        </w:rPr>
        <w:t>本项目相关公告在以下媒体发布：中国采购与招标网（网址：www.chinabidding.com.cn）、广州市信怡招标代理有限公司网站（www.gzxyzb.com）和广东省农业科学院动物科学研究所网站（new.gdias.net或www.gdias.com ）。相关公告在法定媒体上公布之日即视为有效送达，不再另行通知。</w:t>
      </w:r>
      <w:bookmarkEnd w:id="245"/>
      <w:bookmarkEnd w:id="246"/>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7" w:name="_Toc475104520"/>
      <w:bookmarkStart w:id="248" w:name="_Toc363737725"/>
      <w:r>
        <w:rPr>
          <w:rFonts w:hint="eastAsia" w:ascii="宋体" w:hAnsi="宋体" w:cs="宋体"/>
          <w:color w:val="auto"/>
          <w:szCs w:val="21"/>
          <w:highlight w:val="none"/>
        </w:rPr>
        <w:t>其他未尽事宜，依照《中华人民共和国政府采购法》和省市相关法律、法规执行。</w:t>
      </w:r>
      <w:bookmarkEnd w:id="247"/>
      <w:bookmarkEnd w:id="248"/>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w:t>
      </w:r>
      <w:r>
        <w:rPr>
          <w:rFonts w:hint="eastAsia" w:ascii="宋体" w:hAnsi="宋体"/>
          <w:b/>
          <w:color w:val="auto"/>
          <w:szCs w:val="21"/>
          <w:highlight w:val="none"/>
          <w:lang w:eastAsia="zh-CN"/>
        </w:rPr>
        <w:t>报价人</w:t>
      </w:r>
      <w:r>
        <w:rPr>
          <w:rFonts w:hint="eastAsia" w:ascii="宋体" w:hAnsi="宋体"/>
          <w:b/>
          <w:color w:val="auto"/>
          <w:szCs w:val="21"/>
          <w:highlight w:val="none"/>
        </w:rPr>
        <w:t>提交询问函、质疑函时使用，不属于响应文件格式的组成部分。</w:t>
      </w:r>
    </w:p>
    <w:p>
      <w:pPr>
        <w:jc w:val="center"/>
        <w:rPr>
          <w:rFonts w:ascii="宋体" w:hAnsi="宋体"/>
          <w:b/>
          <w:bCs/>
          <w:color w:val="auto"/>
          <w:sz w:val="28"/>
          <w:szCs w:val="28"/>
          <w:highlight w:val="none"/>
        </w:rPr>
      </w:pPr>
    </w:p>
    <w:p>
      <w:pPr>
        <w:jc w:val="center"/>
        <w:rPr>
          <w:rFonts w:ascii="宋体"/>
          <w:b/>
          <w:bCs/>
          <w:color w:val="auto"/>
          <w:sz w:val="28"/>
          <w:szCs w:val="28"/>
          <w:highlight w:val="none"/>
        </w:rPr>
      </w:pPr>
      <w:r>
        <w:rPr>
          <w:rFonts w:hint="eastAsia" w:ascii="宋体" w:hAnsi="宋体"/>
          <w:b/>
          <w:bCs/>
          <w:color w:val="auto"/>
          <w:sz w:val="28"/>
          <w:szCs w:val="28"/>
          <w:highlight w:val="none"/>
        </w:rPr>
        <w:t>询</w:t>
      </w:r>
      <w:r>
        <w:rPr>
          <w:rFonts w:ascii="宋体" w:hAnsi="宋体"/>
          <w:b/>
          <w:bCs/>
          <w:color w:val="auto"/>
          <w:sz w:val="28"/>
          <w:szCs w:val="28"/>
          <w:highlight w:val="none"/>
        </w:rPr>
        <w:t xml:space="preserve">  </w:t>
      </w:r>
      <w:r>
        <w:rPr>
          <w:rFonts w:hint="eastAsia" w:ascii="宋体" w:hAnsi="宋体"/>
          <w:b/>
          <w:bCs/>
          <w:color w:val="auto"/>
          <w:sz w:val="28"/>
          <w:szCs w:val="28"/>
          <w:highlight w:val="none"/>
        </w:rPr>
        <w:t>问</w:t>
      </w:r>
      <w:r>
        <w:rPr>
          <w:rFonts w:ascii="宋体" w:hAnsi="宋体"/>
          <w:b/>
          <w:bCs/>
          <w:color w:val="auto"/>
          <w:sz w:val="28"/>
          <w:szCs w:val="28"/>
          <w:highlight w:val="none"/>
        </w:rPr>
        <w:t xml:space="preserve">  </w:t>
      </w:r>
      <w:r>
        <w:rPr>
          <w:rFonts w:hint="eastAsia" w:ascii="宋体" w:hAnsi="宋体"/>
          <w:b/>
          <w:bCs/>
          <w:color w:val="auto"/>
          <w:sz w:val="28"/>
          <w:szCs w:val="28"/>
          <w:highlight w:val="none"/>
        </w:rPr>
        <w:t>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w:t>
      </w:r>
      <w:r>
        <w:rPr>
          <w:rFonts w:hint="eastAsia"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pStyle w:val="2"/>
        <w:rPr>
          <w:color w:val="auto"/>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日组织的政府采购活动。根据《政府采购法》和《政府采购</w:t>
      </w:r>
      <w:r>
        <w:rPr>
          <w:rFonts w:hint="eastAsia" w:ascii="宋体" w:hAnsi="宋体"/>
          <w:color w:val="auto"/>
          <w:szCs w:val="21"/>
          <w:highlight w:val="none"/>
          <w:lang w:eastAsia="zh-CN"/>
        </w:rPr>
        <w:t>报价人</w:t>
      </w:r>
      <w:r>
        <w:rPr>
          <w:rFonts w:hint="eastAsia" w:ascii="宋体" w:hAnsi="宋体"/>
          <w:color w:val="auto"/>
          <w:szCs w:val="21"/>
          <w:highlight w:val="none"/>
        </w:rPr>
        <w:t>投诉处理办法》等规定，我公司认为</w:t>
      </w:r>
      <w:r>
        <w:rPr>
          <w:rFonts w:ascii="宋体" w:hAnsi="宋体"/>
          <w:color w:val="auto"/>
          <w:szCs w:val="21"/>
          <w:highlight w:val="none"/>
          <w:u w:val="single"/>
        </w:rPr>
        <w:t xml:space="preserve"> </w:t>
      </w:r>
      <w:r>
        <w:rPr>
          <w:rFonts w:hint="eastAsia" w:ascii="宋体" w:hAnsi="宋体"/>
          <w:color w:val="auto"/>
          <w:szCs w:val="21"/>
          <w:highlight w:val="none"/>
          <w:u w:val="single"/>
        </w:rPr>
        <w:t>（采购项目名称）（采购项目编号：</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项目的采购活动中，</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ascii="宋体" w:hAnsi="宋体"/>
          <w:color w:val="auto"/>
          <w:szCs w:val="21"/>
          <w:highlight w:val="none"/>
          <w:u w:val="single"/>
        </w:rPr>
        <w:t xml:space="preserve"> </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．质疑内容采购文件页，内容“</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 xml:space="preserve"> </w:t>
      </w:r>
      <w:r>
        <w:rPr>
          <w:rFonts w:hint="eastAsia" w:ascii="宋体" w:hAnsi="宋体"/>
          <w:color w:val="auto"/>
          <w:szCs w:val="21"/>
          <w:highlight w:val="none"/>
        </w:rPr>
        <w:t>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我方请求采购文件做如下修改：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我方对采购文件其他内容无质疑。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日，在进行的（收取采购文件（样品）、开标、谈判）过程，发生损害了我公司权益的事项，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w:t>
      </w:r>
      <w:r>
        <w:rPr>
          <w:rFonts w:hint="eastAsia" w:ascii="宋体" w:hAnsi="宋体"/>
          <w:color w:val="auto"/>
          <w:szCs w:val="21"/>
          <w:highlight w:val="none"/>
          <w:lang w:eastAsia="zh-CN"/>
        </w:rPr>
        <w:t>报价人</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u w:val="single"/>
        </w:rPr>
        <w:t>（签章）</w:t>
      </w:r>
      <w:r>
        <w:rPr>
          <w:rFonts w:ascii="宋体" w:hAnsi="宋体"/>
          <w:color w:val="auto"/>
          <w:szCs w:val="21"/>
          <w:highlight w:val="none"/>
          <w:u w:val="single"/>
        </w:rPr>
        <w:t xml:space="preserve">  </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w:t>
      </w:r>
      <w:r>
        <w:rPr>
          <w:rFonts w:ascii="宋体" w:hAnsi="宋体"/>
          <w:color w:val="auto"/>
          <w:szCs w:val="21"/>
          <w:highlight w:val="none"/>
        </w:rPr>
        <w:t xml:space="preserve"> </w:t>
      </w:r>
      <w:r>
        <w:rPr>
          <w:rFonts w:hint="eastAsia" w:ascii="宋体" w:hAnsi="宋体"/>
          <w:color w:val="auto"/>
          <w:szCs w:val="21"/>
          <w:highlight w:val="none"/>
        </w:rPr>
        <w:t>：（签署本人姓名或印盖本人姓名章）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lang w:eastAsia="zh-CN"/>
        </w:rPr>
        <w:t>报价人</w:t>
      </w:r>
      <w:r>
        <w:rPr>
          <w:rFonts w:hint="eastAsia" w:ascii="宋体" w:hAnsi="宋体"/>
          <w:color w:val="auto"/>
          <w:szCs w:val="21"/>
          <w:highlight w:val="none"/>
        </w:rPr>
        <w:t>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w:t>
      </w:r>
      <w:r>
        <w:rPr>
          <w:rFonts w:hint="eastAsia" w:ascii="宋体" w:hAnsi="宋体"/>
          <w:color w:val="auto"/>
          <w:szCs w:val="21"/>
          <w:highlight w:val="none"/>
          <w:lang w:eastAsia="zh-CN"/>
        </w:rPr>
        <w:t>报价人</w:t>
      </w:r>
      <w:r>
        <w:rPr>
          <w:rFonts w:hint="eastAsia" w:ascii="宋体" w:hAnsi="宋体"/>
          <w:color w:val="auto"/>
          <w:szCs w:val="21"/>
          <w:highlight w:val="none"/>
        </w:rPr>
        <w:t>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9"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4"/>
        <w:autoSpaceDE w:val="0"/>
        <w:rPr>
          <w:color w:val="auto"/>
          <w:sz w:val="44"/>
          <w:highlight w:val="none"/>
        </w:rPr>
      </w:pPr>
      <w:bookmarkStart w:id="250" w:name="_Toc475104521"/>
      <w:r>
        <w:rPr>
          <w:rFonts w:cs="ZWAdobeF"/>
          <w:b w:val="0"/>
          <w:color w:val="auto"/>
          <w:sz w:val="2"/>
          <w:szCs w:val="2"/>
          <w:highlight w:val="none"/>
        </w:rPr>
        <w:t>2B2B</w:t>
      </w:r>
      <w:r>
        <w:rPr>
          <w:rFonts w:hint="eastAsia"/>
          <w:color w:val="auto"/>
          <w:sz w:val="44"/>
          <w:highlight w:val="none"/>
        </w:rPr>
        <w:t>第三章</w:t>
      </w:r>
      <w:bookmarkStart w:id="251" w:name="_Toc10525517"/>
      <w:r>
        <w:rPr>
          <w:rFonts w:hint="eastAsia"/>
          <w:color w:val="auto"/>
          <w:sz w:val="44"/>
          <w:highlight w:val="none"/>
        </w:rPr>
        <w:t xml:space="preserve"> 采购人需求书</w:t>
      </w:r>
      <w:bookmarkEnd w:id="229"/>
      <w:bookmarkEnd w:id="230"/>
      <w:bookmarkEnd w:id="249"/>
      <w:bookmarkEnd w:id="250"/>
      <w:bookmarkEnd w:id="251"/>
    </w:p>
    <w:p>
      <w:pPr>
        <w:spacing w:line="360" w:lineRule="auto"/>
        <w:rPr>
          <w:rFonts w:ascii="宋体" w:hAnsi="宋体"/>
          <w:color w:val="auto"/>
          <w:highlight w:val="none"/>
        </w:rPr>
      </w:pPr>
      <w:bookmarkStart w:id="252" w:name="_Toc28489480"/>
      <w:bookmarkStart w:id="253" w:name="_Toc14450822"/>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54" w:name="_Toc321815816"/>
      <w:bookmarkEnd w:id="254"/>
      <w:bookmarkStart w:id="255" w:name="_Toc321815822"/>
      <w:bookmarkEnd w:id="255"/>
      <w:bookmarkStart w:id="256" w:name="_Toc321815802"/>
      <w:bookmarkEnd w:id="256"/>
      <w:bookmarkStart w:id="257" w:name="_Toc321815805"/>
      <w:bookmarkEnd w:id="257"/>
      <w:bookmarkStart w:id="258" w:name="_Toc321815815"/>
      <w:bookmarkEnd w:id="258"/>
      <w:bookmarkStart w:id="259" w:name="_Toc321815810"/>
      <w:bookmarkEnd w:id="259"/>
      <w:bookmarkStart w:id="260" w:name="_Toc321815817"/>
      <w:bookmarkEnd w:id="260"/>
      <w:bookmarkStart w:id="261" w:name="_Toc321815814"/>
      <w:bookmarkEnd w:id="261"/>
      <w:bookmarkStart w:id="262" w:name="_Toc321815825"/>
      <w:bookmarkEnd w:id="262"/>
      <w:bookmarkStart w:id="263" w:name="_Toc321815813"/>
      <w:bookmarkEnd w:id="263"/>
      <w:bookmarkStart w:id="264" w:name="_Toc321815818"/>
      <w:bookmarkEnd w:id="264"/>
      <w:bookmarkStart w:id="265" w:name="_Toc321815820"/>
      <w:bookmarkEnd w:id="265"/>
      <w:bookmarkStart w:id="266" w:name="_Toc321815806"/>
      <w:bookmarkEnd w:id="266"/>
      <w:bookmarkStart w:id="267" w:name="_Toc321815807"/>
      <w:bookmarkEnd w:id="267"/>
      <w:bookmarkStart w:id="268" w:name="_Toc321815808"/>
      <w:bookmarkEnd w:id="268"/>
      <w:bookmarkStart w:id="269" w:name="_Toc321815811"/>
      <w:bookmarkEnd w:id="269"/>
      <w:bookmarkStart w:id="270" w:name="_Toc321815804"/>
      <w:bookmarkEnd w:id="270"/>
      <w:bookmarkStart w:id="271" w:name="_Toc321815823"/>
      <w:bookmarkEnd w:id="271"/>
      <w:bookmarkStart w:id="272" w:name="_Toc321815824"/>
      <w:bookmarkEnd w:id="272"/>
      <w:bookmarkStart w:id="273" w:name="_Toc321815826"/>
      <w:bookmarkEnd w:id="273"/>
      <w:bookmarkStart w:id="274" w:name="_Toc321815801"/>
      <w:bookmarkEnd w:id="274"/>
      <w:bookmarkStart w:id="275" w:name="_Toc321815821"/>
      <w:bookmarkEnd w:id="275"/>
      <w:bookmarkStart w:id="276" w:name="_Toc321815812"/>
      <w:bookmarkEnd w:id="276"/>
      <w:bookmarkStart w:id="277" w:name="_Toc321815809"/>
      <w:bookmarkEnd w:id="277"/>
      <w:bookmarkStart w:id="278" w:name="_Toc321815819"/>
      <w:bookmarkEnd w:id="278"/>
      <w:bookmarkStart w:id="279"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spacing w:line="360" w:lineRule="auto"/>
        <w:rPr>
          <w:rFonts w:hint="eastAsia" w:ascii="宋体" w:hAnsi="宋体" w:cs="宋体"/>
          <w:b/>
          <w:bCs/>
          <w:color w:val="auto"/>
          <w:szCs w:val="21"/>
          <w:highlight w:val="none"/>
        </w:rPr>
      </w:pPr>
      <w:r>
        <w:rPr>
          <w:rFonts w:hint="eastAsia" w:ascii="宋体" w:hAnsi="宋体" w:cs="宋体"/>
          <w:b/>
          <w:bCs/>
          <w:color w:val="auto"/>
          <w:szCs w:val="21"/>
          <w:highlight w:val="none"/>
        </w:rPr>
        <w:t>说明：</w:t>
      </w:r>
    </w:p>
    <w:p>
      <w:pPr>
        <w:spacing w:line="360" w:lineRule="auto"/>
        <w:rPr>
          <w:rFonts w:hint="eastAsia" w:ascii="宋体" w:hAnsi="宋体" w:cs="宋体"/>
          <w:b/>
          <w:bCs/>
          <w:color w:val="auto"/>
          <w:szCs w:val="21"/>
          <w:highlight w:val="none"/>
        </w:rPr>
      </w:pPr>
      <w:r>
        <w:rPr>
          <w:rFonts w:hint="eastAsia" w:ascii="宋体" w:hAnsi="宋体" w:cs="宋体"/>
          <w:b/>
          <w:bCs/>
          <w:color w:val="auto"/>
          <w:szCs w:val="21"/>
          <w:highlight w:val="none"/>
        </w:rPr>
        <w:t>1. 供应商须对所响应项目进行整体响应，任何只对其中一部分内容进行的响应都被视为无效响应。</w:t>
      </w:r>
    </w:p>
    <w:p>
      <w:pPr>
        <w:spacing w:line="360" w:lineRule="auto"/>
        <w:rPr>
          <w:rFonts w:hint="eastAsia" w:ascii="宋体" w:hAnsi="宋体" w:cs="宋体"/>
          <w:b/>
          <w:bCs/>
          <w:color w:val="auto"/>
          <w:szCs w:val="21"/>
          <w:highlight w:val="none"/>
        </w:rPr>
      </w:pPr>
      <w:r>
        <w:rPr>
          <w:rFonts w:hint="eastAsia" w:ascii="宋体" w:hAnsi="宋体" w:cs="宋体"/>
          <w:b/>
          <w:bCs/>
          <w:color w:val="auto"/>
          <w:szCs w:val="21"/>
          <w:highlight w:val="none"/>
        </w:rPr>
        <w:t>2. 标有“★”的条款为实质性响应条款，供应商如有任何一条未完全响应，则将导致其响应无效。</w:t>
      </w:r>
    </w:p>
    <w:p>
      <w:pPr>
        <w:pStyle w:val="2"/>
        <w:rPr>
          <w:color w:val="auto"/>
          <w:highlight w:val="none"/>
        </w:rPr>
      </w:pPr>
    </w:p>
    <w:bookmarkEnd w:id="252"/>
    <w:bookmarkEnd w:id="253"/>
    <w:bookmarkEnd w:id="279"/>
    <w:p>
      <w:pPr>
        <w:pStyle w:val="46"/>
        <w:keepNext w:val="0"/>
        <w:keepLines w:val="0"/>
        <w:pageBreakBefore w:val="0"/>
        <w:widowControl w:val="0"/>
        <w:tabs>
          <w:tab w:val="left" w:pos="7740"/>
        </w:tabs>
        <w:kinsoku/>
        <w:wordWrap/>
        <w:overflowPunct/>
        <w:topLinePunct w:val="0"/>
        <w:autoSpaceDE/>
        <w:autoSpaceDN/>
        <w:bidi w:val="0"/>
        <w:adjustRightInd w:val="0"/>
        <w:snapToGrid w:val="0"/>
        <w:spacing w:beforeLines="50" w:line="360" w:lineRule="auto"/>
        <w:textAlignment w:val="auto"/>
        <w:outlineLvl w:val="1"/>
        <w:rPr>
          <w:rFonts w:hAnsi="宋体"/>
          <w:b/>
          <w:color w:val="auto"/>
          <w:highlight w:val="none"/>
          <w:lang w:val="zh-CN"/>
        </w:rPr>
      </w:pPr>
      <w:bookmarkStart w:id="280" w:name="_Toc483158260"/>
      <w:r>
        <w:rPr>
          <w:rFonts w:hint="eastAsia" w:hAnsi="宋体"/>
          <w:b/>
          <w:color w:val="auto"/>
          <w:highlight w:val="none"/>
          <w:lang w:val="zh-CN"/>
        </w:rPr>
        <w:t>一、项目情况介绍</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1、项目名称：广东省农业科学院领军人才项目微生物实验室台柜采购及配套服务项目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en-US" w:eastAsia="zh-CN"/>
        </w:rPr>
        <w:t>2</w:t>
      </w:r>
      <w:r>
        <w:rPr>
          <w:rFonts w:hint="eastAsia"/>
          <w:color w:val="auto"/>
          <w:highlight w:val="none"/>
          <w:lang w:val="zh-CN" w:eastAsia="zh-CN"/>
        </w:rPr>
        <w:t>、采购人：广东省农业科学院动物科学研究所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en-US" w:eastAsia="zh-CN"/>
        </w:rPr>
        <w:t>3</w:t>
      </w:r>
      <w:r>
        <w:rPr>
          <w:rFonts w:hint="eastAsia"/>
          <w:color w:val="auto"/>
          <w:highlight w:val="none"/>
          <w:lang w:val="zh-CN" w:eastAsia="zh-CN"/>
        </w:rPr>
        <w:t>、项目实施地点：广东省广州市天河区大丰一街1号</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en-US" w:eastAsia="zh-CN"/>
        </w:rPr>
        <w:t>4</w:t>
      </w:r>
      <w:r>
        <w:rPr>
          <w:rFonts w:hint="eastAsia"/>
          <w:color w:val="auto"/>
          <w:highlight w:val="none"/>
          <w:lang w:val="zh-CN" w:eastAsia="zh-CN"/>
        </w:rPr>
        <w:t>、采购预算：人民币638822.90元</w:t>
      </w:r>
    </w:p>
    <w:p>
      <w:pPr>
        <w:pStyle w:val="46"/>
        <w:keepNext w:val="0"/>
        <w:keepLines w:val="0"/>
        <w:pageBreakBefore w:val="0"/>
        <w:widowControl w:val="0"/>
        <w:tabs>
          <w:tab w:val="left" w:pos="7740"/>
        </w:tabs>
        <w:kinsoku/>
        <w:wordWrap/>
        <w:overflowPunct/>
        <w:topLinePunct w:val="0"/>
        <w:autoSpaceDE/>
        <w:autoSpaceDN/>
        <w:bidi w:val="0"/>
        <w:adjustRightInd w:val="0"/>
        <w:snapToGrid w:val="0"/>
        <w:spacing w:beforeLines="50" w:line="360" w:lineRule="auto"/>
        <w:textAlignment w:val="auto"/>
        <w:outlineLvl w:val="1"/>
        <w:rPr>
          <w:rFonts w:hint="eastAsia" w:hAnsi="宋体"/>
          <w:b/>
          <w:color w:val="auto"/>
          <w:highlight w:val="none"/>
          <w:lang w:val="zh-CN" w:eastAsia="zh-CN"/>
        </w:rPr>
      </w:pPr>
      <w:r>
        <w:rPr>
          <w:rFonts w:hint="eastAsia" w:hAnsi="宋体"/>
          <w:b/>
          <w:color w:val="auto"/>
          <w:highlight w:val="none"/>
          <w:lang w:val="zh-CN" w:eastAsia="zh-CN"/>
        </w:rPr>
        <w:t>二、设计任务书</w:t>
      </w:r>
    </w:p>
    <w:p>
      <w:pPr>
        <w:keepNext w:val="0"/>
        <w:keepLines w:val="0"/>
        <w:pageBreakBefore w:val="0"/>
        <w:widowControl w:val="0"/>
        <w:kinsoku/>
        <w:wordWrap/>
        <w:overflowPunct/>
        <w:topLinePunct w:val="0"/>
        <w:autoSpaceDE/>
        <w:autoSpaceDN/>
        <w:bidi w:val="0"/>
        <w:spacing w:line="360" w:lineRule="auto"/>
        <w:ind w:firstLine="310" w:firstLineChars="147"/>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（一）项目简介：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z w:val="21"/>
          <w:szCs w:val="21"/>
          <w:highlight w:val="none"/>
        </w:rPr>
        <w:t>本项目为广东省农业科学院领军人才项目微生物实验室台柜采购及配套服务项目，位于广东省广州市天河区大丰一街1号。</w:t>
      </w:r>
    </w:p>
    <w:p>
      <w:pPr>
        <w:keepNext w:val="0"/>
        <w:keepLines w:val="0"/>
        <w:pageBreakBefore w:val="0"/>
        <w:widowControl w:val="0"/>
        <w:kinsoku/>
        <w:wordWrap/>
        <w:overflowPunct/>
        <w:topLinePunct w:val="0"/>
        <w:autoSpaceDE/>
        <w:autoSpaceDN/>
        <w:bidi w:val="0"/>
        <w:spacing w:line="360" w:lineRule="auto"/>
        <w:ind w:firstLine="411" w:firstLineChars="196"/>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本科研实验室共2层楼，实验室总建筑面积约867.81m</w:t>
      </w:r>
      <w:r>
        <w:rPr>
          <w:rFonts w:hint="eastAsia" w:asciiTheme="minorEastAsia" w:hAnsiTheme="minorEastAsia" w:eastAsiaTheme="minorEastAsia" w:cstheme="minorEastAsia"/>
          <w:color w:val="auto"/>
          <w:sz w:val="21"/>
          <w:szCs w:val="21"/>
          <w:highlight w:val="none"/>
          <w:vertAlign w:val="superscript"/>
        </w:rPr>
        <w:t>2</w:t>
      </w:r>
      <w:r>
        <w:rPr>
          <w:rFonts w:hint="eastAsia" w:asciiTheme="minorEastAsia" w:hAnsiTheme="minorEastAsia" w:eastAsiaTheme="minorEastAsia" w:cstheme="minorEastAsia"/>
          <w:color w:val="auto"/>
          <w:sz w:val="21"/>
          <w:szCs w:val="21"/>
          <w:highlight w:val="none"/>
        </w:rPr>
        <w:t>，楼层层高为3.25米，楼体结构为钢架结构。</w:t>
      </w:r>
    </w:p>
    <w:p>
      <w:pPr>
        <w:keepNext w:val="0"/>
        <w:keepLines w:val="0"/>
        <w:pageBreakBefore w:val="0"/>
        <w:widowControl w:val="0"/>
        <w:kinsoku/>
        <w:wordWrap/>
        <w:overflowPunct/>
        <w:topLinePunct w:val="0"/>
        <w:autoSpaceDE/>
        <w:autoSpaceDN/>
        <w:bidi w:val="0"/>
        <w:adjustRightIn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本次招标实验室建设内容主要包括：实验台柜的设备采购及配套安装、调试、售后等服务。</w:t>
      </w:r>
    </w:p>
    <w:p>
      <w:pPr>
        <w:keepNext w:val="0"/>
        <w:keepLines w:val="0"/>
        <w:pageBreakBefore w:val="0"/>
        <w:widowControl w:val="0"/>
        <w:kinsoku/>
        <w:wordWrap/>
        <w:overflowPunct/>
        <w:topLinePunct w:val="0"/>
        <w:autoSpaceDE/>
        <w:autoSpaceDN/>
        <w:bidi w:val="0"/>
        <w:spacing w:line="360" w:lineRule="auto"/>
        <w:ind w:firstLine="310" w:firstLineChars="147"/>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（二）各专业范围</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实验室台柜装备：包含实验室平面深化设计，台柜的采购，运输，安装，施工，调试，验收，维护。</w:t>
      </w:r>
    </w:p>
    <w:p>
      <w:pPr>
        <w:keepNext w:val="0"/>
        <w:keepLines w:val="0"/>
        <w:pageBreakBefore w:val="0"/>
        <w:widowControl w:val="0"/>
        <w:kinsoku/>
        <w:wordWrap/>
        <w:overflowPunct/>
        <w:topLinePunct w:val="0"/>
        <w:autoSpaceDE/>
        <w:autoSpaceDN/>
        <w:bidi w:val="0"/>
        <w:spacing w:line="360" w:lineRule="auto"/>
        <w:ind w:firstLine="310" w:firstLineChars="147"/>
        <w:textAlignment w:val="auto"/>
        <w:rPr>
          <w:rFonts w:hint="eastAsia" w:asciiTheme="minorEastAsia" w:hAnsiTheme="minorEastAsia" w:eastAsiaTheme="minorEastAsia" w:cstheme="minorEastAsia"/>
          <w:b/>
          <w:color w:val="auto"/>
          <w:sz w:val="21"/>
          <w:szCs w:val="21"/>
          <w:highlight w:val="none"/>
          <w:lang w:eastAsia="zh-CN"/>
        </w:rPr>
      </w:pPr>
      <w:r>
        <w:rPr>
          <w:rFonts w:hint="eastAsia" w:asciiTheme="minorEastAsia" w:hAnsiTheme="minorEastAsia" w:eastAsiaTheme="minorEastAsia" w:cstheme="minorEastAsia"/>
          <w:b/>
          <w:color w:val="auto"/>
          <w:sz w:val="21"/>
          <w:szCs w:val="21"/>
          <w:highlight w:val="none"/>
        </w:rPr>
        <w:t>（三）</w:t>
      </w:r>
      <w:r>
        <w:rPr>
          <w:rFonts w:hint="eastAsia" w:asciiTheme="minorEastAsia" w:hAnsiTheme="minorEastAsia" w:eastAsiaTheme="minorEastAsia" w:cstheme="minorEastAsia"/>
          <w:b/>
          <w:color w:val="auto"/>
          <w:sz w:val="21"/>
          <w:szCs w:val="21"/>
          <w:highlight w:val="none"/>
          <w:lang w:eastAsia="zh-CN"/>
        </w:rPr>
        <w:t>合同履行期限</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合同履行期限：</w:t>
      </w:r>
      <w:r>
        <w:rPr>
          <w:rFonts w:hint="eastAsia" w:asciiTheme="minorEastAsia" w:hAnsiTheme="minorEastAsia" w:eastAsiaTheme="minorEastAsia" w:cstheme="minorEastAsia"/>
          <w:color w:val="auto"/>
          <w:sz w:val="21"/>
          <w:szCs w:val="21"/>
          <w:highlight w:val="none"/>
          <w:lang w:val="en-US" w:eastAsia="zh-CN"/>
        </w:rPr>
        <w:t>45</w:t>
      </w:r>
      <w:r>
        <w:rPr>
          <w:rFonts w:hint="eastAsia" w:asciiTheme="minorEastAsia" w:hAnsiTheme="minorEastAsia" w:eastAsiaTheme="minorEastAsia" w:cstheme="minorEastAsia"/>
          <w:color w:val="auto"/>
          <w:sz w:val="21"/>
          <w:szCs w:val="21"/>
          <w:highlight w:val="none"/>
        </w:rPr>
        <w:t>日历天</w:t>
      </w:r>
      <w:r>
        <w:rPr>
          <w:rFonts w:hint="eastAsia" w:asciiTheme="minorEastAsia" w:hAnsiTheme="minorEastAsia" w:eastAsiaTheme="minorEastAsia" w:cstheme="minorEastAsia"/>
          <w:color w:val="auto"/>
          <w:sz w:val="21"/>
          <w:szCs w:val="21"/>
          <w:highlight w:val="none"/>
          <w:lang w:eastAsia="zh-CN"/>
        </w:rPr>
        <w:t>内</w:t>
      </w:r>
      <w:r>
        <w:rPr>
          <w:rFonts w:hint="eastAsia" w:asciiTheme="minorEastAsia" w:hAnsiTheme="minorEastAsia" w:eastAsiaTheme="minorEastAsia" w:cstheme="minorEastAsia"/>
          <w:color w:val="auto"/>
          <w:sz w:val="21"/>
          <w:szCs w:val="21"/>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其中：设计及深化工期：</w:t>
      </w:r>
      <w:r>
        <w:rPr>
          <w:rFonts w:hint="eastAsia" w:asciiTheme="minorEastAsia" w:hAnsiTheme="minorEastAsia" w:eastAsiaTheme="minorEastAsia" w:cstheme="minorEastAsia"/>
          <w:color w:val="auto"/>
          <w:sz w:val="21"/>
          <w:szCs w:val="21"/>
          <w:highlight w:val="none"/>
          <w:u w:val="single"/>
          <w:lang w:val="en-US" w:eastAsia="zh-CN"/>
        </w:rPr>
        <w:t>3</w:t>
      </w:r>
      <w:r>
        <w:rPr>
          <w:rFonts w:hint="eastAsia" w:asciiTheme="minorEastAsia" w:hAnsiTheme="minorEastAsia" w:eastAsiaTheme="minorEastAsia" w:cstheme="minorEastAsia"/>
          <w:color w:val="auto"/>
          <w:sz w:val="21"/>
          <w:szCs w:val="21"/>
          <w:highlight w:val="none"/>
        </w:rPr>
        <w:t>日历天；设备采购工期</w:t>
      </w:r>
      <w:r>
        <w:rPr>
          <w:rFonts w:hint="eastAsia" w:asciiTheme="minorEastAsia" w:hAnsiTheme="minorEastAsia" w:eastAsiaTheme="minorEastAsia" w:cstheme="minorEastAsia"/>
          <w:color w:val="auto"/>
          <w:sz w:val="21"/>
          <w:szCs w:val="21"/>
          <w:highlight w:val="none"/>
          <w:u w:val="single"/>
          <w:lang w:val="en-US" w:eastAsia="zh-CN"/>
        </w:rPr>
        <w:t>27</w:t>
      </w:r>
      <w:r>
        <w:rPr>
          <w:rFonts w:hint="eastAsia" w:asciiTheme="minorEastAsia" w:hAnsiTheme="minorEastAsia" w:eastAsiaTheme="minorEastAsia" w:cstheme="minorEastAsia"/>
          <w:color w:val="auto"/>
          <w:sz w:val="21"/>
          <w:szCs w:val="21"/>
          <w:highlight w:val="none"/>
        </w:rPr>
        <w:t>日历天；施工工期：</w:t>
      </w:r>
      <w:r>
        <w:rPr>
          <w:rFonts w:hint="eastAsia" w:asciiTheme="minorEastAsia" w:hAnsiTheme="minorEastAsia" w:eastAsiaTheme="minorEastAsia" w:cstheme="minorEastAsia"/>
          <w:color w:val="auto"/>
          <w:sz w:val="21"/>
          <w:szCs w:val="21"/>
          <w:highlight w:val="none"/>
          <w:u w:val="single"/>
          <w:lang w:val="en-US" w:eastAsia="zh-CN"/>
        </w:rPr>
        <w:t>15</w:t>
      </w:r>
      <w:r>
        <w:rPr>
          <w:rFonts w:hint="eastAsia" w:asciiTheme="minorEastAsia" w:hAnsiTheme="minorEastAsia" w:eastAsiaTheme="minorEastAsia" w:cstheme="minorEastAsia"/>
          <w:color w:val="auto"/>
          <w:sz w:val="21"/>
          <w:szCs w:val="21"/>
          <w:highlight w:val="none"/>
        </w:rPr>
        <w:t>日历天；</w:t>
      </w:r>
    </w:p>
    <w:p>
      <w:pPr>
        <w:keepNext w:val="0"/>
        <w:keepLines w:val="0"/>
        <w:pageBreakBefore w:val="0"/>
        <w:widowControl w:val="0"/>
        <w:kinsoku/>
        <w:wordWrap/>
        <w:overflowPunct/>
        <w:topLinePunct w:val="0"/>
        <w:autoSpaceDE/>
        <w:autoSpaceDN/>
        <w:bidi w:val="0"/>
        <w:spacing w:line="360" w:lineRule="auto"/>
        <w:ind w:firstLine="310" w:firstLineChars="147"/>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（四）设计要求的质量标准：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lang w:val="zh-CN" w:eastAsia="zh-CN"/>
        </w:rPr>
      </w:pPr>
      <w:r>
        <w:rPr>
          <w:rFonts w:hint="eastAsia" w:asciiTheme="minorEastAsia" w:hAnsiTheme="minorEastAsia" w:eastAsiaTheme="minorEastAsia" w:cstheme="minorEastAsia"/>
          <w:color w:val="auto"/>
          <w:sz w:val="21"/>
          <w:szCs w:val="21"/>
          <w:highlight w:val="none"/>
        </w:rPr>
        <w:t>符合规范、有关政策、法规和本项目设计要点要求。施工</w:t>
      </w:r>
      <w:r>
        <w:rPr>
          <w:rFonts w:hint="eastAsia" w:asciiTheme="minorEastAsia" w:hAnsiTheme="minorEastAsia" w:eastAsiaTheme="minorEastAsia" w:cstheme="minorEastAsia"/>
          <w:color w:val="auto"/>
          <w:sz w:val="21"/>
          <w:szCs w:val="21"/>
          <w:highlight w:val="none"/>
        </w:rPr>
        <w:t>要求的质量标准：满足设计及有关规范要求，工程质量达到国家施工验收规范合格标准。</w:t>
      </w:r>
    </w:p>
    <w:p>
      <w:pPr>
        <w:pStyle w:val="46"/>
        <w:keepNext w:val="0"/>
        <w:keepLines w:val="0"/>
        <w:pageBreakBefore w:val="0"/>
        <w:widowControl w:val="0"/>
        <w:tabs>
          <w:tab w:val="left" w:pos="7740"/>
        </w:tabs>
        <w:kinsoku/>
        <w:wordWrap/>
        <w:overflowPunct/>
        <w:topLinePunct w:val="0"/>
        <w:autoSpaceDE/>
        <w:autoSpaceDN/>
        <w:bidi w:val="0"/>
        <w:adjustRightInd w:val="0"/>
        <w:snapToGrid w:val="0"/>
        <w:spacing w:beforeLines="50" w:line="360" w:lineRule="auto"/>
        <w:textAlignment w:val="auto"/>
        <w:outlineLvl w:val="1"/>
        <w:rPr>
          <w:rFonts w:hint="eastAsia" w:hAnsi="宋体"/>
          <w:b/>
          <w:color w:val="auto"/>
          <w:highlight w:val="none"/>
          <w:lang w:val="zh-CN" w:eastAsia="zh-CN"/>
        </w:rPr>
      </w:pPr>
      <w:bookmarkStart w:id="281" w:name="_Toc399775094"/>
      <w:r>
        <w:rPr>
          <w:rFonts w:hint="eastAsia" w:hAnsi="宋体"/>
          <w:b/>
          <w:color w:val="auto"/>
          <w:highlight w:val="none"/>
          <w:lang w:val="zh-CN" w:eastAsia="zh-CN"/>
        </w:rPr>
        <w:t>三、项目范围</w:t>
      </w:r>
      <w:bookmarkEnd w:id="281"/>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本项目是交钥匙工程，包括设备采购及相关运输、设计、安装、调试、培训、售后等服务。</w:t>
      </w:r>
    </w:p>
    <w:p>
      <w:pPr>
        <w:pStyle w:val="46"/>
        <w:keepNext w:val="0"/>
        <w:keepLines w:val="0"/>
        <w:pageBreakBefore w:val="0"/>
        <w:widowControl w:val="0"/>
        <w:tabs>
          <w:tab w:val="left" w:pos="7740"/>
        </w:tabs>
        <w:kinsoku/>
        <w:wordWrap/>
        <w:overflowPunct/>
        <w:topLinePunct w:val="0"/>
        <w:autoSpaceDE/>
        <w:autoSpaceDN/>
        <w:bidi w:val="0"/>
        <w:adjustRightInd w:val="0"/>
        <w:snapToGrid w:val="0"/>
        <w:spacing w:beforeLines="50" w:line="360" w:lineRule="auto"/>
        <w:textAlignment w:val="auto"/>
        <w:outlineLvl w:val="1"/>
        <w:rPr>
          <w:rFonts w:hint="eastAsia" w:hAnsi="宋体"/>
          <w:b/>
          <w:color w:val="auto"/>
          <w:highlight w:val="none"/>
          <w:lang w:val="zh-CN" w:eastAsia="zh-CN"/>
        </w:rPr>
      </w:pPr>
      <w:r>
        <w:rPr>
          <w:rFonts w:hint="eastAsia" w:hAnsi="宋体"/>
          <w:b/>
          <w:color w:val="auto"/>
          <w:highlight w:val="none"/>
          <w:lang w:val="zh-CN" w:eastAsia="zh-CN"/>
        </w:rPr>
        <w:t>四、技术范围</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cs="宋体"/>
          <w:b/>
          <w:bCs/>
          <w:color w:val="auto"/>
          <w:szCs w:val="21"/>
          <w:highlight w:val="none"/>
        </w:rPr>
      </w:pPr>
      <w:bookmarkStart w:id="282" w:name="_Toc399775097"/>
      <w:r>
        <w:rPr>
          <w:rFonts w:hint="eastAsia" w:ascii="宋体" w:hAnsi="宋体" w:cs="宋体"/>
          <w:b/>
          <w:bCs/>
          <w:color w:val="auto"/>
          <w:szCs w:val="21"/>
          <w:highlight w:val="none"/>
        </w:rPr>
        <w:t>1、建设原则</w:t>
      </w:r>
      <w:bookmarkEnd w:id="282"/>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实验室建设整体原则：安全第一、实用性强、节能高效</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1.1安全第一：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A、实验室外来人员安全保护</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B、实验室办公人员安全保护</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C、实验室人员安全保护</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D、实验室操作仪器安全保护</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E、实验室样品安全保护</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F、实验室系统运行安全保护</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G、环保安全保护—废气、废水</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1.2实用性强：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A、满足实验操作的要求，针对不同实验室要求提供不同的解决方案。</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B、满足仪器操作的要求，为仪器配备环境要求与使用要求。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1.3节能高效：</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A、由于实验室是一个高能耗、长期运转的系统，建设过程中一定围绕着电力节能、空调节能、通风节能等方面综合考虑，减少实验室的维护成本。</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cs="宋体"/>
          <w:b/>
          <w:bCs/>
          <w:color w:val="auto"/>
          <w:szCs w:val="21"/>
          <w:highlight w:val="none"/>
        </w:rPr>
      </w:pPr>
      <w:r>
        <w:rPr>
          <w:rFonts w:hint="eastAsia" w:ascii="宋体" w:hAnsi="宋体" w:cs="宋体"/>
          <w:b/>
          <w:bCs/>
          <w:color w:val="auto"/>
          <w:szCs w:val="21"/>
          <w:highlight w:val="none"/>
        </w:rPr>
        <w:t>2、建设要求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本建设项目的基本要求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2.1人文建筑与生态环境相结合。</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2.2设计理念的先进性、功能分区的合理性、基础设施的实用性、实验室管理的协调性、与检验流程的合理匹配性及实验室环境设施安全性。</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2.3科技创新，服务一流。</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2.4安全可靠:从授权准入、功能布局、气流控制、安全设施等角度，确保人员、样品、数据和仪器等安全；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2.5设计规范:实验室设计参照或执行欧美和国家相关实验室建设要求及标准；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2.6实用美观:装饰设计和家具布置充分体现行业特点和独特风格，选材符合实验室环境要求；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2.7环境舒适:设计以人为本，各专业相互协调，互为补充，营造一个舒适的实验环境。</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cs="宋体"/>
          <w:b/>
          <w:bCs/>
          <w:color w:val="auto"/>
          <w:szCs w:val="21"/>
          <w:highlight w:val="none"/>
        </w:rPr>
      </w:pPr>
      <w:bookmarkStart w:id="283" w:name="_Toc399775099"/>
      <w:r>
        <w:rPr>
          <w:rFonts w:hint="eastAsia" w:ascii="宋体" w:hAnsi="宋体" w:cs="宋体"/>
          <w:b/>
          <w:bCs/>
          <w:color w:val="auto"/>
          <w:szCs w:val="21"/>
          <w:highlight w:val="none"/>
        </w:rPr>
        <w:t>3、工艺要求</w:t>
      </w:r>
      <w:bookmarkEnd w:id="283"/>
      <w:r>
        <w:rPr>
          <w:rFonts w:hint="eastAsia" w:ascii="宋体" w:hAnsi="宋体" w:cs="宋体"/>
          <w:b/>
          <w:bCs/>
          <w:color w:val="auto"/>
          <w:szCs w:val="21"/>
          <w:highlight w:val="none"/>
        </w:rPr>
        <w:tab/>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将实验室区域与办公区域分开。实验区域设有准入系统，凭卡入内。不同实验室进行不同级别的准入授权及门禁控制，便于实验室控制与管理。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主实验室与辅助功能间之间相互协调，按照实验室功能流程合理分布。合理的划分实验室工作空间，实现空间利用最大化，使用功能最优化，实验流程一体化，确保各设计指标均符合人体工程学原理，为实验室工作者创造健康、舒适的工作环境，减少实验人员的危险。</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A、办公区域和实验区域分开，主实验区与辅助实验区分开；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B、清洁区、污染区分开，人流、物流和污物流分开，以保障样品无交叉污染，保证实验数据的正确性；</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C、预处理和仪器分析分开；不同种类的样品处理分开；不同种类可能相互干扰的仪器分开；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D、根据实验科目和流程，对主实验室和辅助室规范、协调布局。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F、在用材选择上将要求严格控制，针对不同功能的空间使用符合要求的耐腐蚀材料，对各类产品的结构进行优化设计，使其使用寿命及稳定性均达到国内先进实验室的水平。</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cs="宋体"/>
          <w:b/>
          <w:bCs/>
          <w:color w:val="auto"/>
          <w:szCs w:val="21"/>
          <w:highlight w:val="none"/>
        </w:rPr>
      </w:pPr>
      <w:r>
        <w:rPr>
          <w:rFonts w:hint="eastAsia" w:ascii="宋体" w:hAnsi="宋体" w:cs="宋体"/>
          <w:b/>
          <w:bCs/>
          <w:color w:val="auto"/>
          <w:szCs w:val="21"/>
          <w:highlight w:val="none"/>
        </w:rPr>
        <w:t>4 、楼层分布情况如下：</w:t>
      </w:r>
    </w:p>
    <w:tbl>
      <w:tblPr>
        <w:tblStyle w:val="89"/>
        <w:tblW w:w="9260" w:type="dxa"/>
        <w:tblInd w:w="93" w:type="dxa"/>
        <w:tblLayout w:type="fixed"/>
        <w:tblCellMar>
          <w:top w:w="0" w:type="dxa"/>
          <w:left w:w="108" w:type="dxa"/>
          <w:bottom w:w="0" w:type="dxa"/>
          <w:right w:w="108" w:type="dxa"/>
        </w:tblCellMar>
      </w:tblPr>
      <w:tblGrid>
        <w:gridCol w:w="2100"/>
        <w:gridCol w:w="2940"/>
        <w:gridCol w:w="2560"/>
        <w:gridCol w:w="1660"/>
      </w:tblGrid>
      <w:tr>
        <w:tblPrEx>
          <w:tblCellMar>
            <w:top w:w="0" w:type="dxa"/>
            <w:left w:w="108" w:type="dxa"/>
            <w:bottom w:w="0" w:type="dxa"/>
            <w:right w:w="108" w:type="dxa"/>
          </w:tblCellMar>
        </w:tblPrEx>
        <w:trPr>
          <w:trHeight w:val="402" w:hRule="atLeast"/>
        </w:trPr>
        <w:tc>
          <w:tcPr>
            <w:tcW w:w="21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bookmarkStart w:id="284" w:name="_Toc399775100"/>
            <w:r>
              <w:rPr>
                <w:rFonts w:hint="eastAsia" w:asciiTheme="minorEastAsia" w:hAnsiTheme="minorEastAsia" w:eastAsiaTheme="minorEastAsia" w:cstheme="minorEastAsia"/>
                <w:color w:val="auto"/>
                <w:kern w:val="0"/>
                <w:sz w:val="21"/>
                <w:szCs w:val="21"/>
                <w:highlight w:val="none"/>
              </w:rPr>
              <w:t>依托单位</w:t>
            </w:r>
          </w:p>
        </w:tc>
        <w:tc>
          <w:tcPr>
            <w:tcW w:w="29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功能区域</w:t>
            </w:r>
          </w:p>
        </w:tc>
        <w:tc>
          <w:tcPr>
            <w:tcW w:w="2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拟安排建筑面积（M</w:t>
            </w:r>
            <w:r>
              <w:rPr>
                <w:rFonts w:hint="eastAsia" w:asciiTheme="minorEastAsia" w:hAnsiTheme="minorEastAsia" w:eastAsiaTheme="minorEastAsia" w:cstheme="minorEastAsia"/>
                <w:color w:val="auto"/>
                <w:kern w:val="0"/>
                <w:sz w:val="21"/>
                <w:szCs w:val="21"/>
                <w:highlight w:val="none"/>
                <w:vertAlign w:val="superscript"/>
              </w:rPr>
              <w:t>2</w:t>
            </w:r>
            <w:r>
              <w:rPr>
                <w:rFonts w:hint="eastAsia" w:asciiTheme="minorEastAsia" w:hAnsiTheme="minorEastAsia" w:eastAsiaTheme="minorEastAsia" w:cstheme="minorEastAsia"/>
                <w:color w:val="auto"/>
                <w:kern w:val="0"/>
                <w:sz w:val="21"/>
                <w:szCs w:val="21"/>
                <w:highlight w:val="none"/>
              </w:rPr>
              <w:t>）</w:t>
            </w:r>
          </w:p>
        </w:tc>
        <w:tc>
          <w:tcPr>
            <w:tcW w:w="16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拟安排楼层</w:t>
            </w:r>
          </w:p>
        </w:tc>
      </w:tr>
      <w:tr>
        <w:tblPrEx>
          <w:tblCellMar>
            <w:top w:w="0" w:type="dxa"/>
            <w:left w:w="108" w:type="dxa"/>
            <w:bottom w:w="0" w:type="dxa"/>
            <w:right w:w="108" w:type="dxa"/>
          </w:tblCellMar>
        </w:tblPrEx>
        <w:trPr>
          <w:trHeight w:val="402" w:hRule="atLeast"/>
        </w:trPr>
        <w:tc>
          <w:tcPr>
            <w:tcW w:w="2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对应楼层安排面积</w:t>
            </w:r>
          </w:p>
        </w:tc>
        <w:tc>
          <w:tcPr>
            <w:tcW w:w="16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r>
      <w:tr>
        <w:tblPrEx>
          <w:tblCellMar>
            <w:top w:w="0" w:type="dxa"/>
            <w:left w:w="108" w:type="dxa"/>
            <w:bottom w:w="0" w:type="dxa"/>
            <w:right w:w="108" w:type="dxa"/>
          </w:tblCellMar>
        </w:tblPrEx>
        <w:trPr>
          <w:trHeight w:val="402" w:hRule="atLeast"/>
        </w:trPr>
        <w:tc>
          <w:tcPr>
            <w:tcW w:w="21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一层实验室</w:t>
            </w:r>
          </w:p>
        </w:tc>
        <w:tc>
          <w:tcPr>
            <w:tcW w:w="2940" w:type="dxa"/>
            <w:tcBorders>
              <w:top w:val="single" w:color="auto" w:sz="4" w:space="0"/>
              <w:left w:val="single" w:color="auto" w:sz="4" w:space="0"/>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中心实验室</w:t>
            </w:r>
          </w:p>
        </w:tc>
        <w:tc>
          <w:tcPr>
            <w:tcW w:w="2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133.79</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一层</w:t>
            </w:r>
          </w:p>
        </w:tc>
      </w:tr>
      <w:tr>
        <w:tblPrEx>
          <w:tblCellMar>
            <w:top w:w="0" w:type="dxa"/>
            <w:left w:w="108" w:type="dxa"/>
            <w:bottom w:w="0" w:type="dxa"/>
            <w:right w:w="108" w:type="dxa"/>
          </w:tblCellMar>
        </w:tblPrEx>
        <w:trPr>
          <w:trHeight w:val="402" w:hRule="atLeast"/>
        </w:trPr>
        <w:tc>
          <w:tcPr>
            <w:tcW w:w="2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single" w:color="auto" w:sz="4" w:space="0"/>
              <w:left w:val="single" w:color="auto" w:sz="4" w:space="0"/>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精密仪器室</w:t>
            </w:r>
          </w:p>
        </w:tc>
        <w:tc>
          <w:tcPr>
            <w:tcW w:w="2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69.9</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一层</w:t>
            </w:r>
          </w:p>
        </w:tc>
      </w:tr>
      <w:tr>
        <w:tblPrEx>
          <w:tblCellMar>
            <w:top w:w="0" w:type="dxa"/>
            <w:left w:w="108" w:type="dxa"/>
            <w:bottom w:w="0" w:type="dxa"/>
            <w:right w:w="108" w:type="dxa"/>
          </w:tblCellMar>
        </w:tblPrEx>
        <w:trPr>
          <w:trHeight w:val="469" w:hRule="atLeast"/>
        </w:trPr>
        <w:tc>
          <w:tcPr>
            <w:tcW w:w="21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清洗室/灭菌室</w:t>
            </w:r>
          </w:p>
        </w:tc>
        <w:tc>
          <w:tcPr>
            <w:tcW w:w="2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26.5</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nil"/>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细胞实验室（含准备室</w:t>
            </w:r>
          </w:p>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、更衣、缓冲室）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42.5</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nil"/>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菌种库</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36.76</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成果展示厅</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28.10</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nil"/>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服务器室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10.3</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公共区域（走廊、楼梯、洗手间）</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92.38</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二层</w:t>
            </w:r>
          </w:p>
        </w:tc>
      </w:tr>
      <w:tr>
        <w:tblPrEx>
          <w:tblCellMar>
            <w:top w:w="0" w:type="dxa"/>
            <w:left w:w="108" w:type="dxa"/>
            <w:bottom w:w="0" w:type="dxa"/>
            <w:right w:w="108" w:type="dxa"/>
          </w:tblCellMar>
        </w:tblPrEx>
        <w:trPr>
          <w:trHeight w:val="402" w:hRule="atLeast"/>
        </w:trPr>
        <w:tc>
          <w:tcPr>
            <w:tcW w:w="21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小计</w:t>
            </w:r>
          </w:p>
        </w:tc>
        <w:tc>
          <w:tcPr>
            <w:tcW w:w="29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w:t>
            </w:r>
          </w:p>
        </w:tc>
        <w:tc>
          <w:tcPr>
            <w:tcW w:w="2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440.23</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w:t>
            </w:r>
          </w:p>
        </w:tc>
      </w:tr>
      <w:tr>
        <w:tblPrEx>
          <w:tblCellMar>
            <w:top w:w="0" w:type="dxa"/>
            <w:left w:w="108" w:type="dxa"/>
            <w:bottom w:w="0" w:type="dxa"/>
            <w:right w:w="108" w:type="dxa"/>
          </w:tblCellMar>
        </w:tblPrEx>
        <w:trPr>
          <w:trHeight w:val="402" w:hRule="atLeast"/>
        </w:trPr>
        <w:tc>
          <w:tcPr>
            <w:tcW w:w="2100"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二层实验室</w:t>
            </w:r>
          </w:p>
        </w:tc>
        <w:tc>
          <w:tcPr>
            <w:tcW w:w="2940" w:type="dxa"/>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资料档案室</w:t>
            </w:r>
          </w:p>
        </w:tc>
        <w:tc>
          <w:tcPr>
            <w:tcW w:w="2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46.8</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二层</w:t>
            </w:r>
          </w:p>
        </w:tc>
      </w:tr>
      <w:tr>
        <w:tblPrEx>
          <w:tblCellMar>
            <w:top w:w="0" w:type="dxa"/>
            <w:left w:w="108" w:type="dxa"/>
            <w:bottom w:w="0" w:type="dxa"/>
            <w:right w:w="108" w:type="dxa"/>
          </w:tblCellMar>
        </w:tblPrEx>
        <w:trPr>
          <w:trHeight w:val="402" w:hRule="atLeast"/>
        </w:trPr>
        <w:tc>
          <w:tcPr>
            <w:tcW w:w="2100" w:type="dxa"/>
            <w:vMerge w:val="continue"/>
            <w:tcBorders>
              <w:left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学生工作室</w:t>
            </w:r>
          </w:p>
        </w:tc>
        <w:tc>
          <w:tcPr>
            <w:tcW w:w="2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121.4</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二层</w:t>
            </w:r>
          </w:p>
        </w:tc>
      </w:tr>
      <w:tr>
        <w:tblPrEx>
          <w:tblCellMar>
            <w:top w:w="0" w:type="dxa"/>
            <w:left w:w="108" w:type="dxa"/>
            <w:bottom w:w="0" w:type="dxa"/>
            <w:right w:w="108" w:type="dxa"/>
          </w:tblCellMar>
        </w:tblPrEx>
        <w:trPr>
          <w:trHeight w:val="402" w:hRule="atLeast"/>
        </w:trPr>
        <w:tc>
          <w:tcPr>
            <w:tcW w:w="2100" w:type="dxa"/>
            <w:vMerge w:val="continue"/>
            <w:tcBorders>
              <w:left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PI办公室</w:t>
            </w:r>
          </w:p>
        </w:tc>
        <w:tc>
          <w:tcPr>
            <w:tcW w:w="2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31.5</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二层</w:t>
            </w:r>
          </w:p>
        </w:tc>
      </w:tr>
      <w:tr>
        <w:tblPrEx>
          <w:tblCellMar>
            <w:top w:w="0" w:type="dxa"/>
            <w:left w:w="108" w:type="dxa"/>
            <w:bottom w:w="0" w:type="dxa"/>
            <w:right w:w="108" w:type="dxa"/>
          </w:tblCellMar>
        </w:tblPrEx>
        <w:trPr>
          <w:trHeight w:val="402" w:hRule="atLeast"/>
        </w:trPr>
        <w:tc>
          <w:tcPr>
            <w:tcW w:w="2100" w:type="dxa"/>
            <w:vMerge w:val="continue"/>
            <w:tcBorders>
              <w:left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老专家办公室</w:t>
            </w:r>
          </w:p>
        </w:tc>
        <w:tc>
          <w:tcPr>
            <w:tcW w:w="2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16.37</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二层</w:t>
            </w:r>
          </w:p>
        </w:tc>
      </w:tr>
      <w:tr>
        <w:tblPrEx>
          <w:tblCellMar>
            <w:top w:w="0" w:type="dxa"/>
            <w:left w:w="108" w:type="dxa"/>
            <w:bottom w:w="0" w:type="dxa"/>
            <w:right w:w="108" w:type="dxa"/>
          </w:tblCellMar>
        </w:tblPrEx>
        <w:trPr>
          <w:trHeight w:val="402" w:hRule="atLeast"/>
        </w:trPr>
        <w:tc>
          <w:tcPr>
            <w:tcW w:w="2100" w:type="dxa"/>
            <w:vMerge w:val="continue"/>
            <w:tcBorders>
              <w:left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分子实验室</w:t>
            </w:r>
          </w:p>
        </w:tc>
        <w:tc>
          <w:tcPr>
            <w:tcW w:w="2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117.73</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二层</w:t>
            </w:r>
          </w:p>
        </w:tc>
      </w:tr>
      <w:tr>
        <w:tblPrEx>
          <w:tblCellMar>
            <w:top w:w="0" w:type="dxa"/>
            <w:left w:w="108" w:type="dxa"/>
            <w:bottom w:w="0" w:type="dxa"/>
            <w:right w:w="108" w:type="dxa"/>
          </w:tblCellMar>
        </w:tblPrEx>
        <w:trPr>
          <w:trHeight w:val="402" w:hRule="atLeast"/>
        </w:trPr>
        <w:tc>
          <w:tcPr>
            <w:tcW w:w="2100" w:type="dxa"/>
            <w:vMerge w:val="continue"/>
            <w:tcBorders>
              <w:left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nil"/>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储藏室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16.2</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二层</w:t>
            </w:r>
          </w:p>
        </w:tc>
      </w:tr>
      <w:tr>
        <w:tblPrEx>
          <w:tblCellMar>
            <w:top w:w="0" w:type="dxa"/>
            <w:left w:w="108" w:type="dxa"/>
            <w:bottom w:w="0" w:type="dxa"/>
            <w:right w:w="108" w:type="dxa"/>
          </w:tblCellMar>
        </w:tblPrEx>
        <w:trPr>
          <w:trHeight w:val="402" w:hRule="atLeast"/>
        </w:trPr>
        <w:tc>
          <w:tcPr>
            <w:tcW w:w="2100"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公共区域（走廊、楼梯、洗手间）</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77.58</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二层</w:t>
            </w:r>
          </w:p>
        </w:tc>
      </w:tr>
      <w:tr>
        <w:tblPrEx>
          <w:tblCellMar>
            <w:top w:w="0" w:type="dxa"/>
            <w:left w:w="108" w:type="dxa"/>
            <w:bottom w:w="0" w:type="dxa"/>
            <w:right w:w="108" w:type="dxa"/>
          </w:tblCellMar>
        </w:tblPrEx>
        <w:trPr>
          <w:trHeight w:val="402" w:hRule="atLeast"/>
        </w:trPr>
        <w:tc>
          <w:tcPr>
            <w:tcW w:w="21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小计</w:t>
            </w: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427.58</w:t>
            </w:r>
          </w:p>
        </w:tc>
        <w:tc>
          <w:tcPr>
            <w:tcW w:w="1660"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w:t>
            </w:r>
          </w:p>
        </w:tc>
      </w:tr>
      <w:bookmarkEnd w:id="284"/>
    </w:tbl>
    <w:p>
      <w:pPr>
        <w:spacing w:afterLines="50" w:line="420" w:lineRule="exact"/>
        <w:jc w:val="both"/>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5、技术要求</w:t>
      </w:r>
    </w:p>
    <w:p>
      <w:pPr>
        <w:spacing w:afterLines="50" w:line="420" w:lineRule="exact"/>
        <w:ind w:left="840" w:leftChars="200" w:hanging="420" w:hangingChars="200"/>
        <w:rPr>
          <w:rFonts w:ascii="宋体" w:hAnsi="宋体" w:cs="宋体"/>
          <w:b w:val="0"/>
          <w:bCs/>
          <w:color w:val="auto"/>
          <w:sz w:val="21"/>
          <w:szCs w:val="21"/>
          <w:highlight w:val="none"/>
        </w:rPr>
      </w:pPr>
      <w:r>
        <w:rPr>
          <w:rFonts w:hint="eastAsia" w:ascii="宋体" w:hAnsi="宋体" w:cs="宋体"/>
          <w:b w:val="0"/>
          <w:bCs/>
          <w:color w:val="auto"/>
          <w:sz w:val="21"/>
          <w:szCs w:val="21"/>
          <w:highlight w:val="none"/>
        </w:rPr>
        <w:t>（</w:t>
      </w:r>
      <w:r>
        <w:rPr>
          <w:rFonts w:hint="eastAsia" w:ascii="宋体" w:hAnsi="宋体" w:cs="宋体"/>
          <w:b w:val="0"/>
          <w:bCs/>
          <w:color w:val="auto"/>
          <w:sz w:val="21"/>
          <w:szCs w:val="21"/>
          <w:highlight w:val="none"/>
          <w:lang w:val="en-US" w:eastAsia="zh-CN"/>
        </w:rPr>
        <w:t>1</w:t>
      </w:r>
      <w:r>
        <w:rPr>
          <w:rFonts w:hint="eastAsia" w:ascii="宋体" w:hAnsi="宋体" w:cs="宋体"/>
          <w:b w:val="0"/>
          <w:bCs/>
          <w:color w:val="auto"/>
          <w:sz w:val="21"/>
          <w:szCs w:val="21"/>
          <w:highlight w:val="none"/>
        </w:rPr>
        <w:t>）技术标准</w:t>
      </w:r>
    </w:p>
    <w:p>
      <w:pPr>
        <w:spacing w:line="420" w:lineRule="exact"/>
        <w:ind w:firstLine="411" w:firstLineChars="196"/>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 xml:space="preserve"> 国家标准：《木家具通用技术条件》GB/T3324-1995</w:t>
      </w:r>
    </w:p>
    <w:p>
      <w:pPr>
        <w:spacing w:line="420" w:lineRule="exact"/>
        <w:ind w:firstLine="1881" w:firstLineChars="896"/>
        <w:rPr>
          <w:rFonts w:ascii="宋体" w:hAnsi="宋体" w:cs="宋体"/>
          <w:color w:val="auto"/>
          <w:szCs w:val="21"/>
          <w:highlight w:val="none"/>
        </w:rPr>
      </w:pPr>
      <w:r>
        <w:rPr>
          <w:rFonts w:hint="eastAsia" w:ascii="宋体" w:hAnsi="宋体" w:cs="宋体"/>
          <w:color w:val="auto"/>
          <w:szCs w:val="21"/>
          <w:highlight w:val="none"/>
        </w:rPr>
        <w:t>《金属家具通用技术条件》GB/T3325-1995</w:t>
      </w:r>
    </w:p>
    <w:p>
      <w:pPr>
        <w:spacing w:line="420" w:lineRule="exact"/>
        <w:ind w:firstLine="1881" w:firstLineChars="896"/>
        <w:rPr>
          <w:rFonts w:ascii="宋体" w:hAnsi="宋体" w:cs="宋体"/>
          <w:color w:val="auto"/>
          <w:szCs w:val="21"/>
          <w:highlight w:val="none"/>
        </w:rPr>
      </w:pPr>
      <w:r>
        <w:rPr>
          <w:rFonts w:hint="eastAsia" w:ascii="宋体" w:hAnsi="宋体" w:cs="宋体"/>
          <w:color w:val="auto"/>
          <w:szCs w:val="21"/>
          <w:highlight w:val="none"/>
        </w:rPr>
        <w:t>《家具、柜类主要尺寸》GB/T3327-1997</w:t>
      </w:r>
    </w:p>
    <w:p>
      <w:pPr>
        <w:spacing w:line="420" w:lineRule="exact"/>
        <w:ind w:firstLine="1881" w:firstLineChars="896"/>
        <w:rPr>
          <w:rFonts w:ascii="宋体" w:hAnsi="宋体" w:cs="宋体"/>
          <w:color w:val="auto"/>
          <w:szCs w:val="21"/>
          <w:highlight w:val="none"/>
        </w:rPr>
      </w:pPr>
      <w:r>
        <w:rPr>
          <w:rFonts w:hint="eastAsia" w:ascii="宋体" w:hAnsi="宋体" w:cs="宋体"/>
          <w:color w:val="auto"/>
          <w:szCs w:val="21"/>
          <w:highlight w:val="none"/>
        </w:rPr>
        <w:t>《家具、桌、椅、凳类主要尺寸》GB/T3326-1997</w:t>
      </w:r>
    </w:p>
    <w:p>
      <w:pPr>
        <w:spacing w:line="420" w:lineRule="exact"/>
        <w:ind w:firstLine="1881" w:firstLineChars="896"/>
        <w:rPr>
          <w:rFonts w:ascii="宋体" w:hAnsi="宋体" w:cs="宋体"/>
          <w:color w:val="auto"/>
          <w:szCs w:val="21"/>
          <w:highlight w:val="none"/>
        </w:rPr>
      </w:pPr>
      <w:r>
        <w:rPr>
          <w:rFonts w:hint="eastAsia" w:ascii="宋体" w:hAnsi="宋体" w:cs="宋体"/>
          <w:color w:val="auto"/>
          <w:szCs w:val="21"/>
          <w:highlight w:val="none"/>
        </w:rPr>
        <w:t>《排风柜》  GB/T 6412-1999</w:t>
      </w:r>
    </w:p>
    <w:p>
      <w:pPr>
        <w:spacing w:line="420" w:lineRule="exact"/>
        <w:ind w:firstLine="1881" w:firstLineChars="896"/>
        <w:rPr>
          <w:rFonts w:ascii="宋体" w:hAnsi="宋体" w:cs="宋体"/>
          <w:color w:val="auto"/>
          <w:szCs w:val="21"/>
          <w:highlight w:val="none"/>
        </w:rPr>
      </w:pPr>
      <w:r>
        <w:rPr>
          <w:rFonts w:hint="eastAsia" w:ascii="宋体" w:hAnsi="宋体" w:cs="宋体"/>
          <w:color w:val="auto"/>
          <w:szCs w:val="21"/>
          <w:highlight w:val="none"/>
        </w:rPr>
        <w:t>《低压配电系统设计规范》</w:t>
      </w:r>
      <w:r>
        <w:rPr>
          <w:rFonts w:ascii="宋体" w:hAnsi="宋体" w:cs="宋体"/>
          <w:color w:val="auto"/>
          <w:szCs w:val="21"/>
          <w:highlight w:val="none"/>
        </w:rPr>
        <w:t>（GB50052-95）</w:t>
      </w:r>
    </w:p>
    <w:p>
      <w:pPr>
        <w:spacing w:line="420" w:lineRule="exact"/>
        <w:ind w:firstLine="1881" w:firstLineChars="896"/>
        <w:rPr>
          <w:rFonts w:ascii="宋体" w:hAnsi="宋体" w:cs="宋体"/>
          <w:color w:val="auto"/>
          <w:szCs w:val="21"/>
          <w:highlight w:val="none"/>
        </w:rPr>
      </w:pPr>
      <w:r>
        <w:rPr>
          <w:rFonts w:hint="eastAsia" w:ascii="宋体" w:hAnsi="宋体" w:cs="宋体"/>
          <w:color w:val="auto"/>
          <w:szCs w:val="21"/>
          <w:highlight w:val="none"/>
        </w:rPr>
        <w:t>《电器装置安装工程设计照明装置工程设计和验收规范》</w:t>
      </w:r>
      <w:r>
        <w:rPr>
          <w:rFonts w:ascii="宋体" w:hAnsi="宋体" w:cs="宋体"/>
          <w:color w:val="auto"/>
          <w:szCs w:val="21"/>
          <w:highlight w:val="none"/>
        </w:rPr>
        <w:t>（GB50259-96）</w:t>
      </w:r>
    </w:p>
    <w:p>
      <w:pPr>
        <w:spacing w:line="420" w:lineRule="exact"/>
        <w:ind w:firstLine="1881" w:firstLineChars="896"/>
        <w:rPr>
          <w:rFonts w:ascii="宋体" w:hAnsi="宋体" w:cs="宋体"/>
          <w:color w:val="auto"/>
          <w:szCs w:val="21"/>
          <w:highlight w:val="none"/>
        </w:rPr>
      </w:pPr>
      <w:r>
        <w:rPr>
          <w:rFonts w:hint="eastAsia" w:ascii="宋体" w:hAnsi="宋体" w:cs="宋体"/>
          <w:color w:val="auto"/>
          <w:szCs w:val="21"/>
          <w:highlight w:val="none"/>
        </w:rPr>
        <w:t>《电器装置安装工程设计接地装置设计及验收规范》</w:t>
      </w:r>
      <w:r>
        <w:rPr>
          <w:rFonts w:ascii="宋体" w:hAnsi="宋体" w:cs="宋体"/>
          <w:color w:val="auto"/>
          <w:szCs w:val="21"/>
          <w:highlight w:val="none"/>
        </w:rPr>
        <w:t>（GB50169-92）</w:t>
      </w:r>
    </w:p>
    <w:p>
      <w:pPr>
        <w:spacing w:line="420" w:lineRule="exact"/>
        <w:ind w:firstLine="1881" w:firstLineChars="896"/>
        <w:rPr>
          <w:rFonts w:ascii="宋体" w:hAnsi="宋体" w:cs="宋体"/>
          <w:color w:val="auto"/>
          <w:szCs w:val="21"/>
          <w:highlight w:val="none"/>
        </w:rPr>
      </w:pPr>
      <w:r>
        <w:rPr>
          <w:rFonts w:hint="eastAsia" w:ascii="宋体" w:hAnsi="宋体" w:cs="宋体"/>
          <w:color w:val="auto"/>
          <w:szCs w:val="21"/>
          <w:highlight w:val="none"/>
        </w:rPr>
        <w:t>《电器装置安装工程设计低压电器设计及验收规范》</w:t>
      </w:r>
      <w:r>
        <w:rPr>
          <w:rFonts w:ascii="宋体" w:hAnsi="宋体" w:cs="宋体"/>
          <w:color w:val="auto"/>
          <w:szCs w:val="21"/>
          <w:highlight w:val="none"/>
        </w:rPr>
        <w:t>（GB50245-96）</w:t>
      </w:r>
    </w:p>
    <w:p>
      <w:pPr>
        <w:spacing w:line="420" w:lineRule="exact"/>
        <w:ind w:firstLine="1881" w:firstLineChars="896"/>
        <w:rPr>
          <w:rFonts w:ascii="宋体" w:hAns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涂装作业安全规程 粉末静电喷涂工艺安全</w:t>
      </w:r>
      <w:r>
        <w:rPr>
          <w:rFonts w:hint="eastAsia" w:ascii="宋体" w:hAnsi="宋体" w:cs="宋体"/>
          <w:color w:val="auto"/>
          <w:szCs w:val="21"/>
          <w:highlight w:val="none"/>
        </w:rPr>
        <w:t>》（</w:t>
      </w:r>
      <w:r>
        <w:rPr>
          <w:rFonts w:ascii="宋体" w:hAnsi="宋体" w:cs="宋体"/>
          <w:color w:val="auto"/>
          <w:szCs w:val="21"/>
          <w:highlight w:val="none"/>
        </w:rPr>
        <w:t>GB 15607-2008</w:t>
      </w:r>
      <w:r>
        <w:rPr>
          <w:rFonts w:hint="eastAsia" w:ascii="宋体" w:hAnsi="宋体" w:cs="宋体"/>
          <w:color w:val="auto"/>
          <w:szCs w:val="21"/>
          <w:highlight w:val="none"/>
        </w:rPr>
        <w:t>）</w:t>
      </w:r>
    </w:p>
    <w:p>
      <w:pPr>
        <w:spacing w:line="420" w:lineRule="exact"/>
        <w:ind w:firstLine="1881" w:firstLineChars="896"/>
        <w:rPr>
          <w:rFonts w:ascii="宋体" w:hAnsi="宋体" w:cs="宋体"/>
          <w:color w:val="auto"/>
          <w:szCs w:val="21"/>
          <w:highlight w:val="none"/>
        </w:rPr>
      </w:pPr>
      <w:r>
        <w:rPr>
          <w:rFonts w:hint="eastAsia" w:ascii="宋体" w:hAnsi="宋体" w:cs="宋体"/>
          <w:color w:val="auto"/>
          <w:szCs w:val="21"/>
          <w:highlight w:val="none"/>
        </w:rPr>
        <w:t>《室内装饰装修材料人造板及其制品中甲醛释放量》（GB18580-2001）</w:t>
      </w:r>
    </w:p>
    <w:p>
      <w:pPr>
        <w:spacing w:line="420" w:lineRule="exact"/>
        <w:ind w:firstLine="1881" w:firstLineChars="896"/>
        <w:rPr>
          <w:rFonts w:ascii="宋体" w:hAnsi="宋体" w:cs="宋体"/>
          <w:color w:val="auto"/>
          <w:szCs w:val="21"/>
          <w:highlight w:val="none"/>
        </w:rPr>
      </w:pPr>
      <w:r>
        <w:rPr>
          <w:rFonts w:hint="eastAsia" w:ascii="宋体" w:hAnsi="宋体" w:cs="宋体"/>
          <w:color w:val="auto"/>
          <w:szCs w:val="21"/>
          <w:highlight w:val="none"/>
        </w:rPr>
        <w:t>《浸渍胶膜纸饰面人造板》（GB/T15102-2006）</w:t>
      </w:r>
    </w:p>
    <w:p>
      <w:pPr>
        <w:numPr>
          <w:ilvl w:val="0"/>
          <w:numId w:val="0"/>
        </w:numPr>
        <w:adjustRightInd w:val="0"/>
        <w:snapToGrid w:val="0"/>
        <w:spacing w:line="420" w:lineRule="exact"/>
        <w:ind w:left="360" w:leftChars="0" w:firstLine="210" w:firstLineChars="100"/>
        <w:rPr>
          <w:rFonts w:ascii="宋体" w:hAnsi="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实验室台柜家具技术要求：</w:t>
      </w:r>
    </w:p>
    <w:p>
      <w:pPr>
        <w:spacing w:line="420" w:lineRule="exact"/>
        <w:ind w:left="1161" w:leftChars="270" w:hanging="594" w:hangingChars="283"/>
        <w:rPr>
          <w:rFonts w:ascii="宋体" w:hAnsi="宋体" w:cs="宋体"/>
          <w:color w:val="auto"/>
          <w:szCs w:val="21"/>
          <w:highlight w:val="none"/>
        </w:rPr>
      </w:pP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 1 \* GB3 \* MERGEFORMAT </w:instrText>
      </w:r>
      <w:r>
        <w:rPr>
          <w:rFonts w:hint="eastAsia" w:ascii="宋体" w:hAnsi="宋体" w:cs="宋体"/>
          <w:color w:val="auto"/>
          <w:szCs w:val="21"/>
          <w:highlight w:val="none"/>
        </w:rPr>
        <w:fldChar w:fldCharType="separate"/>
      </w:r>
      <w:r>
        <w:rPr>
          <w:color w:val="auto"/>
          <w:highlight w:val="none"/>
        </w:rPr>
        <w:t>①</w:t>
      </w:r>
      <w:r>
        <w:rPr>
          <w:rFonts w:hint="eastAsia" w:ascii="宋体" w:hAnsi="宋体" w:cs="宋体"/>
          <w:color w:val="auto"/>
          <w:szCs w:val="21"/>
          <w:highlight w:val="none"/>
        </w:rPr>
        <w:fldChar w:fldCharType="end"/>
      </w:r>
      <w:r>
        <w:rPr>
          <w:rFonts w:hint="eastAsia" w:ascii="宋体" w:hAnsi="宋体" w:cs="宋体"/>
          <w:color w:val="auto"/>
          <w:szCs w:val="21"/>
          <w:highlight w:val="none"/>
        </w:rPr>
        <w:t>实验室家具主要采用C型钢+木制结构（特殊实验室采用专用工作台，如不锈钢台），所有的抽屉尺寸一致，可以互换。对整体色彩的要求，整体房间为清新、雅致色调作为主色调。各所实验室台柜颜色原则上统一色调，如各所使用者有特殊要求的，以确定具体颜色系列为准，合作单位不得因此提出费用要求。</w:t>
      </w:r>
    </w:p>
    <w:p>
      <w:pPr>
        <w:spacing w:line="420" w:lineRule="exact"/>
        <w:ind w:left="1161" w:leftChars="270" w:hanging="594" w:hangingChars="283"/>
        <w:rPr>
          <w:rFonts w:ascii="宋体" w:hAnsi="宋体" w:cs="宋体"/>
          <w:color w:val="auto"/>
          <w:szCs w:val="21"/>
          <w:highlight w:val="none"/>
        </w:rPr>
      </w:pP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 2 \* GB3 \* MERGEFORMAT </w:instrText>
      </w:r>
      <w:r>
        <w:rPr>
          <w:rFonts w:hint="eastAsia" w:ascii="宋体" w:hAnsi="宋体" w:cs="宋体"/>
          <w:color w:val="auto"/>
          <w:szCs w:val="21"/>
          <w:highlight w:val="none"/>
        </w:rPr>
        <w:fldChar w:fldCharType="separate"/>
      </w:r>
      <w:r>
        <w:rPr>
          <w:color w:val="auto"/>
          <w:highlight w:val="none"/>
        </w:rPr>
        <w:t>②</w:t>
      </w:r>
      <w:r>
        <w:rPr>
          <w:rFonts w:hint="eastAsia" w:ascii="宋体" w:hAnsi="宋体" w:cs="宋体"/>
          <w:color w:val="auto"/>
          <w:szCs w:val="21"/>
          <w:highlight w:val="none"/>
        </w:rPr>
        <w:fldChar w:fldCharType="end"/>
      </w:r>
      <w:r>
        <w:rPr>
          <w:rFonts w:hint="eastAsia" w:ascii="宋体" w:hAnsi="宋体" w:cs="宋体"/>
          <w:color w:val="auto"/>
          <w:szCs w:val="21"/>
          <w:highlight w:val="none"/>
        </w:rPr>
        <w:t>产品为钢木结构产品，具备结构稳固、承重性能好、使用寿命长的要求；利于电气维修和清洁卫生，具有最佳的经济性能比。</w:t>
      </w:r>
    </w:p>
    <w:p>
      <w:pPr>
        <w:spacing w:line="420" w:lineRule="exact"/>
        <w:ind w:left="1161" w:leftChars="270" w:hanging="594" w:hangingChars="283"/>
        <w:rPr>
          <w:rFonts w:ascii="宋体" w:hAnsi="宋体" w:cs="宋体"/>
          <w:color w:val="auto"/>
          <w:szCs w:val="21"/>
          <w:highlight w:val="none"/>
        </w:rPr>
      </w:pP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 3 \* GB3 \* MERGEFORMAT </w:instrText>
      </w:r>
      <w:r>
        <w:rPr>
          <w:rFonts w:hint="eastAsia" w:ascii="宋体" w:hAnsi="宋体" w:cs="宋体"/>
          <w:color w:val="auto"/>
          <w:szCs w:val="21"/>
          <w:highlight w:val="none"/>
        </w:rPr>
        <w:fldChar w:fldCharType="separate"/>
      </w:r>
      <w:r>
        <w:rPr>
          <w:color w:val="auto"/>
          <w:highlight w:val="none"/>
        </w:rPr>
        <w:t>③</w:t>
      </w:r>
      <w:r>
        <w:rPr>
          <w:rFonts w:hint="eastAsia" w:ascii="宋体" w:hAnsi="宋体" w:cs="宋体"/>
          <w:color w:val="auto"/>
          <w:szCs w:val="21"/>
          <w:highlight w:val="none"/>
        </w:rPr>
        <w:fldChar w:fldCharType="end"/>
      </w:r>
      <w:r>
        <w:rPr>
          <w:rFonts w:hint="eastAsia" w:ascii="宋体" w:hAnsi="宋体" w:cs="宋体"/>
          <w:color w:val="auto"/>
          <w:szCs w:val="21"/>
          <w:highlight w:val="none"/>
        </w:rPr>
        <w:t>产品必须满足本科教学、基本科研使用要求。</w:t>
      </w:r>
    </w:p>
    <w:p>
      <w:pPr>
        <w:spacing w:line="420" w:lineRule="exact"/>
        <w:ind w:left="1161" w:leftChars="270" w:hanging="594" w:hangingChars="283"/>
        <w:rPr>
          <w:rFonts w:ascii="宋体" w:hAnsi="宋体" w:cs="宋体"/>
          <w:color w:val="auto"/>
          <w:szCs w:val="21"/>
          <w:highlight w:val="none"/>
        </w:rPr>
      </w:pP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 4 \* GB3 \* MERGEFORMAT </w:instrText>
      </w:r>
      <w:r>
        <w:rPr>
          <w:rFonts w:hint="eastAsia" w:ascii="宋体" w:hAnsi="宋体" w:cs="宋体"/>
          <w:color w:val="auto"/>
          <w:szCs w:val="21"/>
          <w:highlight w:val="none"/>
        </w:rPr>
        <w:fldChar w:fldCharType="separate"/>
      </w:r>
      <w:r>
        <w:rPr>
          <w:color w:val="auto"/>
          <w:highlight w:val="none"/>
        </w:rPr>
        <w:t>④</w:t>
      </w:r>
      <w:r>
        <w:rPr>
          <w:rFonts w:hint="eastAsia" w:ascii="宋体" w:hAnsi="宋体" w:cs="宋体"/>
          <w:color w:val="auto"/>
          <w:szCs w:val="21"/>
          <w:highlight w:val="none"/>
        </w:rPr>
        <w:fldChar w:fldCharType="end"/>
      </w:r>
      <w:r>
        <w:rPr>
          <w:rFonts w:hint="eastAsia" w:ascii="宋体" w:hAnsi="宋体" w:cs="宋体"/>
          <w:color w:val="auto"/>
          <w:szCs w:val="21"/>
          <w:highlight w:val="none"/>
        </w:rPr>
        <w:t>外形尺寸：长、宽、高误差点≤</w:t>
      </w:r>
      <w:r>
        <w:rPr>
          <w:rFonts w:ascii="宋体" w:hAnsi="宋体" w:cs="宋体"/>
          <w:color w:val="auto"/>
          <w:szCs w:val="21"/>
          <w:highlight w:val="none"/>
        </w:rPr>
        <w:t>3mm</w:t>
      </w:r>
      <w:r>
        <w:rPr>
          <w:rFonts w:hint="eastAsia" w:ascii="宋体" w:hAnsi="宋体" w:cs="宋体"/>
          <w:color w:val="auto"/>
          <w:szCs w:val="21"/>
          <w:highlight w:val="none"/>
        </w:rPr>
        <w:t>；邻边垂直度：台面对角线、框架对角线</w:t>
      </w:r>
      <w:r>
        <w:rPr>
          <w:rFonts w:ascii="宋体" w:hAnsi="宋体" w:cs="宋体"/>
          <w:color w:val="auto"/>
          <w:szCs w:val="21"/>
          <w:highlight w:val="none"/>
        </w:rPr>
        <w:t>1000mm</w:t>
      </w:r>
      <w:r>
        <w:rPr>
          <w:rFonts w:hint="eastAsia" w:ascii="宋体" w:hAnsi="宋体" w:cs="宋体"/>
          <w:color w:val="auto"/>
          <w:szCs w:val="21"/>
          <w:highlight w:val="none"/>
        </w:rPr>
        <w:t>≤</w:t>
      </w:r>
      <w:r>
        <w:rPr>
          <w:rFonts w:ascii="宋体" w:hAnsi="宋体" w:cs="宋体"/>
          <w:color w:val="auto"/>
          <w:szCs w:val="21"/>
          <w:highlight w:val="none"/>
        </w:rPr>
        <w:t>3mm</w:t>
      </w:r>
      <w:r>
        <w:rPr>
          <w:rFonts w:hint="eastAsia" w:ascii="宋体" w:hAnsi="宋体" w:cs="宋体"/>
          <w:color w:val="auto"/>
          <w:szCs w:val="21"/>
          <w:highlight w:val="none"/>
        </w:rPr>
        <w:t>；</w:t>
      </w:r>
      <w:r>
        <w:rPr>
          <w:rFonts w:ascii="宋体" w:hAnsi="宋体" w:cs="宋体"/>
          <w:color w:val="auto"/>
          <w:szCs w:val="21"/>
          <w:highlight w:val="none"/>
        </w:rPr>
        <w:t>2000mm</w:t>
      </w:r>
      <w:r>
        <w:rPr>
          <w:rFonts w:hint="eastAsia" w:ascii="宋体" w:hAnsi="宋体" w:cs="宋体"/>
          <w:color w:val="auto"/>
          <w:szCs w:val="21"/>
          <w:highlight w:val="none"/>
        </w:rPr>
        <w:t>≤</w:t>
      </w:r>
      <w:r>
        <w:rPr>
          <w:rFonts w:ascii="宋体" w:hAnsi="宋体" w:cs="宋体"/>
          <w:color w:val="auto"/>
          <w:szCs w:val="21"/>
          <w:highlight w:val="none"/>
        </w:rPr>
        <w:t>4mm</w:t>
      </w:r>
      <w:r>
        <w:rPr>
          <w:rFonts w:hint="eastAsia" w:ascii="宋体" w:hAnsi="宋体" w:cs="宋体"/>
          <w:color w:val="auto"/>
          <w:szCs w:val="21"/>
          <w:highlight w:val="none"/>
        </w:rPr>
        <w:t>；</w:t>
      </w:r>
      <w:r>
        <w:rPr>
          <w:rFonts w:ascii="宋体" w:hAnsi="宋体" w:cs="宋体"/>
          <w:color w:val="auto"/>
          <w:szCs w:val="21"/>
          <w:highlight w:val="none"/>
        </w:rPr>
        <w:t>3000mm</w:t>
      </w:r>
      <w:r>
        <w:rPr>
          <w:rFonts w:hint="eastAsia" w:ascii="宋体" w:hAnsi="宋体" w:cs="宋体"/>
          <w:color w:val="auto"/>
          <w:szCs w:val="21"/>
          <w:highlight w:val="none"/>
        </w:rPr>
        <w:t>≤</w:t>
      </w:r>
      <w:r>
        <w:rPr>
          <w:rFonts w:ascii="宋体" w:hAnsi="宋体" w:cs="宋体"/>
          <w:color w:val="auto"/>
          <w:szCs w:val="21"/>
          <w:highlight w:val="none"/>
        </w:rPr>
        <w:t>5mm</w:t>
      </w:r>
      <w:r>
        <w:rPr>
          <w:rFonts w:hint="eastAsia" w:ascii="宋体" w:hAnsi="宋体" w:cs="宋体"/>
          <w:color w:val="auto"/>
          <w:szCs w:val="21"/>
          <w:highlight w:val="none"/>
        </w:rPr>
        <w:t>。</w:t>
      </w:r>
    </w:p>
    <w:p>
      <w:pPr>
        <w:spacing w:line="420" w:lineRule="exact"/>
        <w:ind w:left="1041" w:leftChars="270" w:hanging="474" w:hangingChars="226"/>
        <w:rPr>
          <w:rFonts w:ascii="宋体" w:hAnsi="宋体" w:cs="宋体"/>
          <w:color w:val="auto"/>
          <w:szCs w:val="21"/>
          <w:highlight w:val="none"/>
        </w:rPr>
      </w:pP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 5 \* GB3 \* MERGEFORMAT </w:instrText>
      </w:r>
      <w:r>
        <w:rPr>
          <w:rFonts w:hint="eastAsia" w:ascii="宋体" w:hAnsi="宋体" w:cs="宋体"/>
          <w:color w:val="auto"/>
          <w:szCs w:val="21"/>
          <w:highlight w:val="none"/>
        </w:rPr>
        <w:fldChar w:fldCharType="separate"/>
      </w:r>
      <w:r>
        <w:rPr>
          <w:color w:val="auto"/>
          <w:highlight w:val="none"/>
        </w:rPr>
        <w:t>⑤</w:t>
      </w:r>
      <w:r>
        <w:rPr>
          <w:rFonts w:hint="eastAsia" w:ascii="宋体" w:hAnsi="宋体" w:cs="宋体"/>
          <w:color w:val="auto"/>
          <w:szCs w:val="21"/>
          <w:highlight w:val="none"/>
        </w:rPr>
        <w:fldChar w:fldCharType="end"/>
      </w:r>
      <w:r>
        <w:rPr>
          <w:rFonts w:hint="eastAsia" w:ascii="宋体" w:hAnsi="宋体" w:cs="宋体"/>
          <w:color w:val="auto"/>
          <w:szCs w:val="21"/>
          <w:highlight w:val="none"/>
        </w:rPr>
        <w:t>所提供产品人造板材料有害物质释放量必须符合《室内装饰装修材料人造板及其制品中甲醛释放量》（GB18580-2001）标准；甲醛含量≤1.5mg/L,达到E1级。</w:t>
      </w:r>
    </w:p>
    <w:p>
      <w:pPr>
        <w:spacing w:line="420" w:lineRule="exact"/>
        <w:ind w:left="-141" w:leftChars="-67" w:firstLine="630" w:firstLineChars="300"/>
        <w:outlineLvl w:val="0"/>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lang w:eastAsia="zh-CN"/>
        </w:rPr>
        <w:t>）</w:t>
      </w:r>
      <w:r>
        <w:rPr>
          <w:rFonts w:hint="eastAsia" w:ascii="宋体" w:hAnsi="宋体" w:cs="宋体"/>
          <w:color w:val="auto"/>
          <w:szCs w:val="21"/>
          <w:highlight w:val="none"/>
        </w:rPr>
        <w:t>工艺要求：</w:t>
      </w:r>
    </w:p>
    <w:p>
      <w:pPr>
        <w:spacing w:line="420" w:lineRule="exact"/>
        <w:ind w:left="896" w:leftChars="269" w:hanging="331" w:hangingChars="158"/>
        <w:rPr>
          <w:rFonts w:ascii="宋体" w:hAnsi="宋体" w:cs="宋体"/>
          <w:color w:val="auto"/>
          <w:szCs w:val="21"/>
          <w:highlight w:val="none"/>
        </w:rPr>
      </w:pPr>
      <w:r>
        <w:rPr>
          <w:rFonts w:hint="eastAsia" w:ascii="宋体" w:hAnsi="宋体" w:cs="宋体"/>
          <w:color w:val="auto"/>
          <w:szCs w:val="21"/>
          <w:highlight w:val="none"/>
          <w:lang w:val="en-US" w:eastAsia="zh-CN"/>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钢部件表面必须高温固化处理，平整光滑，不允许有喷涂层脱落、鼓泡、凹陷、压痕以及表面划伤、麻点、裂痕、崩角和刃口等，钻孔位置最低要求由模具定位。切割、钻孔和倒角应去毛刺。</w:t>
      </w:r>
    </w:p>
    <w:p>
      <w:pPr>
        <w:spacing w:line="420" w:lineRule="exact"/>
        <w:ind w:left="896" w:leftChars="269" w:hanging="331" w:hangingChars="158"/>
        <w:rPr>
          <w:rFonts w:ascii="宋体" w:hAnsi="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cs="宋体"/>
          <w:color w:val="auto"/>
          <w:szCs w:val="21"/>
          <w:highlight w:val="none"/>
          <w:lang w:eastAsia="zh-CN"/>
        </w:rPr>
        <w:t>）</w:t>
      </w:r>
      <w:r>
        <w:rPr>
          <w:rFonts w:hint="eastAsia" w:ascii="宋体" w:hAnsi="宋体" w:cs="宋体"/>
          <w:color w:val="auto"/>
          <w:szCs w:val="21"/>
          <w:highlight w:val="none"/>
        </w:rPr>
        <w:t>各种配件安装应严密、平整、端正、牢固、结合处应无崩茬或松动。金属配件应做除锈和防腐处理。</w:t>
      </w:r>
    </w:p>
    <w:p>
      <w:pPr>
        <w:spacing w:line="420" w:lineRule="exact"/>
        <w:ind w:left="896" w:leftChars="269" w:hanging="331" w:hangingChars="158"/>
        <w:rPr>
          <w:rFonts w:ascii="宋体" w:hAnsi="宋体" w:cs="宋体"/>
          <w:color w:val="auto"/>
          <w:szCs w:val="21"/>
          <w:highlight w:val="none"/>
        </w:rPr>
      </w:pPr>
      <w:r>
        <w:rPr>
          <w:rFonts w:hint="eastAsia" w:ascii="宋体" w:hAnsi="宋体" w:cs="宋体"/>
          <w:color w:val="auto"/>
          <w:szCs w:val="21"/>
          <w:highlight w:val="none"/>
          <w:lang w:val="en-US" w:eastAsia="zh-CN"/>
        </w:rPr>
        <w:t>3</w:t>
      </w:r>
      <w:r>
        <w:rPr>
          <w:rFonts w:hint="eastAsia" w:ascii="宋体" w:hAnsi="宋体" w:cs="宋体"/>
          <w:color w:val="auto"/>
          <w:szCs w:val="21"/>
          <w:highlight w:val="none"/>
          <w:lang w:eastAsia="zh-CN"/>
        </w:rPr>
        <w:t>）</w:t>
      </w:r>
      <w:r>
        <w:rPr>
          <w:rFonts w:hint="eastAsia" w:ascii="宋体" w:hAnsi="宋体" w:cs="宋体"/>
          <w:color w:val="auto"/>
          <w:szCs w:val="21"/>
          <w:highlight w:val="none"/>
        </w:rPr>
        <w:t>台面与钢支架连接整体加工用铆钉技术固定法，不进行现场钻孔加工法，保证安装质量，提供铆钉技术固定安装图。</w:t>
      </w:r>
    </w:p>
    <w:p>
      <w:pPr>
        <w:spacing w:line="420" w:lineRule="exact"/>
        <w:ind w:left="1161" w:leftChars="270" w:hanging="594" w:hangingChars="283"/>
        <w:rPr>
          <w:rFonts w:ascii="宋体" w:hAnsi="宋体" w:cs="宋体"/>
          <w:color w:val="auto"/>
          <w:szCs w:val="21"/>
          <w:highlight w:val="none"/>
        </w:rPr>
      </w:pP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所有水、电、气路要求安全、适用，并隐藏式安装。</w:t>
      </w:r>
    </w:p>
    <w:p>
      <w:pPr>
        <w:spacing w:line="420" w:lineRule="exact"/>
        <w:ind w:firstLine="525" w:firstLineChars="250"/>
        <w:outlineLvl w:val="0"/>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lang w:eastAsia="zh-CN"/>
        </w:rPr>
        <w:t>）</w:t>
      </w:r>
      <w:r>
        <w:rPr>
          <w:rFonts w:hint="eastAsia" w:ascii="宋体" w:hAnsi="宋体" w:cs="宋体"/>
          <w:color w:val="auto"/>
          <w:szCs w:val="21"/>
          <w:highlight w:val="none"/>
        </w:rPr>
        <w:t>实验室专用实验台柜具体</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清单与技术要求详见下表：</w:t>
      </w:r>
    </w:p>
    <w:tbl>
      <w:tblPr>
        <w:tblStyle w:val="89"/>
        <w:tblW w:w="9499" w:type="dxa"/>
        <w:jc w:val="center"/>
        <w:tblLayout w:type="fixed"/>
        <w:tblCellMar>
          <w:top w:w="0" w:type="dxa"/>
          <w:left w:w="108" w:type="dxa"/>
          <w:bottom w:w="0" w:type="dxa"/>
          <w:right w:w="108" w:type="dxa"/>
        </w:tblCellMar>
      </w:tblPr>
      <w:tblGrid>
        <w:gridCol w:w="567"/>
        <w:gridCol w:w="682"/>
        <w:gridCol w:w="1539"/>
        <w:gridCol w:w="710"/>
        <w:gridCol w:w="510"/>
        <w:gridCol w:w="3945"/>
        <w:gridCol w:w="1546"/>
      </w:tblGrid>
      <w:tr>
        <w:tblPrEx>
          <w:tblCellMar>
            <w:top w:w="0" w:type="dxa"/>
            <w:left w:w="108" w:type="dxa"/>
            <w:bottom w:w="0" w:type="dxa"/>
            <w:right w:w="108" w:type="dxa"/>
          </w:tblCellMar>
        </w:tblPrEx>
        <w:trPr>
          <w:trHeight w:val="480" w:hRule="atLeast"/>
          <w:jc w:val="center"/>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682"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货物名称</w:t>
            </w:r>
          </w:p>
        </w:tc>
        <w:tc>
          <w:tcPr>
            <w:tcW w:w="153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型号规格</w:t>
            </w:r>
          </w:p>
        </w:tc>
        <w:tc>
          <w:tcPr>
            <w:tcW w:w="71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数量</w:t>
            </w:r>
          </w:p>
        </w:tc>
        <w:tc>
          <w:tcPr>
            <w:tcW w:w="51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单位</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技术参数要求</w:t>
            </w:r>
          </w:p>
        </w:tc>
        <w:tc>
          <w:tcPr>
            <w:tcW w:w="154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备注</w:t>
            </w:r>
          </w:p>
        </w:tc>
      </w:tr>
      <w:tr>
        <w:tblPrEx>
          <w:tblCellMar>
            <w:top w:w="0" w:type="dxa"/>
            <w:left w:w="108" w:type="dxa"/>
            <w:bottom w:w="0" w:type="dxa"/>
            <w:right w:w="108" w:type="dxa"/>
          </w:tblCellMar>
        </w:tblPrEx>
        <w:trPr>
          <w:trHeight w:val="439" w:hRule="atLeast"/>
          <w:jc w:val="center"/>
        </w:trPr>
        <w:tc>
          <w:tcPr>
            <w:tcW w:w="9499"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一、二层实验室台柜</w:t>
            </w:r>
          </w:p>
        </w:tc>
      </w:tr>
      <w:tr>
        <w:tblPrEx>
          <w:tblCellMar>
            <w:top w:w="0" w:type="dxa"/>
            <w:left w:w="108" w:type="dxa"/>
            <w:bottom w:w="0" w:type="dxa"/>
            <w:right w:w="108" w:type="dxa"/>
          </w:tblCellMar>
        </w:tblPrEx>
        <w:trPr>
          <w:trHeight w:val="439" w:hRule="atLeast"/>
          <w:jc w:val="center"/>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6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不锈钢台</w:t>
            </w:r>
          </w:p>
        </w:tc>
        <w:tc>
          <w:tcPr>
            <w:tcW w:w="15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约</w:t>
            </w:r>
            <w:r>
              <w:rPr>
                <w:rFonts w:hint="eastAsia" w:ascii="宋体" w:hAnsi="宋体" w:eastAsia="宋体" w:cs="宋体"/>
                <w:color w:val="auto"/>
                <w:kern w:val="0"/>
                <w:sz w:val="21"/>
                <w:szCs w:val="21"/>
                <w:highlight w:val="none"/>
              </w:rPr>
              <w:t>1500*600*850</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510"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米</w:t>
            </w:r>
          </w:p>
        </w:tc>
        <w:tc>
          <w:tcPr>
            <w:tcW w:w="394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1.台面采用≥1.0mm厚304#不锈钢板内填≥25mm厚三聚氰胺中纤板焊接制作而成，边沿圆边处理。                                                                         2.主框架采用≥30*30*1.2mm厚的方形304#不锈钢钢管制成；所有组件经模具冲压折弯焊接而成，暴露焊接部分打磨；无论垂直方向及水平方向其交叉角平面均光滑过渡，焊点无毛刺及假焊，且经打磨平磨平整并防锈处理。</w:t>
            </w:r>
          </w:p>
        </w:tc>
        <w:tc>
          <w:tcPr>
            <w:tcW w:w="154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304#不锈钢板定制加工</w:t>
            </w:r>
          </w:p>
        </w:tc>
      </w:tr>
      <w:tr>
        <w:tblPrEx>
          <w:tblCellMar>
            <w:top w:w="0" w:type="dxa"/>
            <w:left w:w="108" w:type="dxa"/>
            <w:bottom w:w="0" w:type="dxa"/>
            <w:right w:w="108" w:type="dxa"/>
          </w:tblCellMar>
        </w:tblPrEx>
        <w:trPr>
          <w:trHeight w:val="1254" w:hRule="atLeast"/>
          <w:jc w:val="center"/>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p>
        </w:tc>
        <w:tc>
          <w:tcPr>
            <w:tcW w:w="6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边台</w:t>
            </w:r>
          </w:p>
        </w:tc>
        <w:tc>
          <w:tcPr>
            <w:tcW w:w="15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约</w:t>
            </w:r>
            <w:r>
              <w:rPr>
                <w:rFonts w:hint="eastAsia" w:ascii="宋体" w:hAnsi="宋体" w:eastAsia="宋体" w:cs="宋体"/>
                <w:color w:val="auto"/>
                <w:kern w:val="0"/>
                <w:sz w:val="21"/>
                <w:szCs w:val="21"/>
                <w:highlight w:val="none"/>
              </w:rPr>
              <w:t>L*750*850</w:t>
            </w:r>
          </w:p>
        </w:tc>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29.4</w:t>
            </w:r>
          </w:p>
        </w:tc>
        <w:tc>
          <w:tcPr>
            <w:tcW w:w="5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米</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1．框架结构：采用C型钢架木质悬柜结构                                             2.台面：采用实验室专用≥12.7mm厚耐腐蚀实芯理化板台面,表面具备合理的耐酸碱性能、抗菌性能、耐冲击、韧性强、耐污染、易清洁、铅含量低操作面前缘上边经圆滑处理，采用实验室专用实芯理化板加工制作,边沿加厚至≥25.4mm。所提供的台面必须不低于或优于以下参数性能：                                                                         A：化学性能:台面按国家标准GB/T 17657-2013人造板及饰面人造板理化性能试验方法（4.41表面耐污染性能测定----方法2中室温24H测试条件）进行检测，对37%盐酸；65%硝酸，40%氢氧化钠，98%硫酸，99%乙酸，85%磷酸，48%氢氟酸，37%甲醛，3%双氧水，苯酚，四氯化碳，硫化钠饱和液等12种强酸强碱化学试剂分级检验结果为最好级别5级。                                                ▲B：物理性能：所检产品按照GB 18580-2017“室内装饰装修材料 人造板及其制品中甲醛释放量”限量值E1进行检验，所检结果达到标准要求。甲醛释放量（1m³气候箱法）：技术指标≤0.124，检测结果为0.021mg/m³.</w:t>
            </w:r>
          </w:p>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1.弯曲强度：126Mpa，（GB/T17657-2013）</w:t>
            </w:r>
          </w:p>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2.吸水率（24h,23℃）：0.34%，（GB/T17657-2013）</w:t>
            </w:r>
          </w:p>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3.拉伸断裂强度：82.2MPa，（GB/T17657-2013）</w:t>
            </w:r>
          </w:p>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4.压缩强度：266MPa，（GB/T1041-2008）</w:t>
            </w:r>
          </w:p>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5.洛氏硬度（R）：121，（GB/T3398.2-2008）</w:t>
            </w:r>
          </w:p>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6.悬臂梁无口冲击强度：14.5（c）KJ/㎡，（GB/T1843-2008）                                     C.三聚氰胺的特殊转移,按照EN 13130-1:2004 &amp; DD CEN/TS 13130-27:2005测试方法进行检测，用3%的醋酸在60摄氏度浸泡6小时,用95%乙醇在60摄氏度浸泡6小时，检测结果均为2.0mg/kg，检测结论为：合格。                                                    ▲D.甲醛的特殊转移,按照EN 13130-1:2004 &amp; DD CEN/TS 13130-23:2005测试方法进行检测，用3%的醋酸在60摄氏度浸泡6小时,用95%乙醇在60摄氏度浸泡6小时，检测结果均2.0mg/kg，检测结论为：合格。                                                                ▲3. C型钢架采用≥40*60*1.2mm厚方钢管焊接成C型钢架，前后梁采用≥厚1.2mm厚方钢管焊接而成，表面经酸洗、磷化、表面环氧树脂粉末静电75um喷涂，（烤房）180℃高温固化；                                                     4.柜体采用≥15mm厚双面三聚氰胺中纤板；                                     </w:t>
            </w:r>
            <w:r>
              <w:rPr>
                <w:rFonts w:hint="eastAsia" w:ascii="宋体" w:hAnsi="宋体" w:eastAsia="宋体" w:cs="宋体"/>
                <w:color w:val="auto"/>
                <w:kern w:val="0"/>
                <w:sz w:val="21"/>
                <w:szCs w:val="21"/>
                <w:highlight w:val="none"/>
              </w:rPr>
              <w:br w:type="textWrapping"/>
            </w:r>
            <w:r>
              <w:rPr>
                <w:rFonts w:hint="eastAsia" w:ascii="宋体" w:hAnsi="宋体" w:eastAsia="宋体" w:cs="宋体"/>
                <w:color w:val="auto"/>
                <w:kern w:val="0"/>
                <w:sz w:val="21"/>
                <w:szCs w:val="21"/>
                <w:highlight w:val="none"/>
              </w:rPr>
              <w:t>5.柜门采用≥15mm厚双面三聚氰胺中纤板；                                                          6断面经≥2mmPVC条封边处理；                                                         7.拉手采用一字型铝合金拉手；                                                         8.导轨：采用静音三节滑轨；                                                                                                            9.铰链：采用≥105º合金铰链；                                                     10.可调脚：专用地脚尼龙压铸不锈钢螺杆0-50mm可调节。</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台面：威盛亚、富美家、天润、佛雅、正航；         钢制框架：宝钢、武钢、鞍钢，    柜体：福人、中能、高森、同森        导轨铰链：DTC、海福乐、海蒂诗；插座：TCL、正泰、德力西</w:t>
            </w:r>
          </w:p>
        </w:tc>
      </w:tr>
      <w:tr>
        <w:tblPrEx>
          <w:tblCellMar>
            <w:top w:w="0" w:type="dxa"/>
            <w:left w:w="108" w:type="dxa"/>
            <w:bottom w:w="0" w:type="dxa"/>
            <w:right w:w="108" w:type="dxa"/>
          </w:tblCellMar>
        </w:tblPrEx>
        <w:trPr>
          <w:trHeight w:val="90" w:hRule="atLeast"/>
          <w:jc w:val="center"/>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68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高温台</w:t>
            </w:r>
          </w:p>
        </w:tc>
        <w:tc>
          <w:tcPr>
            <w:tcW w:w="153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约</w:t>
            </w:r>
            <w:r>
              <w:rPr>
                <w:rFonts w:hint="eastAsia" w:ascii="宋体" w:hAnsi="宋体" w:eastAsia="宋体" w:cs="宋体"/>
                <w:color w:val="auto"/>
                <w:kern w:val="0"/>
                <w:sz w:val="21"/>
                <w:szCs w:val="21"/>
                <w:highlight w:val="none"/>
              </w:rPr>
              <w:t>L*800*500</w:t>
            </w:r>
          </w:p>
        </w:tc>
        <w:tc>
          <w:tcPr>
            <w:tcW w:w="7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w:t>
            </w:r>
          </w:p>
        </w:tc>
        <w:tc>
          <w:tcPr>
            <w:tcW w:w="5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米</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▲1.采用≥40*60*1.2mm厚方形钢管制成的H型框架，连接处冷轧钢板冲压一体成型专用连接件连接, 使整体框架结构合理，稳定性及承重能力强；钢材表面经酸洗、磷化、静电粉沫喷涂处理，具有耐腐蚀、防火、防潮等功能                                                      2.台面为≥30mm厚黑色大理石。                                                     3.箱体采用≥15mm双面三聚氰胺中纤板，周边以≥2mm厚PVC封边条封边。</w:t>
            </w:r>
          </w:p>
        </w:tc>
        <w:tc>
          <w:tcPr>
            <w:tcW w:w="154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台面：天然花岗石        钢架：宝钢、武钢、鞍钢，    柜体：福人、中能、高森、同森        导轨、铰链：DTC、海福乐、海蒂诗；插座：TCL、正泰、德力西</w:t>
            </w:r>
          </w:p>
        </w:tc>
      </w:tr>
      <w:tr>
        <w:tblPrEx>
          <w:tblCellMar>
            <w:top w:w="0" w:type="dxa"/>
            <w:left w:w="108" w:type="dxa"/>
            <w:bottom w:w="0" w:type="dxa"/>
            <w:right w:w="108" w:type="dxa"/>
          </w:tblCellMar>
        </w:tblPrEx>
        <w:trPr>
          <w:trHeight w:val="90" w:hRule="atLeast"/>
          <w:jc w:val="center"/>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w:t>
            </w:r>
          </w:p>
        </w:tc>
        <w:tc>
          <w:tcPr>
            <w:tcW w:w="68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中央台</w:t>
            </w:r>
          </w:p>
        </w:tc>
        <w:tc>
          <w:tcPr>
            <w:tcW w:w="153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约</w:t>
            </w:r>
            <w:r>
              <w:rPr>
                <w:rFonts w:hint="eastAsia" w:ascii="宋体" w:hAnsi="宋体" w:eastAsia="宋体" w:cs="宋体"/>
                <w:color w:val="auto"/>
                <w:kern w:val="0"/>
                <w:sz w:val="21"/>
                <w:szCs w:val="21"/>
                <w:highlight w:val="none"/>
              </w:rPr>
              <w:t>L*1500*850</w:t>
            </w:r>
          </w:p>
        </w:tc>
        <w:tc>
          <w:tcPr>
            <w:tcW w:w="7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34.5</w:t>
            </w:r>
          </w:p>
        </w:tc>
        <w:tc>
          <w:tcPr>
            <w:tcW w:w="5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台</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1．框架结构：采用C型钢架木质悬柜结构</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br w:type="page"/>
            </w:r>
            <w:r>
              <w:rPr>
                <w:rFonts w:hint="eastAsia" w:ascii="宋体" w:hAnsi="宋体" w:eastAsia="宋体" w:cs="宋体"/>
                <w:color w:val="auto"/>
                <w:kern w:val="0"/>
                <w:sz w:val="21"/>
                <w:szCs w:val="21"/>
                <w:highlight w:val="none"/>
              </w:rPr>
              <w:t>2.台面：采用实验室专用≥12.7mm厚耐腐蚀实芯理化板台面,表面具备合理的耐酸碱性能、抗菌性能、耐冲击、韧性强、耐污染、易清洁、铅含量低操作面前缘上边经圆滑处理，采用实验室专用实芯理化板加工制作,边沿加厚至≥25.4mm。</w:t>
            </w:r>
            <w:r>
              <w:rPr>
                <w:rFonts w:hint="eastAsia" w:ascii="宋体" w:hAnsi="宋体" w:eastAsia="宋体" w:cs="宋体"/>
                <w:color w:val="auto"/>
                <w:kern w:val="0"/>
                <w:sz w:val="21"/>
                <w:szCs w:val="21"/>
                <w:highlight w:val="none"/>
              </w:rPr>
              <w:br w:type="page"/>
            </w:r>
            <w:r>
              <w:rPr>
                <w:rFonts w:hint="eastAsia" w:ascii="宋体" w:hAnsi="宋体" w:eastAsia="宋体" w:cs="宋体"/>
                <w:color w:val="auto"/>
                <w:kern w:val="0"/>
                <w:sz w:val="21"/>
                <w:szCs w:val="21"/>
                <w:highlight w:val="none"/>
              </w:rPr>
              <w:t>所提供的台面必须不低于或优于以下参数性能：</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br w:type="page"/>
            </w:r>
            <w:r>
              <w:rPr>
                <w:rFonts w:hint="eastAsia" w:ascii="宋体" w:hAnsi="宋体" w:eastAsia="宋体" w:cs="宋体"/>
                <w:color w:val="auto"/>
                <w:kern w:val="0"/>
                <w:sz w:val="21"/>
                <w:szCs w:val="21"/>
                <w:highlight w:val="none"/>
              </w:rPr>
              <w:t>A：化学性能:台面按国家标准GB/T 17657-2013人造板及饰面人造板理化性能试验方法（4.41表面耐污染性能测定----方法2中室温24H测试条件）进行检测，对37%盐酸；65%硝酸，40%氢氧化钠，98%硫酸，99%乙酸，85%磷酸，48%氢氟酸，37%甲醛，3%双氧水，苯酚，四氯化碳，硫化钠饱和液等12种强酸强碱化学试剂分级检验结果为最好级别5级。</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br w:type="page"/>
            </w:r>
            <w:r>
              <w:rPr>
                <w:rFonts w:hint="eastAsia" w:ascii="宋体" w:hAnsi="宋体" w:eastAsia="宋体" w:cs="宋体"/>
                <w:color w:val="auto"/>
                <w:kern w:val="0"/>
                <w:sz w:val="21"/>
                <w:szCs w:val="21"/>
                <w:highlight w:val="none"/>
              </w:rPr>
              <w:t>▲B：物理性能：所检产品按照GB 18580-2017“室内装饰装修材料 人造板及其制品中甲醛释放量”限量值E1进行检验，所检结果达到标准要求。甲醛释放量（1m³气候箱法）：技术指标≤0.124，检测结果为0.021mg/m³.</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1.弯曲强度：126Mpa，（GB/T17657-2013）2.吸水率（24h,23℃）：0.34%，（GB/T17657-2013）</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3.拉伸断裂强度：82.2MPa，（GB/T17657-2013）</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4.压缩强度：266MPa，（GB/T1041-2008）5.洛氏硬度（R）：121，（GB/T3398.2-2008）6.悬臂梁无口冲击强度：14.5（c）KJ/㎡，（GB/T1843-2008）</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br w:type="page"/>
            </w:r>
            <w:r>
              <w:rPr>
                <w:rFonts w:hint="eastAsia" w:ascii="宋体" w:hAnsi="宋体" w:eastAsia="宋体" w:cs="宋体"/>
                <w:color w:val="auto"/>
                <w:kern w:val="0"/>
                <w:sz w:val="21"/>
                <w:szCs w:val="21"/>
                <w:highlight w:val="none"/>
              </w:rPr>
              <w:t>C.三聚氰胺的特殊转移,按照EN 13130-1:2004 &amp; DD CEN/TS 13130-27:2005测试方法进行检测，用3%的醋酸在60摄氏度浸泡6小时,用95%乙醇在60摄氏度浸泡6小时，检测结果均为2.0mg/kg，检测结论为：合格。</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br w:type="page"/>
            </w:r>
            <w:r>
              <w:rPr>
                <w:rFonts w:hint="eastAsia" w:ascii="宋体" w:hAnsi="宋体" w:eastAsia="宋体" w:cs="宋体"/>
                <w:color w:val="auto"/>
                <w:kern w:val="0"/>
                <w:sz w:val="21"/>
                <w:szCs w:val="21"/>
                <w:highlight w:val="none"/>
              </w:rPr>
              <w:t>▲D.甲醛的特殊转移,按照EN 13130-1:2004 &amp; DD CEN/TS 13130-23:2005测试方法进行检测，用3%的醋酸在60摄氏度浸泡6小时,用95%乙醇在60摄氏度浸泡6小时，检测结果均为2.0mg/kg，检测结论为：合格。</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br w:type="page"/>
            </w:r>
            <w:r>
              <w:rPr>
                <w:rFonts w:hint="eastAsia" w:ascii="宋体" w:hAnsi="宋体" w:eastAsia="宋体" w:cs="宋体"/>
                <w:color w:val="auto"/>
                <w:kern w:val="0"/>
                <w:sz w:val="21"/>
                <w:szCs w:val="21"/>
                <w:highlight w:val="none"/>
              </w:rPr>
              <w:t>▲3. C型钢架采用≥40*60*1.2mm厚方钢管焊接成C型钢架，前后梁采用≥厚1.2mm厚方钢管焊接而成，表面经酸洗、磷化、表面环氧树脂粉末静电75um喷涂，（烤房）180℃高温固化；</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br w:type="page"/>
            </w:r>
            <w:r>
              <w:rPr>
                <w:rFonts w:hint="eastAsia" w:ascii="宋体" w:hAnsi="宋体" w:eastAsia="宋体" w:cs="宋体"/>
                <w:color w:val="auto"/>
                <w:kern w:val="0"/>
                <w:sz w:val="21"/>
                <w:szCs w:val="21"/>
                <w:highlight w:val="none"/>
              </w:rPr>
              <w:t>3.柜体采用≥15mm厚双面三聚氰胺中纤板；</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br w:type="page"/>
            </w:r>
            <w:r>
              <w:rPr>
                <w:rFonts w:hint="eastAsia" w:ascii="宋体" w:hAnsi="宋体" w:eastAsia="宋体" w:cs="宋体"/>
                <w:color w:val="auto"/>
                <w:kern w:val="0"/>
                <w:sz w:val="21"/>
                <w:szCs w:val="21"/>
                <w:highlight w:val="none"/>
              </w:rPr>
              <w:t>4.柜门采用≥15mm厚双面三聚氰胺中纤板；</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br w:type="page"/>
            </w:r>
            <w:r>
              <w:rPr>
                <w:rFonts w:hint="eastAsia" w:ascii="宋体" w:hAnsi="宋体" w:eastAsia="宋体" w:cs="宋体"/>
                <w:color w:val="auto"/>
                <w:kern w:val="0"/>
                <w:sz w:val="21"/>
                <w:szCs w:val="21"/>
                <w:highlight w:val="none"/>
              </w:rPr>
              <w:t>5.断面经≥2mmPVC条封边处理；</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br w:type="page"/>
            </w:r>
            <w:r>
              <w:rPr>
                <w:rFonts w:hint="eastAsia" w:ascii="宋体" w:hAnsi="宋体" w:eastAsia="宋体" w:cs="宋体"/>
                <w:color w:val="auto"/>
                <w:kern w:val="0"/>
                <w:sz w:val="21"/>
                <w:szCs w:val="21"/>
                <w:highlight w:val="none"/>
              </w:rPr>
              <w:t>6.拉手采用一字型铝合金拉手；</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br w:type="page"/>
            </w:r>
            <w:r>
              <w:rPr>
                <w:rFonts w:hint="eastAsia" w:ascii="宋体" w:hAnsi="宋体" w:eastAsia="宋体" w:cs="宋体"/>
                <w:color w:val="auto"/>
                <w:kern w:val="0"/>
                <w:sz w:val="21"/>
                <w:szCs w:val="21"/>
                <w:highlight w:val="none"/>
              </w:rPr>
              <w:t>7.导轨：采用静音三节滑轨；                                            8.铰链：采用≥105º合金铰链；</w:t>
            </w:r>
          </w:p>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br w:type="page"/>
            </w:r>
            <w:r>
              <w:rPr>
                <w:rFonts w:hint="eastAsia" w:ascii="宋体" w:hAnsi="宋体" w:eastAsia="宋体" w:cs="宋体"/>
                <w:color w:val="auto"/>
                <w:kern w:val="0"/>
                <w:sz w:val="21"/>
                <w:szCs w:val="21"/>
                <w:highlight w:val="none"/>
              </w:rPr>
              <w:t>9.可调脚：专用地脚尼龙压铸不锈钢螺杆0-50mm可调节。</w:t>
            </w:r>
          </w:p>
        </w:tc>
        <w:tc>
          <w:tcPr>
            <w:tcW w:w="154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台面：威盛亚、富美家、天润、佛雅、正航；         钢制框架：宝钢、武钢、鞍钢，    柜体：福人、中能、高森、同森        导轨铰链：DTC、海福乐、海蒂诗；      插座：TCL、正泰、德力西</w:t>
            </w:r>
          </w:p>
        </w:tc>
      </w:tr>
      <w:tr>
        <w:tblPrEx>
          <w:tblCellMar>
            <w:top w:w="0" w:type="dxa"/>
            <w:left w:w="108" w:type="dxa"/>
            <w:bottom w:w="0" w:type="dxa"/>
            <w:right w:w="108" w:type="dxa"/>
          </w:tblCellMar>
        </w:tblPrEx>
        <w:trPr>
          <w:trHeight w:val="569" w:hRule="atLeast"/>
          <w:jc w:val="center"/>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w:t>
            </w:r>
          </w:p>
        </w:tc>
        <w:tc>
          <w:tcPr>
            <w:tcW w:w="68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仪器台</w:t>
            </w:r>
          </w:p>
        </w:tc>
        <w:tc>
          <w:tcPr>
            <w:tcW w:w="153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约</w:t>
            </w:r>
            <w:r>
              <w:rPr>
                <w:rFonts w:hint="eastAsia" w:ascii="宋体" w:hAnsi="宋体" w:eastAsia="宋体" w:cs="宋体"/>
                <w:color w:val="auto"/>
                <w:kern w:val="0"/>
                <w:sz w:val="21"/>
                <w:szCs w:val="21"/>
                <w:highlight w:val="none"/>
              </w:rPr>
              <w:t>L*900*850</w:t>
            </w:r>
          </w:p>
        </w:tc>
        <w:tc>
          <w:tcPr>
            <w:tcW w:w="7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18.3</w:t>
            </w:r>
          </w:p>
        </w:tc>
        <w:tc>
          <w:tcPr>
            <w:tcW w:w="5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台</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1．框架结构：采用H型钢架木质悬柜结构                                             2.台面：采用实验室专用≥12.7mm厚耐腐蚀实芯理化板台面,表面具备合理的耐酸碱性能、抗菌性能、耐冲击、韧性强、耐污染、易清洁、铅含量低操作面前缘上边经圆滑处理，采用实验室专用实芯理化板加工制作,边沿加厚至≥25.4mm。所提供的台面必须不低于或优于以下参数性能：                                                                         A：化学性能:台面按国家标准GB/T 17657-2013人造板及饰面人造板理化性能试验方法（4.41表面耐污染性能测定----方法2中室温24H测试条件）进行检测，对37%盐酸；65%硝酸，40%氢氧化钠，98%硫酸，99%乙酸，85%磷酸，48%氢氟酸，37%甲醛，3%双氧水，苯酚，四氯化碳，硫化钠饱和液等12种强酸强碱化学试剂分级检验结果为最好级别5级。                                          ▲B：物理性能：所检产品按照GB 18580-2017“室内装饰装修材料 人造板及其制品中甲醛释放量”限量值E1进行检验，所检结果达到标准要求。甲醛释放量（1m³气候箱法）：技术指标≤0.124，检测结果为0.021mg/m³.</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1.弯曲强度：126Mpa，（GB/T17657-2013）2.吸水率（24h,23℃）：0.34%，（GB/T17657-2013）</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3.拉伸断裂强度：82.2MPa，（GB/T17657-2013）</w:t>
            </w:r>
          </w:p>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4.压缩强度：266MPa，（GB/T1041-2008）5.洛氏硬度（R）：121，（GB/T3398.2-2008）6.悬臂梁无口冲击强度：14.5（c）KJ/㎡，（GB/T1843-2008）                                                C.三聚氰胺的特殊转移,按照EN 13130-1:2004 &amp; DD CEN/TS 13130-27:2005测试方法进行检测，用3%的醋酸在60摄氏度浸泡6小时,用95%乙醇在60摄氏度浸泡6小时，检测结果均为2.0mg/kg，检测结论为：合格。                                                   ▲D.甲醛的特殊转移,按照EN 13130-1:2004 &amp; DD CEN/TS 13130-23:2005测试方法进行检测，用3%的醋酸在60摄氏度浸泡6小时,用95%乙醇在60摄氏度浸泡6小时，检测结果均为2.0mg/kg，检测结论为：合格。                                                   ▲3. C型钢架采用≥40*60*1.2mm厚方钢管焊接成C型钢架，前后梁采用≥厚1.2mm厚方钢管焊接而成，表面经酸洗、磷化、表面环氧树脂粉末静电75um喷涂，（烤房）180℃高温固化；                                                     3.柜体采用≥15mm厚双面三聚氰胺中纤板；                                     </w:t>
            </w:r>
            <w:r>
              <w:rPr>
                <w:rFonts w:hint="eastAsia" w:ascii="宋体" w:hAnsi="宋体" w:eastAsia="宋体" w:cs="宋体"/>
                <w:color w:val="auto"/>
                <w:kern w:val="0"/>
                <w:sz w:val="21"/>
                <w:szCs w:val="21"/>
                <w:highlight w:val="none"/>
              </w:rPr>
              <w:br w:type="page"/>
            </w:r>
            <w:r>
              <w:rPr>
                <w:rFonts w:hint="eastAsia" w:ascii="宋体" w:hAnsi="宋体" w:eastAsia="宋体" w:cs="宋体"/>
                <w:color w:val="auto"/>
                <w:kern w:val="0"/>
                <w:sz w:val="21"/>
                <w:szCs w:val="21"/>
                <w:highlight w:val="none"/>
              </w:rPr>
              <w:t>4.柜门采用≥15mm厚双面三聚氰胺中纤板；                                                          5.断面经≥2mmPVC条封边处理；                                                         6.拉手采用一字型铝合金拉手；                                                         7.导轨：采用静音三节滑轨；                                                                                                            8.铰链：采用≥105º合金铰链；                                                     9.可调脚：专用地脚尼龙压铸不锈钢螺杆0-50mm可调节。</w:t>
            </w:r>
          </w:p>
        </w:tc>
        <w:tc>
          <w:tcPr>
            <w:tcW w:w="154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台面：威盛亚、富美家、天润、佛雅、正航；         钢制框架：宝钢、武钢、鞍钢，    柜体：福人、中能、高森、同森        导轨铰链：DTC、海福乐、海蒂诗；插座：TCL、正泰、德力西</w:t>
            </w:r>
          </w:p>
        </w:tc>
      </w:tr>
      <w:tr>
        <w:tblPrEx>
          <w:tblCellMar>
            <w:top w:w="0" w:type="dxa"/>
            <w:left w:w="108" w:type="dxa"/>
            <w:bottom w:w="0" w:type="dxa"/>
            <w:right w:w="108" w:type="dxa"/>
          </w:tblCellMar>
        </w:tblPrEx>
        <w:trPr>
          <w:trHeight w:val="1910" w:hRule="atLeast"/>
          <w:jc w:val="center"/>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68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万向排气罩</w:t>
            </w:r>
          </w:p>
        </w:tc>
        <w:tc>
          <w:tcPr>
            <w:tcW w:w="153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c>
          <w:tcPr>
            <w:tcW w:w="7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p>
        </w:tc>
        <w:tc>
          <w:tcPr>
            <w:tcW w:w="5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套</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万向抽气罩（天花悬挂式安装）</w:t>
            </w:r>
            <w:r>
              <w:rPr>
                <w:rFonts w:hint="eastAsia" w:ascii="宋体" w:hAnsi="宋体" w:eastAsia="宋体" w:cs="宋体"/>
                <w:color w:val="auto"/>
                <w:kern w:val="0"/>
                <w:sz w:val="21"/>
                <w:szCs w:val="21"/>
                <w:highlight w:val="none"/>
              </w:rPr>
              <w:br w:type="textWrapping"/>
            </w:r>
            <w:r>
              <w:rPr>
                <w:rFonts w:hint="eastAsia" w:ascii="宋体" w:hAnsi="宋体" w:eastAsia="宋体" w:cs="宋体"/>
                <w:color w:val="auto"/>
                <w:kern w:val="0"/>
                <w:sz w:val="21"/>
                <w:szCs w:val="21"/>
                <w:highlight w:val="none"/>
              </w:rPr>
              <w:t>1．组成部分：四段式伸缩导管、集气罩、固定座。</w:t>
            </w:r>
            <w:r>
              <w:rPr>
                <w:rFonts w:hint="eastAsia" w:ascii="宋体" w:hAnsi="宋体" w:eastAsia="宋体" w:cs="宋体"/>
                <w:color w:val="auto"/>
                <w:kern w:val="0"/>
                <w:sz w:val="21"/>
                <w:szCs w:val="21"/>
                <w:highlight w:val="none"/>
              </w:rPr>
              <w:br w:type="textWrapping"/>
            </w:r>
            <w:r>
              <w:rPr>
                <w:rFonts w:hint="eastAsia" w:ascii="宋体" w:hAnsi="宋体" w:eastAsia="宋体" w:cs="宋体"/>
                <w:color w:val="auto"/>
                <w:kern w:val="0"/>
                <w:sz w:val="21"/>
                <w:szCs w:val="21"/>
                <w:highlight w:val="none"/>
              </w:rPr>
              <w:t>1）．四段式伸缩导管：</w:t>
            </w:r>
            <w:r>
              <w:rPr>
                <w:rFonts w:hint="eastAsia" w:ascii="宋体" w:hAnsi="宋体" w:eastAsia="宋体" w:cs="宋体"/>
                <w:color w:val="auto"/>
                <w:kern w:val="0"/>
                <w:sz w:val="21"/>
                <w:szCs w:val="21"/>
                <w:highlight w:val="none"/>
              </w:rPr>
              <w:br w:type="textWrapping"/>
            </w:r>
            <w:r>
              <w:rPr>
                <w:rFonts w:hint="eastAsia" w:ascii="宋体" w:hAnsi="宋体" w:eastAsia="宋体" w:cs="宋体"/>
                <w:color w:val="auto"/>
                <w:kern w:val="0"/>
                <w:sz w:val="21"/>
                <w:szCs w:val="21"/>
                <w:highlight w:val="none"/>
              </w:rPr>
              <w:t>2）.尺寸：①管径：Ф0.88mm；②总长度（四段式）：1500mm。</w:t>
            </w:r>
            <w:r>
              <w:rPr>
                <w:rFonts w:hint="eastAsia" w:ascii="宋体" w:hAnsi="宋体" w:eastAsia="宋体" w:cs="宋体"/>
                <w:color w:val="auto"/>
                <w:kern w:val="0"/>
                <w:sz w:val="21"/>
                <w:szCs w:val="21"/>
                <w:highlight w:val="none"/>
              </w:rPr>
              <w:br w:type="textWrapping"/>
            </w:r>
            <w:r>
              <w:rPr>
                <w:rFonts w:hint="eastAsia" w:ascii="宋体" w:hAnsi="宋体" w:eastAsia="宋体" w:cs="宋体"/>
                <w:color w:val="auto"/>
                <w:kern w:val="0"/>
                <w:sz w:val="21"/>
                <w:szCs w:val="21"/>
                <w:highlight w:val="none"/>
              </w:rPr>
              <w:t>3）.材质：①导管：PP圆管；②旋转关节：PP；③关节中心连结杆：镀锌处理之钢材；④支撑弹簧：镀锌处</w:t>
            </w:r>
            <w:r>
              <w:rPr>
                <w:rFonts w:hint="eastAsia" w:ascii="宋体" w:hAnsi="宋体" w:eastAsia="宋体" w:cs="宋体"/>
                <w:color w:val="auto"/>
                <w:kern w:val="0"/>
                <w:sz w:val="21"/>
                <w:szCs w:val="21"/>
                <w:highlight w:val="none"/>
              </w:rPr>
              <w:t>理之钢材；⑤关节接合垫圈：低摩擦处理环型橡胶垫圈；⑥关节松紧旋钮：PP；⑦节气蝶阀：塑料（外缘经软质处理）。</w:t>
            </w:r>
            <w:r>
              <w:rPr>
                <w:rFonts w:hint="eastAsia" w:ascii="宋体" w:hAnsi="宋体" w:eastAsia="宋体" w:cs="宋体"/>
                <w:color w:val="auto"/>
                <w:kern w:val="0"/>
                <w:sz w:val="21"/>
                <w:szCs w:val="21"/>
                <w:highlight w:val="none"/>
              </w:rPr>
              <w:br w:type="textWrapping"/>
            </w:r>
            <w:r>
              <w:rPr>
                <w:rFonts w:hint="eastAsia" w:ascii="宋体" w:hAnsi="宋体" w:eastAsia="宋体" w:cs="宋体"/>
                <w:color w:val="auto"/>
                <w:kern w:val="0"/>
                <w:sz w:val="21"/>
                <w:szCs w:val="21"/>
                <w:highlight w:val="none"/>
              </w:rPr>
              <w:t>4）.工作温度范围：-15℃～90℃。</w:t>
            </w:r>
            <w:r>
              <w:rPr>
                <w:rFonts w:hint="eastAsia" w:ascii="宋体" w:hAnsi="宋体" w:eastAsia="宋体" w:cs="宋体"/>
                <w:color w:val="auto"/>
                <w:kern w:val="0"/>
                <w:sz w:val="21"/>
                <w:szCs w:val="21"/>
                <w:highlight w:val="none"/>
              </w:rPr>
              <w:br w:type="textWrapping"/>
            </w:r>
            <w:r>
              <w:rPr>
                <w:rFonts w:hint="eastAsia" w:ascii="宋体" w:hAnsi="宋体" w:eastAsia="宋体" w:cs="宋体"/>
                <w:color w:val="auto"/>
                <w:kern w:val="0"/>
                <w:sz w:val="21"/>
                <w:szCs w:val="21"/>
                <w:highlight w:val="none"/>
              </w:rPr>
              <w:t>2.集气罩：尺寸：Ф88×400mm；材质： PP；工作温度范围：-15℃～80℃；</w:t>
            </w:r>
            <w:r>
              <w:rPr>
                <w:rFonts w:hint="eastAsia" w:ascii="宋体" w:hAnsi="宋体" w:eastAsia="宋体" w:cs="宋体"/>
                <w:color w:val="auto"/>
                <w:kern w:val="0"/>
                <w:sz w:val="21"/>
                <w:szCs w:val="21"/>
                <w:highlight w:val="none"/>
              </w:rPr>
              <w:br w:type="textWrapping"/>
            </w:r>
            <w:r>
              <w:rPr>
                <w:rFonts w:hint="eastAsia" w:ascii="宋体" w:hAnsi="宋体" w:eastAsia="宋体" w:cs="宋体"/>
                <w:color w:val="auto"/>
                <w:kern w:val="0"/>
                <w:sz w:val="21"/>
                <w:szCs w:val="21"/>
                <w:highlight w:val="none"/>
              </w:rPr>
              <w:t>说明：装配于末段导管末端，可用手轻易拆解清洗。</w:t>
            </w:r>
          </w:p>
        </w:tc>
        <w:tc>
          <w:tcPr>
            <w:tcW w:w="154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博朗、台雄、科航、TOF</w:t>
            </w:r>
          </w:p>
        </w:tc>
      </w:tr>
      <w:tr>
        <w:tblPrEx>
          <w:tblCellMar>
            <w:top w:w="0" w:type="dxa"/>
            <w:left w:w="108" w:type="dxa"/>
            <w:bottom w:w="0" w:type="dxa"/>
            <w:right w:w="108" w:type="dxa"/>
          </w:tblCellMar>
        </w:tblPrEx>
        <w:trPr>
          <w:trHeight w:val="90" w:hRule="atLeast"/>
          <w:jc w:val="center"/>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w:t>
            </w:r>
          </w:p>
        </w:tc>
        <w:tc>
          <w:tcPr>
            <w:tcW w:w="68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通风柜</w:t>
            </w:r>
          </w:p>
        </w:tc>
        <w:tc>
          <w:tcPr>
            <w:tcW w:w="153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约</w:t>
            </w:r>
            <w:r>
              <w:rPr>
                <w:rFonts w:hint="eastAsia" w:ascii="宋体" w:hAnsi="宋体" w:eastAsia="宋体" w:cs="宋体"/>
                <w:color w:val="auto"/>
                <w:kern w:val="0"/>
                <w:sz w:val="21"/>
                <w:szCs w:val="21"/>
                <w:highlight w:val="none"/>
              </w:rPr>
              <w:t>1500*800*2350</w:t>
            </w:r>
          </w:p>
        </w:tc>
        <w:tc>
          <w:tcPr>
            <w:tcW w:w="7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w:t>
            </w:r>
          </w:p>
        </w:tc>
        <w:tc>
          <w:tcPr>
            <w:tcW w:w="5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台</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▲1.台面采用实验室专用≥20mm厚耐腐蚀国产陶瓷板。为保证台面材料质量以及从环保角度保障实验室人员健康，台面材料必须符合以下技术参数及要求：台面板理化性能参照中央实验台技术要求                                                                            2.框架：采用≥1.2mm冷轧钢板,通过剪切、折弯、焊接、冲压、打磨一系列复杂工艺精致而成,表面采用酸洗磷化处理,经过环氧树脂高压静电粉末喷涂                                      3.内衬板：采用≥5mm厚耐腐蚀抗贝特板，三风道涡流式排风设计,并且配备合理导流构造，排气流畅无死角，各种比重气体均能顺利排除柜外。                                           4.视窗：采用≥5mm厚钢化玻璃，透明度高，安全保险，窗门作车窗滑道设计，上下开启灵活方便，噪音小，可上下开启最大幅度为800mm，推拉门底部设计有橡胶减震垫块。                                                                               5.照明：顶板上配置220伏30W防爆型日光灯。                                          6.水盆:采用高密度PP材料，耐腐蚀,                                                 7.水龙头:实验室专用加厚铜质单联水龙头                                            8.电源:10A与16A三极多功能插座。  </w:t>
            </w:r>
          </w:p>
        </w:tc>
        <w:tc>
          <w:tcPr>
            <w:tcW w:w="154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台面：陶克、沃克、欧神诺；       钢板：宝钢、武钢、鞍钢，           铰链：DTC、海福乐、海蒂诗；       插座：TCL、正泰、德力西             水盆水龙头：博朗、台雄、科航、TOF</w:t>
            </w:r>
          </w:p>
        </w:tc>
      </w:tr>
      <w:tr>
        <w:tblPrEx>
          <w:tblCellMar>
            <w:top w:w="0" w:type="dxa"/>
            <w:left w:w="108" w:type="dxa"/>
            <w:bottom w:w="0" w:type="dxa"/>
            <w:right w:w="108" w:type="dxa"/>
          </w:tblCellMar>
        </w:tblPrEx>
        <w:trPr>
          <w:trHeight w:val="1680" w:hRule="atLeast"/>
          <w:jc w:val="center"/>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w:t>
            </w:r>
          </w:p>
        </w:tc>
        <w:tc>
          <w:tcPr>
            <w:tcW w:w="6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试剂柜</w:t>
            </w:r>
          </w:p>
        </w:tc>
        <w:tc>
          <w:tcPr>
            <w:tcW w:w="15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约</w:t>
            </w:r>
            <w:r>
              <w:rPr>
                <w:rFonts w:hint="eastAsia" w:ascii="宋体" w:hAnsi="宋体" w:eastAsia="宋体" w:cs="宋体"/>
                <w:color w:val="auto"/>
                <w:kern w:val="0"/>
                <w:sz w:val="21"/>
                <w:szCs w:val="21"/>
                <w:highlight w:val="none"/>
              </w:rPr>
              <w:t>900*450*1800</w:t>
            </w:r>
          </w:p>
        </w:tc>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p>
        </w:tc>
        <w:tc>
          <w:tcPr>
            <w:tcW w:w="5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台</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1柜体：采用≥8mm厚PP材质板材制作，具有耐强酸、强碱、抗腐蚀、抗老化，不退色、不变形、易清洁等特点,                                                      2.层板：采用≥8mm厚生产制作，层板固定式或活动式，每层板内部设有一排Ф15透气孔，受承重50kg左右。为防止药品柜震动或药品碰撞而倾倒，每层设有防护板随物品加以固定之安全设计，以防物品倾倒而破裂。                                                         3.门板采用PP材质板材制作（上门配≥5mm厚钢化玻璃或有机玻璃，下门全ＰＰ下方设有透气百叶窗）具有防水防潮优点。</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石年、熙诚、贤骏 </w:t>
            </w:r>
          </w:p>
        </w:tc>
      </w:tr>
      <w:tr>
        <w:tblPrEx>
          <w:tblCellMar>
            <w:top w:w="0" w:type="dxa"/>
            <w:left w:w="108" w:type="dxa"/>
            <w:bottom w:w="0" w:type="dxa"/>
            <w:right w:w="108" w:type="dxa"/>
          </w:tblCellMar>
        </w:tblPrEx>
        <w:trPr>
          <w:trHeight w:val="1268" w:hRule="atLeast"/>
          <w:jc w:val="center"/>
        </w:trPr>
        <w:tc>
          <w:tcPr>
            <w:tcW w:w="567" w:type="dxa"/>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w:t>
            </w:r>
          </w:p>
        </w:tc>
        <w:tc>
          <w:tcPr>
            <w:tcW w:w="68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器皿柜</w:t>
            </w:r>
          </w:p>
        </w:tc>
        <w:tc>
          <w:tcPr>
            <w:tcW w:w="153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约</w:t>
            </w:r>
            <w:r>
              <w:rPr>
                <w:rFonts w:hint="eastAsia" w:ascii="宋体" w:hAnsi="宋体" w:eastAsia="宋体" w:cs="宋体"/>
                <w:color w:val="auto"/>
                <w:kern w:val="0"/>
                <w:sz w:val="21"/>
                <w:szCs w:val="21"/>
                <w:highlight w:val="none"/>
              </w:rPr>
              <w:t>900*450*1800</w:t>
            </w:r>
          </w:p>
        </w:tc>
        <w:tc>
          <w:tcPr>
            <w:tcW w:w="7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w:t>
            </w:r>
          </w:p>
        </w:tc>
        <w:tc>
          <w:tcPr>
            <w:tcW w:w="5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台</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1.柜体：采用≥8mm厚PP材质板材制作，具有耐强酸、强碱、抗腐蚀、抗老化，不退色、不变形、易清洁等特点                                                           2.层板:采用≥8mm厚生产制作，层板固定式或活动式，每层板内部设有一排Ф15透气孔，受承重50kg左右,层板开Ф30-100的孔；底部配PP接液槽。                                                         3.门板:采用PP材质板材制作（上门配≥5mm厚钢化玻璃或有机玻璃，下门全ＰＰ下方设有透气百叶窗）为防止药品柜震动或药品碰撞而倾倒，每层设有防护板随物品加以固定之安全设计，以防物品倾倒而破裂。具有防水防潮优点。                       4.层板：采用≥5mm厚抗倍特板，层板开Ф30-100的孔；底部配PP接液槽。                                                                     5.拉手：铝合金一字型拉手。                                                                                                         6.柜体地脚：专用改性硬聚氯乙烯,水平高度0—50mm可调地脚。承重、防潮、防滑、抑菌、耐腐蚀，可根据室内地坪适当调整柜体高度；外形美观，设计人性化。</w:t>
            </w:r>
          </w:p>
        </w:tc>
        <w:tc>
          <w:tcPr>
            <w:tcW w:w="154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石年、熙诚、贤骏 </w:t>
            </w:r>
          </w:p>
        </w:tc>
      </w:tr>
      <w:tr>
        <w:tblPrEx>
          <w:tblCellMar>
            <w:top w:w="0" w:type="dxa"/>
            <w:left w:w="108" w:type="dxa"/>
            <w:bottom w:w="0" w:type="dxa"/>
            <w:right w:w="108" w:type="dxa"/>
          </w:tblCellMar>
        </w:tblPrEx>
        <w:trPr>
          <w:trHeight w:val="2715" w:hRule="atLeast"/>
          <w:jc w:val="center"/>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p>
        </w:tc>
        <w:tc>
          <w:tcPr>
            <w:tcW w:w="68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更衣柜</w:t>
            </w:r>
          </w:p>
        </w:tc>
        <w:tc>
          <w:tcPr>
            <w:tcW w:w="15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约</w:t>
            </w:r>
            <w:r>
              <w:rPr>
                <w:rFonts w:hint="eastAsia" w:ascii="宋体" w:hAnsi="宋体" w:eastAsia="宋体" w:cs="宋体"/>
                <w:color w:val="auto"/>
                <w:kern w:val="0"/>
                <w:sz w:val="21"/>
                <w:szCs w:val="21"/>
                <w:highlight w:val="none"/>
              </w:rPr>
              <w:t>900*500*1800</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5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台</w:t>
            </w:r>
          </w:p>
        </w:tc>
        <w:tc>
          <w:tcPr>
            <w:tcW w:w="3945"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1.框框架结构：采用铝木结构，上下门均为对开门，上下柜门均为木制门板</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br w:type="page"/>
            </w:r>
            <w:r>
              <w:rPr>
                <w:rFonts w:hint="eastAsia" w:ascii="宋体" w:hAnsi="宋体" w:eastAsia="宋体" w:cs="宋体"/>
                <w:color w:val="auto"/>
                <w:kern w:val="0"/>
                <w:sz w:val="21"/>
                <w:szCs w:val="21"/>
                <w:highlight w:val="none"/>
              </w:rPr>
              <w:t>2.框架部分：采用≥38*38*1.2mm特殊研制铝型材框架制成，铝型材表面经环氧粉沫喷涂处理，柜体间转角外由模具开发专用锌合金连插件连接。</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br w:type="page"/>
            </w:r>
            <w:r>
              <w:rPr>
                <w:rFonts w:hint="eastAsia" w:ascii="宋体" w:hAnsi="宋体" w:eastAsia="宋体" w:cs="宋体"/>
                <w:color w:val="auto"/>
                <w:kern w:val="0"/>
                <w:sz w:val="21"/>
                <w:szCs w:val="21"/>
                <w:highlight w:val="none"/>
              </w:rPr>
              <w:t xml:space="preserve">3.柜体：采用≥15mm双面三聚氰胺中纤板，封边采用≥2mm PVC封边。可提高产品免受外界因素影响（受潮、变形及受外冲击的能力），经久耐用及提升产品整体美感  </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4.柜门板：采用≥15mm双面三聚氰胺中纤板，周边采用≥2mm厚PVC封边PVC防水封边,    </w:t>
            </w:r>
          </w:p>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5.铰链：采用≥105度铰链,承重力需≥45Kg以上；开合最少达十万次以上，使用寿命长，耐腐蚀性能强。                                                                 6.拉手：铝合金一字型拉手。                                                                   7.柜体地脚：专用改性硬聚氯乙烯,水平高度0—50mm可调地脚。承重、防潮、防滑、抑菌、耐腐蚀，可根据室内地坪适当调整柜体高度；外形美观，设计人性化。</w:t>
            </w:r>
          </w:p>
        </w:tc>
        <w:tc>
          <w:tcPr>
            <w:tcW w:w="154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柜体：福人、中能、高森、同森        铰链：DTC、海福乐、海蒂诗</w:t>
            </w:r>
          </w:p>
        </w:tc>
      </w:tr>
      <w:tr>
        <w:tblPrEx>
          <w:tblCellMar>
            <w:top w:w="0" w:type="dxa"/>
            <w:left w:w="108" w:type="dxa"/>
            <w:bottom w:w="0" w:type="dxa"/>
            <w:right w:w="108" w:type="dxa"/>
          </w:tblCellMar>
        </w:tblPrEx>
        <w:trPr>
          <w:trHeight w:val="1125" w:hRule="atLeast"/>
          <w:jc w:val="center"/>
        </w:trPr>
        <w:tc>
          <w:tcPr>
            <w:tcW w:w="567" w:type="dxa"/>
            <w:tcBorders>
              <w:top w:val="nil"/>
              <w:left w:val="single" w:color="auto" w:sz="4" w:space="0"/>
              <w:bottom w:val="nil"/>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w:t>
            </w:r>
          </w:p>
        </w:tc>
        <w:tc>
          <w:tcPr>
            <w:tcW w:w="68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原子吸收罩</w:t>
            </w:r>
          </w:p>
        </w:tc>
        <w:tc>
          <w:tcPr>
            <w:tcW w:w="15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约</w:t>
            </w:r>
            <w:r>
              <w:rPr>
                <w:rFonts w:hint="eastAsia" w:ascii="宋体" w:hAnsi="宋体" w:eastAsia="宋体" w:cs="宋体"/>
                <w:color w:val="auto"/>
                <w:kern w:val="0"/>
                <w:sz w:val="21"/>
                <w:szCs w:val="21"/>
                <w:highlight w:val="none"/>
              </w:rPr>
              <w:t>500*500</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w:t>
            </w:r>
          </w:p>
        </w:tc>
        <w:tc>
          <w:tcPr>
            <w:tcW w:w="5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套</w:t>
            </w:r>
          </w:p>
        </w:tc>
        <w:tc>
          <w:tcPr>
            <w:tcW w:w="394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材质：≥1.0mm厚304#全不锈钢板制作                                                             结构：下部集气罩口为方口梯形罩体，配Ø160圆形304#不锈钢排风管，分上下两节且可伸缩调节，配手动阀                                                                      安装：悬挂式安装</w:t>
            </w:r>
          </w:p>
        </w:tc>
        <w:tc>
          <w:tcPr>
            <w:tcW w:w="154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304#不锈钢板定制加工</w:t>
            </w:r>
          </w:p>
        </w:tc>
      </w:tr>
      <w:tr>
        <w:tblPrEx>
          <w:tblCellMar>
            <w:top w:w="0" w:type="dxa"/>
            <w:left w:w="108" w:type="dxa"/>
            <w:bottom w:w="0" w:type="dxa"/>
            <w:right w:w="108" w:type="dxa"/>
          </w:tblCellMar>
        </w:tblPrEx>
        <w:trPr>
          <w:trHeight w:val="1200" w:hRule="atLeast"/>
          <w:jc w:val="center"/>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w:t>
            </w:r>
          </w:p>
        </w:tc>
        <w:tc>
          <w:tcPr>
            <w:tcW w:w="68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试剂架</w:t>
            </w:r>
          </w:p>
        </w:tc>
        <w:tc>
          <w:tcPr>
            <w:tcW w:w="15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约</w:t>
            </w:r>
            <w:r>
              <w:rPr>
                <w:rFonts w:hint="eastAsia" w:ascii="宋体" w:hAnsi="宋体" w:eastAsia="宋体" w:cs="宋体"/>
                <w:color w:val="auto"/>
                <w:kern w:val="0"/>
                <w:sz w:val="21"/>
                <w:szCs w:val="21"/>
                <w:highlight w:val="none"/>
              </w:rPr>
              <w:t>L*350*900</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25.5</w:t>
            </w:r>
          </w:p>
        </w:tc>
        <w:tc>
          <w:tcPr>
            <w:tcW w:w="5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米</w:t>
            </w:r>
          </w:p>
        </w:tc>
        <w:tc>
          <w:tcPr>
            <w:tcW w:w="394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1.铝玻结构；</w:t>
            </w:r>
            <w:r>
              <w:rPr>
                <w:rFonts w:hint="eastAsia" w:ascii="宋体" w:hAnsi="宋体" w:eastAsia="宋体" w:cs="宋体"/>
                <w:color w:val="auto"/>
                <w:kern w:val="0"/>
                <w:sz w:val="21"/>
                <w:szCs w:val="21"/>
                <w:highlight w:val="none"/>
              </w:rPr>
              <w:br w:type="textWrapping"/>
            </w:r>
            <w:r>
              <w:rPr>
                <w:rFonts w:hint="eastAsia" w:ascii="宋体" w:hAnsi="宋体" w:eastAsia="宋体" w:cs="宋体"/>
                <w:color w:val="auto"/>
                <w:kern w:val="0"/>
                <w:sz w:val="21"/>
                <w:szCs w:val="21"/>
                <w:highlight w:val="none"/>
              </w:rPr>
              <w:t>2.铝玻结构：采用≥1.5MM厚方铝管焊接制作，表面经酸洗、磷化、表面环氧树脂粉末静电75um喷涂，（烤房）180℃高温固化。</w:t>
            </w:r>
            <w:r>
              <w:rPr>
                <w:rFonts w:hint="eastAsia" w:ascii="宋体" w:hAnsi="宋体" w:eastAsia="宋体" w:cs="宋体"/>
                <w:color w:val="auto"/>
                <w:kern w:val="0"/>
                <w:sz w:val="21"/>
                <w:szCs w:val="21"/>
                <w:highlight w:val="none"/>
              </w:rPr>
              <w:br w:type="textWrapping"/>
            </w:r>
            <w:r>
              <w:rPr>
                <w:rFonts w:hint="eastAsia" w:ascii="宋体" w:hAnsi="宋体" w:eastAsia="宋体" w:cs="宋体"/>
                <w:color w:val="auto"/>
                <w:kern w:val="0"/>
                <w:sz w:val="21"/>
                <w:szCs w:val="21"/>
                <w:highlight w:val="none"/>
              </w:rPr>
              <w:t>3.带活动挂板，玻璃层板采用≥12mm厚钢化玻璃磨边处理，上下可调，边缘带不锈钢护栏，防药品或试剂跌落。</w:t>
            </w:r>
          </w:p>
        </w:tc>
        <w:tc>
          <w:tcPr>
            <w:tcW w:w="154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tblPrEx>
          <w:tblCellMar>
            <w:top w:w="0" w:type="dxa"/>
            <w:left w:w="108" w:type="dxa"/>
            <w:bottom w:w="0" w:type="dxa"/>
            <w:right w:w="108" w:type="dxa"/>
          </w:tblCellMar>
        </w:tblPrEx>
        <w:trPr>
          <w:trHeight w:val="295" w:hRule="atLeast"/>
          <w:jc w:val="center"/>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w:t>
            </w:r>
          </w:p>
        </w:tc>
        <w:tc>
          <w:tcPr>
            <w:tcW w:w="6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中水盆水龙头</w:t>
            </w:r>
          </w:p>
        </w:tc>
        <w:tc>
          <w:tcPr>
            <w:tcW w:w="15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约</w:t>
            </w:r>
            <w:r>
              <w:rPr>
                <w:rFonts w:hint="eastAsia" w:ascii="宋体" w:hAnsi="宋体" w:eastAsia="宋体" w:cs="宋体"/>
                <w:color w:val="auto"/>
                <w:kern w:val="0"/>
                <w:sz w:val="21"/>
                <w:szCs w:val="21"/>
                <w:highlight w:val="none"/>
              </w:rPr>
              <w:t>500*400*310</w:t>
            </w:r>
          </w:p>
        </w:tc>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p>
        </w:tc>
        <w:tc>
          <w:tcPr>
            <w:tcW w:w="5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套</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水龙头：采用实验室专用三口白色鹅颈水龙头，出水嘴为铜质尖嘴型，陶瓷阀芯，高头、单口360°旋转，便于多用途使用，可拆卸清洗阻塞，具有缓压作用。管体部份为黄铜合金制，表面并经烤漆喷涂处理，防锈耐腐蚀。出水嘴可拆卸，内有成型螺纹，可方便连接循环等特殊用水水管。</w:t>
            </w:r>
            <w:r>
              <w:rPr>
                <w:rFonts w:hint="eastAsia" w:ascii="宋体" w:hAnsi="宋体" w:eastAsia="宋体" w:cs="宋体"/>
                <w:color w:val="auto"/>
                <w:kern w:val="0"/>
                <w:sz w:val="21"/>
                <w:szCs w:val="21"/>
                <w:highlight w:val="none"/>
              </w:rPr>
              <w:br w:type="textWrapping"/>
            </w:r>
            <w:r>
              <w:rPr>
                <w:rFonts w:hint="eastAsia" w:ascii="宋体" w:hAnsi="宋体" w:eastAsia="宋体" w:cs="宋体"/>
                <w:color w:val="auto"/>
                <w:kern w:val="0"/>
                <w:sz w:val="21"/>
                <w:szCs w:val="21"/>
                <w:highlight w:val="none"/>
              </w:rPr>
              <w:t>2．水槽：采用PP材质，模具成型，抑菌、易清洁，耐腐蚀，台下托底式安装，并配漏斗、滤网与存水弯；且利于台面残水自然回流，美观实用；规格由小到大，可根据实际需要选用。</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博朗、台雄、科航、TOF</w:t>
            </w:r>
          </w:p>
        </w:tc>
      </w:tr>
      <w:tr>
        <w:tblPrEx>
          <w:tblCellMar>
            <w:top w:w="0" w:type="dxa"/>
            <w:left w:w="108" w:type="dxa"/>
            <w:bottom w:w="0" w:type="dxa"/>
            <w:right w:w="108" w:type="dxa"/>
          </w:tblCellMar>
        </w:tblPrEx>
        <w:trPr>
          <w:trHeight w:val="166" w:hRule="atLeast"/>
          <w:jc w:val="center"/>
        </w:trPr>
        <w:tc>
          <w:tcPr>
            <w:tcW w:w="567" w:type="dxa"/>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w:t>
            </w:r>
          </w:p>
        </w:tc>
        <w:tc>
          <w:tcPr>
            <w:tcW w:w="68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滴水架</w:t>
            </w:r>
          </w:p>
        </w:tc>
        <w:tc>
          <w:tcPr>
            <w:tcW w:w="153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约</w:t>
            </w:r>
            <w:r>
              <w:rPr>
                <w:rFonts w:hint="eastAsia" w:ascii="宋体" w:hAnsi="宋体" w:eastAsia="宋体" w:cs="宋体"/>
                <w:color w:val="auto"/>
                <w:kern w:val="0"/>
                <w:sz w:val="21"/>
                <w:szCs w:val="21"/>
                <w:highlight w:val="none"/>
              </w:rPr>
              <w:t>500*400</w:t>
            </w:r>
          </w:p>
        </w:tc>
        <w:tc>
          <w:tcPr>
            <w:tcW w:w="7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w:t>
            </w:r>
          </w:p>
        </w:tc>
        <w:tc>
          <w:tcPr>
            <w:tcW w:w="5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套</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采用黑色PP棒+PP板材质模具一体成形制作，抗化学腐蚀、抑菌、易清洁、耐潮湿、并设清洁水自动回流装置，带导流孔，接至水槽，便于残水排流，利于器皿的自然干燥；整体美观实用。</w:t>
            </w:r>
          </w:p>
        </w:tc>
        <w:tc>
          <w:tcPr>
            <w:tcW w:w="154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博朗、台雄、科航、TOF</w:t>
            </w:r>
          </w:p>
        </w:tc>
      </w:tr>
      <w:tr>
        <w:tblPrEx>
          <w:tblCellMar>
            <w:top w:w="0" w:type="dxa"/>
            <w:left w:w="108" w:type="dxa"/>
            <w:bottom w:w="0" w:type="dxa"/>
            <w:right w:w="108" w:type="dxa"/>
          </w:tblCellMar>
        </w:tblPrEx>
        <w:trPr>
          <w:trHeight w:val="540" w:hRule="atLeast"/>
          <w:jc w:val="center"/>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p>
        </w:tc>
        <w:tc>
          <w:tcPr>
            <w:tcW w:w="68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洗眼器</w:t>
            </w:r>
          </w:p>
        </w:tc>
        <w:tc>
          <w:tcPr>
            <w:tcW w:w="15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w:t>
            </w:r>
          </w:p>
        </w:tc>
        <w:tc>
          <w:tcPr>
            <w:tcW w:w="5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套</w:t>
            </w:r>
          </w:p>
        </w:tc>
        <w:tc>
          <w:tcPr>
            <w:tcW w:w="394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单头洗眼器：PP材质模具成型，喷头可抽取，喷水呈雾状扩散式且力度适中，快速彻底清洗眼球。主体颜色为红色，设计科学。</w:t>
            </w:r>
          </w:p>
        </w:tc>
        <w:tc>
          <w:tcPr>
            <w:tcW w:w="154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博朗、台雄、科航、TOF</w:t>
            </w:r>
          </w:p>
        </w:tc>
      </w:tr>
      <w:tr>
        <w:tblPrEx>
          <w:tblCellMar>
            <w:top w:w="0" w:type="dxa"/>
            <w:left w:w="108" w:type="dxa"/>
            <w:bottom w:w="0" w:type="dxa"/>
            <w:right w:w="108" w:type="dxa"/>
          </w:tblCellMar>
        </w:tblPrEx>
        <w:trPr>
          <w:trHeight w:val="960" w:hRule="atLeast"/>
          <w:jc w:val="center"/>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p>
        </w:tc>
        <w:tc>
          <w:tcPr>
            <w:tcW w:w="6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大水盆水龙头</w:t>
            </w:r>
          </w:p>
        </w:tc>
        <w:tc>
          <w:tcPr>
            <w:tcW w:w="15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约</w:t>
            </w:r>
            <w:r>
              <w:rPr>
                <w:rFonts w:hint="eastAsia" w:ascii="宋体" w:hAnsi="宋体" w:eastAsia="宋体" w:cs="宋体"/>
                <w:color w:val="auto"/>
                <w:kern w:val="0"/>
                <w:sz w:val="21"/>
                <w:szCs w:val="21"/>
                <w:highlight w:val="none"/>
              </w:rPr>
              <w:t>800*400*310</w:t>
            </w:r>
          </w:p>
        </w:tc>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5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套</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水龙头：采用实验室专用三口白色鹅颈水龙头，出水嘴为铜质尖嘴型，陶瓷阀芯，高头、单口360°旋转，便于多用途使用，可拆卸清洗阻塞，具有缓压作用。管体部份为黄铜合金制，表面并经烤漆喷涂处理，防锈耐腐蚀。出水嘴可拆卸，内有成型螺纹，可方便连接循环等特殊用水水管。</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博朗、台雄、科航、TOF</w:t>
            </w:r>
          </w:p>
        </w:tc>
      </w:tr>
      <w:tr>
        <w:tblPrEx>
          <w:tblCellMar>
            <w:top w:w="0" w:type="dxa"/>
            <w:left w:w="108" w:type="dxa"/>
            <w:bottom w:w="0" w:type="dxa"/>
            <w:right w:w="108" w:type="dxa"/>
          </w:tblCellMar>
        </w:tblPrEx>
        <w:trPr>
          <w:trHeight w:val="810" w:hRule="atLeast"/>
          <w:jc w:val="center"/>
        </w:trPr>
        <w:tc>
          <w:tcPr>
            <w:tcW w:w="567" w:type="dxa"/>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w:t>
            </w:r>
          </w:p>
        </w:tc>
        <w:tc>
          <w:tcPr>
            <w:tcW w:w="6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实验凳</w:t>
            </w:r>
          </w:p>
        </w:tc>
        <w:tc>
          <w:tcPr>
            <w:tcW w:w="15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c>
          <w:tcPr>
            <w:tcW w:w="7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60</w:t>
            </w:r>
          </w:p>
        </w:tc>
        <w:tc>
          <w:tcPr>
            <w:tcW w:w="5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张</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蓝色≥300mm宽的圆形玻璃钢凳面，升降可调节，凳杆采用钢制防锈先进电渡工艺处理，带底环踏脚，可360度旋转，电镀五星脚架，卡扣固定转轮。</w:t>
            </w:r>
          </w:p>
        </w:tc>
        <w:tc>
          <w:tcPr>
            <w:tcW w:w="154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tblPrEx>
          <w:tblCellMar>
            <w:top w:w="0" w:type="dxa"/>
            <w:left w:w="108" w:type="dxa"/>
            <w:bottom w:w="0" w:type="dxa"/>
            <w:right w:w="108" w:type="dxa"/>
          </w:tblCellMar>
        </w:tblPrEx>
        <w:trPr>
          <w:trHeight w:val="402" w:hRule="atLeast"/>
          <w:jc w:val="center"/>
        </w:trPr>
        <w:tc>
          <w:tcPr>
            <w:tcW w:w="9499"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实验室专用PVC地面</w:t>
            </w:r>
          </w:p>
        </w:tc>
      </w:tr>
      <w:tr>
        <w:tblPrEx>
          <w:tblCellMar>
            <w:top w:w="0" w:type="dxa"/>
            <w:left w:w="108" w:type="dxa"/>
            <w:bottom w:w="0" w:type="dxa"/>
            <w:right w:w="108" w:type="dxa"/>
          </w:tblCellMar>
        </w:tblPrEx>
        <w:trPr>
          <w:trHeight w:val="1920" w:hRule="atLeast"/>
          <w:jc w:val="center"/>
        </w:trPr>
        <w:tc>
          <w:tcPr>
            <w:tcW w:w="567" w:type="dxa"/>
            <w:tcBorders>
              <w:top w:val="nil"/>
              <w:left w:val="single" w:color="auto" w:sz="4" w:space="0"/>
              <w:bottom w:val="single" w:color="auto" w:sz="4" w:space="0"/>
              <w:right w:val="nil"/>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682"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PVC地板胶</w:t>
            </w:r>
          </w:p>
        </w:tc>
        <w:tc>
          <w:tcPr>
            <w:tcW w:w="153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δ=2.0mm</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920</w:t>
            </w:r>
          </w:p>
        </w:tc>
        <w:tc>
          <w:tcPr>
            <w:tcW w:w="5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3945"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▲同质透芯pvc材质</w:t>
            </w:r>
            <w:r>
              <w:rPr>
                <w:rFonts w:hint="eastAsia" w:ascii="宋体" w:hAnsi="宋体" w:eastAsia="宋体" w:cs="宋体"/>
                <w:color w:val="auto"/>
                <w:kern w:val="0"/>
                <w:sz w:val="21"/>
                <w:szCs w:val="21"/>
                <w:highlight w:val="none"/>
              </w:rPr>
              <w:t>地板胶，厚度2.0mm；无缝,焊成一体,耐腐蚀易清洁.性能指标满足：</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1）难燃性达B1</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 xml:space="preserve"> </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2)防滑R9级（EN51130）标准。</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3）每平方米总重量≤2.75Kg。</w:t>
            </w:r>
          </w:p>
          <w:p>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4）褪色度、级别≤7（ISO105-B02)</w:t>
            </w:r>
            <w:r>
              <w:rPr>
                <w:rFonts w:hint="eastAsia" w:ascii="宋体" w:hAnsi="宋体" w:cs="宋体"/>
                <w:color w:val="auto"/>
                <w:kern w:val="0"/>
                <w:sz w:val="21"/>
                <w:szCs w:val="21"/>
                <w:highlight w:val="none"/>
                <w:lang w:eastAsia="zh-CN"/>
              </w:rPr>
              <w:t>。</w:t>
            </w:r>
          </w:p>
          <w:p>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5)绝热系数0.010M2K/W</w:t>
            </w:r>
            <w:r>
              <w:rPr>
                <w:rFonts w:hint="eastAsia" w:ascii="宋体" w:hAnsi="宋体" w:cs="宋体"/>
                <w:color w:val="auto"/>
                <w:kern w:val="0"/>
                <w:sz w:val="21"/>
                <w:szCs w:val="21"/>
                <w:highlight w:val="none"/>
                <w:lang w:eastAsia="zh-CN"/>
              </w:rPr>
              <w:t>。</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6)静电负载＜2.0Kv。</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7)绝缘系数200kohm.min。</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8）耐磨等级为T级。</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9）抗菌性能ISO 846C，经防霉处理、免打蜡。</w:t>
            </w:r>
          </w:p>
          <w:p>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10）产品尺寸稳定性：≤0.04%，消音率：Approx.4dB,轮压测试：NO  damamage(标准EN425)</w:t>
            </w:r>
            <w:r>
              <w:rPr>
                <w:rFonts w:hint="eastAsia" w:ascii="宋体" w:hAnsi="宋体" w:cs="宋体"/>
                <w:color w:val="auto"/>
                <w:kern w:val="0"/>
                <w:sz w:val="21"/>
                <w:szCs w:val="21"/>
                <w:highlight w:val="none"/>
                <w:lang w:eastAsia="zh-CN"/>
              </w:rPr>
              <w:t>。</w:t>
            </w:r>
          </w:p>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11）符合国家强制性标准，GB18686-2001《室内装饰装修材料聚氯乙烯卷材地板中有害物质限量》，具有甲醛检测绿色环保认证（FloorScore 认证），提供第三方检测报告。</w:t>
            </w:r>
          </w:p>
        </w:tc>
        <w:tc>
          <w:tcPr>
            <w:tcW w:w="154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LG</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洁福</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阿姆斯壮</w:t>
            </w:r>
          </w:p>
        </w:tc>
      </w:tr>
      <w:tr>
        <w:tblPrEx>
          <w:tblCellMar>
            <w:top w:w="0" w:type="dxa"/>
            <w:left w:w="108" w:type="dxa"/>
            <w:bottom w:w="0" w:type="dxa"/>
            <w:right w:w="108" w:type="dxa"/>
          </w:tblCellMar>
        </w:tblPrEx>
        <w:trPr>
          <w:trHeight w:val="402" w:hRule="atLeast"/>
          <w:jc w:val="center"/>
        </w:trPr>
        <w:tc>
          <w:tcPr>
            <w:tcW w:w="567" w:type="dxa"/>
            <w:tcBorders>
              <w:top w:val="nil"/>
              <w:left w:val="single" w:color="auto" w:sz="4" w:space="0"/>
              <w:bottom w:val="single" w:color="auto" w:sz="4" w:space="0"/>
              <w:right w:val="nil"/>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p>
        </w:tc>
        <w:tc>
          <w:tcPr>
            <w:tcW w:w="682"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专用自流平</w:t>
            </w:r>
          </w:p>
        </w:tc>
        <w:tc>
          <w:tcPr>
            <w:tcW w:w="15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920</w:t>
            </w:r>
          </w:p>
        </w:tc>
        <w:tc>
          <w:tcPr>
            <w:tcW w:w="5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3945"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水泥基自流加厚至5mm</w:t>
            </w:r>
            <w:r>
              <w:rPr>
                <w:rFonts w:hint="eastAsia" w:ascii="宋体" w:hAnsi="宋体" w:eastAsia="宋体" w:cs="宋体"/>
                <w:color w:val="auto"/>
                <w:kern w:val="0"/>
                <w:sz w:val="21"/>
                <w:szCs w:val="21"/>
                <w:highlight w:val="none"/>
                <w:lang w:val="en-US" w:eastAsia="zh-CN"/>
              </w:rPr>
              <w:t>以上</w:t>
            </w:r>
          </w:p>
        </w:tc>
        <w:tc>
          <w:tcPr>
            <w:tcW w:w="154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国标</w:t>
            </w:r>
          </w:p>
        </w:tc>
      </w:tr>
    </w:tbl>
    <w:p>
      <w:pPr>
        <w:pStyle w:val="46"/>
        <w:keepNext w:val="0"/>
        <w:keepLines w:val="0"/>
        <w:pageBreakBefore w:val="0"/>
        <w:widowControl w:val="0"/>
        <w:tabs>
          <w:tab w:val="left" w:pos="7740"/>
        </w:tabs>
        <w:kinsoku/>
        <w:wordWrap/>
        <w:overflowPunct/>
        <w:topLinePunct w:val="0"/>
        <w:autoSpaceDE/>
        <w:autoSpaceDN/>
        <w:bidi w:val="0"/>
        <w:adjustRightInd w:val="0"/>
        <w:snapToGrid w:val="0"/>
        <w:spacing w:beforeLines="50" w:line="360" w:lineRule="auto"/>
        <w:textAlignment w:val="auto"/>
        <w:outlineLvl w:val="1"/>
        <w:rPr>
          <w:rFonts w:hint="eastAsia" w:ascii="宋体" w:hAnsi="宋体" w:cs="Times New Roman"/>
          <w:b/>
          <w:color w:val="auto"/>
          <w:highlight w:val="none"/>
          <w:lang w:val="zh-CN" w:eastAsia="zh-CN"/>
        </w:rPr>
      </w:pPr>
      <w:r>
        <w:rPr>
          <w:rFonts w:hint="eastAsia" w:hAnsi="宋体" w:cs="Times New Roman"/>
          <w:b/>
          <w:color w:val="auto"/>
          <w:highlight w:val="none"/>
          <w:lang w:val="zh-CN" w:eastAsia="zh-CN"/>
        </w:rPr>
        <w:t>五</w:t>
      </w:r>
      <w:r>
        <w:rPr>
          <w:rFonts w:hint="eastAsia" w:ascii="宋体" w:hAnsi="宋体" w:cs="Times New Roman"/>
          <w:b/>
          <w:color w:val="auto"/>
          <w:highlight w:val="none"/>
          <w:lang w:val="zh-CN" w:eastAsia="zh-CN"/>
        </w:rPr>
        <w:t>、现场踏勘</w:t>
      </w:r>
    </w:p>
    <w:p>
      <w:pPr>
        <w:spacing w:line="440" w:lineRule="exact"/>
        <w:ind w:firstLine="420" w:firstLineChars="200"/>
        <w:rPr>
          <w:rFonts w:hint="eastAsia" w:cs="Times New Roman"/>
          <w:color w:val="auto"/>
          <w:highlight w:val="none"/>
          <w:lang w:val="zh-CN" w:eastAsia="zh-CN"/>
        </w:rPr>
      </w:pPr>
      <w:r>
        <w:rPr>
          <w:rFonts w:hint="eastAsia"/>
          <w:color w:val="auto"/>
          <w:highlight w:val="none"/>
          <w:lang w:val="zh-CN" w:eastAsia="zh-CN"/>
        </w:rPr>
        <w:t>本项目不集中组织</w:t>
      </w:r>
      <w:r>
        <w:rPr>
          <w:rFonts w:hint="eastAsia"/>
          <w:color w:val="auto"/>
          <w:highlight w:val="none"/>
          <w:lang w:eastAsia="zh-CN"/>
        </w:rPr>
        <w:t>现场踏勘</w:t>
      </w:r>
      <w:r>
        <w:rPr>
          <w:rFonts w:hint="eastAsia"/>
          <w:color w:val="auto"/>
          <w:highlight w:val="none"/>
          <w:lang w:val="zh-CN" w:eastAsia="zh-CN"/>
        </w:rPr>
        <w:t>，由报价人自行踏勘；报价人应充分重视和仔细地进行这种考察，以便报价人获取那些须报价人自己负责的有关编制响应文件和签署合同所涉及现场所有的资料，报价人不进行踏勘的，视为已熟知现场条件，自行承担相关风险。一旦中标，这种考察即被认为其结果已在中标文件中得到充分反映。考察现场的费用由报价人自己承担。</w:t>
      </w:r>
    </w:p>
    <w:p>
      <w:pPr>
        <w:tabs>
          <w:tab w:val="left" w:pos="840"/>
        </w:tabs>
        <w:spacing w:line="440" w:lineRule="exact"/>
        <w:rPr>
          <w:rFonts w:hint="eastAsia" w:ascii="宋体" w:hAnsi="宋体"/>
          <w:b/>
          <w:color w:val="auto"/>
          <w:highlight w:val="none"/>
          <w:lang w:val="zh-CN"/>
        </w:rPr>
      </w:pPr>
      <w:r>
        <w:rPr>
          <w:rFonts w:hint="eastAsia" w:ascii="宋体" w:hAnsi="宋体"/>
          <w:b/>
          <w:color w:val="auto"/>
          <w:highlight w:val="none"/>
          <w:lang w:val="en-US" w:eastAsia="zh-CN"/>
        </w:rPr>
        <w:t>六、</w:t>
      </w:r>
      <w:r>
        <w:rPr>
          <w:rFonts w:hint="eastAsia" w:ascii="宋体" w:hAnsi="宋体"/>
          <w:b/>
          <w:color w:val="auto"/>
          <w:highlight w:val="none"/>
          <w:lang w:val="zh-CN"/>
        </w:rPr>
        <w:t>平面图</w:t>
      </w:r>
    </w:p>
    <w:p>
      <w:pPr>
        <w:pStyle w:val="2"/>
        <w:rPr>
          <w:rFonts w:hint="eastAsia"/>
          <w:color w:val="auto"/>
          <w:highlight w:val="none"/>
          <w:lang w:val="en-US" w:eastAsia="zh-CN"/>
        </w:rPr>
      </w:pPr>
      <w:r>
        <w:rPr>
          <w:color w:val="auto"/>
          <w:highlight w:val="none"/>
        </w:rPr>
        <w:drawing>
          <wp:inline distT="0" distB="0" distL="114300" distR="114300">
            <wp:extent cx="5657850" cy="7639050"/>
            <wp:effectExtent l="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5"/>
                    <a:stretch>
                      <a:fillRect/>
                    </a:stretch>
                  </pic:blipFill>
                  <pic:spPr>
                    <a:xfrm>
                      <a:off x="0" y="0"/>
                      <a:ext cx="5657850" cy="7639050"/>
                    </a:xfrm>
                    <a:prstGeom prst="rect">
                      <a:avLst/>
                    </a:prstGeom>
                    <a:noFill/>
                    <a:ln>
                      <a:noFill/>
                    </a:ln>
                  </pic:spPr>
                </pic:pic>
              </a:graphicData>
            </a:graphic>
          </wp:inline>
        </w:drawing>
      </w:r>
      <w:r>
        <w:rPr>
          <w:color w:val="auto"/>
          <w:highlight w:val="none"/>
        </w:rPr>
        <w:drawing>
          <wp:inline distT="0" distB="0" distL="114300" distR="114300">
            <wp:extent cx="5210175" cy="8029575"/>
            <wp:effectExtent l="0" t="0" r="9525" b="952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6"/>
                    <a:stretch>
                      <a:fillRect/>
                    </a:stretch>
                  </pic:blipFill>
                  <pic:spPr>
                    <a:xfrm>
                      <a:off x="0" y="0"/>
                      <a:ext cx="5210175" cy="8029575"/>
                    </a:xfrm>
                    <a:prstGeom prst="rect">
                      <a:avLst/>
                    </a:prstGeom>
                    <a:noFill/>
                    <a:ln>
                      <a:noFill/>
                    </a:ln>
                  </pic:spPr>
                </pic:pic>
              </a:graphicData>
            </a:graphic>
          </wp:inline>
        </w:drawing>
      </w:r>
    </w:p>
    <w:p>
      <w:pPr>
        <w:tabs>
          <w:tab w:val="left" w:pos="840"/>
        </w:tabs>
        <w:spacing w:line="440" w:lineRule="exact"/>
        <w:rPr>
          <w:rFonts w:hint="eastAsia" w:ascii="宋体" w:hAnsi="宋体" w:cs="Times New Roman"/>
          <w:b/>
          <w:color w:val="auto"/>
          <w:highlight w:val="none"/>
          <w:lang w:val="zh-CN"/>
        </w:rPr>
      </w:pPr>
      <w:r>
        <w:rPr>
          <w:rFonts w:hint="eastAsia" w:ascii="宋体" w:hAnsi="宋体" w:cs="Times New Roman"/>
          <w:b/>
          <w:color w:val="auto"/>
          <w:highlight w:val="none"/>
          <w:lang w:val="en-US" w:eastAsia="zh-CN"/>
        </w:rPr>
        <w:t>七</w:t>
      </w:r>
      <w:r>
        <w:rPr>
          <w:rFonts w:hint="eastAsia" w:ascii="宋体" w:hAnsi="宋体" w:cs="Times New Roman"/>
          <w:b/>
          <w:color w:val="auto"/>
          <w:highlight w:val="none"/>
          <w:lang w:val="zh-CN"/>
        </w:rPr>
        <w:t>、其他</w:t>
      </w:r>
    </w:p>
    <w:p>
      <w:pPr>
        <w:spacing w:line="440" w:lineRule="exact"/>
        <w:ind w:firstLine="420" w:firstLineChars="200"/>
        <w:rPr>
          <w:rFonts w:hint="eastAsia" w:cs="Times New Roman"/>
          <w:color w:val="auto"/>
          <w:highlight w:val="none"/>
          <w:lang w:val="zh-CN" w:eastAsia="zh-CN"/>
        </w:rPr>
      </w:pPr>
      <w:r>
        <w:rPr>
          <w:rFonts w:hint="eastAsia" w:cs="Times New Roman"/>
          <w:color w:val="auto"/>
          <w:highlight w:val="none"/>
          <w:lang w:val="zh-CN" w:eastAsia="zh-CN"/>
        </w:rPr>
        <w:t>1.本次报价包括以上清单中所有内容，报价人必须给出清单所有项目的综合单价（综合单价须有明细内容）和合价，若有缺项漏项，应视为均摊在其他费用中。</w:t>
      </w:r>
    </w:p>
    <w:p>
      <w:pPr>
        <w:spacing w:line="440" w:lineRule="exact"/>
        <w:ind w:firstLine="420" w:firstLineChars="200"/>
        <w:rPr>
          <w:rFonts w:hint="eastAsia" w:cs="Times New Roman"/>
          <w:color w:val="auto"/>
          <w:highlight w:val="none"/>
          <w:lang w:val="zh-CN" w:eastAsia="zh-CN"/>
        </w:rPr>
      </w:pPr>
      <w:r>
        <w:rPr>
          <w:rFonts w:hint="eastAsia" w:cs="Times New Roman"/>
          <w:color w:val="auto"/>
          <w:highlight w:val="none"/>
          <w:lang w:val="zh-CN" w:eastAsia="zh-CN"/>
        </w:rPr>
        <w:t>2.若本项目有增加工作量部分，则按原清单中单价计价，若清单中无该项目则按相关规范按实际发生工作量结算。</w:t>
      </w:r>
    </w:p>
    <w:p>
      <w:pPr>
        <w:spacing w:line="440" w:lineRule="exact"/>
        <w:ind w:firstLine="420" w:firstLineChars="200"/>
        <w:rPr>
          <w:rFonts w:hint="eastAsia" w:cs="Times New Roman"/>
          <w:color w:val="auto"/>
          <w:highlight w:val="none"/>
          <w:lang w:val="zh-CN" w:eastAsia="zh-CN"/>
        </w:rPr>
      </w:pPr>
      <w:r>
        <w:rPr>
          <w:rFonts w:hint="eastAsia" w:cs="Times New Roman"/>
          <w:color w:val="auto"/>
          <w:highlight w:val="none"/>
          <w:lang w:val="zh-CN" w:eastAsia="zh-CN"/>
        </w:rPr>
        <w:t>3.各报价人必须给出产品的详细资料，包括技术标准、产品配置、尺寸等，以便采购人综合进行评定。</w:t>
      </w:r>
    </w:p>
    <w:p>
      <w:pPr>
        <w:spacing w:line="440" w:lineRule="exact"/>
        <w:ind w:firstLine="420" w:firstLineChars="200"/>
        <w:rPr>
          <w:rFonts w:hint="eastAsia" w:cs="Times New Roman"/>
          <w:color w:val="auto"/>
          <w:highlight w:val="none"/>
          <w:lang w:val="zh-CN" w:eastAsia="zh-CN"/>
        </w:rPr>
      </w:pPr>
      <w:r>
        <w:rPr>
          <w:rFonts w:hint="eastAsia" w:cs="Times New Roman"/>
          <w:color w:val="auto"/>
          <w:highlight w:val="none"/>
          <w:lang w:val="zh-CN" w:eastAsia="zh-CN"/>
        </w:rPr>
        <w:t>4.报价人必须保证：报价所列内容使得整个工程在功能上的完整性，并正常运行，验收合格。</w:t>
      </w:r>
    </w:p>
    <w:p>
      <w:pPr>
        <w:spacing w:line="440" w:lineRule="exact"/>
        <w:ind w:firstLine="420" w:firstLineChars="200"/>
        <w:rPr>
          <w:rFonts w:hint="eastAsia" w:cs="Times New Roman"/>
          <w:color w:val="auto"/>
          <w:highlight w:val="none"/>
          <w:lang w:val="zh-CN" w:eastAsia="zh-CN"/>
        </w:rPr>
      </w:pPr>
      <w:r>
        <w:rPr>
          <w:rFonts w:hint="eastAsia" w:cs="Times New Roman"/>
          <w:color w:val="auto"/>
          <w:highlight w:val="none"/>
          <w:lang w:val="zh-CN" w:eastAsia="zh-CN"/>
        </w:rPr>
        <w:t>5.成交人责任:成交人在施工过程中需要负责处理好与周边的关系及经济问题，发生任何纠纷以及产生所有费用均由成交人自行承担。</w:t>
      </w:r>
    </w:p>
    <w:p>
      <w:pPr>
        <w:tabs>
          <w:tab w:val="left" w:pos="840"/>
        </w:tabs>
        <w:spacing w:line="440" w:lineRule="exact"/>
        <w:rPr>
          <w:rFonts w:ascii="宋体" w:hAnsi="宋体"/>
          <w:b/>
          <w:color w:val="auto"/>
          <w:highlight w:val="none"/>
          <w:lang w:val="zh-CN"/>
        </w:rPr>
      </w:pPr>
      <w:r>
        <w:rPr>
          <w:rFonts w:hint="eastAsia" w:ascii="宋体" w:hAnsi="宋体"/>
          <w:b/>
          <w:color w:val="auto"/>
          <w:highlight w:val="none"/>
          <w:lang w:val="en-US" w:eastAsia="zh-CN"/>
        </w:rPr>
        <w:t>八、</w:t>
      </w:r>
      <w:r>
        <w:rPr>
          <w:rFonts w:hint="eastAsia" w:ascii="宋体" w:hAnsi="宋体"/>
          <w:b/>
          <w:color w:val="auto"/>
          <w:highlight w:val="none"/>
          <w:lang w:val="zh-CN"/>
        </w:rPr>
        <w:t>质量保修期及售后服务要求</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1、免费质保期期限（自验收合格之日起计）：</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质量保修期</w:t>
      </w:r>
      <w:r>
        <w:rPr>
          <w:rFonts w:hint="eastAsia" w:ascii="宋体" w:hAnsi="宋体" w:cs="宋体"/>
          <w:color w:val="auto"/>
          <w:szCs w:val="21"/>
          <w:highlight w:val="none"/>
          <w:lang w:val="en-US" w:eastAsia="zh-CN"/>
        </w:rPr>
        <w:t>至少</w:t>
      </w:r>
      <w:r>
        <w:rPr>
          <w:rFonts w:hint="eastAsia" w:ascii="宋体" w:hAnsi="宋体" w:cs="宋体"/>
          <w:color w:val="auto"/>
          <w:szCs w:val="21"/>
          <w:highlight w:val="none"/>
          <w:u w:val="none"/>
          <w:lang w:eastAsia="zh-CN"/>
        </w:rPr>
        <w:t>一</w:t>
      </w:r>
      <w:r>
        <w:rPr>
          <w:rFonts w:hint="eastAsia" w:ascii="宋体" w:hAnsi="宋体" w:cs="宋体"/>
          <w:color w:val="auto"/>
          <w:szCs w:val="21"/>
          <w:highlight w:val="none"/>
          <w:lang w:val="zh-CN"/>
        </w:rPr>
        <w:t>年。</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以上要求，若国家或生产厂家对本项目所涉及货物及其服务的质保期规定高于本项目要求的，应按照国家或生产厂家的规定执行。</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质量保修期内成交人对所供项目内容实行包修、包换、包维护保养</w:t>
      </w:r>
      <w:r>
        <w:rPr>
          <w:rFonts w:hint="eastAsia" w:ascii="宋体" w:hAnsi="宋体" w:cs="宋体"/>
          <w:color w:val="auto"/>
          <w:szCs w:val="21"/>
          <w:highlight w:val="none"/>
        </w:rPr>
        <w:t>，结合具体工程要求</w:t>
      </w:r>
      <w:r>
        <w:rPr>
          <w:rFonts w:hint="eastAsia" w:ascii="宋体" w:hAnsi="宋体" w:cs="宋体"/>
          <w:color w:val="auto"/>
          <w:szCs w:val="21"/>
          <w:highlight w:val="none"/>
          <w:lang w:val="zh-CN"/>
        </w:rPr>
        <w:t>。免费质保期所涉及服务的一切费用均包含在投标报价中。</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2、报价人承诺，质保期内产品实行“三包”服务：包退：产品在验收时，如发现严重的质量问题,可给予退货或更换；包换：用户在正常使用的情况下，如出现较大问题,导致不能正常使用,且产品无法修复情况下,无条件更换同一款式，规格及材质的全新产品；包修: 因生产原因造成的产品质量问题(非人为损坏或不可避免的自然灾害除外),不收取任何维修服务费和零件费。在质保期满后, 酌情收取维修或更换的材料成本费用。</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3、服务响应时间：报价人承诺在质保期内收到采购人有关售后服务的要求，电话或传真后，在3小时内安排专人到现场进行处理并在8小时内解决问题。若问题严重无法短时间解决的，必须在3小时内回复何时解决及解决办法，并做出书面解释。</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4、报价人应在广东省内有专业的售后服务机构和人员，并提供售后服务机构相关信息、联系电话及联系人。</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5、配件：报价人承诺在质保期内免费提供有效的常用配件。</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6、培训：报价人承诺在合同签订后，组织采购人相关管理人员进行产品使用和日常保养的知识培训，培训费用由报价人承担。</w:t>
      </w:r>
    </w:p>
    <w:p>
      <w:pPr>
        <w:tabs>
          <w:tab w:val="left" w:pos="840"/>
        </w:tabs>
        <w:spacing w:line="440" w:lineRule="exact"/>
        <w:rPr>
          <w:rFonts w:ascii="宋体" w:hAnsi="宋体"/>
          <w:b/>
          <w:color w:val="auto"/>
          <w:highlight w:val="none"/>
        </w:rPr>
      </w:pPr>
      <w:r>
        <w:rPr>
          <w:rFonts w:hint="eastAsia" w:ascii="宋体" w:hAnsi="宋体"/>
          <w:b/>
          <w:color w:val="auto"/>
          <w:highlight w:val="none"/>
          <w:lang w:val="en-US" w:eastAsia="zh-CN"/>
        </w:rPr>
        <w:t>九</w:t>
      </w:r>
      <w:r>
        <w:rPr>
          <w:rFonts w:hint="eastAsia" w:ascii="宋体" w:hAnsi="宋体"/>
          <w:b/>
          <w:color w:val="auto"/>
          <w:highlight w:val="none"/>
          <w:lang w:val="zh-CN"/>
        </w:rPr>
        <w:t>、支付方式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1.支付方式：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采购人按下述进度以转账方式支付相应款项。</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2.支付进度：</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（一）付款采用 分期付款 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（二）具体付款方式：</w:t>
      </w:r>
    </w:p>
    <w:p>
      <w:pPr>
        <w:spacing w:line="440" w:lineRule="exact"/>
        <w:ind w:firstLine="420" w:firstLineChars="200"/>
        <w:rPr>
          <w:rFonts w:hint="eastAsia" w:ascii="宋体" w:hAnsi="宋体" w:eastAsia="宋体"/>
          <w:color w:val="auto"/>
          <w:szCs w:val="21"/>
          <w:highlight w:val="none"/>
          <w:lang w:val="en-US" w:eastAsia="zh-CN"/>
        </w:rPr>
      </w:pPr>
      <w:r>
        <w:rPr>
          <w:rFonts w:hint="eastAsia" w:cs="Calibri"/>
          <w:color w:val="auto"/>
          <w:szCs w:val="21"/>
          <w:highlight w:val="none"/>
        </w:rPr>
        <w:t>（1）</w:t>
      </w:r>
      <w:r>
        <w:rPr>
          <w:rFonts w:hint="eastAsia" w:ascii="宋体" w:hAnsi="宋体"/>
          <w:color w:val="auto"/>
          <w:szCs w:val="21"/>
          <w:highlight w:val="none"/>
        </w:rPr>
        <w:t>合同签订生效后，采购人支付</w:t>
      </w:r>
      <w:r>
        <w:rPr>
          <w:rFonts w:hint="eastAsia" w:ascii="宋体" w:hAnsi="宋体"/>
          <w:color w:val="auto"/>
          <w:szCs w:val="21"/>
          <w:highlight w:val="none"/>
          <w:lang w:eastAsia="zh-CN"/>
        </w:rPr>
        <w:t>成交</w:t>
      </w:r>
      <w:r>
        <w:rPr>
          <w:rFonts w:hint="eastAsia" w:ascii="宋体" w:hAnsi="宋体"/>
          <w:color w:val="auto"/>
          <w:szCs w:val="21"/>
          <w:highlight w:val="none"/>
        </w:rPr>
        <w:t>人合同金额30%预付款</w:t>
      </w:r>
      <w:r>
        <w:rPr>
          <w:rFonts w:hint="eastAsia" w:ascii="宋体" w:hAnsi="宋体"/>
          <w:color w:val="auto"/>
          <w:szCs w:val="21"/>
          <w:highlight w:val="none"/>
          <w:lang w:eastAsia="zh-CN"/>
        </w:rPr>
        <w:t>；</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（2）</w:t>
      </w:r>
      <w:r>
        <w:rPr>
          <w:rFonts w:hint="eastAsia" w:cs="Calibri"/>
          <w:color w:val="auto"/>
          <w:szCs w:val="21"/>
          <w:highlight w:val="none"/>
          <w:lang w:val="en-US" w:eastAsia="zh-CN"/>
        </w:rPr>
        <w:t>所有货物到达安装现场</w:t>
      </w:r>
      <w:r>
        <w:rPr>
          <w:rFonts w:hint="eastAsia" w:ascii="宋体" w:hAnsi="宋体"/>
          <w:color w:val="auto"/>
          <w:szCs w:val="21"/>
          <w:highlight w:val="none"/>
        </w:rPr>
        <w:t>并经采购人确认</w:t>
      </w:r>
      <w:r>
        <w:rPr>
          <w:rFonts w:hint="eastAsia" w:ascii="宋体" w:hAnsi="宋体"/>
          <w:color w:val="auto"/>
          <w:szCs w:val="21"/>
          <w:highlight w:val="none"/>
          <w:lang w:val="en-US" w:eastAsia="zh-CN"/>
        </w:rPr>
        <w:t>后</w:t>
      </w:r>
      <w:r>
        <w:rPr>
          <w:rFonts w:hint="eastAsia" w:ascii="宋体" w:hAnsi="宋体"/>
          <w:color w:val="auto"/>
          <w:szCs w:val="21"/>
          <w:highlight w:val="none"/>
        </w:rPr>
        <w:t>，采购人按合同金额向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w:t>
      </w:r>
      <w:r>
        <w:rPr>
          <w:rFonts w:hint="eastAsia" w:ascii="宋体" w:hAnsi="宋体"/>
          <w:color w:val="auto"/>
          <w:szCs w:val="21"/>
          <w:highlight w:val="none"/>
          <w:lang w:val="en-US" w:eastAsia="zh-CN"/>
        </w:rPr>
        <w:t>8</w:t>
      </w:r>
      <w:r>
        <w:rPr>
          <w:rFonts w:hint="eastAsia" w:ascii="宋体" w:hAnsi="宋体"/>
          <w:color w:val="auto"/>
          <w:szCs w:val="21"/>
          <w:highlight w:val="none"/>
        </w:rPr>
        <w:t>0%的款项；</w:t>
      </w:r>
    </w:p>
    <w:p>
      <w:pPr>
        <w:spacing w:line="440" w:lineRule="exact"/>
        <w:ind w:firstLine="420" w:firstLineChars="200"/>
        <w:rPr>
          <w:rFonts w:ascii="宋体" w:hAnsi="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w:t>
      </w:r>
      <w:r>
        <w:rPr>
          <w:rFonts w:hint="eastAsia" w:ascii="宋体" w:hAnsi="宋体" w:cs="宋体"/>
          <w:color w:val="auto"/>
          <w:szCs w:val="21"/>
          <w:highlight w:val="none"/>
          <w:u w:val="none"/>
        </w:rPr>
        <w:t>项目完成</w:t>
      </w:r>
      <w:r>
        <w:rPr>
          <w:rFonts w:hint="eastAsia" w:ascii="宋体" w:hAnsi="宋体" w:cs="宋体"/>
          <w:color w:val="auto"/>
          <w:szCs w:val="21"/>
          <w:highlight w:val="none"/>
          <w:u w:val="none"/>
          <w:lang w:val="en-US" w:eastAsia="zh-CN"/>
        </w:rPr>
        <w:t>并经</w:t>
      </w:r>
      <w:r>
        <w:rPr>
          <w:rFonts w:hint="eastAsia" w:asciiTheme="minorEastAsia" w:hAnsiTheme="minorEastAsia" w:eastAsiaTheme="minorEastAsia" w:cstheme="minorEastAsia"/>
          <w:color w:val="auto"/>
          <w:szCs w:val="21"/>
          <w:highlight w:val="none"/>
          <w:u w:val="none"/>
          <w:lang w:eastAsia="zh-CN"/>
        </w:rPr>
        <w:t>采购人</w:t>
      </w:r>
      <w:r>
        <w:rPr>
          <w:rFonts w:hint="eastAsia" w:asciiTheme="minorEastAsia" w:hAnsiTheme="minorEastAsia" w:eastAsiaTheme="minorEastAsia" w:cstheme="minorEastAsia"/>
          <w:color w:val="auto"/>
          <w:szCs w:val="21"/>
          <w:highlight w:val="none"/>
          <w:u w:val="none"/>
        </w:rPr>
        <w:t>及上级主管部门</w:t>
      </w:r>
      <w:r>
        <w:rPr>
          <w:rFonts w:hint="eastAsia" w:ascii="宋体" w:hAnsi="宋体" w:cs="宋体"/>
          <w:color w:val="auto"/>
          <w:szCs w:val="21"/>
          <w:highlight w:val="none"/>
          <w:u w:val="none"/>
          <w:lang w:val="en-US" w:eastAsia="zh-CN"/>
        </w:rPr>
        <w:t>验收合格等</w:t>
      </w:r>
      <w:r>
        <w:rPr>
          <w:rFonts w:hint="eastAsia" w:ascii="宋体" w:hAnsi="宋体" w:cs="宋体"/>
          <w:color w:val="auto"/>
          <w:szCs w:val="21"/>
          <w:highlight w:val="none"/>
          <w:u w:val="none"/>
        </w:rPr>
        <w:t>手续</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采购人自收到发票后</w:t>
      </w:r>
      <w:r>
        <w:rPr>
          <w:rFonts w:hint="eastAsia" w:ascii="宋体" w:hAnsi="宋体" w:cs="宋体"/>
          <w:color w:val="auto"/>
          <w:szCs w:val="21"/>
          <w:highlight w:val="none"/>
        </w:rPr>
        <w:t>30日内将资金支付到</w:t>
      </w:r>
      <w:r>
        <w:rPr>
          <w:rFonts w:hint="eastAsia" w:ascii="宋体" w:hAnsi="宋体" w:cs="宋体"/>
          <w:color w:val="auto"/>
          <w:szCs w:val="21"/>
          <w:highlight w:val="none"/>
          <w:lang w:val="en-US" w:eastAsia="zh-CN"/>
        </w:rPr>
        <w:t>成交人</w:t>
      </w:r>
      <w:r>
        <w:rPr>
          <w:rFonts w:hint="eastAsia" w:ascii="宋体" w:hAnsi="宋体" w:cs="宋体"/>
          <w:color w:val="auto"/>
          <w:szCs w:val="21"/>
          <w:highlight w:val="none"/>
        </w:rPr>
        <w:t>账户，支付至结算金额的95%，余下5%作为本项目质保金，质保期到期后无责免息支付给</w:t>
      </w:r>
      <w:r>
        <w:rPr>
          <w:rFonts w:hint="eastAsia" w:ascii="宋体" w:hAnsi="宋体" w:cs="宋体"/>
          <w:color w:val="auto"/>
          <w:szCs w:val="21"/>
          <w:highlight w:val="none"/>
          <w:lang w:eastAsia="zh-CN"/>
        </w:rPr>
        <w:t>成交人</w:t>
      </w:r>
      <w:r>
        <w:rPr>
          <w:rFonts w:hint="eastAsia" w:ascii="宋体" w:hAnsi="宋体" w:cs="宋体"/>
          <w:color w:val="auto"/>
          <w:szCs w:val="21"/>
          <w:highlight w:val="none"/>
        </w:rPr>
        <w:t>。若</w:t>
      </w:r>
      <w:r>
        <w:rPr>
          <w:rFonts w:hint="eastAsia" w:ascii="宋体" w:hAnsi="宋体" w:cs="宋体"/>
          <w:color w:val="auto"/>
          <w:szCs w:val="21"/>
          <w:highlight w:val="none"/>
          <w:lang w:eastAsia="zh-CN"/>
        </w:rPr>
        <w:t>成交人</w:t>
      </w:r>
      <w:r>
        <w:rPr>
          <w:rFonts w:hint="eastAsia" w:ascii="宋体" w:hAnsi="宋体" w:cs="宋体"/>
          <w:color w:val="auto"/>
          <w:szCs w:val="21"/>
          <w:highlight w:val="none"/>
        </w:rPr>
        <w:t>在质量保证期内未完全履行缺陷保修义务的，</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人有权扣除质量保证金，并保留进一步索赔的权利。</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（三）</w:t>
      </w:r>
      <w:r>
        <w:rPr>
          <w:rFonts w:hint="eastAsia" w:ascii="宋体" w:hAnsi="宋体"/>
          <w:color w:val="auto"/>
          <w:szCs w:val="21"/>
          <w:highlight w:val="none"/>
          <w:lang w:eastAsia="zh-CN"/>
        </w:rPr>
        <w:t>成交</w:t>
      </w:r>
      <w:r>
        <w:rPr>
          <w:rFonts w:hint="eastAsia" w:ascii="宋体" w:hAnsi="宋体"/>
          <w:color w:val="auto"/>
          <w:szCs w:val="21"/>
          <w:highlight w:val="none"/>
        </w:rPr>
        <w:t>人向采购人申请支付货款时需提供：</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（1）合同；</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成交</w:t>
      </w:r>
      <w:r>
        <w:rPr>
          <w:rFonts w:hint="eastAsia" w:ascii="宋体" w:hAnsi="宋体"/>
          <w:color w:val="auto"/>
          <w:szCs w:val="21"/>
          <w:highlight w:val="none"/>
        </w:rPr>
        <w:t>人开具正式全额发票；</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（3）验收调试报告加盖采购人公章；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（4）中标</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成交</w:t>
      </w:r>
      <w:r>
        <w:rPr>
          <w:rFonts w:hint="eastAsia" w:ascii="宋体" w:hAnsi="宋体"/>
          <w:color w:val="auto"/>
          <w:szCs w:val="21"/>
          <w:highlight w:val="none"/>
          <w:lang w:eastAsia="zh-CN"/>
        </w:rPr>
        <w:t>）</w:t>
      </w:r>
      <w:r>
        <w:rPr>
          <w:rFonts w:hint="eastAsia" w:ascii="宋体" w:hAnsi="宋体"/>
          <w:color w:val="auto"/>
          <w:szCs w:val="21"/>
          <w:highlight w:val="none"/>
        </w:rPr>
        <w:t>通知书。</w:t>
      </w:r>
      <w:bookmarkEnd w:id="280"/>
    </w:p>
    <w:p>
      <w:pPr>
        <w:pStyle w:val="4"/>
        <w:autoSpaceDE w:val="0"/>
        <w:rPr>
          <w:color w:val="auto"/>
          <w:sz w:val="44"/>
          <w:highlight w:val="none"/>
        </w:rPr>
      </w:pPr>
      <w:r>
        <w:rPr>
          <w:color w:val="auto"/>
          <w:sz w:val="44"/>
          <w:highlight w:val="none"/>
        </w:rPr>
        <w:br w:type="page"/>
      </w: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政府采购合同（样本）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r>
        <w:rPr>
          <w:rFonts w:hint="eastAsia" w:ascii="宋体" w:hAnsi="宋体"/>
          <w:color w:val="auto"/>
          <w:highlight w:val="none"/>
        </w:rPr>
        <w:t xml:space="preserve"> </w:t>
      </w:r>
    </w:p>
    <w:p>
      <w:pPr>
        <w:spacing w:line="360" w:lineRule="auto"/>
        <w:ind w:firstLine="420" w:firstLineChars="200"/>
        <w:jc w:val="left"/>
        <w:rPr>
          <w:rFonts w:ascii="宋体" w:hAnsi="宋体" w:cs="宋体"/>
          <w:color w:val="auto"/>
          <w:szCs w:val="21"/>
          <w:highlight w:val="none"/>
          <w:u w:val="single"/>
        </w:rPr>
      </w:pPr>
      <w:r>
        <w:rPr>
          <w:rFonts w:hint="eastAsia" w:ascii="宋体" w:hAnsi="宋体"/>
          <w:color w:val="auto"/>
          <w:highlight w:val="none"/>
        </w:rPr>
        <w:br w:type="page"/>
      </w:r>
      <w:bookmarkStart w:id="285" w:name="_Toc303110406"/>
      <w:bookmarkStart w:id="286" w:name="_Toc293341641"/>
    </w:p>
    <w:p>
      <w:pPr>
        <w:tabs>
          <w:tab w:val="center" w:pos="4252"/>
          <w:tab w:val="left" w:pos="5517"/>
        </w:tabs>
        <w:spacing w:line="360" w:lineRule="auto"/>
        <w:rPr>
          <w:rFonts w:ascii="宋体" w:hAnsi="宋体"/>
          <w:b/>
          <w:color w:val="auto"/>
          <w:sz w:val="28"/>
          <w:szCs w:val="28"/>
          <w:highlight w:val="none"/>
        </w:rPr>
      </w:pPr>
      <w:r>
        <w:rPr>
          <w:rFonts w:hint="eastAsia" w:ascii="宋体" w:hAnsi="宋体"/>
          <w:color w:val="auto"/>
          <w:szCs w:val="21"/>
          <w:highlight w:val="none"/>
        </w:rPr>
        <w:t>注：本合同条款仅供参考，甲乙双方可根据实际情况进行补充，但不得对采购文件作实质性修改。</w:t>
      </w:r>
    </w:p>
    <w:p>
      <w:pPr>
        <w:jc w:val="center"/>
        <w:rPr>
          <w:rFonts w:hint="eastAsia" w:asciiTheme="minorEastAsia" w:hAnsiTheme="minorEastAsia" w:eastAsiaTheme="minorEastAsia" w:cstheme="minorEastAsia"/>
          <w:b/>
          <w:color w:val="auto"/>
          <w:sz w:val="52"/>
          <w:szCs w:val="52"/>
          <w:highlight w:val="none"/>
        </w:rPr>
      </w:pPr>
    </w:p>
    <w:p>
      <w:pPr>
        <w:jc w:val="center"/>
        <w:rPr>
          <w:rFonts w:hint="eastAsia" w:asciiTheme="minorEastAsia" w:hAnsiTheme="minorEastAsia" w:eastAsiaTheme="minorEastAsia" w:cstheme="minorEastAsia"/>
          <w:b/>
          <w:color w:val="auto"/>
          <w:sz w:val="52"/>
          <w:szCs w:val="52"/>
          <w:highlight w:val="none"/>
        </w:rPr>
      </w:pPr>
      <w:r>
        <w:rPr>
          <w:rFonts w:hint="eastAsia" w:asciiTheme="minorEastAsia" w:hAnsiTheme="minorEastAsia" w:eastAsiaTheme="minorEastAsia" w:cstheme="minorEastAsia"/>
          <w:b/>
          <w:color w:val="auto"/>
          <w:sz w:val="52"/>
          <w:szCs w:val="52"/>
          <w:highlight w:val="none"/>
        </w:rPr>
        <w:t>采 购 合 同</w:t>
      </w:r>
    </w:p>
    <w:p>
      <w:pPr>
        <w:jc w:val="right"/>
        <w:rPr>
          <w:rFonts w:hint="eastAsia" w:asciiTheme="minorEastAsia" w:hAnsiTheme="minorEastAsia" w:eastAsiaTheme="minorEastAsia" w:cstheme="minorEastAsia"/>
          <w:color w:val="auto"/>
          <w:sz w:val="28"/>
          <w:highlight w:val="none"/>
        </w:rPr>
      </w:pPr>
    </w:p>
    <w:p>
      <w:pPr>
        <w:spacing w:line="360" w:lineRule="auto"/>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甲  方：</w:t>
      </w:r>
    </w:p>
    <w:p>
      <w:pPr>
        <w:spacing w:line="360" w:lineRule="auto"/>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乙  方：</w:t>
      </w: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根据《中华人民共和国采购法》、《中华人民共和国合同法》及</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日竞争性磋商文件（招标编号：</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，采购代理机构：</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）、投标文件的要求，经双方协商一致，签订本合同。具体条款如下：</w:t>
      </w:r>
    </w:p>
    <w:p>
      <w:pPr>
        <w:rPr>
          <w:rFonts w:hint="eastAsia" w:asciiTheme="minorEastAsia" w:hAnsiTheme="minorEastAsia" w:eastAsiaTheme="minorEastAsia" w:cstheme="minorEastAsia"/>
          <w:color w:val="auto"/>
          <w:highlight w:val="none"/>
        </w:rPr>
      </w:pP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 合同设备</w:t>
      </w:r>
    </w:p>
    <w:p>
      <w:pPr>
        <w:ind w:firstLine="480"/>
        <w:rPr>
          <w:rFonts w:hint="eastAsia" w:asciiTheme="minorEastAsia" w:hAnsiTheme="minorEastAsia" w:eastAsiaTheme="minorEastAsia" w:cstheme="minorEastAsia"/>
          <w:color w:val="auto"/>
          <w:highlight w:val="none"/>
        </w:rPr>
      </w:pP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乙方负责向甲方提供下表中所列</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采购项目和相关的安装调试服务。</w:t>
      </w:r>
    </w:p>
    <w:p>
      <w:pPr>
        <w:ind w:left="840"/>
        <w:rPr>
          <w:rFonts w:hint="eastAsia" w:asciiTheme="minorEastAsia" w:hAnsiTheme="minorEastAsia" w:eastAsiaTheme="minorEastAsia" w:cstheme="minorEastAsia"/>
          <w:color w:val="auto"/>
          <w:highlight w:val="none"/>
        </w:rPr>
      </w:pPr>
    </w:p>
    <w:tbl>
      <w:tblPr>
        <w:tblStyle w:val="89"/>
        <w:tblW w:w="9030"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260"/>
        <w:gridCol w:w="1260"/>
        <w:gridCol w:w="787"/>
        <w:gridCol w:w="788"/>
        <w:gridCol w:w="751"/>
        <w:gridCol w:w="1034"/>
        <w:gridCol w:w="735"/>
        <w:gridCol w:w="751"/>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ind w:left="-2" w:firstLine="2"/>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品名</w:t>
            </w:r>
          </w:p>
        </w:tc>
        <w:tc>
          <w:tcPr>
            <w:tcW w:w="1260"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规格型号</w:t>
            </w:r>
          </w:p>
        </w:tc>
        <w:tc>
          <w:tcPr>
            <w:tcW w:w="1260"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产地厂家</w:t>
            </w:r>
          </w:p>
        </w:tc>
        <w:tc>
          <w:tcPr>
            <w:tcW w:w="787"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单位</w:t>
            </w:r>
          </w:p>
        </w:tc>
        <w:tc>
          <w:tcPr>
            <w:tcW w:w="788"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数量</w:t>
            </w:r>
          </w:p>
        </w:tc>
        <w:tc>
          <w:tcPr>
            <w:tcW w:w="751"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单价</w:t>
            </w:r>
          </w:p>
        </w:tc>
        <w:tc>
          <w:tcPr>
            <w:tcW w:w="1034"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总价</w:t>
            </w:r>
          </w:p>
        </w:tc>
        <w:tc>
          <w:tcPr>
            <w:tcW w:w="735"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随机配件</w:t>
            </w:r>
          </w:p>
        </w:tc>
        <w:tc>
          <w:tcPr>
            <w:tcW w:w="751"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交货地点</w:t>
            </w:r>
          </w:p>
        </w:tc>
        <w:tc>
          <w:tcPr>
            <w:tcW w:w="824"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787" w:type="dxa"/>
          </w:tcPr>
          <w:p>
            <w:pPr>
              <w:rPr>
                <w:rFonts w:hint="eastAsia" w:asciiTheme="minorEastAsia" w:hAnsiTheme="minorEastAsia" w:eastAsiaTheme="minorEastAsia" w:cstheme="minorEastAsia"/>
                <w:color w:val="auto"/>
                <w:highlight w:val="none"/>
              </w:rPr>
            </w:pPr>
          </w:p>
        </w:tc>
        <w:tc>
          <w:tcPr>
            <w:tcW w:w="788"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1034" w:type="dxa"/>
          </w:tcPr>
          <w:p>
            <w:pPr>
              <w:rPr>
                <w:rFonts w:hint="eastAsia" w:asciiTheme="minorEastAsia" w:hAnsiTheme="minorEastAsia" w:eastAsiaTheme="minorEastAsia" w:cstheme="minorEastAsia"/>
                <w:color w:val="auto"/>
                <w:highlight w:val="none"/>
              </w:rPr>
            </w:pPr>
          </w:p>
        </w:tc>
        <w:tc>
          <w:tcPr>
            <w:tcW w:w="735"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824" w:type="dxa"/>
          </w:tcPr>
          <w:p>
            <w:pPr>
              <w:rPr>
                <w:rFonts w:hint="eastAsia"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787" w:type="dxa"/>
          </w:tcPr>
          <w:p>
            <w:pPr>
              <w:rPr>
                <w:rFonts w:hint="eastAsia" w:asciiTheme="minorEastAsia" w:hAnsiTheme="minorEastAsia" w:eastAsiaTheme="minorEastAsia" w:cstheme="minorEastAsia"/>
                <w:color w:val="auto"/>
                <w:highlight w:val="none"/>
              </w:rPr>
            </w:pPr>
          </w:p>
        </w:tc>
        <w:tc>
          <w:tcPr>
            <w:tcW w:w="788"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1034" w:type="dxa"/>
          </w:tcPr>
          <w:p>
            <w:pPr>
              <w:rPr>
                <w:rFonts w:hint="eastAsia" w:asciiTheme="minorEastAsia" w:hAnsiTheme="minorEastAsia" w:eastAsiaTheme="minorEastAsia" w:cstheme="minorEastAsia"/>
                <w:color w:val="auto"/>
                <w:highlight w:val="none"/>
              </w:rPr>
            </w:pPr>
          </w:p>
        </w:tc>
        <w:tc>
          <w:tcPr>
            <w:tcW w:w="735"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824" w:type="dxa"/>
          </w:tcPr>
          <w:p>
            <w:pPr>
              <w:rPr>
                <w:rFonts w:hint="eastAsia"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787" w:type="dxa"/>
          </w:tcPr>
          <w:p>
            <w:pPr>
              <w:rPr>
                <w:rFonts w:hint="eastAsia" w:asciiTheme="minorEastAsia" w:hAnsiTheme="minorEastAsia" w:eastAsiaTheme="minorEastAsia" w:cstheme="minorEastAsia"/>
                <w:color w:val="auto"/>
                <w:highlight w:val="none"/>
              </w:rPr>
            </w:pPr>
          </w:p>
        </w:tc>
        <w:tc>
          <w:tcPr>
            <w:tcW w:w="788"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1034" w:type="dxa"/>
          </w:tcPr>
          <w:p>
            <w:pPr>
              <w:rPr>
                <w:rFonts w:hint="eastAsia" w:asciiTheme="minorEastAsia" w:hAnsiTheme="minorEastAsia" w:eastAsiaTheme="minorEastAsia" w:cstheme="minorEastAsia"/>
                <w:color w:val="auto"/>
                <w:highlight w:val="none"/>
              </w:rPr>
            </w:pPr>
          </w:p>
        </w:tc>
        <w:tc>
          <w:tcPr>
            <w:tcW w:w="735"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824" w:type="dxa"/>
          </w:tcPr>
          <w:p>
            <w:pPr>
              <w:rPr>
                <w:rFonts w:hint="eastAsia"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787" w:type="dxa"/>
          </w:tcPr>
          <w:p>
            <w:pPr>
              <w:rPr>
                <w:rFonts w:hint="eastAsia" w:asciiTheme="minorEastAsia" w:hAnsiTheme="minorEastAsia" w:eastAsiaTheme="minorEastAsia" w:cstheme="minorEastAsia"/>
                <w:color w:val="auto"/>
                <w:highlight w:val="none"/>
              </w:rPr>
            </w:pPr>
          </w:p>
        </w:tc>
        <w:tc>
          <w:tcPr>
            <w:tcW w:w="788"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1034" w:type="dxa"/>
          </w:tcPr>
          <w:p>
            <w:pPr>
              <w:rPr>
                <w:rFonts w:hint="eastAsia" w:asciiTheme="minorEastAsia" w:hAnsiTheme="minorEastAsia" w:eastAsiaTheme="minorEastAsia" w:cstheme="minorEastAsia"/>
                <w:color w:val="auto"/>
                <w:highlight w:val="none"/>
              </w:rPr>
            </w:pPr>
          </w:p>
        </w:tc>
        <w:tc>
          <w:tcPr>
            <w:tcW w:w="735"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824" w:type="dxa"/>
          </w:tcPr>
          <w:p>
            <w:pPr>
              <w:rPr>
                <w:rFonts w:hint="eastAsia"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4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787" w:type="dxa"/>
          </w:tcPr>
          <w:p>
            <w:pPr>
              <w:rPr>
                <w:rFonts w:hint="eastAsia" w:asciiTheme="minorEastAsia" w:hAnsiTheme="minorEastAsia" w:eastAsiaTheme="minorEastAsia" w:cstheme="minorEastAsia"/>
                <w:color w:val="auto"/>
                <w:highlight w:val="none"/>
              </w:rPr>
            </w:pPr>
          </w:p>
        </w:tc>
        <w:tc>
          <w:tcPr>
            <w:tcW w:w="788"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1034" w:type="dxa"/>
          </w:tcPr>
          <w:p>
            <w:pPr>
              <w:rPr>
                <w:rFonts w:hint="eastAsia" w:asciiTheme="minorEastAsia" w:hAnsiTheme="minorEastAsia" w:eastAsiaTheme="minorEastAsia" w:cstheme="minorEastAsia"/>
                <w:color w:val="auto"/>
                <w:highlight w:val="none"/>
              </w:rPr>
            </w:pPr>
          </w:p>
        </w:tc>
        <w:tc>
          <w:tcPr>
            <w:tcW w:w="735"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824" w:type="dxa"/>
          </w:tcPr>
          <w:p>
            <w:pPr>
              <w:rPr>
                <w:rFonts w:hint="eastAsia" w:asciiTheme="minorEastAsia" w:hAnsiTheme="minorEastAsia" w:eastAsiaTheme="minorEastAsia" w:cstheme="minorEastAsia"/>
                <w:color w:val="auto"/>
                <w:highlight w:val="none"/>
              </w:rPr>
            </w:pPr>
          </w:p>
        </w:tc>
      </w:tr>
    </w:tbl>
    <w:p>
      <w:pPr>
        <w:ind w:firstLine="420" w:firstLineChars="200"/>
        <w:rPr>
          <w:rFonts w:hint="eastAsia" w:asciiTheme="minorEastAsia" w:hAnsiTheme="minorEastAsia" w:eastAsiaTheme="minorEastAsia" w:cstheme="minorEastAsia"/>
          <w:color w:val="auto"/>
          <w:highlight w:val="none"/>
        </w:rPr>
      </w:pP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 xml:space="preserve"> 2. 合同总价</w:t>
      </w:r>
    </w:p>
    <w:p>
      <w:pPr>
        <w:spacing w:line="360" w:lineRule="auto"/>
        <w:ind w:left="315" w:leftChars="15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总价为：</w:t>
      </w:r>
      <w:r>
        <w:rPr>
          <w:rFonts w:hint="eastAsia" w:asciiTheme="minorEastAsia" w:hAnsiTheme="minorEastAsia" w:eastAsiaTheme="minorEastAsia" w:cstheme="minorEastAsia"/>
          <w:color w:val="auto"/>
          <w:highlight w:val="none"/>
          <w:u w:val="single"/>
        </w:rPr>
        <w:t xml:space="preserve">           </w:t>
      </w:r>
      <w:r>
        <w:rPr>
          <w:rFonts w:hint="eastAsia" w:asciiTheme="minorEastAsia" w:hAnsiTheme="minorEastAsia" w:eastAsiaTheme="minorEastAsia" w:cstheme="minorEastAsia"/>
          <w:color w:val="auto"/>
          <w:highlight w:val="none"/>
        </w:rPr>
        <w:t>（大写） ，即RMB￥</w:t>
      </w:r>
      <w:r>
        <w:rPr>
          <w:rFonts w:hint="eastAsia" w:asciiTheme="minorEastAsia" w:hAnsiTheme="minorEastAsia" w:eastAsiaTheme="minorEastAsia" w:cstheme="minorEastAsia"/>
          <w:color w:val="auto"/>
          <w:highlight w:val="none"/>
          <w:u w:val="single"/>
        </w:rPr>
        <w:t xml:space="preserve">     </w:t>
      </w:r>
      <w:r>
        <w:rPr>
          <w:rFonts w:hint="eastAsia" w:asciiTheme="minorEastAsia" w:hAnsiTheme="minorEastAsia" w:eastAsiaTheme="minorEastAsia" w:cstheme="minorEastAsia"/>
          <w:color w:val="auto"/>
          <w:highlight w:val="none"/>
        </w:rPr>
        <w:t>元，该合同总金额是设计、设备制造、包装、仓储、运输、安装及验收合格之前及保修期与备品备件发生的所有含税费用。本合同执行期间合同总金额不变。</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3、结算方式</w:t>
      </w:r>
    </w:p>
    <w:p>
      <w:pPr>
        <w:snapToGrid w:val="0"/>
        <w:spacing w:line="36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3.1、支付方式：</w:t>
      </w:r>
    </w:p>
    <w:p>
      <w:pPr>
        <w:snapToGrid w:val="0"/>
        <w:spacing w:line="36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甲方按下述进度以转账方式支付相应款项。</w:t>
      </w:r>
    </w:p>
    <w:p>
      <w:pPr>
        <w:snapToGrid w:val="0"/>
        <w:spacing w:line="36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3.2、支付进度：</w:t>
      </w: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3.2.1付款采用</w:t>
      </w:r>
      <w:r>
        <w:rPr>
          <w:rFonts w:hint="eastAsia" w:asciiTheme="minorEastAsia" w:hAnsiTheme="minorEastAsia" w:eastAsiaTheme="minorEastAsia" w:cstheme="minorEastAsia"/>
          <w:color w:val="auto"/>
          <w:szCs w:val="21"/>
          <w:highlight w:val="none"/>
          <w:u w:val="single"/>
        </w:rPr>
        <w:t xml:space="preserve"> 分期付款 </w:t>
      </w:r>
      <w:r>
        <w:rPr>
          <w:rFonts w:hint="eastAsia" w:asciiTheme="minorEastAsia" w:hAnsiTheme="minorEastAsia" w:eastAsiaTheme="minorEastAsia" w:cstheme="minorEastAsia"/>
          <w:color w:val="auto"/>
          <w:szCs w:val="21"/>
          <w:highlight w:val="none"/>
        </w:rPr>
        <w:t>方式；</w:t>
      </w: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3.2.2具体付款方式：</w:t>
      </w:r>
    </w:p>
    <w:p>
      <w:pPr>
        <w:spacing w:line="360" w:lineRule="auto"/>
        <w:ind w:firstLine="420" w:firstLineChars="200"/>
        <w:rPr>
          <w:rFonts w:hint="eastAsia" w:asciiTheme="minorEastAsia" w:hAnsiTheme="minorEastAsia" w:eastAsiaTheme="minorEastAsia" w:cstheme="minorEastAsia"/>
          <w:color w:val="auto"/>
          <w:szCs w:val="21"/>
          <w:highlight w:val="none"/>
          <w:u w:val="none"/>
        </w:rPr>
      </w:pPr>
      <w:r>
        <w:rPr>
          <w:rFonts w:hint="eastAsia" w:asciiTheme="minorEastAsia" w:hAnsiTheme="minorEastAsia" w:eastAsiaTheme="minorEastAsia" w:cstheme="minorEastAsia"/>
          <w:color w:val="auto"/>
          <w:szCs w:val="21"/>
          <w:highlight w:val="none"/>
          <w:u w:val="none"/>
        </w:rPr>
        <w:t>3．2.2.1合同签订生效后，甲方支付乙方合同金额30%预付款</w:t>
      </w:r>
    </w:p>
    <w:p>
      <w:pPr>
        <w:spacing w:line="360" w:lineRule="auto"/>
        <w:ind w:firstLine="420" w:firstLineChars="200"/>
        <w:rPr>
          <w:rFonts w:hint="eastAsia" w:asciiTheme="minorEastAsia" w:hAnsiTheme="minorEastAsia" w:eastAsiaTheme="minorEastAsia" w:cstheme="minorEastAsia"/>
          <w:color w:val="auto"/>
          <w:szCs w:val="21"/>
          <w:highlight w:val="none"/>
          <w:u w:val="none"/>
        </w:rPr>
      </w:pPr>
      <w:r>
        <w:rPr>
          <w:rFonts w:hint="eastAsia" w:asciiTheme="minorEastAsia" w:hAnsiTheme="minorEastAsia" w:eastAsiaTheme="minorEastAsia" w:cstheme="minorEastAsia"/>
          <w:color w:val="auto"/>
          <w:szCs w:val="21"/>
          <w:highlight w:val="none"/>
          <w:u w:val="none"/>
        </w:rPr>
        <w:t>3.2.2.2</w:t>
      </w:r>
      <w:r>
        <w:rPr>
          <w:rFonts w:hint="eastAsia" w:cs="Calibri"/>
          <w:color w:val="auto"/>
          <w:szCs w:val="21"/>
          <w:highlight w:val="none"/>
          <w:u w:val="none"/>
          <w:lang w:val="en-US" w:eastAsia="zh-CN"/>
        </w:rPr>
        <w:t>所有货物到达安装现场</w:t>
      </w:r>
      <w:r>
        <w:rPr>
          <w:rFonts w:hint="eastAsia" w:ascii="宋体" w:hAnsi="宋体"/>
          <w:color w:val="auto"/>
          <w:szCs w:val="21"/>
          <w:highlight w:val="none"/>
          <w:u w:val="none"/>
        </w:rPr>
        <w:t>并经</w:t>
      </w:r>
      <w:r>
        <w:rPr>
          <w:rFonts w:hint="eastAsia" w:ascii="宋体" w:hAnsi="宋体"/>
          <w:color w:val="auto"/>
          <w:szCs w:val="21"/>
          <w:highlight w:val="none"/>
          <w:u w:val="none"/>
          <w:lang w:val="en-US" w:eastAsia="zh-CN"/>
        </w:rPr>
        <w:t>甲方</w:t>
      </w:r>
      <w:r>
        <w:rPr>
          <w:rFonts w:hint="eastAsia" w:ascii="宋体" w:hAnsi="宋体"/>
          <w:color w:val="auto"/>
          <w:szCs w:val="21"/>
          <w:highlight w:val="none"/>
          <w:u w:val="none"/>
        </w:rPr>
        <w:t>确认</w:t>
      </w:r>
      <w:r>
        <w:rPr>
          <w:rFonts w:hint="eastAsia" w:ascii="宋体" w:hAnsi="宋体"/>
          <w:color w:val="auto"/>
          <w:szCs w:val="21"/>
          <w:highlight w:val="none"/>
          <w:u w:val="none"/>
          <w:lang w:val="en-US" w:eastAsia="zh-CN"/>
        </w:rPr>
        <w:t>后</w:t>
      </w:r>
      <w:r>
        <w:rPr>
          <w:rFonts w:hint="eastAsia" w:ascii="宋体" w:hAnsi="宋体"/>
          <w:color w:val="auto"/>
          <w:szCs w:val="21"/>
          <w:highlight w:val="none"/>
          <w:u w:val="none"/>
        </w:rPr>
        <w:t>，</w:t>
      </w:r>
      <w:r>
        <w:rPr>
          <w:rFonts w:hint="eastAsia" w:ascii="宋体" w:hAnsi="宋体"/>
          <w:color w:val="auto"/>
          <w:szCs w:val="21"/>
          <w:highlight w:val="none"/>
          <w:u w:val="none"/>
          <w:lang w:val="en-US" w:eastAsia="zh-CN"/>
        </w:rPr>
        <w:t>甲方</w:t>
      </w:r>
      <w:r>
        <w:rPr>
          <w:rFonts w:hint="eastAsia" w:ascii="宋体" w:hAnsi="宋体"/>
          <w:color w:val="auto"/>
          <w:szCs w:val="21"/>
          <w:highlight w:val="none"/>
          <w:u w:val="none"/>
        </w:rPr>
        <w:t>按合同金额向</w:t>
      </w:r>
      <w:r>
        <w:rPr>
          <w:rFonts w:hint="eastAsia" w:ascii="宋体" w:hAnsi="宋体"/>
          <w:color w:val="auto"/>
          <w:szCs w:val="21"/>
          <w:highlight w:val="none"/>
          <w:u w:val="none"/>
          <w:lang w:val="en-US" w:eastAsia="zh-CN"/>
        </w:rPr>
        <w:t>乙方</w:t>
      </w:r>
      <w:r>
        <w:rPr>
          <w:rFonts w:hint="eastAsia" w:ascii="宋体" w:hAnsi="宋体"/>
          <w:color w:val="auto"/>
          <w:szCs w:val="21"/>
          <w:highlight w:val="none"/>
          <w:u w:val="none"/>
        </w:rPr>
        <w:t>支付至</w:t>
      </w:r>
      <w:r>
        <w:rPr>
          <w:rFonts w:hint="eastAsia" w:ascii="宋体" w:hAnsi="宋体"/>
          <w:color w:val="auto"/>
          <w:szCs w:val="21"/>
          <w:highlight w:val="none"/>
          <w:u w:val="none"/>
          <w:lang w:val="en-US" w:eastAsia="zh-CN"/>
        </w:rPr>
        <w:t>8</w:t>
      </w:r>
      <w:r>
        <w:rPr>
          <w:rFonts w:hint="eastAsia" w:ascii="宋体" w:hAnsi="宋体"/>
          <w:color w:val="auto"/>
          <w:szCs w:val="21"/>
          <w:highlight w:val="none"/>
          <w:u w:val="none"/>
        </w:rPr>
        <w:t>0%的款项；</w:t>
      </w:r>
    </w:p>
    <w:p>
      <w:pPr>
        <w:spacing w:line="360" w:lineRule="auto"/>
        <w:ind w:firstLine="420" w:firstLineChars="200"/>
        <w:rPr>
          <w:rFonts w:hint="eastAsia" w:asciiTheme="minorEastAsia" w:hAnsiTheme="minorEastAsia" w:eastAsiaTheme="minorEastAsia" w:cstheme="minorEastAsia"/>
          <w:color w:val="auto"/>
          <w:szCs w:val="21"/>
          <w:highlight w:val="none"/>
          <w:u w:val="none"/>
        </w:rPr>
      </w:pPr>
      <w:r>
        <w:rPr>
          <w:rFonts w:hint="eastAsia" w:asciiTheme="minorEastAsia" w:hAnsiTheme="minorEastAsia" w:eastAsiaTheme="minorEastAsia" w:cstheme="minorEastAsia"/>
          <w:color w:val="auto"/>
          <w:szCs w:val="21"/>
          <w:highlight w:val="none"/>
          <w:u w:val="none"/>
        </w:rPr>
        <w:t>3.2.2.</w:t>
      </w:r>
      <w:r>
        <w:rPr>
          <w:rFonts w:hint="eastAsia" w:asciiTheme="minorEastAsia" w:hAnsiTheme="minorEastAsia" w:eastAsiaTheme="minorEastAsia" w:cstheme="minorEastAsia"/>
          <w:color w:val="auto"/>
          <w:szCs w:val="21"/>
          <w:highlight w:val="none"/>
          <w:u w:val="none"/>
          <w:lang w:val="en-US" w:eastAsia="zh-CN"/>
        </w:rPr>
        <w:t>3</w:t>
      </w:r>
      <w:r>
        <w:rPr>
          <w:rFonts w:hint="eastAsia" w:ascii="宋体" w:hAnsi="宋体" w:cs="宋体"/>
          <w:color w:val="auto"/>
          <w:szCs w:val="21"/>
          <w:highlight w:val="none"/>
          <w:u w:val="none"/>
        </w:rPr>
        <w:t>项目完成</w:t>
      </w:r>
      <w:r>
        <w:rPr>
          <w:rFonts w:hint="eastAsia" w:ascii="宋体" w:hAnsi="宋体" w:cs="宋体"/>
          <w:color w:val="auto"/>
          <w:szCs w:val="21"/>
          <w:highlight w:val="none"/>
          <w:u w:val="none"/>
          <w:lang w:val="en-US" w:eastAsia="zh-CN"/>
        </w:rPr>
        <w:t>并经</w:t>
      </w:r>
      <w:r>
        <w:rPr>
          <w:rFonts w:hint="eastAsia" w:asciiTheme="minorEastAsia" w:hAnsiTheme="minorEastAsia" w:eastAsiaTheme="minorEastAsia" w:cstheme="minorEastAsia"/>
          <w:color w:val="auto"/>
          <w:szCs w:val="21"/>
          <w:highlight w:val="none"/>
          <w:u w:val="none"/>
        </w:rPr>
        <w:t>甲方及上级主管部门</w:t>
      </w:r>
      <w:r>
        <w:rPr>
          <w:rFonts w:hint="eastAsia" w:ascii="宋体" w:hAnsi="宋体" w:cs="宋体"/>
          <w:color w:val="auto"/>
          <w:szCs w:val="21"/>
          <w:highlight w:val="none"/>
          <w:u w:val="none"/>
          <w:lang w:val="en-US" w:eastAsia="zh-CN"/>
        </w:rPr>
        <w:t>验收合格等</w:t>
      </w:r>
      <w:r>
        <w:rPr>
          <w:rFonts w:hint="eastAsia" w:ascii="宋体" w:hAnsi="宋体" w:cs="宋体"/>
          <w:color w:val="auto"/>
          <w:szCs w:val="21"/>
          <w:highlight w:val="none"/>
          <w:u w:val="none"/>
        </w:rPr>
        <w:t>手续</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甲方自收到发票</w:t>
      </w:r>
      <w:r>
        <w:rPr>
          <w:rFonts w:hint="eastAsia" w:ascii="宋体" w:hAnsi="宋体" w:cs="宋体"/>
          <w:color w:val="auto"/>
          <w:szCs w:val="21"/>
          <w:highlight w:val="none"/>
          <w:u w:val="none"/>
        </w:rPr>
        <w:t>后30日内将资金支付到</w:t>
      </w:r>
      <w:r>
        <w:rPr>
          <w:rFonts w:hint="eastAsia" w:ascii="宋体" w:hAnsi="宋体" w:cs="宋体"/>
          <w:color w:val="auto"/>
          <w:szCs w:val="21"/>
          <w:highlight w:val="none"/>
          <w:u w:val="none"/>
          <w:lang w:val="en-US" w:eastAsia="zh-CN"/>
        </w:rPr>
        <w:t>乙方</w:t>
      </w:r>
      <w:r>
        <w:rPr>
          <w:rFonts w:hint="eastAsia" w:ascii="宋体" w:hAnsi="宋体" w:cs="宋体"/>
          <w:color w:val="auto"/>
          <w:szCs w:val="21"/>
          <w:highlight w:val="none"/>
          <w:u w:val="none"/>
        </w:rPr>
        <w:t>账户，支付至结算金额的95%，余下5%作为本项目质保金，质保期到期后无责免息支付给</w:t>
      </w:r>
      <w:r>
        <w:rPr>
          <w:rFonts w:hint="eastAsia" w:ascii="宋体" w:hAnsi="宋体" w:cs="宋体"/>
          <w:color w:val="auto"/>
          <w:szCs w:val="21"/>
          <w:highlight w:val="none"/>
          <w:u w:val="none"/>
          <w:lang w:eastAsia="zh-CN"/>
        </w:rPr>
        <w:t>乙方</w:t>
      </w:r>
      <w:r>
        <w:rPr>
          <w:rFonts w:hint="eastAsia" w:ascii="宋体" w:hAnsi="宋体" w:cs="宋体"/>
          <w:color w:val="auto"/>
          <w:szCs w:val="21"/>
          <w:highlight w:val="none"/>
          <w:u w:val="none"/>
        </w:rPr>
        <w:t>。若</w:t>
      </w:r>
      <w:r>
        <w:rPr>
          <w:rFonts w:hint="eastAsia" w:ascii="宋体" w:hAnsi="宋体" w:cs="宋体"/>
          <w:color w:val="auto"/>
          <w:szCs w:val="21"/>
          <w:highlight w:val="none"/>
          <w:u w:val="none"/>
          <w:lang w:eastAsia="zh-CN"/>
        </w:rPr>
        <w:t>乙方</w:t>
      </w:r>
      <w:r>
        <w:rPr>
          <w:rFonts w:hint="eastAsia" w:ascii="宋体" w:hAnsi="宋体" w:cs="宋体"/>
          <w:color w:val="auto"/>
          <w:szCs w:val="21"/>
          <w:highlight w:val="none"/>
          <w:u w:val="none"/>
        </w:rPr>
        <w:t>在质量保证期内未完全履行缺陷保修义务的，</w:t>
      </w:r>
      <w:r>
        <w:rPr>
          <w:rFonts w:hint="eastAsia" w:ascii="宋体" w:hAnsi="宋体" w:cs="宋体"/>
          <w:color w:val="auto"/>
          <w:szCs w:val="21"/>
          <w:highlight w:val="none"/>
          <w:u w:val="none"/>
          <w:lang w:eastAsia="zh-CN"/>
        </w:rPr>
        <w:t>甲方</w:t>
      </w:r>
      <w:r>
        <w:rPr>
          <w:rFonts w:hint="eastAsia" w:ascii="宋体" w:hAnsi="宋体" w:cs="宋体"/>
          <w:color w:val="auto"/>
          <w:szCs w:val="21"/>
          <w:highlight w:val="none"/>
          <w:u w:val="none"/>
        </w:rPr>
        <w:t>有权扣除质量保证金，并保留进一步索赔的权利。</w:t>
      </w:r>
    </w:p>
    <w:p>
      <w:pPr>
        <w:spacing w:line="360" w:lineRule="auto"/>
        <w:ind w:left="420" w:hanging="420" w:hangingChars="200"/>
        <w:rPr>
          <w:rFonts w:hint="eastAsia"/>
          <w:color w:val="auto"/>
          <w:highlight w:val="none"/>
        </w:rPr>
      </w:pPr>
      <w:r>
        <w:rPr>
          <w:rFonts w:hint="eastAsia" w:asciiTheme="minorEastAsia" w:hAnsiTheme="minorEastAsia" w:eastAsiaTheme="minorEastAsia" w:cstheme="minorEastAsia"/>
          <w:color w:val="auto"/>
          <w:szCs w:val="21"/>
          <w:highlight w:val="none"/>
        </w:rPr>
        <w:t>3.3乙方向甲方申请支付货款时需提供：（1）合同；（2）乙方开具正式全额发票；（3）验收调试报告加盖甲方公章；（4）中标</w:t>
      </w:r>
      <w:r>
        <w:rPr>
          <w:rFonts w:hint="eastAsia" w:asciiTheme="minorEastAsia" w:hAnsiTheme="minorEastAsia" w:eastAsia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lang w:val="en-US" w:eastAsia="zh-CN"/>
        </w:rPr>
        <w:t>成交</w:t>
      </w:r>
      <w:r>
        <w:rPr>
          <w:rFonts w:hint="eastAsia" w:asciiTheme="minorEastAsia" w:hAnsiTheme="minorEastAsia" w:eastAsia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rPr>
        <w:t>通知书。</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4. 合同组成</w:t>
      </w:r>
    </w:p>
    <w:p>
      <w:pPr>
        <w:spacing w:line="360" w:lineRule="auto"/>
        <w:ind w:left="420" w:left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详细价格、技术说明及其它有关合同设备的特定信息由合同附件说明。所有附件及本项目的招投标文件、会议纪要、协议等均为本合同不可分割之一部分。</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5. 技术要求</w:t>
      </w:r>
    </w:p>
    <w:p>
      <w:pPr>
        <w:spacing w:line="360" w:lineRule="auto"/>
        <w:ind w:left="315" w:leftChars="15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乙方所提供设备，必须符合国家有关规范和环保要求及甲方的技术要求，并提供设备的厂试测验报告。</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6、 设备包装、交货、安装、调试及验收</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6.1  合同设备的包装：</w:t>
      </w:r>
    </w:p>
    <w:p>
      <w:pPr>
        <w:spacing w:line="360" w:lineRule="auto"/>
        <w:ind w:left="630" w:leftChars="300" w:firstLine="2"/>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设备的包装均应有良好的防湿、防锈、防潮、防雨、防腐及防碰撞的措施。凡由于包装不良造成的损失和由此产生的费用均由乙方承担。</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6.2  设备的交货：</w:t>
      </w:r>
    </w:p>
    <w:p>
      <w:pPr>
        <w:numPr>
          <w:ilvl w:val="0"/>
          <w:numId w:val="7"/>
        </w:numPr>
        <w:tabs>
          <w:tab w:val="left" w:pos="945"/>
          <w:tab w:val="clear" w:pos="1352"/>
        </w:tabs>
        <w:spacing w:line="360" w:lineRule="auto"/>
        <w:ind w:left="94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乙方交付使用时间：</w:t>
      </w:r>
      <w:r>
        <w:rPr>
          <w:rFonts w:hint="eastAsia" w:asciiTheme="minorEastAsia" w:hAnsiTheme="minorEastAsia" w:eastAsiaTheme="minorEastAsia" w:cstheme="minorEastAsia"/>
          <w:color w:val="auto"/>
          <w:szCs w:val="21"/>
          <w:highlight w:val="none"/>
          <w:lang w:eastAsia="zh-CN"/>
        </w:rPr>
        <w:t>成交人</w:t>
      </w:r>
      <w:r>
        <w:rPr>
          <w:rFonts w:hint="eastAsia" w:asciiTheme="minorEastAsia" w:hAnsiTheme="minorEastAsia" w:eastAsiaTheme="minorEastAsia" w:cstheme="minorEastAsia"/>
          <w:color w:val="auto"/>
          <w:szCs w:val="21"/>
          <w:highlight w:val="none"/>
        </w:rPr>
        <w:t>签订合同后起30天内完成全部货物的安装、调试和验收。</w:t>
      </w:r>
    </w:p>
    <w:p>
      <w:pPr>
        <w:numPr>
          <w:ilvl w:val="0"/>
          <w:numId w:val="7"/>
        </w:numPr>
        <w:tabs>
          <w:tab w:val="left" w:pos="945"/>
          <w:tab w:val="clear" w:pos="1352"/>
        </w:tabs>
        <w:spacing w:line="360" w:lineRule="auto"/>
        <w:ind w:hanging="827"/>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乙方交货地点：广州市内用户指定地点。</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6.3 合同设备的安装调试：</w:t>
      </w:r>
    </w:p>
    <w:p>
      <w:pPr>
        <w:numPr>
          <w:ilvl w:val="0"/>
          <w:numId w:val="8"/>
        </w:numPr>
        <w:tabs>
          <w:tab w:val="left" w:pos="945"/>
          <w:tab w:val="clear" w:pos="1215"/>
        </w:tabs>
        <w:spacing w:line="360" w:lineRule="auto"/>
        <w:ind w:hanging="69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乙方负责合同项下的安装调试，一切费用由乙方负责。</w:t>
      </w:r>
    </w:p>
    <w:p>
      <w:pPr>
        <w:numPr>
          <w:ilvl w:val="0"/>
          <w:numId w:val="8"/>
        </w:numPr>
        <w:tabs>
          <w:tab w:val="left" w:pos="945"/>
          <w:tab w:val="clear" w:pos="1215"/>
        </w:tabs>
        <w:spacing w:line="360" w:lineRule="auto"/>
        <w:ind w:hanging="69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乙方安装时须对各安装场地内的其它设备、设施有良好保护措施。</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6.4 设备的验收：</w:t>
      </w:r>
    </w:p>
    <w:p>
      <w:pPr>
        <w:numPr>
          <w:ilvl w:val="0"/>
          <w:numId w:val="9"/>
        </w:numPr>
        <w:tabs>
          <w:tab w:val="left" w:pos="945"/>
          <w:tab w:val="clear" w:pos="1215"/>
        </w:tabs>
        <w:spacing w:line="360" w:lineRule="auto"/>
        <w:ind w:left="945" w:right="-420" w:right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合同设备安装调试完成正常工作15个工作日，验收应在甲乙双方共同参加下进行。</w:t>
      </w:r>
    </w:p>
    <w:p>
      <w:pPr>
        <w:numPr>
          <w:ilvl w:val="0"/>
          <w:numId w:val="9"/>
        </w:numPr>
        <w:tabs>
          <w:tab w:val="left" w:pos="945"/>
          <w:tab w:val="clear" w:pos="1215"/>
        </w:tabs>
        <w:spacing w:line="360" w:lineRule="auto"/>
        <w:ind w:left="945" w:right="-420" w:right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验收按国家有关的规定、规范进行。验收时如发现所交付的设备有短装、次品、损坏或其它不符合本合同规定之情形者，甲方应做出详尽的现场记录，或由甲乙双方签署备忘录。此现场记录或备忘录可用作补充、缺失和更换损坏部件的有效证据。由此产生的有关费用由乙方承担。</w:t>
      </w:r>
    </w:p>
    <w:p>
      <w:pPr>
        <w:numPr>
          <w:ilvl w:val="0"/>
          <w:numId w:val="9"/>
        </w:numPr>
        <w:tabs>
          <w:tab w:val="left" w:pos="945"/>
          <w:tab w:val="clear" w:pos="1215"/>
        </w:tabs>
        <w:spacing w:line="360" w:lineRule="auto"/>
        <w:ind w:left="94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如果合同设备运输和安装调试过程中因事故造成货物短缺、损坏，乙方应及时安排换装，以保证合同设备安装调试的成功完成。换货的相关费用由乙方承担。</w:t>
      </w:r>
    </w:p>
    <w:p>
      <w:pPr>
        <w:numPr>
          <w:ilvl w:val="0"/>
          <w:numId w:val="9"/>
        </w:numPr>
        <w:tabs>
          <w:tab w:val="left" w:pos="945"/>
          <w:tab w:val="clear" w:pos="1215"/>
        </w:tabs>
        <w:spacing w:line="360" w:lineRule="auto"/>
        <w:ind w:left="94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国内产品或合资厂的产品必须具备出厂合格证。</w:t>
      </w:r>
    </w:p>
    <w:p>
      <w:pPr>
        <w:numPr>
          <w:ilvl w:val="0"/>
          <w:numId w:val="9"/>
        </w:numPr>
        <w:tabs>
          <w:tab w:val="left" w:pos="945"/>
          <w:tab w:val="clear" w:pos="1215"/>
        </w:tabs>
        <w:spacing w:line="360" w:lineRule="auto"/>
        <w:ind w:left="94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进口产品必须具备省级（或相当于省级）商检部门的检验证明。</w:t>
      </w:r>
    </w:p>
    <w:p>
      <w:pPr>
        <w:spacing w:line="360" w:lineRule="auto"/>
        <w:ind w:left="458" w:hanging="457" w:hangingChars="218"/>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6.5  乙方保证合同项下提供的设备不侵犯任何第三方的专利、商标或版权。否则，乙方须承担对第三方的专利或版权的侵权责任并承担因此而发生的所有费用。</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7. 质量保证及售后服务</w:t>
      </w:r>
    </w:p>
    <w:p>
      <w:pPr>
        <w:numPr>
          <w:ilvl w:val="0"/>
          <w:numId w:val="10"/>
        </w:numPr>
        <w:tabs>
          <w:tab w:val="left" w:pos="540"/>
          <w:tab w:val="clear" w:pos="720"/>
        </w:tabs>
        <w:spacing w:line="360" w:lineRule="auto"/>
        <w:ind w:left="540" w:hanging="54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乙方保证合同设备是全新、未曾使用过的，其质量、规格及技术特征符合合同附件的要求。保证备品配件在同机型设备停产后3年以上的供应。</w:t>
      </w:r>
    </w:p>
    <w:p>
      <w:pPr>
        <w:numPr>
          <w:ilvl w:val="0"/>
          <w:numId w:val="10"/>
        </w:numPr>
        <w:tabs>
          <w:tab w:val="left" w:pos="540"/>
          <w:tab w:val="left" w:pos="1320"/>
          <w:tab w:val="clear" w:pos="720"/>
        </w:tabs>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合同设备保质保用期为设备最终验收合格并经本项目有关部门验收签字之日起不少于12个月。</w:t>
      </w:r>
    </w:p>
    <w:p>
      <w:pPr>
        <w:numPr>
          <w:ilvl w:val="0"/>
          <w:numId w:val="10"/>
        </w:numPr>
        <w:tabs>
          <w:tab w:val="left" w:pos="540"/>
          <w:tab w:val="clear" w:pos="720"/>
        </w:tabs>
        <w:spacing w:line="360" w:lineRule="auto"/>
        <w:ind w:left="540" w:hanging="54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保质保用期内出现产品质量及安装问题，由乙方负责包修、包换或包退，并承担因此而产生的一切费用。乙方应在收到甲方通知后24小时内派员到现场免费维修(技术要求另有规定除外)。</w:t>
      </w:r>
    </w:p>
    <w:p>
      <w:pPr>
        <w:numPr>
          <w:ilvl w:val="0"/>
          <w:numId w:val="10"/>
        </w:numPr>
        <w:tabs>
          <w:tab w:val="left" w:pos="540"/>
          <w:tab w:val="clear" w:pos="720"/>
        </w:tabs>
        <w:spacing w:line="360" w:lineRule="auto"/>
        <w:ind w:left="540" w:hanging="54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因设备的质量问题而发生争议，由广东省或广州市质检部门进行质量鉴定。设备符合质量标准的，鉴定费用由甲方承担；设备不符合质量标准的，鉴定费用由乙方承担。</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8、 技术服务</w:t>
      </w:r>
    </w:p>
    <w:p>
      <w:pPr>
        <w:numPr>
          <w:ilvl w:val="0"/>
          <w:numId w:val="11"/>
        </w:numPr>
        <w:tabs>
          <w:tab w:val="left" w:pos="540"/>
          <w:tab w:val="clear" w:pos="720"/>
        </w:tabs>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乙方应派员到甲方指定地点配合工作。</w:t>
      </w:r>
    </w:p>
    <w:p>
      <w:pPr>
        <w:numPr>
          <w:ilvl w:val="0"/>
          <w:numId w:val="11"/>
        </w:numPr>
        <w:tabs>
          <w:tab w:val="left" w:pos="540"/>
          <w:tab w:val="clear" w:pos="720"/>
        </w:tabs>
        <w:spacing w:line="360" w:lineRule="auto"/>
        <w:ind w:left="540" w:hanging="54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乙方按甲方提供的合同执行进度计划，再配合甲方及有关单位，以此做好合同执行进度上的配合工作。</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9、 不可抗力</w:t>
      </w:r>
    </w:p>
    <w:p>
      <w:pPr>
        <w:spacing w:line="360" w:lineRule="auto"/>
        <w:ind w:right="-420" w:right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9.1 不可抗力指战争、严重火灾、洪水、台风、地震等或其它双方认定的不可抗力事件。</w:t>
      </w:r>
    </w:p>
    <w:p>
      <w:pPr>
        <w:spacing w:line="360" w:lineRule="auto"/>
        <w:ind w:left="420" w:right="-200" w:hanging="420" w:hanging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9.2 签约双方中任何一方由于不可抗力影响合同执行时，发生不可抗力一方应尽快将事故通知另一方。 在此情况下，乙方仍然有责任采取必要的措施加速供货，双方应通过友好协商尽快解决本合同的执行问题。</w:t>
      </w:r>
    </w:p>
    <w:p>
      <w:pPr>
        <w:spacing w:line="360" w:lineRule="auto"/>
        <w:ind w:left="528" w:leftChars="-57" w:hanging="648" w:hangingChars="269"/>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10、 索赔</w:t>
      </w:r>
    </w:p>
    <w:p>
      <w:pPr>
        <w:spacing w:line="360" w:lineRule="auto"/>
        <w:ind w:left="444" w:leftChars="-57" w:hanging="564" w:hangingChars="269"/>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color w:val="auto"/>
          <w:szCs w:val="21"/>
          <w:highlight w:val="none"/>
        </w:rPr>
        <w:t>10.1  如有异议，甲方有权根据有关政府部门的检验结果向乙方提出索赔。</w:t>
      </w:r>
    </w:p>
    <w:p>
      <w:pPr>
        <w:spacing w:line="360" w:lineRule="auto"/>
        <w:ind w:left="549" w:leftChars="-57" w:hanging="669" w:hangingChars="319"/>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color w:val="auto"/>
          <w:szCs w:val="21"/>
          <w:highlight w:val="none"/>
        </w:rPr>
        <w:t>10.2  在合同执行期间，如果乙方对甲方提出的索赔和差异负有责任，乙方应按照甲方同意的下列一种或多种方式解决索赔事宜：</w:t>
      </w:r>
    </w:p>
    <w:p>
      <w:pPr>
        <w:numPr>
          <w:ilvl w:val="0"/>
          <w:numId w:val="12"/>
        </w:numPr>
        <w:tabs>
          <w:tab w:val="clear" w:pos="1215"/>
        </w:tabs>
        <w:spacing w:line="360" w:lineRule="auto"/>
        <w:ind w:left="840" w:hanging="31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乙方同意退货，并按合同规定的同种货币将货款退还给甲方，并承担由此发生的一切损失和费用。</w:t>
      </w:r>
    </w:p>
    <w:p>
      <w:pPr>
        <w:numPr>
          <w:ilvl w:val="0"/>
          <w:numId w:val="12"/>
        </w:numPr>
        <w:tabs>
          <w:tab w:val="clear" w:pos="1215"/>
        </w:tabs>
        <w:spacing w:line="360" w:lineRule="auto"/>
        <w:ind w:left="840" w:hanging="31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根据货物低劣程度、损坏程度以及甲方所遭受损失的数额甲乙双方商定降低货物的价格。</w:t>
      </w:r>
    </w:p>
    <w:p>
      <w:pPr>
        <w:numPr>
          <w:ilvl w:val="0"/>
          <w:numId w:val="12"/>
        </w:numPr>
        <w:tabs>
          <w:tab w:val="clear" w:pos="1215"/>
        </w:tabs>
        <w:spacing w:line="360" w:lineRule="auto"/>
        <w:ind w:left="840" w:hanging="31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用符合规格、质量和性能要求的新零件、部件或货物来更换有缺陷的部分或修补缺陷的部分，乙方应承担一切费用和风险并负有甲方所发生的一切直接费用。同时，相应延长质量保证期。</w:t>
      </w:r>
    </w:p>
    <w:p>
      <w:pPr>
        <w:tabs>
          <w:tab w:val="left" w:pos="540"/>
        </w:tabs>
        <w:spacing w:line="360" w:lineRule="auto"/>
        <w:ind w:left="565" w:leftChars="-85" w:hanging="743" w:hangingChars="354"/>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10.3  如果在甲方发出索赔通知后</w:t>
      </w:r>
      <w:r>
        <w:rPr>
          <w:rFonts w:hint="eastAsia" w:asciiTheme="minorEastAsia" w:hAnsiTheme="minorEastAsia" w:eastAsiaTheme="minorEastAsia" w:cstheme="minorEastAsia"/>
          <w:color w:val="auto"/>
          <w:szCs w:val="21"/>
          <w:highlight w:val="none"/>
          <w:shd w:val="clear" w:color="auto" w:fill="FFFFFF"/>
        </w:rPr>
        <w:t>30</w:t>
      </w:r>
      <w:r>
        <w:rPr>
          <w:rFonts w:hint="eastAsia" w:asciiTheme="minorEastAsia" w:hAnsiTheme="minorEastAsia" w:eastAsiaTheme="minorEastAsia" w:cstheme="minorEastAsia"/>
          <w:color w:val="auto"/>
          <w:szCs w:val="21"/>
          <w:highlight w:val="none"/>
        </w:rPr>
        <w:t>天内，乙方未作答复，上述索赔应视为已被乙方接受。甲方将从合同款项中扣回索赔金额。如果这些金额不足以补偿索赔金额，甲方有权向乙方提出不足部分的补偿。</w:t>
      </w:r>
    </w:p>
    <w:p>
      <w:pPr>
        <w:spacing w:line="360" w:lineRule="auto"/>
        <w:ind w:left="528" w:leftChars="-57" w:hanging="648" w:hangingChars="269"/>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b/>
          <w:bCs/>
          <w:color w:val="auto"/>
          <w:sz w:val="24"/>
          <w:highlight w:val="none"/>
        </w:rPr>
        <w:t>11、 违约与处罚</w:t>
      </w:r>
    </w:p>
    <w:p>
      <w:pPr>
        <w:spacing w:line="360" w:lineRule="auto"/>
        <w:ind w:left="645" w:leftChars="-57" w:hanging="765" w:hangingChars="31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 w:val="24"/>
          <w:highlight w:val="none"/>
        </w:rPr>
        <w:t>11.1</w:t>
      </w:r>
      <w:r>
        <w:rPr>
          <w:rFonts w:hint="eastAsia" w:asciiTheme="minorEastAsia" w:hAnsiTheme="minorEastAsia" w:eastAsiaTheme="minorEastAsia" w:cstheme="minorEastAsia"/>
          <w:color w:val="auto"/>
          <w:szCs w:val="21"/>
          <w:highlight w:val="none"/>
        </w:rPr>
        <w:t xml:space="preserve">  甲方应依合同规定时间内，向乙方支付货款，每拖延一天乙方可向甲方加收合同金额的</w:t>
      </w:r>
      <w:r>
        <w:rPr>
          <w:rFonts w:hint="eastAsia" w:asciiTheme="minorEastAsia" w:hAnsiTheme="minorEastAsia" w:eastAsiaTheme="minorEastAsia" w:cstheme="minorEastAsia"/>
          <w:color w:val="auto"/>
          <w:szCs w:val="21"/>
          <w:highlight w:val="none"/>
          <w:shd w:val="clear" w:color="auto" w:fill="FFFFFF"/>
        </w:rPr>
        <w:t>3‰</w:t>
      </w:r>
      <w:r>
        <w:rPr>
          <w:rFonts w:hint="eastAsia" w:asciiTheme="minorEastAsia" w:hAnsiTheme="minorEastAsia" w:eastAsiaTheme="minorEastAsia" w:cstheme="minorEastAsia"/>
          <w:color w:val="auto"/>
          <w:szCs w:val="21"/>
          <w:highlight w:val="none"/>
        </w:rPr>
        <w:t>的违约金。</w:t>
      </w:r>
    </w:p>
    <w:p>
      <w:pPr>
        <w:spacing w:line="360" w:lineRule="auto"/>
        <w:ind w:left="444" w:leftChars="-57" w:hanging="564" w:hangingChars="26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11.2  乙方未能按时交货，每拖延一天，须向甲方支付合同金额的</w:t>
      </w:r>
      <w:r>
        <w:rPr>
          <w:rFonts w:hint="eastAsia" w:asciiTheme="minorEastAsia" w:hAnsiTheme="minorEastAsia" w:eastAsiaTheme="minorEastAsia" w:cstheme="minorEastAsia"/>
          <w:color w:val="auto"/>
          <w:szCs w:val="21"/>
          <w:highlight w:val="none"/>
          <w:shd w:val="clear" w:color="auto" w:fill="FFFFFF"/>
        </w:rPr>
        <w:t>3‰</w:t>
      </w:r>
      <w:r>
        <w:rPr>
          <w:rFonts w:hint="eastAsia" w:asciiTheme="minorEastAsia" w:hAnsiTheme="minorEastAsia" w:eastAsiaTheme="minorEastAsia" w:cstheme="minorEastAsia"/>
          <w:color w:val="auto"/>
          <w:szCs w:val="21"/>
          <w:highlight w:val="none"/>
        </w:rPr>
        <w:t>的违约金。</w:t>
      </w:r>
    </w:p>
    <w:p>
      <w:pPr>
        <w:spacing w:line="360" w:lineRule="auto"/>
        <w:ind w:left="549" w:leftChars="-57" w:hanging="669" w:hangingChars="31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11.3  乙方交付的货物不符合合同规定的，甲方有权拒收，乙方向甲方支付合同金额的</w:t>
      </w:r>
      <w:r>
        <w:rPr>
          <w:rFonts w:hint="eastAsia" w:asciiTheme="minorEastAsia" w:hAnsiTheme="minorEastAsia" w:eastAsiaTheme="minorEastAsia" w:cstheme="minorEastAsia"/>
          <w:color w:val="auto"/>
          <w:szCs w:val="21"/>
          <w:highlight w:val="none"/>
          <w:shd w:val="clear" w:color="auto" w:fill="FFFFFF"/>
        </w:rPr>
        <w:t>5%</w:t>
      </w:r>
      <w:r>
        <w:rPr>
          <w:rFonts w:hint="eastAsia" w:asciiTheme="minorEastAsia" w:hAnsiTheme="minorEastAsia" w:eastAsiaTheme="minorEastAsia" w:cstheme="minorEastAsia"/>
          <w:color w:val="auto"/>
          <w:szCs w:val="21"/>
          <w:highlight w:val="none"/>
        </w:rPr>
        <w:t>的违约金。</w:t>
      </w:r>
    </w:p>
    <w:p>
      <w:pPr>
        <w:spacing w:line="360" w:lineRule="auto"/>
        <w:ind w:left="444" w:leftChars="-57" w:hanging="564" w:hangingChars="26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11.4  甲方无正当理由拒收货物的，甲方向乙方支付合同金额的</w:t>
      </w:r>
      <w:r>
        <w:rPr>
          <w:rFonts w:hint="eastAsia" w:asciiTheme="minorEastAsia" w:hAnsiTheme="minorEastAsia" w:eastAsiaTheme="minorEastAsia" w:cstheme="minorEastAsia"/>
          <w:color w:val="auto"/>
          <w:szCs w:val="21"/>
          <w:highlight w:val="none"/>
          <w:shd w:val="clear" w:color="auto" w:fill="FFFFFF"/>
        </w:rPr>
        <w:t>5%</w:t>
      </w:r>
      <w:r>
        <w:rPr>
          <w:rFonts w:hint="eastAsia" w:asciiTheme="minorEastAsia" w:hAnsiTheme="minorEastAsia" w:eastAsiaTheme="minorEastAsia" w:cstheme="minorEastAsia"/>
          <w:color w:val="auto"/>
          <w:szCs w:val="21"/>
          <w:highlight w:val="none"/>
        </w:rPr>
        <w:t>的违约金。</w:t>
      </w:r>
    </w:p>
    <w:p>
      <w:pPr>
        <w:spacing w:line="360" w:lineRule="auto"/>
        <w:ind w:left="444" w:leftChars="-57" w:hanging="564" w:hangingChars="26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11.5  乙方未能交付货物，则向甲方支付合同金额的</w:t>
      </w:r>
      <w:r>
        <w:rPr>
          <w:rFonts w:hint="eastAsia" w:asciiTheme="minorEastAsia" w:hAnsiTheme="minorEastAsia" w:eastAsiaTheme="minorEastAsia" w:cstheme="minorEastAsia"/>
          <w:color w:val="auto"/>
          <w:szCs w:val="21"/>
          <w:highlight w:val="none"/>
          <w:shd w:val="clear" w:color="auto" w:fill="FFFFFF"/>
        </w:rPr>
        <w:t>7.5%</w:t>
      </w:r>
      <w:r>
        <w:rPr>
          <w:rFonts w:hint="eastAsia" w:asciiTheme="minorEastAsia" w:hAnsiTheme="minorEastAsia" w:eastAsiaTheme="minorEastAsia" w:cstheme="minorEastAsia"/>
          <w:color w:val="auto"/>
          <w:szCs w:val="21"/>
          <w:highlight w:val="none"/>
        </w:rPr>
        <w:t>的违约金。</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12、合同终止</w:t>
      </w:r>
    </w:p>
    <w:p>
      <w:pPr>
        <w:spacing w:line="360" w:lineRule="auto"/>
        <w:ind w:left="525" w:leftChars="250" w:firstLine="12" w:firstLineChars="6"/>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如果一方严重违反合同，并在收到对方违约通知书后在</w:t>
      </w:r>
      <w:r>
        <w:rPr>
          <w:rFonts w:hint="eastAsia" w:asciiTheme="minorEastAsia" w:hAnsiTheme="minorEastAsia" w:eastAsiaTheme="minorEastAsia" w:cstheme="minorEastAsia"/>
          <w:color w:val="auto"/>
          <w:szCs w:val="21"/>
          <w:highlight w:val="none"/>
          <w:shd w:val="clear" w:color="auto" w:fill="FFFFFF"/>
        </w:rPr>
        <w:t>30</w:t>
      </w:r>
      <w:r>
        <w:rPr>
          <w:rFonts w:hint="eastAsia" w:asciiTheme="minorEastAsia" w:hAnsiTheme="minorEastAsia" w:eastAsiaTheme="minorEastAsia" w:cstheme="minorEastAsia"/>
          <w:color w:val="auto"/>
          <w:szCs w:val="21"/>
          <w:highlight w:val="none"/>
        </w:rPr>
        <w:t>天内仍未能改正违约的，另一方可立即终止本合同。</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13、 法律诉讼</w:t>
      </w:r>
    </w:p>
    <w:p>
      <w:pPr>
        <w:spacing w:line="360" w:lineRule="auto"/>
        <w:ind w:left="630" w:leftChars="3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签约双方在履约中发生争执和分歧，双方应通过友好协商解决，若经协商不能达成协议时，则由合同签订地或招标人所在地人民法院提起诉讼。受理期间，双方应继续执行合同其余部分。</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14、 其它</w:t>
      </w:r>
    </w:p>
    <w:p>
      <w:pPr>
        <w:spacing w:line="360" w:lineRule="auto"/>
        <w:ind w:left="600" w:hanging="600" w:hangingChars="25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 w:val="24"/>
          <w:highlight w:val="none"/>
        </w:rPr>
        <w:t>14</w:t>
      </w:r>
      <w:r>
        <w:rPr>
          <w:rFonts w:hint="eastAsia" w:asciiTheme="minorEastAsia" w:hAnsiTheme="minorEastAsia" w:eastAsiaTheme="minorEastAsia" w:cstheme="minorEastAsia"/>
          <w:color w:val="auto"/>
          <w:szCs w:val="21"/>
          <w:highlight w:val="none"/>
        </w:rPr>
        <w:t>.1 本合同正本四份，具有同等法律效力，甲、乙双方各执一份，省教育装备中心一份，采购代理机构一份。合同自签字之日起即时生效。</w:t>
      </w:r>
    </w:p>
    <w:p>
      <w:pPr>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14.2 下列文件是本合同的一部分，并与本合同一起阅读和解释</w:t>
      </w:r>
    </w:p>
    <w:p>
      <w:pPr>
        <w:numPr>
          <w:ilvl w:val="0"/>
          <w:numId w:val="13"/>
        </w:numPr>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eastAsia="zh-CN"/>
        </w:rPr>
        <w:t>成交人</w:t>
      </w:r>
      <w:r>
        <w:rPr>
          <w:rFonts w:hint="eastAsia" w:asciiTheme="minorEastAsia" w:hAnsiTheme="minorEastAsia" w:eastAsiaTheme="minorEastAsia" w:cstheme="minorEastAsia"/>
          <w:color w:val="auto"/>
          <w:szCs w:val="21"/>
          <w:highlight w:val="none"/>
        </w:rPr>
        <w:t>提交的投标函和投标一览表；</w:t>
      </w:r>
    </w:p>
    <w:p>
      <w:pPr>
        <w:numPr>
          <w:ilvl w:val="0"/>
          <w:numId w:val="13"/>
        </w:numPr>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资格声明函；</w:t>
      </w:r>
    </w:p>
    <w:p>
      <w:pPr>
        <w:numPr>
          <w:ilvl w:val="0"/>
          <w:numId w:val="13"/>
        </w:numPr>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中标通知书；</w:t>
      </w:r>
    </w:p>
    <w:p>
      <w:pPr>
        <w:numPr>
          <w:ilvl w:val="0"/>
          <w:numId w:val="13"/>
        </w:numPr>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其他相关投标文件。 </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14.3  本合同未尽事宜，由双方协商处理。</w:t>
      </w:r>
    </w:p>
    <w:p>
      <w:pPr>
        <w:spacing w:line="360" w:lineRule="auto"/>
        <w:ind w:left="718" w:leftChars="342"/>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甲方：                                    乙方： </w:t>
      </w:r>
    </w:p>
    <w:p>
      <w:pPr>
        <w:spacing w:line="360" w:lineRule="auto"/>
        <w:ind w:left="718" w:leftChars="342"/>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签约代表：                                签约代表：</w:t>
      </w:r>
    </w:p>
    <w:p>
      <w:pPr>
        <w:spacing w:line="360" w:lineRule="auto"/>
        <w:ind w:left="718" w:leftChars="342"/>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地址：                                    地址：</w:t>
      </w:r>
    </w:p>
    <w:p>
      <w:pPr>
        <w:spacing w:line="360" w:lineRule="auto"/>
        <w:jc w:val="left"/>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                     日期：</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w:t>
      </w: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285"/>
    <w:bookmarkEnd w:id="286"/>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rPr>
          <w:rFonts w:ascii="宋体" w:hAnsi="宋体" w:cs="宋体"/>
          <w:color w:val="auto"/>
          <w:kern w:val="0"/>
          <w:szCs w:val="21"/>
          <w:highlight w:val="none"/>
        </w:rPr>
      </w:pPr>
      <w:r>
        <w:rPr>
          <w:rFonts w:ascii="宋体" w:hAnsi="宋体" w:cs="宋体"/>
          <w:color w:val="auto"/>
          <w:kern w:val="0"/>
          <w:szCs w:val="21"/>
          <w:highlight w:val="none"/>
        </w:rPr>
        <w:br w:type="page"/>
      </w:r>
    </w:p>
    <w:p>
      <w:pPr>
        <w:pStyle w:val="46"/>
        <w:rPr>
          <w:color w:val="auto"/>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46"/>
        <w:rPr>
          <w:rFonts w:ascii="宋体" w:hAnsi="宋体" w:cs="宋体"/>
          <w:color w:val="auto"/>
          <w:kern w:val="0"/>
          <w:szCs w:val="21"/>
          <w:highlight w:val="none"/>
        </w:rPr>
      </w:pPr>
    </w:p>
    <w:p>
      <w:pPr>
        <w:pStyle w:val="96"/>
        <w:rPr>
          <w:rFonts w:ascii="宋体" w:hAnsi="宋体" w:cs="宋体"/>
          <w:color w:val="auto"/>
          <w:kern w:val="0"/>
          <w:szCs w:val="21"/>
          <w:highlight w:val="none"/>
        </w:rPr>
      </w:pPr>
    </w:p>
    <w:p>
      <w:pPr>
        <w:pStyle w:val="96"/>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287" w:name="OLE_LINK4"/>
    </w:p>
    <w:p>
      <w:pPr>
        <w:pStyle w:val="4"/>
        <w:autoSpaceDE w:val="0"/>
        <w:rPr>
          <w:b w:val="0"/>
          <w:bCs w:val="0"/>
          <w:color w:val="auto"/>
          <w:sz w:val="44"/>
          <w:highlight w:val="none"/>
        </w:rPr>
      </w:pPr>
      <w:bookmarkStart w:id="288" w:name="_Toc475104528"/>
      <w:r>
        <w:rPr>
          <w:rFonts w:hint="eastAsia"/>
          <w:color w:val="auto"/>
          <w:sz w:val="44"/>
          <w:highlight w:val="none"/>
        </w:rPr>
        <w:t>第五章 评分体系与标准</w:t>
      </w:r>
      <w:bookmarkEnd w:id="288"/>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14"/>
        </w:numPr>
        <w:autoSpaceDE w:val="0"/>
        <w:autoSpaceDN w:val="0"/>
        <w:adjustRightInd w:val="0"/>
        <w:snapToGrid w:val="0"/>
        <w:spacing w:line="360" w:lineRule="auto"/>
        <w:outlineLvl w:val="0"/>
        <w:rPr>
          <w:rFonts w:ascii="宋体" w:hAnsi="宋体"/>
          <w:bCs/>
          <w:color w:val="auto"/>
          <w:szCs w:val="21"/>
          <w:highlight w:val="none"/>
        </w:rPr>
      </w:pPr>
      <w:bookmarkStart w:id="289" w:name="_Toc475104529"/>
      <w:bookmarkStart w:id="290" w:name="_Toc101843128"/>
      <w:bookmarkStart w:id="291" w:name="_Toc101951266"/>
      <w:bookmarkStart w:id="292" w:name="_Toc101775128"/>
      <w:bookmarkStart w:id="293" w:name="_Toc50276153"/>
      <w:bookmarkStart w:id="294" w:name="_Toc101771375"/>
      <w:bookmarkStart w:id="295" w:name="_Toc42394669"/>
      <w:bookmarkStart w:id="296" w:name="_Toc264203535"/>
      <w:bookmarkStart w:id="297" w:name="_Toc98579065"/>
      <w:bookmarkStart w:id="298" w:name="_Toc98579007"/>
      <w:bookmarkStart w:id="299" w:name="_Toc98580289"/>
      <w:bookmarkStart w:id="300" w:name="_Toc42394513"/>
      <w:bookmarkStart w:id="301" w:name="_Toc98579606"/>
      <w:bookmarkStart w:id="302" w:name="_Toc41723931"/>
      <w:bookmarkStart w:id="303" w:name="_Toc41884701"/>
      <w:bookmarkStart w:id="304" w:name="_Toc42313167"/>
      <w:bookmarkStart w:id="305" w:name="_Toc66722112"/>
      <w:bookmarkStart w:id="306" w:name="_Toc104902929"/>
      <w:bookmarkStart w:id="307" w:name="_Toc131904930"/>
      <w:bookmarkStart w:id="308" w:name="_Toc67911942"/>
      <w:bookmarkStart w:id="309" w:name="_Toc101553661"/>
      <w:bookmarkStart w:id="310" w:name="_Toc28489533"/>
      <w:bookmarkStart w:id="311" w:name="_Toc104874465"/>
      <w:bookmarkStart w:id="312" w:name="_Toc34535380"/>
      <w:bookmarkStart w:id="313" w:name="_Toc124646434"/>
      <w:bookmarkStart w:id="314" w:name="_Toc148420070"/>
      <w:bookmarkStart w:id="315" w:name="_Toc124570687"/>
      <w:bookmarkStart w:id="316" w:name="_Toc101553556"/>
      <w:bookmarkStart w:id="317" w:name="_Toc150050902"/>
      <w:bookmarkStart w:id="318" w:name="_Toc108243616"/>
      <w:bookmarkStart w:id="319" w:name="_Toc102211724"/>
      <w:bookmarkStart w:id="320" w:name="_Toc35834934"/>
      <w:bookmarkStart w:id="321" w:name="_Toc113277292"/>
      <w:bookmarkStart w:id="322" w:name="_Toc95304223"/>
      <w:bookmarkStart w:id="323" w:name="_Toc169334816"/>
      <w:bookmarkStart w:id="324" w:name="_Toc131922503"/>
      <w:bookmarkStart w:id="325" w:name="_Toc28142601"/>
      <w:bookmarkStart w:id="326" w:name="_Toc108001800"/>
      <w:bookmarkStart w:id="327" w:name="_Toc125770208"/>
      <w:bookmarkStart w:id="328" w:name="_Toc124401382"/>
      <w:bookmarkStart w:id="329" w:name="_Toc95249607"/>
      <w:bookmarkStart w:id="330" w:name="_Toc138506092"/>
      <w:bookmarkStart w:id="331" w:name="_Toc148060906"/>
      <w:bookmarkStart w:id="332" w:name="_Toc68620012"/>
      <w:bookmarkStart w:id="333" w:name="_Toc138568672"/>
      <w:r>
        <w:rPr>
          <w:rFonts w:hint="eastAsia" w:ascii="宋体" w:hAnsi="宋体"/>
          <w:bCs/>
          <w:color w:val="auto"/>
          <w:szCs w:val="21"/>
          <w:highlight w:val="none"/>
        </w:rPr>
        <w:t>本评审办法采用综合评分法。</w:t>
      </w:r>
      <w:bookmarkEnd w:id="289"/>
    </w:p>
    <w:p>
      <w:pPr>
        <w:numPr>
          <w:ilvl w:val="0"/>
          <w:numId w:val="14"/>
        </w:numPr>
        <w:autoSpaceDE w:val="0"/>
        <w:autoSpaceDN w:val="0"/>
        <w:adjustRightInd w:val="0"/>
        <w:snapToGrid w:val="0"/>
        <w:spacing w:line="360" w:lineRule="auto"/>
        <w:outlineLvl w:val="0"/>
        <w:rPr>
          <w:rFonts w:ascii="宋体" w:cs="宋体"/>
          <w:color w:val="auto"/>
          <w:highlight w:val="none"/>
        </w:rPr>
      </w:pPr>
      <w:bookmarkStart w:id="334" w:name="_Toc475104530"/>
      <w:bookmarkStart w:id="335"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w:t>
      </w:r>
      <w:r>
        <w:rPr>
          <w:rFonts w:hint="eastAsia" w:ascii="宋体" w:hAnsi="宋体" w:cs="宋体"/>
          <w:color w:val="auto"/>
          <w:szCs w:val="21"/>
          <w:highlight w:val="none"/>
          <w:lang w:eastAsia="zh-CN"/>
        </w:rPr>
        <w:t>竞争性磋商文件</w:t>
      </w:r>
      <w:r>
        <w:rPr>
          <w:rFonts w:hint="eastAsia" w:ascii="宋体" w:hAnsi="宋体" w:cs="宋体"/>
          <w:color w:val="auto"/>
          <w:szCs w:val="21"/>
          <w:highlight w:val="none"/>
          <w:lang w:eastAsia="zh-TW"/>
        </w:rPr>
        <w:t>设定的程序和规则推荐评审结果</w:t>
      </w:r>
      <w:r>
        <w:rPr>
          <w:rFonts w:hint="eastAsia" w:ascii="宋体" w:hAnsi="宋体" w:cs="宋体"/>
          <w:color w:val="auto"/>
          <w:szCs w:val="21"/>
          <w:highlight w:val="none"/>
        </w:rPr>
        <w:t>；</w:t>
      </w:r>
    </w:p>
    <w:p>
      <w:pPr>
        <w:numPr>
          <w:ilvl w:val="0"/>
          <w:numId w:val="14"/>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w:t>
      </w:r>
      <w:r>
        <w:rPr>
          <w:rFonts w:hint="eastAsia" w:ascii="宋体" w:cs="宋体"/>
          <w:color w:val="auto"/>
          <w:highlight w:val="none"/>
          <w:lang w:eastAsia="zh-CN"/>
        </w:rPr>
        <w:t>报价人</w:t>
      </w:r>
      <w:r>
        <w:rPr>
          <w:rFonts w:hint="eastAsia" w:ascii="宋体" w:cs="宋体"/>
          <w:color w:val="auto"/>
          <w:highlight w:val="none"/>
        </w:rPr>
        <w:t>方有资格提交最后报价及进行技术、商务及价格的详细评审，最后磋商小组出具竞争性磋商报告。</w:t>
      </w:r>
      <w:bookmarkEnd w:id="334"/>
    </w:p>
    <w:bookmarkEnd w:id="290"/>
    <w:bookmarkEnd w:id="291"/>
    <w:bookmarkEnd w:id="292"/>
    <w:bookmarkEnd w:id="293"/>
    <w:bookmarkEnd w:id="294"/>
    <w:bookmarkEnd w:id="295"/>
    <w:bookmarkEnd w:id="296"/>
    <w:bookmarkEnd w:id="297"/>
    <w:bookmarkEnd w:id="298"/>
    <w:bookmarkEnd w:id="299"/>
    <w:bookmarkEnd w:id="300"/>
    <w:bookmarkEnd w:id="301"/>
    <w:bookmarkEnd w:id="335"/>
    <w:p>
      <w:pPr>
        <w:numPr>
          <w:ilvl w:val="0"/>
          <w:numId w:val="14"/>
        </w:numPr>
        <w:autoSpaceDE w:val="0"/>
        <w:autoSpaceDN w:val="0"/>
        <w:adjustRightInd w:val="0"/>
        <w:snapToGrid w:val="0"/>
        <w:spacing w:line="360" w:lineRule="auto"/>
        <w:outlineLvl w:val="0"/>
        <w:rPr>
          <w:rFonts w:ascii="宋体" w:hAnsi="宋体"/>
          <w:bCs/>
          <w:color w:val="auto"/>
          <w:szCs w:val="21"/>
          <w:highlight w:val="none"/>
        </w:rPr>
      </w:pPr>
      <w:bookmarkStart w:id="336"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lang w:eastAsia="zh-CN"/>
        </w:rPr>
        <w:t>报价人</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14"/>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36"/>
    </w:p>
    <w:tbl>
      <w:tblPr>
        <w:tblStyle w:val="89"/>
        <w:tblpPr w:leftFromText="180" w:rightFromText="180" w:vertAnchor="text" w:tblpX="318" w:tblpY="2"/>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bookmarkStart w:id="337" w:name="_Toc333236678"/>
            <w:bookmarkStart w:id="338" w:name="_Toc475104533"/>
            <w:r>
              <w:rPr>
                <w:rFonts w:hint="eastAsia" w:ascii="宋体" w:hAnsi="宋体" w:cs="宋体"/>
                <w:color w:val="auto"/>
                <w:highlight w:val="none"/>
              </w:rPr>
              <w:t>评分项目</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商务部分</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40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14"/>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37"/>
    <w:bookmarkEnd w:id="338"/>
    <w:p>
      <w:pPr>
        <w:numPr>
          <w:ilvl w:val="0"/>
          <w:numId w:val="14"/>
        </w:numPr>
        <w:autoSpaceDE w:val="0"/>
        <w:autoSpaceDN w:val="0"/>
        <w:adjustRightInd w:val="0"/>
        <w:snapToGrid w:val="0"/>
        <w:spacing w:line="360" w:lineRule="auto"/>
        <w:outlineLvl w:val="0"/>
        <w:rPr>
          <w:rFonts w:ascii="宋体" w:hAnsi="宋体"/>
          <w:color w:val="auto"/>
          <w:szCs w:val="21"/>
          <w:highlight w:val="none"/>
        </w:rPr>
      </w:pPr>
      <w:bookmarkStart w:id="339" w:name="_Toc333236680"/>
      <w:bookmarkStart w:id="340" w:name="_Toc475104534"/>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1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响应方案进行审核和分析，填写《商务响应评分表》和《</w:t>
      </w:r>
      <w:r>
        <w:rPr>
          <w:rFonts w:hint="eastAsia" w:ascii="宋体" w:hAnsi="宋体"/>
          <w:color w:val="auto"/>
          <w:highlight w:val="none"/>
        </w:rPr>
        <w:t>技术</w:t>
      </w:r>
      <w:r>
        <w:rPr>
          <w:rFonts w:hint="eastAsia" w:ascii="宋体" w:hAnsi="宋体"/>
          <w:color w:val="auto"/>
          <w:szCs w:val="21"/>
          <w:highlight w:val="none"/>
        </w:rPr>
        <w:t>响应评分表》。评审内容见附表。</w:t>
      </w:r>
    </w:p>
    <w:p>
      <w:pPr>
        <w:numPr>
          <w:ilvl w:val="1"/>
          <w:numId w:val="1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w:t>
      </w:r>
      <w:r>
        <w:rPr>
          <w:rFonts w:hint="eastAsia" w:ascii="宋体" w:hAnsi="宋体"/>
          <w:color w:val="auto"/>
          <w:szCs w:val="21"/>
          <w:highlight w:val="none"/>
          <w:lang w:eastAsia="zh-CN"/>
        </w:rPr>
        <w:t>报价人</w:t>
      </w:r>
      <w:r>
        <w:rPr>
          <w:rFonts w:hint="eastAsia" w:ascii="宋体" w:hAnsi="宋体"/>
          <w:color w:val="auto"/>
          <w:szCs w:val="21"/>
          <w:highlight w:val="none"/>
        </w:rPr>
        <w:t>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302"/>
    <w:bookmarkEnd w:id="303"/>
    <w:bookmarkEnd w:id="304"/>
    <w:bookmarkEnd w:id="339"/>
    <w:bookmarkEnd w:id="340"/>
    <w:p>
      <w:pPr>
        <w:numPr>
          <w:ilvl w:val="0"/>
          <w:numId w:val="14"/>
        </w:numPr>
        <w:autoSpaceDE w:val="0"/>
        <w:autoSpaceDN w:val="0"/>
        <w:adjustRightInd w:val="0"/>
        <w:snapToGrid w:val="0"/>
        <w:spacing w:line="360" w:lineRule="auto"/>
        <w:outlineLvl w:val="0"/>
        <w:rPr>
          <w:rFonts w:ascii="宋体" w:hAnsi="宋体"/>
          <w:color w:val="auto"/>
          <w:szCs w:val="21"/>
          <w:highlight w:val="none"/>
        </w:rPr>
      </w:pPr>
      <w:bookmarkStart w:id="341" w:name="_Toc333236685"/>
      <w:bookmarkStart w:id="342" w:name="_Toc475104535"/>
      <w:r>
        <w:rPr>
          <w:rFonts w:hint="eastAsia" w:ascii="宋体" w:hAnsi="宋体"/>
          <w:color w:val="auto"/>
          <w:szCs w:val="21"/>
          <w:highlight w:val="none"/>
        </w:rPr>
        <w:t>价格评定</w:t>
      </w:r>
    </w:p>
    <w:p>
      <w:pPr>
        <w:numPr>
          <w:ilvl w:val="1"/>
          <w:numId w:val="1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lang w:eastAsia="zh-CN"/>
        </w:rPr>
        <w:t>报价人</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1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w:t>
      </w:r>
      <w:r>
        <w:rPr>
          <w:rFonts w:hint="eastAsia" w:ascii="宋体" w:hAnsi="宋体"/>
          <w:color w:val="auto"/>
          <w:szCs w:val="21"/>
          <w:highlight w:val="none"/>
          <w:lang w:eastAsia="zh-CN"/>
        </w:rPr>
        <w:t>报价人</w:t>
      </w:r>
      <w:r>
        <w:rPr>
          <w:rFonts w:hint="eastAsia" w:ascii="宋体" w:hAnsi="宋体"/>
          <w:color w:val="auto"/>
          <w:szCs w:val="21"/>
          <w:highlight w:val="none"/>
        </w:rPr>
        <w:t>的价格为磋商基准价，其价格分为满分。其他</w:t>
      </w:r>
      <w:r>
        <w:rPr>
          <w:rFonts w:hint="eastAsia" w:ascii="宋体" w:hAnsi="宋体"/>
          <w:color w:val="auto"/>
          <w:szCs w:val="21"/>
          <w:highlight w:val="none"/>
          <w:lang w:eastAsia="zh-CN"/>
        </w:rPr>
        <w:t>报价人</w:t>
      </w:r>
      <w:r>
        <w:rPr>
          <w:rFonts w:hint="eastAsia" w:ascii="宋体" w:hAnsi="宋体"/>
          <w:color w:val="auto"/>
          <w:szCs w:val="21"/>
          <w:highlight w:val="none"/>
        </w:rPr>
        <w:t>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1"/>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w:t>
      </w:r>
      <w:r>
        <w:rPr>
          <w:rFonts w:hint="eastAsia"/>
          <w:color w:val="auto"/>
          <w:szCs w:val="21"/>
          <w:highlight w:val="none"/>
          <w:lang w:eastAsia="zh-CN"/>
        </w:rPr>
        <w:t>报价人</w:t>
      </w:r>
      <w:r>
        <w:rPr>
          <w:rFonts w:hint="eastAsia"/>
          <w:color w:val="auto"/>
          <w:szCs w:val="21"/>
          <w:highlight w:val="none"/>
        </w:rPr>
        <w:t>第二次报价作为基准，计算价格扣减作为</w:t>
      </w:r>
      <w:r>
        <w:rPr>
          <w:rFonts w:hint="eastAsia"/>
          <w:color w:val="auto"/>
          <w:szCs w:val="21"/>
          <w:highlight w:val="none"/>
          <w:lang w:eastAsia="zh-CN"/>
        </w:rPr>
        <w:t>报价人</w:t>
      </w:r>
      <w:r>
        <w:rPr>
          <w:rFonts w:hint="eastAsia"/>
          <w:color w:val="auto"/>
          <w:szCs w:val="21"/>
          <w:highlight w:val="none"/>
        </w:rPr>
        <w:t>的价格评分，评标价只作为分值的计算，最终成交价格按照</w:t>
      </w:r>
      <w:r>
        <w:rPr>
          <w:rFonts w:hint="eastAsia"/>
          <w:color w:val="auto"/>
          <w:szCs w:val="21"/>
          <w:highlight w:val="none"/>
          <w:lang w:eastAsia="zh-CN"/>
        </w:rPr>
        <w:t>报价人</w:t>
      </w:r>
      <w:r>
        <w:rPr>
          <w:rFonts w:hint="eastAsia"/>
          <w:color w:val="auto"/>
          <w:szCs w:val="21"/>
          <w:highlight w:val="none"/>
        </w:rPr>
        <w:t>第二次响应报价为准。</w:t>
      </w:r>
    </w:p>
    <w:p>
      <w:pPr>
        <w:pStyle w:val="161"/>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1"/>
        <w:widowControl/>
        <w:numPr>
          <w:ilvl w:val="2"/>
          <w:numId w:val="1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w:t>
      </w:r>
      <w:r>
        <w:rPr>
          <w:rFonts w:hint="eastAsia" w:ascii="宋体" w:hAnsi="宋体"/>
          <w:bCs/>
          <w:color w:val="auto"/>
          <w:szCs w:val="21"/>
          <w:highlight w:val="none"/>
        </w:rPr>
        <w:t>根据财政部、工业和信息化部印发的《政府采购促进中小企业发展暂行办法》（财库[2011]181号）和《广州市人民政府办公厅关于印发应对疫情影响进一步支持中小微企业健康发展若干措施的通知》（穗府办规〔2020〕9号）的规定，对小型和微型企业产品的价格给予8%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（3）符合中小企业划分标准，并以提供中小企业管理部门出具的证明为准；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（6）小型、微型企业提供中型企业制造的货物的，视同为中型企业。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w:t>
      </w:r>
      <w:r>
        <w:rPr>
          <w:rFonts w:hint="eastAsia" w:ascii="宋体" w:hAnsi="宋体" w:cs="宋体"/>
          <w:bCs/>
          <w:color w:val="auto"/>
          <w:szCs w:val="21"/>
          <w:highlight w:val="none"/>
          <w:lang w:eastAsia="zh-CN"/>
        </w:rPr>
        <w:t>报价人</w:t>
      </w:r>
      <w:r>
        <w:rPr>
          <w:rFonts w:hint="eastAsia" w:ascii="宋体" w:hAnsi="宋体" w:cs="宋体"/>
          <w:bCs/>
          <w:color w:val="auto"/>
          <w:szCs w:val="21"/>
          <w:highlight w:val="none"/>
        </w:rPr>
        <w:t>为非制造商，其代理产品的制造商也应同时提交《中小企业声明函》，否则评审时不能享受相应的价格扣除。</w:t>
      </w:r>
    </w:p>
    <w:p>
      <w:pPr>
        <w:pStyle w:val="161"/>
        <w:widowControl/>
        <w:numPr>
          <w:ilvl w:val="2"/>
          <w:numId w:val="1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1"/>
        <w:widowControl/>
        <w:numPr>
          <w:ilvl w:val="2"/>
          <w:numId w:val="1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声明的真实性负责。一旦中标将在中标公告中公告其声明函，接受社会监督。</w:t>
      </w:r>
      <w:r>
        <w:rPr>
          <w:rFonts w:hint="eastAsia" w:ascii="宋体" w:hAnsi="宋体" w:cs="宋体"/>
          <w:bCs/>
          <w:color w:val="auto"/>
          <w:szCs w:val="21"/>
          <w:highlight w:val="none"/>
          <w:lang w:eastAsia="zh-CN"/>
        </w:rPr>
        <w:t>报价人</w:t>
      </w:r>
      <w:r>
        <w:rPr>
          <w:rFonts w:hint="eastAsia" w:ascii="宋体" w:hAnsi="宋体" w:cs="宋体"/>
          <w:bCs/>
          <w:color w:val="auto"/>
          <w:szCs w:val="21"/>
          <w:highlight w:val="none"/>
        </w:rPr>
        <w:t>提供的《残疾人福利性单位声明函》与事实不符的，依照《政府采购法》第七十七条第一款的规定追究法律责任。</w:t>
      </w:r>
    </w:p>
    <w:p>
      <w:pPr>
        <w:pStyle w:val="161"/>
        <w:widowControl/>
        <w:numPr>
          <w:ilvl w:val="2"/>
          <w:numId w:val="1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w:t>
      </w:r>
      <w:r>
        <w:rPr>
          <w:rFonts w:hint="eastAsia" w:ascii="宋体" w:hAnsi="宋体" w:cs="宋体"/>
          <w:bCs/>
          <w:color w:val="auto"/>
          <w:szCs w:val="21"/>
          <w:highlight w:val="none"/>
          <w:lang w:eastAsia="zh-CN"/>
        </w:rPr>
        <w:t>报价人</w:t>
      </w:r>
      <w:r>
        <w:rPr>
          <w:rFonts w:hint="eastAsia" w:ascii="宋体" w:hAnsi="宋体" w:cs="宋体"/>
          <w:bCs/>
          <w:color w:val="auto"/>
          <w:szCs w:val="21"/>
          <w:highlight w:val="none"/>
        </w:rPr>
        <w:t>公章）。</w:t>
      </w:r>
    </w:p>
    <w:p>
      <w:pPr>
        <w:pStyle w:val="161"/>
        <w:widowControl/>
        <w:numPr>
          <w:ilvl w:val="2"/>
          <w:numId w:val="1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CN"/>
        </w:rPr>
        <w:t>报价人</w:t>
      </w:r>
      <w:r>
        <w:rPr>
          <w:rFonts w:hint="eastAsia" w:ascii="宋体" w:hAnsi="宋体" w:cs="宋体"/>
          <w:color w:val="auto"/>
          <w:szCs w:val="21"/>
          <w:highlight w:val="none"/>
          <w:lang w:eastAsia="zh-TW"/>
        </w:rPr>
        <w:t>同时为小型、微型企业、监狱企业、残疾人福利性单位任两种或以上情况的，评审中只享受一次价格扣除，不重复进行价格扣除。</w:t>
      </w:r>
    </w:p>
    <w:p>
      <w:pPr>
        <w:pStyle w:val="161"/>
        <w:widowControl/>
        <w:numPr>
          <w:ilvl w:val="2"/>
          <w:numId w:val="1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eastAsia="zh-CN"/>
        </w:rPr>
        <w:t>报价人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格式）。</w:t>
      </w:r>
    </w:p>
    <w:p>
      <w:pPr>
        <w:numPr>
          <w:ilvl w:val="1"/>
          <w:numId w:val="14"/>
        </w:numPr>
        <w:autoSpaceDE w:val="0"/>
        <w:autoSpaceDN w:val="0"/>
        <w:adjustRightInd w:val="0"/>
        <w:snapToGrid w:val="0"/>
        <w:spacing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1"/>
        <w:widowControl/>
        <w:numPr>
          <w:ilvl w:val="2"/>
          <w:numId w:val="1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1"/>
        <w:widowControl/>
        <w:numPr>
          <w:ilvl w:val="2"/>
          <w:numId w:val="1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1"/>
        <w:widowControl/>
        <w:numPr>
          <w:ilvl w:val="2"/>
          <w:numId w:val="1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1"/>
        <w:widowControl/>
        <w:numPr>
          <w:ilvl w:val="2"/>
          <w:numId w:val="1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1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14"/>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rPr>
        <w:t>技术得分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14"/>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41"/>
      <w:bookmarkEnd w:id="342"/>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附件3  商务响应评分标准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4"/>
        <w:rPr>
          <w:color w:val="auto"/>
          <w:sz w:val="24"/>
          <w:highlight w:val="none"/>
        </w:rPr>
      </w:pPr>
      <w:bookmarkStart w:id="343" w:name="_Toc475104536"/>
      <w:r>
        <w:rPr>
          <w:rFonts w:hint="eastAsia"/>
          <w:color w:val="auto"/>
          <w:sz w:val="24"/>
          <w:highlight w:val="none"/>
        </w:rPr>
        <w:t>资格性审查及符合性检查表</w:t>
      </w:r>
      <w:bookmarkEnd w:id="343"/>
    </w:p>
    <w:p>
      <w:pPr>
        <w:pStyle w:val="36"/>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6"/>
        <w:tabs>
          <w:tab w:val="left" w:pos="735"/>
        </w:tabs>
        <w:snapToGrid w:val="0"/>
        <w:spacing w:line="360" w:lineRule="auto"/>
        <w:ind w:left="0" w:leftChars="0"/>
        <w:rPr>
          <w:color w:val="auto"/>
          <w:szCs w:val="21"/>
          <w:highlight w:val="none"/>
        </w:rPr>
      </w:pPr>
      <w:r>
        <w:rPr>
          <w:rFonts w:hint="eastAsia" w:ascii="宋体"/>
          <w:color w:val="auto"/>
          <w:highlight w:val="none"/>
        </w:rPr>
        <w:t>项目名称：                                                    项目编号：</w:t>
      </w:r>
    </w:p>
    <w:tbl>
      <w:tblPr>
        <w:tblStyle w:val="89"/>
        <w:tblW w:w="93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lang w:eastAsia="zh-CN"/>
              </w:rPr>
              <w:t>报价人</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lang w:eastAsia="zh-CN"/>
              </w:rPr>
              <w:t>报价人</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lang w:eastAsia="zh-CN"/>
              </w:rPr>
              <w:t>报价人</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eastAsia="zh-CN"/>
        </w:rPr>
        <w:t>报价人</w:t>
      </w:r>
      <w:r>
        <w:rPr>
          <w:rFonts w:hint="eastAsia" w:ascii="宋体" w:hAnsi="宋体" w:cs="宋体"/>
          <w:b/>
          <w:color w:val="auto"/>
          <w:szCs w:val="21"/>
          <w:highlight w:val="none"/>
        </w:rPr>
        <w:t>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p>
    <w:p>
      <w:pPr>
        <w:tabs>
          <w:tab w:val="left" w:pos="720"/>
        </w:tabs>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技术部分评分表</w:t>
      </w:r>
    </w:p>
    <w:p>
      <w:pPr>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 xml:space="preserve">项目名称：                                          </w:t>
      </w:r>
    </w:p>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 xml:space="preserve">项目编号：                                   </w:t>
      </w:r>
    </w:p>
    <w:tbl>
      <w:tblPr>
        <w:tblStyle w:val="89"/>
        <w:tblW w:w="980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1961"/>
        <w:gridCol w:w="6402"/>
        <w:gridCol w:w="71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4" w:hRule="atLeast"/>
          <w:tblHeader/>
          <w:jc w:val="center"/>
        </w:trPr>
        <w:tc>
          <w:tcPr>
            <w:tcW w:w="733" w:type="dxa"/>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序号</w:t>
            </w:r>
          </w:p>
        </w:tc>
        <w:tc>
          <w:tcPr>
            <w:tcW w:w="1961" w:type="dxa"/>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评分项目</w:t>
            </w:r>
          </w:p>
        </w:tc>
        <w:tc>
          <w:tcPr>
            <w:tcW w:w="6402" w:type="dxa"/>
            <w:tcBorders>
              <w:top w:val="single" w:color="auto" w:sz="4" w:space="0"/>
            </w:tcBorders>
            <w:shd w:val="clear" w:color="auto" w:fill="FFFFFF"/>
            <w:vAlign w:val="center"/>
          </w:tcPr>
          <w:p>
            <w:pPr>
              <w:snapToGrid w:val="0"/>
              <w:jc w:val="left"/>
              <w:rPr>
                <w:rFonts w:ascii="宋体" w:hAnsi="宋体" w:cs="宋体"/>
                <w:color w:val="auto"/>
                <w:highlight w:val="none"/>
              </w:rPr>
            </w:pPr>
            <w:r>
              <w:rPr>
                <w:rFonts w:hint="eastAsia" w:ascii="宋体" w:hAnsi="宋体" w:cs="宋体"/>
                <w:color w:val="auto"/>
                <w:highlight w:val="none"/>
              </w:rPr>
              <w:t>评分标准</w:t>
            </w:r>
          </w:p>
        </w:tc>
        <w:tc>
          <w:tcPr>
            <w:tcW w:w="712" w:type="dxa"/>
            <w:tcBorders>
              <w:top w:val="single" w:color="auto" w:sz="4" w:space="0"/>
            </w:tcBorders>
            <w:shd w:val="clear" w:color="auto" w:fill="FFFFFF"/>
            <w:vAlign w:val="center"/>
          </w:tcPr>
          <w:p>
            <w:pPr>
              <w:snapToGrid w:val="0"/>
              <w:spacing w:line="360" w:lineRule="auto"/>
              <w:jc w:val="center"/>
              <w:rPr>
                <w:rFonts w:ascii="宋体" w:hAnsi="宋体" w:cs="宋体"/>
                <w:bCs/>
                <w:color w:val="auto"/>
                <w:szCs w:val="21"/>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jc w:val="center"/>
        </w:trPr>
        <w:tc>
          <w:tcPr>
            <w:tcW w:w="733" w:type="dxa"/>
            <w:tcBorders>
              <w:top w:val="single" w:color="auto" w:sz="4" w:space="0"/>
              <w:bottom w:val="single" w:color="auto" w:sz="4" w:space="0"/>
            </w:tcBorders>
            <w:vAlign w:val="center"/>
          </w:tcPr>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1</w:t>
            </w:r>
          </w:p>
        </w:tc>
        <w:tc>
          <w:tcPr>
            <w:tcW w:w="1961" w:type="dxa"/>
            <w:tcBorders>
              <w:top w:val="single" w:color="auto" w:sz="4" w:space="0"/>
              <w:bottom w:val="single" w:color="auto" w:sz="4" w:space="0"/>
            </w:tcBorders>
            <w:vAlign w:val="center"/>
          </w:tcPr>
          <w:p>
            <w:pPr>
              <w:rPr>
                <w:rFonts w:ascii="宋体" w:hAnsi="宋体" w:cs="宋体"/>
                <w:color w:val="auto"/>
                <w:highlight w:val="none"/>
              </w:rPr>
            </w:pPr>
            <w:r>
              <w:rPr>
                <w:rFonts w:hint="eastAsia" w:ascii="宋体" w:hAnsi="宋体"/>
                <w:color w:val="auto"/>
                <w:szCs w:val="21"/>
                <w:highlight w:val="none"/>
                <w:lang w:val="zh-CN"/>
              </w:rPr>
              <w:t>对所投产品设备技术参数、性能指标、质量及特别带“▲”的响应情况和符合性</w:t>
            </w:r>
          </w:p>
        </w:tc>
        <w:tc>
          <w:tcPr>
            <w:tcW w:w="6402" w:type="dxa"/>
            <w:tcBorders>
              <w:top w:val="single" w:color="auto" w:sz="4" w:space="0"/>
              <w:bottom w:val="single" w:color="auto" w:sz="4" w:space="0"/>
            </w:tcBorders>
            <w:vAlign w:val="center"/>
          </w:tcPr>
          <w:p>
            <w:pPr>
              <w:rPr>
                <w:color w:val="auto"/>
                <w:highlight w:val="none"/>
                <w:lang w:val="zh-CN"/>
              </w:rPr>
            </w:pPr>
            <w:r>
              <w:rPr>
                <w:rFonts w:hint="eastAsia"/>
                <w:color w:val="auto"/>
                <w:highlight w:val="none"/>
                <w:lang w:val="zh-CN"/>
              </w:rPr>
              <w:t>技术指标响应情况：完全满足或优于招标参数，得</w:t>
            </w:r>
            <w:r>
              <w:rPr>
                <w:rFonts w:hint="eastAsia"/>
                <w:color w:val="auto"/>
                <w:highlight w:val="none"/>
              </w:rPr>
              <w:t>10分，</w:t>
            </w:r>
            <w:r>
              <w:rPr>
                <w:rFonts w:hint="eastAsia"/>
                <w:color w:val="auto"/>
                <w:highlight w:val="none"/>
                <w:lang w:val="zh-CN"/>
              </w:rPr>
              <w:t>每负偏离一个“▲”的，扣</w:t>
            </w:r>
            <w:r>
              <w:rPr>
                <w:rFonts w:hint="eastAsia"/>
                <w:color w:val="auto"/>
                <w:highlight w:val="none"/>
              </w:rPr>
              <w:t>2</w:t>
            </w:r>
            <w:r>
              <w:rPr>
                <w:rFonts w:hint="eastAsia"/>
                <w:color w:val="auto"/>
                <w:highlight w:val="none"/>
                <w:lang w:val="zh-CN"/>
              </w:rPr>
              <w:t>分；每负偏离一个非“▲”条款的，扣</w:t>
            </w:r>
            <w:r>
              <w:rPr>
                <w:rFonts w:hint="eastAsia"/>
                <w:color w:val="auto"/>
                <w:highlight w:val="none"/>
              </w:rPr>
              <w:t>1分，</w:t>
            </w:r>
            <w:r>
              <w:rPr>
                <w:rFonts w:hint="eastAsia"/>
                <w:color w:val="auto"/>
                <w:highlight w:val="none"/>
                <w:lang w:val="zh-CN"/>
              </w:rPr>
              <w:t>扣完为止。</w:t>
            </w:r>
          </w:p>
          <w:p>
            <w:pPr>
              <w:pStyle w:val="46"/>
              <w:rPr>
                <w:color w:val="auto"/>
                <w:highlight w:val="none"/>
              </w:rPr>
            </w:pPr>
            <w:r>
              <w:rPr>
                <w:rFonts w:hint="eastAsia" w:hAnsi="宋体"/>
                <w:color w:val="auto"/>
                <w:szCs w:val="21"/>
                <w:highlight w:val="none"/>
                <w:lang w:val="zh-CN"/>
              </w:rPr>
              <w:t>（注：产品设备技术参数</w:t>
            </w:r>
            <w:r>
              <w:rPr>
                <w:rFonts w:hint="eastAsia" w:hAnsi="宋体"/>
                <w:color w:val="auto"/>
                <w:szCs w:val="21"/>
                <w:highlight w:val="none"/>
                <w:lang w:val="zh-CN"/>
              </w:rPr>
              <w:t>，需提供彩页等证明</w:t>
            </w:r>
            <w:r>
              <w:rPr>
                <w:rFonts w:hint="eastAsia" w:hAnsi="宋体"/>
                <w:color w:val="auto"/>
                <w:szCs w:val="21"/>
                <w:highlight w:val="none"/>
                <w:lang w:val="zh-CN"/>
              </w:rPr>
              <w:t>材料，证明材料必须逐项对应招标文件的技术条款。不能提供证明材料的，扣除该产品的全部技术分数；提供有漏项的，视为负偏离并扣除对应条款分数。）</w:t>
            </w:r>
          </w:p>
        </w:tc>
        <w:tc>
          <w:tcPr>
            <w:tcW w:w="712" w:type="dxa"/>
            <w:tcBorders>
              <w:top w:val="single" w:color="auto" w:sz="4" w:space="0"/>
              <w:bottom w:val="single" w:color="auto" w:sz="4" w:space="0"/>
            </w:tcBorders>
            <w:vAlign w:val="center"/>
          </w:tcPr>
          <w:p>
            <w:pPr>
              <w:pStyle w:val="210"/>
              <w:jc w:val="center"/>
              <w:rPr>
                <w:rFonts w:ascii="宋体" w:hAnsi="宋体" w:cs="宋体"/>
                <w:bCs/>
                <w:color w:val="auto"/>
                <w:szCs w:val="21"/>
                <w:highlight w:val="none"/>
              </w:rPr>
            </w:pPr>
            <w:r>
              <w:rPr>
                <w:rFonts w:hint="eastAsia" w:ascii="宋体" w:hAnsi="宋体" w:cs="宋体"/>
                <w:color w:val="auto"/>
                <w:szCs w:val="21"/>
                <w:highlight w:val="none"/>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19" w:hRule="atLeast"/>
          <w:jc w:val="center"/>
        </w:trPr>
        <w:tc>
          <w:tcPr>
            <w:tcW w:w="73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2</w:t>
            </w:r>
          </w:p>
        </w:tc>
        <w:tc>
          <w:tcPr>
            <w:tcW w:w="1961"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施工材料</w:t>
            </w:r>
          </w:p>
        </w:tc>
        <w:tc>
          <w:tcPr>
            <w:tcW w:w="6402"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按照采购人需求书附表《</w:t>
            </w:r>
            <w:r>
              <w:rPr>
                <w:rFonts w:hint="eastAsia" w:cs="宋体"/>
                <w:color w:val="auto"/>
                <w:kern w:val="0"/>
                <w:szCs w:val="21"/>
                <w:highlight w:val="none"/>
                <w:lang w:val="zh-CN"/>
              </w:rPr>
              <w:t>主要材料设备</w:t>
            </w:r>
            <w:r>
              <w:rPr>
                <w:rFonts w:hint="eastAsia" w:cs="宋体"/>
                <w:color w:val="auto"/>
                <w:kern w:val="0"/>
                <w:szCs w:val="21"/>
                <w:highlight w:val="none"/>
              </w:rPr>
              <w:t>采购一览表》表中所提供选材范围95%≤选材比率≤100%选用的，得4分，90%≤选材比率＜95%选用的，得2分，80%≤选材比率＜90%选用的，得1分，其他得0分。</w:t>
            </w:r>
          </w:p>
        </w:tc>
        <w:tc>
          <w:tcPr>
            <w:tcW w:w="712" w:type="dxa"/>
            <w:tcBorders>
              <w:top w:val="single" w:color="auto" w:sz="4" w:space="0"/>
              <w:bottom w:val="single" w:color="auto" w:sz="4" w:space="0"/>
            </w:tcBorders>
            <w:vAlign w:val="center"/>
          </w:tcPr>
          <w:p>
            <w:pPr>
              <w:pStyle w:val="210"/>
              <w:jc w:val="center"/>
              <w:rPr>
                <w:rFonts w:ascii="宋体" w:hAnsi="宋体" w:cs="宋体"/>
                <w:color w:val="auto"/>
                <w:highlight w:val="none"/>
              </w:rPr>
            </w:pPr>
            <w:r>
              <w:rPr>
                <w:rFonts w:hint="eastAsia" w:ascii="宋体" w:hAnsi="宋体"/>
                <w:color w:val="auto"/>
                <w:szCs w:val="21"/>
                <w:highlight w:val="none"/>
              </w:rPr>
              <w:t>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291" w:hRule="atLeast"/>
          <w:jc w:val="center"/>
        </w:trPr>
        <w:tc>
          <w:tcPr>
            <w:tcW w:w="73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3</w:t>
            </w:r>
          </w:p>
        </w:tc>
        <w:tc>
          <w:tcPr>
            <w:tcW w:w="1961" w:type="dxa"/>
            <w:tcBorders>
              <w:top w:val="single" w:color="auto" w:sz="4" w:space="0"/>
              <w:bottom w:val="single" w:color="auto" w:sz="4" w:space="0"/>
            </w:tcBorders>
            <w:vAlign w:val="center"/>
          </w:tcPr>
          <w:p>
            <w:pPr>
              <w:jc w:val="center"/>
              <w:rPr>
                <w:rFonts w:ascii="宋体" w:hAnsi="宋体" w:cs="宋体"/>
                <w:color w:val="auto"/>
                <w:highlight w:val="none"/>
              </w:rPr>
            </w:pPr>
            <w:r>
              <w:rPr>
                <w:rFonts w:hint="eastAsia" w:ascii="宋体" w:hAnsi="宋体" w:cs="宋体"/>
                <w:color w:val="auto"/>
                <w:kern w:val="0"/>
                <w:szCs w:val="21"/>
                <w:highlight w:val="none"/>
              </w:rPr>
              <w:t>安装方案、安装组织设计及保证措施</w:t>
            </w:r>
          </w:p>
        </w:tc>
        <w:tc>
          <w:tcPr>
            <w:tcW w:w="6402" w:type="dxa"/>
            <w:tcBorders>
              <w:top w:val="single" w:color="auto" w:sz="4" w:space="0"/>
              <w:bottom w:val="single" w:color="auto" w:sz="4" w:space="0"/>
            </w:tcBorders>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1.有详细设备生产、安装、调试及验收等安装方案，方案全面完整，且具有很强的操作性和科学合理性。安装组织设计详尽、可靠、科学、实用，有切实可行的保证交货期的措施的，得8分；</w:t>
            </w:r>
          </w:p>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2.有设备生产、安装、调试及验收等安装方案，方案基本完整，可操作性一般。安装组织设计一般，有基本的保证交货期的措施的，得4分；</w:t>
            </w:r>
          </w:p>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3.有设备生产、安装、调试及验收等安装方案，方案不完整，可操作性不强。安装组织设计较差，基本不能的保证交货期的，得1分；</w:t>
            </w:r>
          </w:p>
          <w:p>
            <w:pPr>
              <w:rPr>
                <w:rFonts w:ascii="宋体" w:hAnsi="宋体" w:cs="宋体"/>
                <w:color w:val="auto"/>
                <w:highlight w:val="none"/>
              </w:rPr>
            </w:pPr>
            <w:r>
              <w:rPr>
                <w:rFonts w:hint="eastAsia" w:ascii="宋体" w:hAnsi="宋体" w:cs="宋体"/>
                <w:color w:val="auto"/>
                <w:kern w:val="0"/>
                <w:szCs w:val="21"/>
                <w:highlight w:val="none"/>
              </w:rPr>
              <w:t>4.其他不得分。</w:t>
            </w:r>
          </w:p>
        </w:tc>
        <w:tc>
          <w:tcPr>
            <w:tcW w:w="712" w:type="dxa"/>
            <w:tcBorders>
              <w:top w:val="single" w:color="auto" w:sz="4" w:space="0"/>
              <w:bottom w:val="single" w:color="auto" w:sz="4" w:space="0"/>
            </w:tcBorders>
            <w:vAlign w:val="center"/>
          </w:tcPr>
          <w:p>
            <w:pPr>
              <w:pStyle w:val="210"/>
              <w:jc w:val="center"/>
              <w:rPr>
                <w:rFonts w:ascii="宋体" w:hAnsi="宋体" w:cs="宋体"/>
                <w:color w:val="auto"/>
                <w:highlight w:val="none"/>
              </w:rPr>
            </w:pPr>
            <w:r>
              <w:rPr>
                <w:rFonts w:hint="eastAsia" w:ascii="宋体" w:hAnsi="宋体"/>
                <w:color w:val="auto"/>
                <w:szCs w:val="21"/>
                <w:highlight w:val="none"/>
              </w:rPr>
              <w:t>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0" w:hRule="atLeast"/>
          <w:jc w:val="center"/>
        </w:trPr>
        <w:tc>
          <w:tcPr>
            <w:tcW w:w="73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4</w:t>
            </w:r>
          </w:p>
        </w:tc>
        <w:tc>
          <w:tcPr>
            <w:tcW w:w="1961" w:type="dxa"/>
            <w:tcBorders>
              <w:top w:val="single" w:color="auto" w:sz="4" w:space="0"/>
              <w:bottom w:val="single" w:color="auto" w:sz="4" w:space="0"/>
            </w:tcBorders>
            <w:vAlign w:val="center"/>
          </w:tcPr>
          <w:p>
            <w:pPr>
              <w:widowControl/>
              <w:snapToGrid w:val="0"/>
              <w:jc w:val="center"/>
              <w:rPr>
                <w:rFonts w:ascii="宋体" w:hAnsi="宋体" w:cs="宋体"/>
                <w:color w:val="auto"/>
                <w:highlight w:val="none"/>
              </w:rPr>
            </w:pPr>
            <w:r>
              <w:rPr>
                <w:rFonts w:hint="eastAsia" w:ascii="宋体" w:hAnsi="宋体"/>
                <w:bCs/>
                <w:color w:val="auto"/>
                <w:szCs w:val="21"/>
                <w:highlight w:val="none"/>
                <w:lang w:val="zh-CN"/>
              </w:rPr>
              <w:t>深化设计方案</w:t>
            </w:r>
          </w:p>
        </w:tc>
        <w:tc>
          <w:tcPr>
            <w:tcW w:w="6402" w:type="dxa"/>
            <w:tcBorders>
              <w:top w:val="single" w:color="auto" w:sz="4" w:space="0"/>
              <w:bottom w:val="single" w:color="auto" w:sz="4" w:space="0"/>
            </w:tcBorders>
            <w:vAlign w:val="center"/>
          </w:tcPr>
          <w:p>
            <w:pPr>
              <w:pStyle w:val="29"/>
              <w:rPr>
                <w:color w:val="auto"/>
                <w:highlight w:val="none"/>
                <w:lang w:val="zh-CN"/>
              </w:rPr>
            </w:pPr>
            <w:r>
              <w:rPr>
                <w:rFonts w:hint="eastAsia"/>
                <w:color w:val="auto"/>
                <w:highlight w:val="none"/>
                <w:lang w:val="zh-CN"/>
              </w:rPr>
              <w:t>对比各投标人总体设计及效果方案（包括深化改良的合理化建议等）：</w:t>
            </w:r>
          </w:p>
          <w:p>
            <w:pPr>
              <w:pStyle w:val="29"/>
              <w:rPr>
                <w:color w:val="auto"/>
                <w:highlight w:val="none"/>
                <w:lang w:val="zh-CN"/>
              </w:rPr>
            </w:pPr>
            <w:r>
              <w:rPr>
                <w:rFonts w:hint="eastAsia"/>
                <w:color w:val="auto"/>
                <w:highlight w:val="none"/>
              </w:rPr>
              <w:t>1.</w:t>
            </w:r>
            <w:r>
              <w:rPr>
                <w:rFonts w:hint="eastAsia"/>
                <w:color w:val="auto"/>
                <w:highlight w:val="none"/>
                <w:lang w:val="zh-CN"/>
              </w:rPr>
              <w:t>所提供的设计款式大气优雅、各项工序检验标准合格、产品、各专业深化设计图、系统图及效果图全面、结合紧密、科学、实用、现场可执行度高，得</w:t>
            </w:r>
            <w:r>
              <w:rPr>
                <w:rFonts w:hint="eastAsia"/>
                <w:color w:val="auto"/>
                <w:highlight w:val="none"/>
              </w:rPr>
              <w:t>12</w:t>
            </w:r>
            <w:r>
              <w:rPr>
                <w:rFonts w:hint="eastAsia"/>
                <w:color w:val="auto"/>
                <w:highlight w:val="none"/>
                <w:lang w:val="zh-CN"/>
              </w:rPr>
              <w:t>分；</w:t>
            </w:r>
          </w:p>
          <w:p>
            <w:pPr>
              <w:pStyle w:val="29"/>
              <w:rPr>
                <w:color w:val="auto"/>
                <w:highlight w:val="none"/>
                <w:lang w:val="zh-CN"/>
              </w:rPr>
            </w:pPr>
            <w:r>
              <w:rPr>
                <w:rFonts w:hint="eastAsia"/>
                <w:color w:val="auto"/>
                <w:highlight w:val="none"/>
              </w:rPr>
              <w:t>2.</w:t>
            </w:r>
            <w:r>
              <w:rPr>
                <w:rFonts w:hint="eastAsia"/>
                <w:color w:val="auto"/>
                <w:highlight w:val="none"/>
                <w:lang w:val="zh-CN"/>
              </w:rPr>
              <w:t>所提供的设计款式比较大气优雅、各项工序检验标准合格、产品深化设计图及效果图比较科学、实用、可行的，得</w:t>
            </w:r>
            <w:r>
              <w:rPr>
                <w:rFonts w:hint="eastAsia"/>
                <w:color w:val="auto"/>
                <w:highlight w:val="none"/>
              </w:rPr>
              <w:t>6</w:t>
            </w:r>
            <w:r>
              <w:rPr>
                <w:rFonts w:hint="eastAsia"/>
                <w:color w:val="auto"/>
                <w:highlight w:val="none"/>
                <w:lang w:val="zh-CN"/>
              </w:rPr>
              <w:t>分；</w:t>
            </w:r>
          </w:p>
          <w:p>
            <w:pPr>
              <w:jc w:val="left"/>
              <w:rPr>
                <w:color w:val="auto"/>
                <w:highlight w:val="none"/>
                <w:lang w:val="zh-CN"/>
              </w:rPr>
            </w:pPr>
            <w:r>
              <w:rPr>
                <w:rFonts w:hint="eastAsia"/>
                <w:color w:val="auto"/>
                <w:highlight w:val="none"/>
              </w:rPr>
              <w:t>3.</w:t>
            </w:r>
            <w:r>
              <w:rPr>
                <w:rFonts w:hint="eastAsia"/>
                <w:color w:val="auto"/>
                <w:highlight w:val="none"/>
                <w:lang w:val="zh-CN"/>
              </w:rPr>
              <w:t>所提供的设计款式不大气优雅、各项工序检验标准不合格、产品深化设计图及效果图不科学、实用、可行的，得</w:t>
            </w:r>
            <w:r>
              <w:rPr>
                <w:rFonts w:hint="eastAsia"/>
                <w:color w:val="auto"/>
                <w:highlight w:val="none"/>
              </w:rPr>
              <w:t>2</w:t>
            </w:r>
            <w:r>
              <w:rPr>
                <w:rFonts w:hint="eastAsia"/>
                <w:color w:val="auto"/>
                <w:highlight w:val="none"/>
                <w:lang w:val="zh-CN"/>
              </w:rPr>
              <w:t>分；</w:t>
            </w:r>
          </w:p>
          <w:p>
            <w:pPr>
              <w:pStyle w:val="46"/>
              <w:rPr>
                <w:color w:val="auto"/>
                <w:highlight w:val="none"/>
              </w:rPr>
            </w:pPr>
            <w:r>
              <w:rPr>
                <w:rFonts w:hint="eastAsia" w:hAnsi="宋体"/>
                <w:bCs/>
                <w:color w:val="auto"/>
                <w:szCs w:val="21"/>
                <w:highlight w:val="none"/>
              </w:rPr>
              <w:t>4.</w:t>
            </w:r>
            <w:r>
              <w:rPr>
                <w:rFonts w:hint="eastAsia" w:hAnsi="宋体" w:cs="宋体"/>
                <w:color w:val="auto"/>
                <w:kern w:val="0"/>
                <w:szCs w:val="21"/>
                <w:highlight w:val="none"/>
              </w:rPr>
              <w:t>其他不得分。</w:t>
            </w:r>
          </w:p>
        </w:tc>
        <w:tc>
          <w:tcPr>
            <w:tcW w:w="712" w:type="dxa"/>
            <w:tcBorders>
              <w:top w:val="single" w:color="auto" w:sz="4" w:space="0"/>
              <w:bottom w:val="single" w:color="auto" w:sz="4" w:space="0"/>
            </w:tcBorders>
            <w:vAlign w:val="center"/>
          </w:tcPr>
          <w:p>
            <w:pPr>
              <w:widowControl/>
              <w:snapToGrid w:val="0"/>
              <w:jc w:val="center"/>
              <w:rPr>
                <w:rFonts w:ascii="宋体" w:hAnsi="宋体" w:cs="宋体"/>
                <w:color w:val="auto"/>
                <w:highlight w:val="none"/>
              </w:rPr>
            </w:pPr>
            <w:r>
              <w:rPr>
                <w:rFonts w:hint="eastAsia" w:ascii="宋体" w:hAnsi="宋体"/>
                <w:bCs/>
                <w:color w:val="auto"/>
                <w:kern w:val="0"/>
                <w:szCs w:val="21"/>
                <w:highlight w:val="none"/>
              </w:rPr>
              <w:t>12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5</w:t>
            </w:r>
          </w:p>
        </w:tc>
        <w:tc>
          <w:tcPr>
            <w:tcW w:w="1961" w:type="dxa"/>
            <w:tcBorders>
              <w:top w:val="single" w:color="auto" w:sz="4" w:space="0"/>
              <w:bottom w:val="single" w:color="auto" w:sz="4" w:space="0"/>
            </w:tcBorders>
            <w:vAlign w:val="center"/>
          </w:tcPr>
          <w:p>
            <w:pPr>
              <w:widowControl/>
              <w:snapToGrid w:val="0"/>
              <w:jc w:val="center"/>
              <w:rPr>
                <w:rFonts w:ascii="宋体" w:hAnsi="宋体" w:cs="宋体"/>
                <w:color w:val="auto"/>
                <w:highlight w:val="none"/>
              </w:rPr>
            </w:pPr>
            <w:r>
              <w:rPr>
                <w:rFonts w:ascii="宋体" w:hAnsi="宋体" w:cs="宋体"/>
                <w:bCs/>
                <w:color w:val="auto"/>
                <w:highlight w:val="none"/>
              </w:rPr>
              <w:t>合同履行期</w:t>
            </w:r>
            <w:r>
              <w:rPr>
                <w:rFonts w:hint="eastAsia" w:ascii="宋体" w:hAnsi="宋体" w:cs="宋体"/>
                <w:color w:val="auto"/>
                <w:kern w:val="0"/>
                <w:szCs w:val="21"/>
                <w:highlight w:val="none"/>
              </w:rPr>
              <w:t>进度计划承诺</w:t>
            </w:r>
          </w:p>
        </w:tc>
        <w:tc>
          <w:tcPr>
            <w:tcW w:w="6402" w:type="dxa"/>
            <w:tcBorders>
              <w:top w:val="single" w:color="auto" w:sz="4" w:space="0"/>
              <w:bottom w:val="single" w:color="auto" w:sz="4" w:space="0"/>
            </w:tcBorders>
            <w:vAlign w:val="center"/>
          </w:tcPr>
          <w:p>
            <w:pPr>
              <w:jc w:val="left"/>
              <w:rPr>
                <w:rFonts w:ascii="宋体" w:hAnsi="宋体" w:cs="宋体"/>
                <w:color w:val="auto"/>
                <w:highlight w:val="none"/>
              </w:rPr>
            </w:pPr>
            <w:r>
              <w:rPr>
                <w:rFonts w:hint="eastAsia" w:ascii="宋体" w:hAnsi="宋体" w:cs="宋体"/>
                <w:color w:val="auto"/>
                <w:kern w:val="0"/>
                <w:szCs w:val="21"/>
                <w:highlight w:val="none"/>
                <w:lang w:val="en-GB"/>
              </w:rPr>
              <w:t>本项目竞争性磋商文件规</w:t>
            </w:r>
            <w:r>
              <w:rPr>
                <w:rFonts w:hint="eastAsia" w:ascii="宋体" w:hAnsi="宋体" w:cs="宋体"/>
                <w:color w:val="auto"/>
                <w:kern w:val="0"/>
                <w:szCs w:val="21"/>
                <w:highlight w:val="none"/>
                <w:lang w:val="en-GB"/>
              </w:rPr>
              <w:t>定的合同履行期为</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5日历天</w:t>
            </w:r>
            <w:r>
              <w:rPr>
                <w:rFonts w:hint="eastAsia" w:ascii="宋体" w:hAnsi="宋体" w:cs="宋体"/>
                <w:color w:val="auto"/>
                <w:kern w:val="0"/>
                <w:szCs w:val="21"/>
                <w:highlight w:val="none"/>
                <w:lang w:val="en-GB"/>
              </w:rPr>
              <w:t>，合同履行期为</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5日历天</w:t>
            </w:r>
            <w:r>
              <w:rPr>
                <w:rFonts w:hint="eastAsia" w:ascii="宋体" w:hAnsi="宋体" w:cs="宋体"/>
                <w:color w:val="auto"/>
                <w:kern w:val="0"/>
                <w:szCs w:val="21"/>
                <w:highlight w:val="none"/>
                <w:lang w:val="en-GB"/>
              </w:rPr>
              <w:t>的不得分，每承诺提前</w:t>
            </w:r>
            <w:r>
              <w:rPr>
                <w:rFonts w:hint="eastAsia" w:ascii="宋体" w:hAnsi="宋体" w:cs="宋体"/>
                <w:color w:val="auto"/>
                <w:kern w:val="0"/>
                <w:szCs w:val="21"/>
                <w:highlight w:val="none"/>
              </w:rPr>
              <w:t>3日历天</w:t>
            </w:r>
            <w:r>
              <w:rPr>
                <w:rFonts w:hint="eastAsia" w:ascii="宋体" w:hAnsi="宋体" w:cs="宋体"/>
                <w:color w:val="auto"/>
                <w:kern w:val="0"/>
                <w:szCs w:val="21"/>
                <w:highlight w:val="none"/>
                <w:lang w:val="en-GB"/>
              </w:rPr>
              <w:t>的得</w:t>
            </w:r>
            <w:r>
              <w:rPr>
                <w:rFonts w:hint="eastAsia" w:ascii="宋体" w:hAnsi="宋体" w:cs="宋体"/>
                <w:color w:val="auto"/>
                <w:kern w:val="0"/>
                <w:szCs w:val="21"/>
                <w:highlight w:val="none"/>
              </w:rPr>
              <w:t>1</w:t>
            </w:r>
            <w:r>
              <w:rPr>
                <w:rFonts w:hint="eastAsia" w:ascii="宋体" w:hAnsi="宋体" w:cs="宋体"/>
                <w:color w:val="auto"/>
                <w:kern w:val="0"/>
                <w:szCs w:val="21"/>
                <w:highlight w:val="none"/>
                <w:lang w:val="en-GB"/>
              </w:rPr>
              <w:t>分，此项满分为</w:t>
            </w: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GB"/>
              </w:rPr>
              <w:t>分。</w:t>
            </w:r>
          </w:p>
        </w:tc>
        <w:tc>
          <w:tcPr>
            <w:tcW w:w="712" w:type="dxa"/>
            <w:tcBorders>
              <w:top w:val="single" w:color="auto" w:sz="4" w:space="0"/>
              <w:bottom w:val="single" w:color="auto" w:sz="4" w:space="0"/>
            </w:tcBorders>
            <w:vAlign w:val="center"/>
          </w:tcPr>
          <w:p>
            <w:pPr>
              <w:widowControl/>
              <w:snapToGrid w:val="0"/>
              <w:jc w:val="center"/>
              <w:rPr>
                <w:rFonts w:ascii="宋体" w:hAnsi="宋体" w:cs="宋体"/>
                <w:color w:val="auto"/>
                <w:highlight w:val="none"/>
              </w:rPr>
            </w:pPr>
            <w:r>
              <w:rPr>
                <w:rFonts w:hint="eastAsia" w:ascii="宋体" w:hAnsi="宋体"/>
                <w:bCs/>
                <w:color w:val="auto"/>
                <w:kern w:val="0"/>
                <w:szCs w:val="21"/>
                <w:highlight w:val="none"/>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6</w:t>
            </w:r>
          </w:p>
        </w:tc>
        <w:tc>
          <w:tcPr>
            <w:tcW w:w="1961" w:type="dxa"/>
            <w:tcBorders>
              <w:top w:val="single" w:color="auto" w:sz="4" w:space="0"/>
              <w:bottom w:val="single" w:color="auto" w:sz="4" w:space="0"/>
            </w:tcBorders>
            <w:vAlign w:val="center"/>
          </w:tcPr>
          <w:p>
            <w:pPr>
              <w:jc w:val="center"/>
              <w:rPr>
                <w:rFonts w:ascii="宋体" w:hAnsi="宋体" w:cs="宋体"/>
                <w:color w:val="auto"/>
                <w:highlight w:val="none"/>
              </w:rPr>
            </w:pPr>
            <w:r>
              <w:rPr>
                <w:rFonts w:hint="eastAsia" w:ascii="宋体" w:hAnsi="宋体" w:cs="宋体"/>
                <w:color w:val="auto"/>
                <w:kern w:val="0"/>
                <w:szCs w:val="21"/>
                <w:highlight w:val="none"/>
              </w:rPr>
              <w:t>文明安全安装措施</w:t>
            </w:r>
          </w:p>
        </w:tc>
        <w:tc>
          <w:tcPr>
            <w:tcW w:w="6402" w:type="dxa"/>
            <w:tcBorders>
              <w:top w:val="single" w:color="auto" w:sz="4" w:space="0"/>
              <w:bottom w:val="single" w:color="auto" w:sz="4" w:space="0"/>
            </w:tcBorders>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1.具有详细的文明、安全安装保证措施的，得3分；</w:t>
            </w:r>
          </w:p>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2.有文明、安全安装保证措施，叙述不强的，得1分；</w:t>
            </w:r>
          </w:p>
          <w:p>
            <w:pPr>
              <w:jc w:val="left"/>
              <w:rPr>
                <w:rFonts w:ascii="宋体" w:hAnsi="宋体" w:cs="宋体"/>
                <w:color w:val="auto"/>
                <w:highlight w:val="none"/>
              </w:rPr>
            </w:pPr>
            <w:r>
              <w:rPr>
                <w:rFonts w:hint="eastAsia" w:ascii="宋体" w:hAnsi="宋体" w:cs="宋体"/>
                <w:color w:val="auto"/>
                <w:kern w:val="0"/>
                <w:szCs w:val="21"/>
                <w:highlight w:val="none"/>
              </w:rPr>
              <w:t>3.其他不得分。</w:t>
            </w:r>
          </w:p>
        </w:tc>
        <w:tc>
          <w:tcPr>
            <w:tcW w:w="712" w:type="dxa"/>
            <w:tcBorders>
              <w:top w:val="single" w:color="auto" w:sz="4" w:space="0"/>
              <w:bottom w:val="single" w:color="auto" w:sz="4" w:space="0"/>
            </w:tcBorders>
            <w:vAlign w:val="center"/>
          </w:tcPr>
          <w:p>
            <w:pPr>
              <w:jc w:val="center"/>
              <w:rPr>
                <w:rFonts w:ascii="宋体" w:hAnsi="宋体" w:cs="宋体"/>
                <w:color w:val="auto"/>
                <w:highlight w:val="none"/>
              </w:rPr>
            </w:pPr>
            <w:r>
              <w:rPr>
                <w:rFonts w:hint="eastAsia" w:ascii="宋体" w:hAnsi="宋体"/>
                <w:color w:val="auto"/>
                <w:szCs w:val="21"/>
                <w:highlight w:val="none"/>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9096" w:type="dxa"/>
            <w:gridSpan w:val="3"/>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合计</w:t>
            </w:r>
          </w:p>
        </w:tc>
        <w:tc>
          <w:tcPr>
            <w:tcW w:w="71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40</w:t>
            </w:r>
          </w:p>
        </w:tc>
      </w:tr>
    </w:tbl>
    <w:p>
      <w:pPr>
        <w:snapToGrid w:val="0"/>
        <w:rPr>
          <w:rFonts w:hint="eastAsia" w:ascii="宋体" w:hAnsi="宋体" w:eastAsia="宋体" w:cs="宋体"/>
          <w:b/>
          <w:bCs/>
          <w:color w:val="auto"/>
          <w:highlight w:val="none"/>
          <w:lang w:eastAsia="zh-CN"/>
        </w:rPr>
      </w:pPr>
      <w:r>
        <w:rPr>
          <w:rFonts w:hint="eastAsia" w:ascii="宋体" w:hAnsi="宋体" w:cs="宋体"/>
          <w:b/>
          <w:bCs/>
          <w:color w:val="auto"/>
          <w:highlight w:val="none"/>
        </w:rPr>
        <w:t>备注：竞争性磋商文件要求提交的与评价指标体系相关的各类有效资料，</w:t>
      </w:r>
      <w:r>
        <w:rPr>
          <w:rFonts w:hint="eastAsia" w:ascii="宋体" w:hAnsi="宋体" w:cs="宋体"/>
          <w:b/>
          <w:bCs/>
          <w:color w:val="auto"/>
          <w:highlight w:val="none"/>
          <w:lang w:eastAsia="zh-CN"/>
        </w:rPr>
        <w:t>报价人</w:t>
      </w:r>
      <w:r>
        <w:rPr>
          <w:rFonts w:hint="eastAsia" w:ascii="宋体" w:hAnsi="宋体" w:cs="宋体"/>
          <w:b/>
          <w:bCs/>
          <w:color w:val="auto"/>
          <w:highlight w:val="none"/>
        </w:rPr>
        <w:t>如未按要求提交，或提供的证明材料不全，或有有效期但不在有效期内，或提供的证明材料均不能反映相关评审内容的，该项不得分</w:t>
      </w:r>
      <w:r>
        <w:rPr>
          <w:rFonts w:hint="eastAsia" w:ascii="宋体" w:hAnsi="宋体" w:cs="宋体"/>
          <w:b/>
          <w:bCs/>
          <w:color w:val="auto"/>
          <w:highlight w:val="none"/>
          <w:lang w:eastAsia="zh-CN"/>
        </w:rPr>
        <w:t>。</w:t>
      </w:r>
    </w:p>
    <w:p>
      <w:pPr>
        <w:tabs>
          <w:tab w:val="left" w:pos="720"/>
        </w:tabs>
        <w:snapToGrid w:val="0"/>
        <w:ind w:firstLine="210" w:firstLineChars="100"/>
        <w:rPr>
          <w:rFonts w:hint="eastAsia" w:ascii="宋体" w:hAnsi="宋体" w:cs="宋体"/>
          <w:bCs/>
          <w:color w:val="auto"/>
          <w:szCs w:val="21"/>
          <w:highlight w:val="none"/>
        </w:rPr>
      </w:pPr>
    </w:p>
    <w:p>
      <w:pPr>
        <w:tabs>
          <w:tab w:val="left" w:pos="720"/>
        </w:tabs>
        <w:snapToGrid w:val="0"/>
        <w:ind w:firstLine="210" w:firstLineChars="100"/>
        <w:rPr>
          <w:color w:val="auto"/>
          <w:highlight w:val="none"/>
        </w:rPr>
      </w:pPr>
      <w:r>
        <w:rPr>
          <w:rFonts w:hint="eastAsia" w:ascii="宋体" w:hAnsi="宋体" w:cs="宋体"/>
          <w:bCs/>
          <w:color w:val="auto"/>
          <w:szCs w:val="21"/>
          <w:highlight w:val="none"/>
        </w:rPr>
        <w:t xml:space="preserve">评委签名：             </w:t>
      </w:r>
      <w:r>
        <w:rPr>
          <w:rFonts w:hint="eastAsia" w:ascii="宋体" w:hAnsi="宋体" w:cs="宋体"/>
          <w:bCs/>
          <w:color w:val="auto"/>
          <w:szCs w:val="21"/>
          <w:highlight w:val="none"/>
          <w:lang w:val="en-US" w:eastAsia="zh-CN"/>
        </w:rPr>
        <w:t xml:space="preserve">                                       </w:t>
      </w:r>
      <w:r>
        <w:rPr>
          <w:rFonts w:hint="eastAsia" w:ascii="宋体" w:hAnsi="宋体" w:cs="宋体"/>
          <w:bCs/>
          <w:color w:val="auto"/>
          <w:szCs w:val="21"/>
          <w:highlight w:val="none"/>
        </w:rPr>
        <w:t>日期：   年  月  日</w:t>
      </w:r>
    </w:p>
    <w:p>
      <w:pPr>
        <w:rPr>
          <w:rFonts w:hint="eastAsia" w:ascii="宋体" w:hAnsi="宋体" w:cs="宋体"/>
          <w:b/>
          <w:color w:val="auto"/>
          <w:sz w:val="24"/>
          <w:highlight w:val="none"/>
        </w:rPr>
      </w:pPr>
      <w:r>
        <w:rPr>
          <w:rFonts w:hint="eastAsia" w:ascii="宋体" w:hAnsi="宋体" w:cs="宋体"/>
          <w:b/>
          <w:color w:val="auto"/>
          <w:sz w:val="24"/>
          <w:highlight w:val="none"/>
        </w:rPr>
        <w:br w:type="page"/>
      </w: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hint="eastAsia" w:ascii="宋体" w:hAnsi="宋体" w:cs="宋体"/>
          <w:bCs/>
          <w:color w:val="auto"/>
          <w:szCs w:val="21"/>
          <w:highlight w:val="none"/>
          <w:lang w:val="en-US" w:eastAsia="zh-CN"/>
        </w:rPr>
      </w:pPr>
      <w:r>
        <w:rPr>
          <w:rFonts w:hint="eastAsia" w:ascii="宋体" w:hAnsi="宋体" w:cs="宋体"/>
          <w:bCs/>
          <w:color w:val="auto"/>
          <w:szCs w:val="21"/>
          <w:highlight w:val="none"/>
        </w:rPr>
        <w:t xml:space="preserve">项目名称：   </w:t>
      </w:r>
      <w:r>
        <w:rPr>
          <w:rFonts w:hint="eastAsia" w:ascii="宋体" w:hAnsi="宋体" w:cs="宋体"/>
          <w:bCs/>
          <w:color w:val="auto"/>
          <w:szCs w:val="21"/>
          <w:highlight w:val="none"/>
          <w:lang w:val="en-US" w:eastAsia="zh-CN"/>
        </w:rPr>
        <w:t xml:space="preserve">                                              </w:t>
      </w:r>
    </w:p>
    <w:p>
      <w:pPr>
        <w:tabs>
          <w:tab w:val="left" w:pos="720"/>
        </w:tabs>
        <w:snapToGrid w:val="0"/>
        <w:ind w:firstLine="210" w:firstLineChars="100"/>
        <w:rPr>
          <w:rFonts w:ascii="宋体" w:hAnsi="宋体" w:cs="宋体"/>
          <w:color w:val="auto"/>
          <w:highlight w:val="none"/>
        </w:rPr>
      </w:pPr>
      <w:r>
        <w:rPr>
          <w:rFonts w:hint="eastAsia" w:ascii="宋体" w:hAnsi="宋体" w:cs="宋体"/>
          <w:bCs/>
          <w:color w:val="auto"/>
          <w:szCs w:val="21"/>
          <w:highlight w:val="none"/>
        </w:rPr>
        <w:t xml:space="preserve">项目编号：                                                  </w:t>
      </w:r>
      <w:r>
        <w:rPr>
          <w:rFonts w:hint="eastAsia" w:ascii="宋体" w:hAnsi="宋体" w:cs="宋体"/>
          <w:color w:val="auto"/>
          <w:highlight w:val="none"/>
        </w:rPr>
        <w:t xml:space="preserve"> </w:t>
      </w:r>
    </w:p>
    <w:p>
      <w:pPr>
        <w:snapToGrid w:val="0"/>
        <w:rPr>
          <w:rFonts w:hint="eastAsia" w:ascii="宋体" w:hAnsi="宋体" w:cs="宋体"/>
          <w:b/>
          <w:bCs/>
          <w:color w:val="auto"/>
          <w:highlight w:val="none"/>
        </w:rPr>
      </w:pPr>
      <w:r>
        <w:rPr>
          <w:rFonts w:hint="eastAsia" w:ascii="宋体" w:hAnsi="宋体" w:cs="宋体"/>
          <w:color w:val="auto"/>
          <w:highlight w:val="none"/>
        </w:rPr>
        <w:t xml:space="preserve"> </w:t>
      </w:r>
    </w:p>
    <w:tbl>
      <w:tblPr>
        <w:tblStyle w:val="89"/>
        <w:tblW w:w="953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25"/>
        <w:gridCol w:w="1075"/>
        <w:gridCol w:w="6983"/>
        <w:gridCol w:w="94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blHeader/>
          <w:jc w:val="center"/>
        </w:trPr>
        <w:tc>
          <w:tcPr>
            <w:tcW w:w="525"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序号</w:t>
            </w:r>
          </w:p>
        </w:tc>
        <w:tc>
          <w:tcPr>
            <w:tcW w:w="1075"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评分项目</w:t>
            </w:r>
          </w:p>
        </w:tc>
        <w:tc>
          <w:tcPr>
            <w:tcW w:w="6983"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评分标准</w:t>
            </w:r>
          </w:p>
        </w:tc>
        <w:tc>
          <w:tcPr>
            <w:tcW w:w="948"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5" w:hRule="atLeast"/>
          <w:jc w:val="center"/>
        </w:trPr>
        <w:tc>
          <w:tcPr>
            <w:tcW w:w="525"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1</w:t>
            </w:r>
          </w:p>
        </w:tc>
        <w:tc>
          <w:tcPr>
            <w:tcW w:w="1075" w:type="dxa"/>
            <w:tcBorders>
              <w:top w:val="single" w:color="auto" w:sz="4" w:space="0"/>
              <w:bottom w:val="single" w:color="auto" w:sz="4" w:space="0"/>
            </w:tcBorders>
            <w:vAlign w:val="center"/>
          </w:tcPr>
          <w:p>
            <w:pPr>
              <w:pStyle w:val="183"/>
              <w:jc w:val="center"/>
              <w:rPr>
                <w:rFonts w:ascii="宋体" w:hAnsi="宋体" w:cs="宋体"/>
                <w:color w:val="auto"/>
                <w:highlight w:val="none"/>
              </w:rPr>
            </w:pPr>
            <w:r>
              <w:rPr>
                <w:rFonts w:hint="eastAsia" w:ascii="宋体" w:hAnsi="宋体"/>
                <w:color w:val="auto"/>
                <w:szCs w:val="21"/>
                <w:highlight w:val="none"/>
                <w:lang w:val="en-GB"/>
              </w:rPr>
              <w:t>同类项目业绩</w:t>
            </w:r>
          </w:p>
        </w:tc>
        <w:tc>
          <w:tcPr>
            <w:tcW w:w="6983" w:type="dxa"/>
            <w:tcBorders>
              <w:top w:val="single" w:color="auto" w:sz="4" w:space="0"/>
              <w:bottom w:val="single" w:color="auto" w:sz="4" w:space="0"/>
            </w:tcBorders>
            <w:vAlign w:val="center"/>
          </w:tcPr>
          <w:p>
            <w:pPr>
              <w:rPr>
                <w:rFonts w:ascii="宋体" w:hAnsi="宋体" w:cs="宋体"/>
                <w:color w:val="auto"/>
                <w:highlight w:val="none"/>
              </w:rPr>
            </w:pPr>
            <w:r>
              <w:rPr>
                <w:rFonts w:hint="eastAsia" w:cs="宋体"/>
                <w:color w:val="auto"/>
                <w:kern w:val="0"/>
                <w:szCs w:val="21"/>
                <w:highlight w:val="none"/>
              </w:rPr>
              <w:t>提供2018年以来完成类似项目业绩（附</w:t>
            </w:r>
            <w:r>
              <w:rPr>
                <w:rFonts w:hint="eastAsia" w:ascii="宋体" w:hAnsi="宋体"/>
                <w:color w:val="auto"/>
                <w:szCs w:val="21"/>
                <w:highlight w:val="none"/>
              </w:rPr>
              <w:t>上成交/中标通知书或合同复印件</w:t>
            </w:r>
            <w:r>
              <w:rPr>
                <w:rFonts w:hint="eastAsia" w:cs="宋体"/>
                <w:color w:val="auto"/>
                <w:kern w:val="0"/>
                <w:szCs w:val="21"/>
                <w:highlight w:val="none"/>
              </w:rPr>
              <w:t>）每提供一份业绩得2分，满分6分。</w:t>
            </w:r>
          </w:p>
        </w:tc>
        <w:tc>
          <w:tcPr>
            <w:tcW w:w="948" w:type="dxa"/>
            <w:tcBorders>
              <w:top w:val="single" w:color="auto" w:sz="4" w:space="0"/>
              <w:bottom w:val="single" w:color="auto" w:sz="4" w:space="0"/>
            </w:tcBorders>
            <w:vAlign w:val="center"/>
          </w:tcPr>
          <w:p>
            <w:pPr>
              <w:pStyle w:val="183"/>
              <w:jc w:val="center"/>
              <w:rPr>
                <w:rFonts w:ascii="宋体" w:hAnsi="宋体" w:cs="宋体"/>
                <w:color w:val="auto"/>
                <w:highlight w:val="none"/>
              </w:rPr>
            </w:pPr>
            <w:r>
              <w:rPr>
                <w:rFonts w:hint="eastAsia" w:ascii="宋体" w:hAnsi="宋体"/>
                <w:color w:val="auto"/>
                <w:szCs w:val="21"/>
                <w:highlight w:val="none"/>
              </w:rPr>
              <w:t>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82" w:hRule="atLeast"/>
          <w:jc w:val="center"/>
        </w:trPr>
        <w:tc>
          <w:tcPr>
            <w:tcW w:w="525" w:type="dxa"/>
            <w:vAlign w:val="center"/>
          </w:tcPr>
          <w:p>
            <w:pPr>
              <w:snapToGrid w:val="0"/>
              <w:jc w:val="center"/>
              <w:rPr>
                <w:rFonts w:ascii="宋体" w:hAnsi="宋体" w:cs="宋体"/>
                <w:color w:val="auto"/>
                <w:highlight w:val="none"/>
              </w:rPr>
            </w:pPr>
            <w:r>
              <w:rPr>
                <w:rFonts w:hint="eastAsia" w:ascii="宋体" w:hAnsi="宋体" w:cs="宋体"/>
                <w:color w:val="auto"/>
                <w:highlight w:val="none"/>
              </w:rPr>
              <w:t>2</w:t>
            </w:r>
          </w:p>
        </w:tc>
        <w:tc>
          <w:tcPr>
            <w:tcW w:w="1075" w:type="dxa"/>
            <w:vAlign w:val="center"/>
          </w:tcPr>
          <w:p>
            <w:pPr>
              <w:pStyle w:val="183"/>
              <w:rPr>
                <w:rFonts w:ascii="宋体" w:hAnsi="宋体" w:cs="宋体"/>
                <w:color w:val="auto"/>
                <w:highlight w:val="none"/>
              </w:rPr>
            </w:pPr>
            <w:r>
              <w:rPr>
                <w:rFonts w:hint="eastAsia" w:ascii="宋体" w:hAnsi="宋体"/>
                <w:color w:val="auto"/>
                <w:szCs w:val="21"/>
                <w:highlight w:val="none"/>
                <w:lang w:val="en-GB"/>
              </w:rPr>
              <w:t>产品性能</w:t>
            </w:r>
          </w:p>
        </w:tc>
        <w:tc>
          <w:tcPr>
            <w:tcW w:w="6983" w:type="dxa"/>
            <w:tcBorders>
              <w:top w:val="single" w:color="auto" w:sz="4" w:space="0"/>
            </w:tcBorders>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1.使用的材料完全符合招标技术参数要求且优质环保，性能优异的实芯理化台面及本项目内的其他配套产品质量证明文件齐全，得3分；</w:t>
            </w:r>
          </w:p>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2.使用的材料基本符合招标技术参数要求且环保，性能一般的实芯理化台面及本项目内的其他配套产品质量证明文件不齐全，得1分；</w:t>
            </w:r>
          </w:p>
          <w:p>
            <w:pPr>
              <w:rPr>
                <w:rFonts w:ascii="宋体" w:hAnsi="宋体" w:cs="宋体"/>
                <w:color w:val="auto"/>
                <w:highlight w:val="none"/>
              </w:rPr>
            </w:pPr>
            <w:r>
              <w:rPr>
                <w:rFonts w:hint="eastAsia" w:ascii="宋体" w:hAnsi="宋体" w:cs="宋体"/>
                <w:color w:val="auto"/>
                <w:kern w:val="0"/>
                <w:szCs w:val="21"/>
                <w:highlight w:val="none"/>
              </w:rPr>
              <w:t>3.其他不得分。</w:t>
            </w:r>
          </w:p>
        </w:tc>
        <w:tc>
          <w:tcPr>
            <w:tcW w:w="948" w:type="dxa"/>
            <w:tcBorders>
              <w:top w:val="single" w:color="auto" w:sz="4" w:space="0"/>
              <w:bottom w:val="single" w:color="auto" w:sz="4" w:space="0"/>
            </w:tcBorders>
            <w:vAlign w:val="center"/>
          </w:tcPr>
          <w:p>
            <w:pPr>
              <w:pStyle w:val="183"/>
              <w:jc w:val="center"/>
              <w:rPr>
                <w:rFonts w:ascii="宋体" w:hAnsi="宋体" w:cs="宋体"/>
                <w:color w:val="auto"/>
                <w:highlight w:val="none"/>
              </w:rPr>
            </w:pPr>
            <w:r>
              <w:rPr>
                <w:rFonts w:hint="eastAsia" w:ascii="宋体" w:hAnsi="宋体"/>
                <w:color w:val="auto"/>
                <w:szCs w:val="21"/>
                <w:highlight w:val="none"/>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6" w:hRule="atLeast"/>
          <w:jc w:val="center"/>
        </w:trPr>
        <w:tc>
          <w:tcPr>
            <w:tcW w:w="525" w:type="dxa"/>
            <w:vMerge w:val="restart"/>
            <w:tcBorders>
              <w:top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w:t>
            </w:r>
          </w:p>
        </w:tc>
        <w:tc>
          <w:tcPr>
            <w:tcW w:w="1075" w:type="dxa"/>
            <w:vMerge w:val="restart"/>
            <w:tcBorders>
              <w:top w:val="single" w:color="auto" w:sz="4" w:space="0"/>
            </w:tcBorders>
            <w:vAlign w:val="center"/>
          </w:tcPr>
          <w:p>
            <w:pPr>
              <w:pStyle w:val="183"/>
              <w:jc w:val="center"/>
              <w:rPr>
                <w:rFonts w:ascii="宋体" w:hAnsi="宋体" w:cs="宋体"/>
                <w:color w:val="auto"/>
                <w:highlight w:val="none"/>
              </w:rPr>
            </w:pPr>
            <w:r>
              <w:rPr>
                <w:rFonts w:hint="eastAsia" w:ascii="宋体" w:hAnsi="宋体"/>
                <w:color w:val="auto"/>
                <w:szCs w:val="21"/>
                <w:highlight w:val="none"/>
              </w:rPr>
              <w:t>所投台面质量保证情况</w:t>
            </w:r>
          </w:p>
        </w:tc>
        <w:tc>
          <w:tcPr>
            <w:tcW w:w="6983" w:type="dxa"/>
            <w:tcBorders>
              <w:top w:val="single" w:color="auto" w:sz="4" w:space="0"/>
              <w:bottom w:val="single" w:color="auto" w:sz="4" w:space="0"/>
            </w:tcBorders>
            <w:vAlign w:val="center"/>
          </w:tcPr>
          <w:p>
            <w:pPr>
              <w:adjustRightInd w:val="0"/>
              <w:snapToGrid w:val="0"/>
              <w:jc w:val="left"/>
              <w:rPr>
                <w:rFonts w:ascii="宋体" w:hAnsi="宋体" w:cs="仿宋_GB2312"/>
                <w:color w:val="auto"/>
                <w:szCs w:val="21"/>
                <w:highlight w:val="none"/>
              </w:rPr>
            </w:pPr>
            <w:r>
              <w:rPr>
                <w:rFonts w:hint="eastAsia" w:ascii="宋体" w:hAnsi="宋体" w:cs="仿宋_GB2312"/>
                <w:color w:val="auto"/>
                <w:szCs w:val="21"/>
                <w:highlight w:val="none"/>
              </w:rPr>
              <w:t>所投台面经国家标准GB/T 17657-2013人造板及饰面人造板理化性能试验方法（4.41表面耐污染性能测定--方法2中室温24H测试条件）进行检测，对37%盐酸；65%硝酸，40%氢氧化钠，98%硫酸，99%乙酸，85%磷酸，48%氢氟酸，37%甲醛，3%双氧水，苯酚，四氯化碳，硫化钠饱和液等12种强酸强碱化学试剂分级检验结果为达到级别5级的，全部达到以上要求的得</w:t>
            </w:r>
            <w:r>
              <w:rPr>
                <w:rFonts w:hint="eastAsia" w:ascii="宋体" w:hAnsi="宋体" w:cs="仿宋_GB2312"/>
                <w:color w:val="auto"/>
                <w:szCs w:val="21"/>
                <w:highlight w:val="none"/>
                <w:lang w:val="en-US" w:eastAsia="zh-CN"/>
              </w:rPr>
              <w:t>3</w:t>
            </w:r>
            <w:r>
              <w:rPr>
                <w:rFonts w:hint="eastAsia" w:ascii="宋体" w:hAnsi="宋体" w:cs="仿宋_GB2312"/>
                <w:color w:val="auto"/>
                <w:szCs w:val="21"/>
                <w:highlight w:val="none"/>
              </w:rPr>
              <w:t>分，其他不得分。（提供由市级或市级以上有资质的第三方检测机构出具的检测报告复印件，不提供不得分)</w:t>
            </w:r>
          </w:p>
        </w:tc>
        <w:tc>
          <w:tcPr>
            <w:tcW w:w="948" w:type="dxa"/>
            <w:vMerge w:val="restart"/>
            <w:tcBorders>
              <w:top w:val="single" w:color="auto" w:sz="4" w:space="0"/>
            </w:tcBorders>
            <w:vAlign w:val="center"/>
          </w:tcPr>
          <w:p>
            <w:pPr>
              <w:pStyle w:val="183"/>
              <w:jc w:val="center"/>
              <w:rPr>
                <w:rFonts w:ascii="宋体" w:hAnsi="宋体" w:cs="宋体"/>
                <w:color w:val="auto"/>
                <w:highlight w:val="none"/>
              </w:rPr>
            </w:pPr>
            <w:r>
              <w:rPr>
                <w:rFonts w:hint="eastAsia" w:ascii="宋体" w:hAnsi="宋体"/>
                <w:color w:val="auto"/>
                <w:szCs w:val="21"/>
                <w:highlight w:val="none"/>
              </w:rPr>
              <w:t>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68" w:hRule="atLeast"/>
          <w:jc w:val="center"/>
        </w:trPr>
        <w:tc>
          <w:tcPr>
            <w:tcW w:w="525" w:type="dxa"/>
            <w:vMerge w:val="continue"/>
            <w:tcBorders>
              <w:top w:val="single" w:color="auto" w:sz="4" w:space="0"/>
            </w:tcBorders>
            <w:vAlign w:val="center"/>
          </w:tcPr>
          <w:p>
            <w:pPr>
              <w:snapToGrid w:val="0"/>
              <w:jc w:val="center"/>
              <w:rPr>
                <w:rFonts w:ascii="宋体" w:hAnsi="宋体" w:cs="宋体"/>
                <w:color w:val="auto"/>
                <w:highlight w:val="none"/>
              </w:rPr>
            </w:pPr>
          </w:p>
        </w:tc>
        <w:tc>
          <w:tcPr>
            <w:tcW w:w="1075" w:type="dxa"/>
            <w:vMerge w:val="continue"/>
            <w:tcBorders>
              <w:top w:val="single" w:color="auto" w:sz="4" w:space="0"/>
            </w:tcBorders>
            <w:vAlign w:val="center"/>
          </w:tcPr>
          <w:p>
            <w:pPr>
              <w:pStyle w:val="183"/>
              <w:jc w:val="center"/>
              <w:rPr>
                <w:rFonts w:ascii="宋体" w:hAnsi="宋体"/>
                <w:color w:val="auto"/>
                <w:szCs w:val="21"/>
                <w:highlight w:val="none"/>
              </w:rPr>
            </w:pPr>
          </w:p>
        </w:tc>
        <w:tc>
          <w:tcPr>
            <w:tcW w:w="6983" w:type="dxa"/>
            <w:tcBorders>
              <w:top w:val="single" w:color="auto" w:sz="4" w:space="0"/>
              <w:bottom w:val="single" w:color="auto" w:sz="4" w:space="0"/>
            </w:tcBorders>
            <w:vAlign w:val="center"/>
          </w:tcPr>
          <w:p>
            <w:pPr>
              <w:rPr>
                <w:color w:val="auto"/>
                <w:highlight w:val="none"/>
              </w:rPr>
            </w:pPr>
            <w:r>
              <w:rPr>
                <w:rFonts w:hint="eastAsia"/>
                <w:color w:val="auto"/>
                <w:highlight w:val="none"/>
              </w:rPr>
              <w:t>抗菌性能：检测依据与方法，ISO22196:2011塑料与其他无孔表面抗菌活性的测定。具备抗微生物等抗菌性能要求且长期有效，按照GBT24128-2009塑料防霉性能试验方法。</w:t>
            </w:r>
          </w:p>
          <w:p>
            <w:pPr>
              <w:rPr>
                <w:color w:val="auto"/>
                <w:highlight w:val="none"/>
              </w:rPr>
            </w:pPr>
            <w:r>
              <w:rPr>
                <w:rFonts w:hint="eastAsia"/>
                <w:color w:val="auto"/>
                <w:highlight w:val="none"/>
              </w:rPr>
              <w:t>大肠杆菌 ATCC 8739、金黄色葡萄球菌ATCC 6538P、肺炎克雷伯氏菌ATCC  4352、白色念珠菌ATCC 10231、抗菌活性值&gt;3.4，抗菌率&gt;99.9%以上；</w:t>
            </w:r>
            <w:r>
              <w:rPr>
                <w:rFonts w:hint="eastAsia" w:ascii="宋体" w:hAnsi="宋体" w:cs="仿宋_GB2312"/>
                <w:color w:val="auto"/>
                <w:szCs w:val="21"/>
                <w:highlight w:val="none"/>
              </w:rPr>
              <w:t>全部达到以上要求的得</w:t>
            </w:r>
            <w:r>
              <w:rPr>
                <w:rFonts w:hint="eastAsia" w:ascii="宋体" w:hAnsi="宋体" w:cs="仿宋_GB2312"/>
                <w:color w:val="auto"/>
                <w:szCs w:val="21"/>
                <w:highlight w:val="none"/>
                <w:lang w:val="en-US" w:eastAsia="zh-CN"/>
              </w:rPr>
              <w:t>3</w:t>
            </w:r>
            <w:r>
              <w:rPr>
                <w:rFonts w:hint="eastAsia" w:ascii="宋体" w:hAnsi="宋体" w:cs="仿宋_GB2312"/>
                <w:color w:val="auto"/>
                <w:szCs w:val="21"/>
                <w:highlight w:val="none"/>
              </w:rPr>
              <w:t>分，其他不得分。（提供由市级或市级以上有资质的第三方检测机构出具的检测报告复印件，不提供不得分)</w:t>
            </w:r>
          </w:p>
        </w:tc>
        <w:tc>
          <w:tcPr>
            <w:tcW w:w="948" w:type="dxa"/>
            <w:vMerge w:val="continue"/>
            <w:tcBorders>
              <w:top w:val="single" w:color="auto" w:sz="4" w:space="0"/>
            </w:tcBorders>
            <w:vAlign w:val="center"/>
          </w:tcPr>
          <w:p>
            <w:pPr>
              <w:pStyle w:val="183"/>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82" w:hRule="atLeast"/>
          <w:jc w:val="center"/>
        </w:trPr>
        <w:tc>
          <w:tcPr>
            <w:tcW w:w="525"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4</w:t>
            </w:r>
          </w:p>
        </w:tc>
        <w:tc>
          <w:tcPr>
            <w:tcW w:w="1075" w:type="dxa"/>
            <w:tcBorders>
              <w:top w:val="single" w:color="auto" w:sz="4" w:space="0"/>
              <w:bottom w:val="single" w:color="auto" w:sz="4" w:space="0"/>
            </w:tcBorders>
            <w:vAlign w:val="center"/>
          </w:tcPr>
          <w:p>
            <w:pPr>
              <w:jc w:val="center"/>
              <w:rPr>
                <w:rFonts w:ascii="宋体" w:hAnsi="宋体" w:cs="宋体"/>
                <w:color w:val="auto"/>
                <w:highlight w:val="none"/>
              </w:rPr>
            </w:pPr>
            <w:r>
              <w:rPr>
                <w:rFonts w:hint="eastAsia" w:cs="宋体"/>
                <w:color w:val="auto"/>
                <w:kern w:val="0"/>
                <w:szCs w:val="21"/>
                <w:highlight w:val="none"/>
              </w:rPr>
              <w:t>售后服务方案</w:t>
            </w:r>
          </w:p>
        </w:tc>
        <w:tc>
          <w:tcPr>
            <w:tcW w:w="6983" w:type="dxa"/>
            <w:tcBorders>
              <w:top w:val="single" w:color="auto" w:sz="4" w:space="0"/>
              <w:bottom w:val="single" w:color="auto" w:sz="4" w:space="0"/>
            </w:tcBorders>
            <w:vAlign w:val="center"/>
          </w:tcPr>
          <w:p>
            <w:pPr>
              <w:widowControl/>
              <w:jc w:val="left"/>
              <w:rPr>
                <w:rFonts w:ascii="宋体" w:hAnsi="宋体"/>
                <w:color w:val="auto"/>
                <w:szCs w:val="21"/>
                <w:highlight w:val="none"/>
                <w:lang w:val="zh-CN"/>
              </w:rPr>
            </w:pPr>
            <w:r>
              <w:rPr>
                <w:rFonts w:hint="eastAsia" w:ascii="宋体" w:hAnsi="宋体"/>
                <w:color w:val="auto"/>
                <w:szCs w:val="21"/>
                <w:highlight w:val="none"/>
                <w:lang w:val="zh-CN"/>
              </w:rPr>
              <w:t>对比投标人对本项目售后服务要求的响应情况：</w:t>
            </w:r>
          </w:p>
          <w:p>
            <w:pPr>
              <w:widowControl/>
              <w:jc w:val="left"/>
              <w:rPr>
                <w:rFonts w:cs="宋体"/>
                <w:color w:val="auto"/>
                <w:kern w:val="0"/>
                <w:szCs w:val="21"/>
                <w:highlight w:val="none"/>
              </w:rPr>
            </w:pPr>
            <w:r>
              <w:rPr>
                <w:rFonts w:hint="eastAsia" w:ascii="宋体" w:hAnsi="宋体"/>
                <w:color w:val="auto"/>
                <w:szCs w:val="21"/>
                <w:highlight w:val="none"/>
              </w:rPr>
              <w:t>1.</w:t>
            </w:r>
            <w:r>
              <w:rPr>
                <w:rFonts w:hint="eastAsia" w:ascii="宋体" w:hAnsi="宋体" w:cs="宋体"/>
                <w:color w:val="auto"/>
                <w:szCs w:val="21"/>
                <w:highlight w:val="none"/>
                <w:lang w:val="zh-CN"/>
              </w:rPr>
              <w:t>完全满足或优于招标要求的，</w:t>
            </w:r>
            <w:r>
              <w:rPr>
                <w:rFonts w:hint="eastAsia" w:cs="宋体"/>
                <w:color w:val="auto"/>
                <w:kern w:val="0"/>
                <w:szCs w:val="21"/>
                <w:highlight w:val="none"/>
              </w:rPr>
              <w:t>提供详尽的售后服务方案，实施步骤清晰，承诺细致、满足用户要求，得7分。</w:t>
            </w:r>
          </w:p>
          <w:p>
            <w:pPr>
              <w:widowControl/>
              <w:jc w:val="left"/>
              <w:rPr>
                <w:rFonts w:cs="宋体"/>
                <w:color w:val="auto"/>
                <w:kern w:val="0"/>
                <w:szCs w:val="21"/>
                <w:highlight w:val="none"/>
              </w:rPr>
            </w:pPr>
            <w:r>
              <w:rPr>
                <w:rFonts w:hint="eastAsia" w:cs="宋体"/>
                <w:color w:val="auto"/>
                <w:kern w:val="0"/>
                <w:szCs w:val="21"/>
                <w:highlight w:val="none"/>
              </w:rPr>
              <w:t>2.有提供售后服务方案，但叙述一般，步骤较清晰，承诺一般、满足用户要求一般，得4分。</w:t>
            </w:r>
          </w:p>
          <w:p>
            <w:pPr>
              <w:widowControl/>
              <w:jc w:val="left"/>
              <w:rPr>
                <w:rFonts w:cs="宋体"/>
                <w:color w:val="auto"/>
                <w:kern w:val="0"/>
                <w:szCs w:val="21"/>
                <w:highlight w:val="none"/>
              </w:rPr>
            </w:pPr>
            <w:r>
              <w:rPr>
                <w:rFonts w:hint="eastAsia" w:cs="宋体"/>
                <w:color w:val="auto"/>
                <w:kern w:val="0"/>
                <w:szCs w:val="21"/>
                <w:highlight w:val="none"/>
              </w:rPr>
              <w:t>3.有提供售后服务方案，但叙述不强，步骤不清晰，承诺不完整、满足用户要求较差，得1分。</w:t>
            </w:r>
          </w:p>
          <w:p>
            <w:pPr>
              <w:jc w:val="left"/>
              <w:rPr>
                <w:rFonts w:ascii="宋体" w:hAnsi="宋体" w:cs="宋体"/>
                <w:color w:val="auto"/>
                <w:highlight w:val="none"/>
              </w:rPr>
            </w:pPr>
            <w:r>
              <w:rPr>
                <w:rFonts w:hint="eastAsia" w:cs="宋体"/>
                <w:color w:val="auto"/>
                <w:kern w:val="0"/>
                <w:szCs w:val="21"/>
                <w:highlight w:val="none"/>
              </w:rPr>
              <w:t>4.其他不得分。</w:t>
            </w:r>
          </w:p>
        </w:tc>
        <w:tc>
          <w:tcPr>
            <w:tcW w:w="948" w:type="dxa"/>
            <w:tcBorders>
              <w:top w:val="single" w:color="auto" w:sz="4" w:space="0"/>
              <w:bottom w:val="single" w:color="auto" w:sz="4" w:space="0"/>
            </w:tcBorders>
            <w:vAlign w:val="center"/>
          </w:tcPr>
          <w:p>
            <w:pPr>
              <w:jc w:val="center"/>
              <w:rPr>
                <w:rFonts w:ascii="宋体" w:hAnsi="宋体" w:cs="宋体"/>
                <w:color w:val="auto"/>
                <w:highlight w:val="none"/>
              </w:rPr>
            </w:pPr>
            <w:r>
              <w:rPr>
                <w:rFonts w:hint="eastAsia" w:ascii="宋体" w:hAnsi="宋体"/>
                <w:color w:val="auto"/>
                <w:szCs w:val="21"/>
                <w:highlight w:val="none"/>
              </w:rPr>
              <w:t>7</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0" w:hRule="atLeast"/>
          <w:jc w:val="center"/>
        </w:trPr>
        <w:tc>
          <w:tcPr>
            <w:tcW w:w="525"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5</w:t>
            </w:r>
          </w:p>
        </w:tc>
        <w:tc>
          <w:tcPr>
            <w:tcW w:w="1075" w:type="dxa"/>
            <w:tcBorders>
              <w:top w:val="single" w:color="auto" w:sz="4" w:space="0"/>
              <w:bottom w:val="single" w:color="auto" w:sz="4" w:space="0"/>
            </w:tcBorders>
            <w:vAlign w:val="center"/>
          </w:tcPr>
          <w:p>
            <w:pPr>
              <w:jc w:val="center"/>
              <w:rPr>
                <w:rFonts w:ascii="宋体" w:hAnsi="宋体" w:cs="宋体"/>
                <w:color w:val="auto"/>
                <w:highlight w:val="none"/>
              </w:rPr>
            </w:pPr>
            <w:r>
              <w:rPr>
                <w:rFonts w:hint="eastAsia" w:cs="宋体"/>
                <w:color w:val="auto"/>
                <w:kern w:val="0"/>
                <w:szCs w:val="21"/>
                <w:highlight w:val="none"/>
              </w:rPr>
              <w:t>质量保修期年限</w:t>
            </w:r>
          </w:p>
        </w:tc>
        <w:tc>
          <w:tcPr>
            <w:tcW w:w="6983"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本项目竞争性磋商文件规定的质量保修期不低</w:t>
            </w:r>
            <w:r>
              <w:rPr>
                <w:rFonts w:hint="eastAsia" w:cs="宋体"/>
                <w:color w:val="auto"/>
                <w:kern w:val="0"/>
                <w:szCs w:val="21"/>
                <w:highlight w:val="none"/>
              </w:rPr>
              <w:t>于一年，每增</w:t>
            </w:r>
            <w:r>
              <w:rPr>
                <w:rFonts w:hint="eastAsia" w:cs="宋体"/>
                <w:color w:val="auto"/>
                <w:kern w:val="0"/>
                <w:szCs w:val="21"/>
                <w:highlight w:val="none"/>
              </w:rPr>
              <w:t>加一年得1分。</w:t>
            </w:r>
          </w:p>
          <w:p>
            <w:pPr>
              <w:jc w:val="left"/>
              <w:rPr>
                <w:rFonts w:ascii="宋体" w:hAnsi="宋体" w:cs="宋体"/>
                <w:color w:val="auto"/>
                <w:highlight w:val="none"/>
              </w:rPr>
            </w:pPr>
            <w:r>
              <w:rPr>
                <w:rFonts w:hint="eastAsia" w:cs="宋体"/>
                <w:color w:val="auto"/>
                <w:kern w:val="0"/>
                <w:szCs w:val="21"/>
                <w:highlight w:val="none"/>
              </w:rPr>
              <w:t>此项满分为3分。</w:t>
            </w:r>
          </w:p>
        </w:tc>
        <w:tc>
          <w:tcPr>
            <w:tcW w:w="948" w:type="dxa"/>
            <w:tcBorders>
              <w:top w:val="single" w:color="auto" w:sz="4" w:space="0"/>
              <w:bottom w:val="single" w:color="auto" w:sz="4" w:space="0"/>
            </w:tcBorders>
            <w:vAlign w:val="center"/>
          </w:tcPr>
          <w:p>
            <w:pPr>
              <w:jc w:val="center"/>
              <w:rPr>
                <w:rFonts w:ascii="宋体" w:hAnsi="宋体" w:cs="宋体"/>
                <w:color w:val="auto"/>
                <w:highlight w:val="none"/>
              </w:rPr>
            </w:pPr>
            <w:r>
              <w:rPr>
                <w:rFonts w:hint="eastAsia" w:ascii="宋体" w:hAnsi="宋体"/>
                <w:color w:val="auto"/>
                <w:szCs w:val="21"/>
                <w:highlight w:val="none"/>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4" w:hRule="atLeast"/>
          <w:jc w:val="center"/>
        </w:trPr>
        <w:tc>
          <w:tcPr>
            <w:tcW w:w="525"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6</w:t>
            </w:r>
          </w:p>
        </w:tc>
        <w:tc>
          <w:tcPr>
            <w:tcW w:w="1075" w:type="dxa"/>
            <w:tcBorders>
              <w:top w:val="single" w:color="auto" w:sz="4" w:space="0"/>
              <w:bottom w:val="single" w:color="auto" w:sz="4" w:space="0"/>
            </w:tcBorders>
            <w:vAlign w:val="center"/>
          </w:tcPr>
          <w:p>
            <w:pPr>
              <w:pStyle w:val="183"/>
              <w:jc w:val="center"/>
              <w:rPr>
                <w:rFonts w:ascii="宋体" w:hAnsi="宋体" w:cs="宋体"/>
                <w:color w:val="auto"/>
                <w:highlight w:val="none"/>
              </w:rPr>
            </w:pPr>
            <w:r>
              <w:rPr>
                <w:rFonts w:hint="eastAsia" w:cs="宋体"/>
                <w:color w:val="auto"/>
                <w:kern w:val="0"/>
                <w:szCs w:val="21"/>
                <w:highlight w:val="none"/>
              </w:rPr>
              <w:t>售后服务响应时间</w:t>
            </w:r>
          </w:p>
        </w:tc>
        <w:tc>
          <w:tcPr>
            <w:tcW w:w="6983"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1.售后服务响应时间最快能到达现场的，得3分。</w:t>
            </w:r>
          </w:p>
          <w:p>
            <w:pPr>
              <w:widowControl/>
              <w:jc w:val="left"/>
              <w:rPr>
                <w:rFonts w:cs="宋体"/>
                <w:color w:val="auto"/>
                <w:kern w:val="0"/>
                <w:szCs w:val="21"/>
                <w:highlight w:val="none"/>
              </w:rPr>
            </w:pPr>
            <w:r>
              <w:rPr>
                <w:rFonts w:hint="eastAsia" w:cs="宋体"/>
                <w:color w:val="auto"/>
                <w:kern w:val="0"/>
                <w:szCs w:val="21"/>
                <w:highlight w:val="none"/>
              </w:rPr>
              <w:t>2.售后服务响应时间比较快能到达现场的，得2分。</w:t>
            </w:r>
          </w:p>
          <w:p>
            <w:pPr>
              <w:widowControl/>
              <w:jc w:val="left"/>
              <w:rPr>
                <w:rFonts w:cs="宋体"/>
                <w:color w:val="auto"/>
                <w:kern w:val="0"/>
                <w:szCs w:val="21"/>
                <w:highlight w:val="none"/>
              </w:rPr>
            </w:pPr>
            <w:r>
              <w:rPr>
                <w:rFonts w:hint="eastAsia" w:cs="宋体"/>
                <w:color w:val="auto"/>
                <w:kern w:val="0"/>
                <w:szCs w:val="21"/>
                <w:highlight w:val="none"/>
              </w:rPr>
              <w:t>3.售后服务响应时间一般，得1分。</w:t>
            </w:r>
          </w:p>
          <w:p>
            <w:pPr>
              <w:rPr>
                <w:rFonts w:ascii="宋体" w:hAnsi="宋体" w:cs="宋体"/>
                <w:color w:val="auto"/>
                <w:highlight w:val="none"/>
              </w:rPr>
            </w:pPr>
            <w:r>
              <w:rPr>
                <w:rFonts w:hint="eastAsia" w:cs="宋体"/>
                <w:color w:val="auto"/>
                <w:kern w:val="0"/>
                <w:szCs w:val="21"/>
                <w:highlight w:val="none"/>
              </w:rPr>
              <w:t>4.其他不得分。</w:t>
            </w:r>
          </w:p>
        </w:tc>
        <w:tc>
          <w:tcPr>
            <w:tcW w:w="948" w:type="dxa"/>
            <w:tcBorders>
              <w:top w:val="single" w:color="auto" w:sz="4" w:space="0"/>
              <w:bottom w:val="single" w:color="auto" w:sz="4" w:space="0"/>
            </w:tcBorders>
            <w:vAlign w:val="center"/>
          </w:tcPr>
          <w:p>
            <w:pPr>
              <w:pStyle w:val="183"/>
              <w:jc w:val="center"/>
              <w:rPr>
                <w:rFonts w:ascii="宋体" w:hAnsi="宋体" w:cs="宋体"/>
                <w:color w:val="auto"/>
                <w:highlight w:val="none"/>
              </w:rPr>
            </w:pPr>
            <w:r>
              <w:rPr>
                <w:rFonts w:hint="eastAsia" w:ascii="宋体" w:hAnsi="宋体"/>
                <w:color w:val="auto"/>
                <w:szCs w:val="21"/>
                <w:highlight w:val="none"/>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25"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7</w:t>
            </w:r>
          </w:p>
        </w:tc>
        <w:tc>
          <w:tcPr>
            <w:tcW w:w="1075" w:type="dxa"/>
            <w:tcBorders>
              <w:top w:val="single" w:color="auto" w:sz="4" w:space="0"/>
              <w:bottom w:val="single" w:color="auto" w:sz="4" w:space="0"/>
            </w:tcBorders>
            <w:vAlign w:val="center"/>
          </w:tcPr>
          <w:p>
            <w:pPr>
              <w:pStyle w:val="183"/>
              <w:jc w:val="center"/>
              <w:rPr>
                <w:rFonts w:ascii="宋体" w:hAnsi="宋体" w:cs="宋体"/>
                <w:color w:val="auto"/>
                <w:highlight w:val="none"/>
              </w:rPr>
            </w:pPr>
            <w:r>
              <w:rPr>
                <w:rFonts w:hint="eastAsia" w:cs="宋体"/>
                <w:color w:val="auto"/>
                <w:kern w:val="0"/>
                <w:szCs w:val="21"/>
                <w:highlight w:val="none"/>
              </w:rPr>
              <w:t>培训计划</w:t>
            </w:r>
          </w:p>
        </w:tc>
        <w:tc>
          <w:tcPr>
            <w:tcW w:w="6983"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1.有提供免费培训计划,实施方案内容详尽可实施操作性强，得2分。</w:t>
            </w:r>
          </w:p>
          <w:p>
            <w:pPr>
              <w:widowControl/>
              <w:jc w:val="left"/>
              <w:rPr>
                <w:rFonts w:cs="宋体"/>
                <w:color w:val="auto"/>
                <w:kern w:val="0"/>
                <w:szCs w:val="21"/>
                <w:highlight w:val="none"/>
              </w:rPr>
            </w:pPr>
            <w:r>
              <w:rPr>
                <w:rFonts w:hint="eastAsia" w:cs="宋体"/>
                <w:color w:val="auto"/>
                <w:kern w:val="0"/>
                <w:szCs w:val="21"/>
                <w:highlight w:val="none"/>
              </w:rPr>
              <w:t>2.有提供免费培训计划，实施方案内容不详尽可操作性差，得1分。</w:t>
            </w:r>
          </w:p>
          <w:p>
            <w:pPr>
              <w:widowControl/>
              <w:jc w:val="left"/>
              <w:rPr>
                <w:rFonts w:ascii="宋体" w:hAnsi="宋体" w:cs="宋体"/>
                <w:color w:val="auto"/>
                <w:highlight w:val="none"/>
              </w:rPr>
            </w:pPr>
            <w:r>
              <w:rPr>
                <w:rFonts w:hint="eastAsia" w:cs="宋体"/>
                <w:color w:val="auto"/>
                <w:kern w:val="0"/>
                <w:szCs w:val="21"/>
                <w:highlight w:val="none"/>
              </w:rPr>
              <w:t>3.其他不得分。</w:t>
            </w:r>
          </w:p>
        </w:tc>
        <w:tc>
          <w:tcPr>
            <w:tcW w:w="948" w:type="dxa"/>
            <w:tcBorders>
              <w:top w:val="single" w:color="auto" w:sz="4" w:space="0"/>
              <w:bottom w:val="single" w:color="auto" w:sz="4" w:space="0"/>
            </w:tcBorders>
            <w:vAlign w:val="center"/>
          </w:tcPr>
          <w:p>
            <w:pPr>
              <w:pStyle w:val="183"/>
              <w:jc w:val="center"/>
              <w:rPr>
                <w:rFonts w:ascii="宋体" w:hAnsi="宋体" w:cs="宋体"/>
                <w:color w:val="auto"/>
                <w:highlight w:val="none"/>
              </w:rPr>
            </w:pPr>
            <w:r>
              <w:rPr>
                <w:rFonts w:hint="eastAsia" w:ascii="宋体" w:hAnsi="宋体"/>
                <w:color w:val="auto"/>
                <w:szCs w:val="21"/>
                <w:highlight w:val="none"/>
              </w:rPr>
              <w:t>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8583" w:type="dxa"/>
            <w:gridSpan w:val="3"/>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合计</w:t>
            </w:r>
          </w:p>
        </w:tc>
        <w:tc>
          <w:tcPr>
            <w:tcW w:w="948"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30</w:t>
            </w:r>
          </w:p>
        </w:tc>
      </w:tr>
    </w:tbl>
    <w:p>
      <w:pPr>
        <w:snapToGrid w:val="0"/>
        <w:rPr>
          <w:rFonts w:hint="eastAsia" w:ascii="宋体" w:hAnsi="宋体" w:cs="宋体"/>
          <w:color w:val="auto"/>
          <w:highlight w:val="none"/>
        </w:rPr>
      </w:pPr>
      <w:r>
        <w:rPr>
          <w:rFonts w:hint="eastAsia" w:ascii="宋体" w:hAnsi="宋体" w:cs="宋体"/>
          <w:b/>
          <w:bCs/>
          <w:color w:val="auto"/>
          <w:highlight w:val="none"/>
        </w:rPr>
        <w:t>备注：竞争性磋商文件要求提交的与评价指标体系相关的各类有效资料，</w:t>
      </w:r>
      <w:r>
        <w:rPr>
          <w:rFonts w:hint="eastAsia" w:ascii="宋体" w:hAnsi="宋体" w:cs="宋体"/>
          <w:b/>
          <w:bCs/>
          <w:color w:val="auto"/>
          <w:highlight w:val="none"/>
          <w:lang w:eastAsia="zh-CN"/>
        </w:rPr>
        <w:t>报价人</w:t>
      </w:r>
      <w:r>
        <w:rPr>
          <w:rFonts w:hint="eastAsia" w:ascii="宋体" w:hAnsi="宋体" w:cs="宋体"/>
          <w:b/>
          <w:bCs/>
          <w:color w:val="auto"/>
          <w:highlight w:val="none"/>
        </w:rPr>
        <w:t>如未按要求提交，或提供的证明材料不全，或有有效期但不在有效期内，或提供的证明材料均不能反映相关评审内容的，该项不得分；</w:t>
      </w:r>
    </w:p>
    <w:p>
      <w:pPr>
        <w:tabs>
          <w:tab w:val="left" w:pos="720"/>
        </w:tabs>
        <w:snapToGrid w:val="0"/>
        <w:ind w:firstLine="210" w:firstLineChars="100"/>
        <w:rPr>
          <w:color w:val="auto"/>
          <w:highlight w:val="none"/>
        </w:rPr>
      </w:pPr>
      <w:r>
        <w:rPr>
          <w:rFonts w:hint="eastAsia" w:ascii="宋体" w:hAnsi="宋体" w:cs="宋体"/>
          <w:color w:val="auto"/>
          <w:highlight w:val="none"/>
        </w:rPr>
        <w:t>评委签名：                                                    日期：   年  月  日</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附件4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89"/>
        <w:tblW w:w="94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rPr>
              <w:t>有效</w:t>
            </w:r>
            <w:r>
              <w:rPr>
                <w:rFonts w:hint="eastAsia" w:ascii="宋体" w:hAnsi="宋体" w:cs="宋体"/>
                <w:color w:val="auto"/>
                <w:kern w:val="0"/>
                <w:szCs w:val="21"/>
                <w:highlight w:val="none"/>
                <w:lang w:eastAsia="zh-CN"/>
              </w:rPr>
              <w:t>报价人</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w:t>
      </w:r>
      <w:r>
        <w:rPr>
          <w:rFonts w:hint="eastAsia" w:ascii="宋体" w:hAnsi="宋体" w:cs="宋体"/>
          <w:b/>
          <w:color w:val="auto"/>
          <w:kern w:val="0"/>
          <w:szCs w:val="21"/>
          <w:highlight w:val="none"/>
          <w:lang w:eastAsia="zh-CN"/>
        </w:rPr>
        <w:t>报价人</w:t>
      </w:r>
      <w:r>
        <w:rPr>
          <w:rFonts w:hint="eastAsia" w:ascii="宋体" w:hAnsi="宋体" w:cs="宋体"/>
          <w:b/>
          <w:color w:val="auto"/>
          <w:kern w:val="0"/>
          <w:szCs w:val="21"/>
          <w:highlight w:val="none"/>
        </w:rPr>
        <w:t>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w:t>
      </w:r>
      <w:r>
        <w:rPr>
          <w:rFonts w:hint="eastAsia" w:ascii="宋体" w:hAnsi="宋体" w:cs="宋体"/>
          <w:b/>
          <w:color w:val="auto"/>
          <w:kern w:val="0"/>
          <w:szCs w:val="21"/>
          <w:highlight w:val="none"/>
          <w:lang w:eastAsia="zh-CN"/>
        </w:rPr>
        <w:t>报价人</w:t>
      </w:r>
      <w:r>
        <w:rPr>
          <w:rFonts w:hint="eastAsia" w:ascii="宋体" w:hAnsi="宋体" w:cs="宋体"/>
          <w:b/>
          <w:color w:val="auto"/>
          <w:kern w:val="0"/>
          <w:szCs w:val="21"/>
          <w:highlight w:val="none"/>
        </w:rPr>
        <w:t>的价格为磋商基准价，其价格分为满分。其他</w:t>
      </w:r>
      <w:r>
        <w:rPr>
          <w:rFonts w:hint="eastAsia" w:ascii="宋体" w:hAnsi="宋体" w:cs="宋体"/>
          <w:b/>
          <w:color w:val="auto"/>
          <w:kern w:val="0"/>
          <w:szCs w:val="21"/>
          <w:highlight w:val="none"/>
          <w:lang w:eastAsia="zh-CN"/>
        </w:rPr>
        <w:t>报价人</w:t>
      </w:r>
      <w:r>
        <w:rPr>
          <w:rFonts w:hint="eastAsia" w:ascii="宋体" w:hAnsi="宋体" w:cs="宋体"/>
          <w:b/>
          <w:color w:val="auto"/>
          <w:kern w:val="0"/>
          <w:szCs w:val="21"/>
          <w:highlight w:val="none"/>
        </w:rPr>
        <w:t>的价格分统一按照下列公式计算：</w:t>
      </w:r>
    </w:p>
    <w:p>
      <w:pPr>
        <w:adjustRightInd w:val="0"/>
        <w:snapToGrid w:val="0"/>
        <w:spacing w:line="360" w:lineRule="auto"/>
        <w:ind w:left="420"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3</w:t>
      </w:r>
      <w:r>
        <w:rPr>
          <w:rFonts w:hint="eastAsia" w:ascii="宋体" w:hAnsi="宋体" w:cs="宋体"/>
          <w:b/>
          <w:color w:val="auto"/>
          <w:kern w:val="0"/>
          <w:szCs w:val="21"/>
          <w:highlight w:val="none"/>
        </w:rPr>
        <w:t>、磋商报价得分四舍五入后，小数点后保留两位有效数。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4"/>
        <w:autoSpaceDE w:val="0"/>
        <w:rPr>
          <w:color w:val="auto"/>
          <w:sz w:val="44"/>
          <w:highlight w:val="none"/>
        </w:rPr>
      </w:pPr>
      <w:bookmarkStart w:id="344" w:name="_Toc320515058"/>
      <w:bookmarkStart w:id="345" w:name="_Toc475104537"/>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第六章 附  件（格式）</w:t>
      </w:r>
      <w:bookmarkEnd w:id="344"/>
      <w:bookmarkEnd w:id="345"/>
    </w:p>
    <w:p>
      <w:pPr>
        <w:spacing w:line="360" w:lineRule="auto"/>
        <w:rPr>
          <w:rFonts w:ascii="宋体" w:hAnsi="宋体"/>
          <w:bCs/>
          <w:color w:val="auto"/>
          <w:sz w:val="28"/>
          <w:highlight w:val="none"/>
        </w:rPr>
      </w:pPr>
      <w:bookmarkStart w:id="346" w:name="_Toc35834912"/>
      <w:bookmarkStart w:id="347" w:name="_Toc14450838"/>
      <w:bookmarkStart w:id="348" w:name="_Toc28489496"/>
      <w:bookmarkStart w:id="349" w:name="_Toc34535358"/>
      <w:bookmarkStart w:id="350" w:name="_Toc109467908"/>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rPr>
          <w:color w:val="auto"/>
          <w:szCs w:val="30"/>
          <w:highlight w:val="none"/>
        </w:rPr>
      </w:pPr>
      <w:bookmarkStart w:id="351" w:name="_Toc163481918"/>
      <w:r>
        <w:rPr>
          <w:rFonts w:hint="eastAsia"/>
          <w:color w:val="auto"/>
          <w:szCs w:val="30"/>
          <w:highlight w:val="none"/>
        </w:rPr>
        <w:br w:type="page"/>
      </w:r>
    </w:p>
    <w:p>
      <w:pPr>
        <w:pStyle w:val="5"/>
        <w:numPr>
          <w:ilvl w:val="0"/>
          <w:numId w:val="15"/>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磋商响应文件格式</w:t>
      </w:r>
      <w:bookmarkEnd w:id="351"/>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89"/>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kern w:val="0"/>
                <w:szCs w:val="21"/>
                <w:highlight w:val="none"/>
              </w:rPr>
            </w:pPr>
            <w:r>
              <w:rPr>
                <w:rFonts w:hint="eastAsia" w:ascii="宋体" w:hAnsi="宋体" w:eastAsia="宋体" w:cs="宋体"/>
                <w:color w:val="auto"/>
                <w:kern w:val="0"/>
                <w:szCs w:val="21"/>
                <w:highlight w:val="none"/>
              </w:rPr>
              <w:t>★具有独立承担民事责任的能力【提供法人或者其他组织的营业执照、组织机构代码证和税务登记证（或三证合一证明）等证明文件】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kern w:val="0"/>
                <w:szCs w:val="21"/>
                <w:highlight w:val="none"/>
              </w:rPr>
            </w:pPr>
            <w:r>
              <w:rPr>
                <w:rFonts w:hint="eastAsia" w:ascii="宋体" w:hAnsi="宋体" w:eastAsia="宋体" w:cs="宋体"/>
                <w:color w:val="auto"/>
                <w:kern w:val="0"/>
                <w:szCs w:val="21"/>
                <w:highlight w:val="none"/>
              </w:rPr>
              <w:t>★具有良好的商业信誉和健全的财务会计制度【提供2018年或2019年的财务状况报告或基本开户行（提供开户许可证）出具的资信证明复印件。如</w:t>
            </w:r>
            <w:r>
              <w:rPr>
                <w:rFonts w:hint="eastAsia" w:ascii="宋体" w:hAnsi="宋体" w:cs="宋体"/>
                <w:color w:val="auto"/>
                <w:kern w:val="0"/>
                <w:szCs w:val="21"/>
                <w:highlight w:val="none"/>
                <w:lang w:eastAsia="zh-CN"/>
              </w:rPr>
              <w:t>报价人</w:t>
            </w:r>
            <w:r>
              <w:rPr>
                <w:rFonts w:hint="eastAsia" w:ascii="宋体" w:hAnsi="宋体" w:eastAsia="宋体" w:cs="宋体"/>
                <w:color w:val="auto"/>
                <w:kern w:val="0"/>
                <w:szCs w:val="21"/>
                <w:highlight w:val="none"/>
              </w:rPr>
              <w:t>为新注册的，提供成立至今的月或季度财务状况报告复印件】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kern w:val="0"/>
                <w:szCs w:val="21"/>
                <w:highlight w:val="none"/>
              </w:rPr>
            </w:pPr>
            <w:r>
              <w:rPr>
                <w:rFonts w:hint="eastAsia" w:ascii="宋体" w:hAnsi="宋体" w:eastAsia="宋体" w:cs="宋体"/>
                <w:color w:val="auto"/>
                <w:kern w:val="0"/>
                <w:szCs w:val="21"/>
                <w:highlight w:val="none"/>
              </w:rPr>
              <w:t>★具有履行合同所必需的设备和专业技术能力【提供履行合同所必需的设备清单以及技术人员的名单材料】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kern w:val="0"/>
                <w:szCs w:val="21"/>
                <w:highlight w:val="none"/>
              </w:rPr>
            </w:pPr>
            <w:r>
              <w:rPr>
                <w:rFonts w:hint="eastAsia" w:ascii="宋体" w:hAnsi="宋体" w:eastAsia="宋体" w:cs="宋体"/>
                <w:color w:val="auto"/>
                <w:kern w:val="0"/>
                <w:szCs w:val="21"/>
                <w:highlight w:val="none"/>
              </w:rPr>
              <w:t>★有依法缴纳税收和社会保障资金的良好记录【提供缴纳税收和社会保险的凭证。如依法免税或不需要缴纳社会保障资金的，应提供相应文件证明】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kern w:val="0"/>
                <w:szCs w:val="21"/>
                <w:highlight w:val="none"/>
              </w:rPr>
            </w:pPr>
            <w:r>
              <w:rPr>
                <w:rFonts w:hint="eastAsia" w:ascii="宋体" w:hAnsi="宋体" w:eastAsia="宋体" w:cs="宋体"/>
                <w:color w:val="auto"/>
                <w:kern w:val="0"/>
                <w:szCs w:val="21"/>
                <w:highlight w:val="none"/>
              </w:rPr>
              <w:t>★参加政府采购活动前三年内，在经营活动中没有重大违法记录【提供书面声明】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lang w:eastAsia="zh-CN"/>
              </w:rPr>
              <w:t>报价人</w:t>
            </w:r>
            <w:r>
              <w:rPr>
                <w:rFonts w:hint="eastAsia" w:ascii="宋体" w:hAnsi="宋体" w:cs="宋体"/>
                <w:color w:val="auto"/>
                <w:kern w:val="0"/>
                <w:szCs w:val="21"/>
                <w:highlight w:val="none"/>
              </w:rPr>
              <w:t>《公平竞争承诺书》原件(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w:t>
            </w:r>
            <w:r>
              <w:rPr>
                <w:rFonts w:hint="eastAsia" w:ascii="宋体" w:hAnsi="宋体" w:cs="宋体"/>
                <w:color w:val="auto"/>
                <w:szCs w:val="20"/>
                <w:highlight w:val="none"/>
                <w:lang w:eastAsia="zh-CN"/>
              </w:rPr>
              <w:t>报价人</w:t>
            </w:r>
            <w:r>
              <w:rPr>
                <w:rFonts w:hint="eastAsia" w:ascii="宋体" w:hAnsi="宋体" w:cs="宋体"/>
                <w:color w:val="auto"/>
                <w:szCs w:val="20"/>
                <w:highlight w:val="none"/>
              </w:rPr>
              <w:t>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w:t>
            </w:r>
            <w:r>
              <w:rPr>
                <w:rFonts w:hint="eastAsia" w:ascii="宋体" w:hAnsi="宋体" w:cs="宋体"/>
                <w:color w:val="auto"/>
                <w:szCs w:val="20"/>
                <w:highlight w:val="none"/>
                <w:lang w:eastAsia="zh-CN"/>
              </w:rPr>
              <w:t>报价人</w:t>
            </w:r>
            <w:r>
              <w:rPr>
                <w:rFonts w:hint="eastAsia" w:ascii="宋体" w:hAnsi="宋体" w:cs="宋体"/>
                <w:color w:val="auto"/>
                <w:szCs w:val="20"/>
                <w:highlight w:val="none"/>
              </w:rPr>
              <w:t>为非独立法人（即由合法法人依法建立的分公司），除了对</w:t>
            </w:r>
            <w:r>
              <w:rPr>
                <w:rFonts w:hint="eastAsia" w:ascii="宋体" w:hAnsi="宋体" w:cs="宋体"/>
                <w:color w:val="auto"/>
                <w:szCs w:val="20"/>
                <w:highlight w:val="none"/>
                <w:lang w:eastAsia="zh-CN"/>
              </w:rPr>
              <w:t>报价人</w:t>
            </w:r>
            <w:r>
              <w:rPr>
                <w:rFonts w:hint="eastAsia" w:ascii="宋体" w:hAnsi="宋体" w:cs="宋体"/>
                <w:color w:val="auto"/>
                <w:szCs w:val="20"/>
                <w:highlight w:val="none"/>
              </w:rPr>
              <w:t>进行信息查询外，同时对总公司的信息查询记录和证据截图或下载存档）。</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单位负责人为同一人或者存在直接控股、管理关系的不同</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，不得参加同一合同项下的政府采购活动。为采购项目提供整体设计、规范编制或者项目管理、监理、检测等服务的</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公平竞争承诺书（附件</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磋商分项报价表(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lang w:eastAsia="zh-CN"/>
              </w:rPr>
              <w:t>报价人</w:t>
            </w:r>
            <w:r>
              <w:rPr>
                <w:rFonts w:hint="eastAsia" w:ascii="宋体" w:hAnsi="宋体" w:cs="宋体"/>
                <w:color w:val="auto"/>
                <w:kern w:val="0"/>
                <w:szCs w:val="21"/>
                <w:highlight w:val="none"/>
              </w:rPr>
              <w:t>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同类项目业绩一览表(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缴交采购代理服务费承诺书( 附件18)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拟派本项目负责人及主要人员情况表（附件19)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实质性条款响应一览表（附件20）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eastAsia="宋体" w:cs="宋体"/>
                <w:color w:val="auto"/>
                <w:kern w:val="0"/>
                <w:szCs w:val="21"/>
                <w:highlight w:val="none"/>
              </w:rPr>
              <w:t>▲条款响应一览表（附件</w:t>
            </w:r>
            <w:r>
              <w:rPr>
                <w:rFonts w:hint="eastAsia" w:ascii="宋体" w:hAnsi="宋体" w:eastAsia="宋体" w:cs="宋体"/>
                <w:color w:val="auto"/>
                <w:kern w:val="0"/>
                <w:szCs w:val="21"/>
                <w:highlight w:val="none"/>
                <w:lang w:val="en-US" w:eastAsia="zh-CN"/>
              </w:rPr>
              <w:t>21</w:t>
            </w:r>
            <w:r>
              <w:rPr>
                <w:rFonts w:hint="eastAsia" w:ascii="宋体" w:hAnsi="宋体" w:eastAsia="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lang w:eastAsia="zh-CN"/>
              </w:rPr>
              <w:t>报价人</w:t>
            </w:r>
            <w:r>
              <w:rPr>
                <w:rFonts w:hint="eastAsia" w:ascii="宋体" w:hAnsi="宋体" w:cs="宋体"/>
                <w:color w:val="auto"/>
                <w:kern w:val="0"/>
                <w:szCs w:val="21"/>
                <w:highlight w:val="none"/>
              </w:rPr>
              <w:t>认为有必要说明的其他文件(附件2</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rPr>
          <w:color w:val="auto"/>
          <w:szCs w:val="30"/>
          <w:highlight w:val="none"/>
        </w:rPr>
      </w:pPr>
      <w:r>
        <w:rPr>
          <w:rFonts w:hint="eastAsia"/>
          <w:color w:val="auto"/>
          <w:szCs w:val="30"/>
          <w:highlight w:val="none"/>
        </w:rPr>
        <w:br w:type="page"/>
      </w:r>
    </w:p>
    <w:p>
      <w:pPr>
        <w:pStyle w:val="5"/>
        <w:numPr>
          <w:ilvl w:val="0"/>
          <w:numId w:val="15"/>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（3）</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w:t>
      </w:r>
      <w:r>
        <w:rPr>
          <w:rFonts w:hint="eastAsia" w:ascii="宋体" w:hAnsi="宋体"/>
          <w:color w:val="auto"/>
          <w:szCs w:val="21"/>
          <w:highlight w:val="none"/>
          <w:u w:val="single"/>
          <w:lang w:eastAsia="zh-CN"/>
        </w:rPr>
        <w:t>报价人</w:t>
      </w:r>
      <w:r>
        <w:rPr>
          <w:rFonts w:hint="eastAsia" w:ascii="宋体" w:hAnsi="宋体"/>
          <w:color w:val="auto"/>
          <w:szCs w:val="21"/>
          <w:highlight w:val="none"/>
          <w:u w:val="single"/>
        </w:rPr>
        <w:t>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w:t>
      </w:r>
      <w:r>
        <w:rPr>
          <w:rFonts w:hint="eastAsia" w:ascii="宋体" w:hAnsi="宋体"/>
          <w:color w:val="auto"/>
          <w:szCs w:val="21"/>
          <w:highlight w:val="none"/>
          <w:lang w:eastAsia="zh-CN"/>
        </w:rPr>
        <w:t>报价人</w:t>
      </w:r>
      <w:r>
        <w:rPr>
          <w:rFonts w:hint="eastAsia" w:ascii="宋体" w:hAnsi="宋体"/>
          <w:color w:val="auto"/>
          <w:szCs w:val="21"/>
          <w:highlight w:val="none"/>
        </w:rPr>
        <w:t>成交</w:t>
      </w:r>
      <w:r>
        <w:rPr>
          <w:rFonts w:hint="eastAsia" w:ascii="宋体" w:hAnsi="宋体"/>
          <w:color w:val="auto"/>
          <w:szCs w:val="21"/>
          <w:highlight w:val="none"/>
          <w:lang w:eastAsia="zh-CN"/>
        </w:rPr>
        <w:t>报价人</w:t>
      </w:r>
      <w:r>
        <w:rPr>
          <w:rFonts w:hint="eastAsia" w:ascii="宋体" w:hAnsi="宋体"/>
          <w:color w:val="auto"/>
          <w:szCs w:val="21"/>
          <w:highlight w:val="none"/>
        </w:rPr>
        <w:t>，有效期将延至合同终止日为止；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w:t>
      </w:r>
      <w:r>
        <w:rPr>
          <w:rFonts w:hint="eastAsia" w:ascii="宋体" w:hAnsi="宋体"/>
          <w:color w:val="auto"/>
          <w:szCs w:val="21"/>
          <w:highlight w:val="none"/>
          <w:lang w:eastAsia="zh-CN"/>
        </w:rPr>
        <w:t>报价人</w:t>
      </w:r>
      <w:r>
        <w:rPr>
          <w:rFonts w:hint="eastAsia" w:ascii="宋体" w:hAnsi="宋体"/>
          <w:color w:val="auto"/>
          <w:szCs w:val="21"/>
          <w:highlight w:val="none"/>
        </w:rPr>
        <w:t>成交</w:t>
      </w:r>
      <w:r>
        <w:rPr>
          <w:rFonts w:hint="eastAsia" w:ascii="宋体" w:hAnsi="宋体"/>
          <w:color w:val="auto"/>
          <w:szCs w:val="21"/>
          <w:highlight w:val="none"/>
          <w:lang w:eastAsia="zh-CN"/>
        </w:rPr>
        <w:t>报价人</w:t>
      </w:r>
      <w:r>
        <w:rPr>
          <w:rFonts w:hint="eastAsia" w:ascii="宋体" w:hAnsi="宋体"/>
          <w:color w:val="auto"/>
          <w:szCs w:val="21"/>
          <w:highlight w:val="none"/>
        </w:rPr>
        <w:t>，将保证履行竞争性磋商文件以及竞争性磋商文件修改书（如有的话）中的全部责任和义务，按质、按量、按期完成《合同》中的全部任务；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lang w:eastAsia="zh-CN"/>
        </w:rPr>
        <w:t>报价人</w:t>
      </w:r>
      <w:r>
        <w:rPr>
          <w:rFonts w:hint="eastAsia" w:ascii="宋体" w:hAnsi="宋体"/>
          <w:color w:val="auto"/>
          <w:szCs w:val="21"/>
          <w:highlight w:val="none"/>
        </w:rPr>
        <w:t>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日    期： 2020年  月  日</w:t>
      </w:r>
      <w:r>
        <w:rPr>
          <w:rFonts w:hint="eastAsia" w:ascii="宋体" w:hAnsi="宋体"/>
          <w:color w:val="auto"/>
          <w:highlight w:val="none"/>
        </w:rPr>
        <w:br w:type="page"/>
      </w:r>
      <w:bookmarkStart w:id="352" w:name="_Toc41448359"/>
      <w:bookmarkStart w:id="353" w:name="_Toc34535359"/>
      <w:bookmarkStart w:id="354" w:name="_Toc28489497"/>
      <w:bookmarkStart w:id="355" w:name="_Toc86065029"/>
      <w:bookmarkStart w:id="356" w:name="_Toc109467909"/>
      <w:bookmarkStart w:id="357" w:name="_Toc55816096"/>
      <w:bookmarkStart w:id="358" w:name="_Toc35834913"/>
      <w:bookmarkStart w:id="359" w:name="_Toc25224019"/>
      <w:bookmarkStart w:id="360" w:name="_Toc14450839"/>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6"/>
        <w:spacing w:line="360" w:lineRule="auto"/>
        <w:rPr>
          <w:rFonts w:hAnsi="宋体"/>
          <w:color w:val="auto"/>
          <w:szCs w:val="21"/>
          <w:highlight w:val="none"/>
        </w:rPr>
      </w:pPr>
      <w:bookmarkStart w:id="361" w:name="_Toc223939105"/>
      <w:r>
        <w:rPr>
          <w:rFonts w:hint="eastAsia" w:hAnsi="宋体"/>
          <w:color w:val="auto"/>
          <w:szCs w:val="21"/>
          <w:highlight w:val="none"/>
        </w:rPr>
        <w:t>现任我单位职务，为法定代表人，特此证明。</w:t>
      </w:r>
      <w:bookmarkEnd w:id="361"/>
      <w:bookmarkStart w:id="362" w:name="_Toc223939106"/>
    </w:p>
    <w:p>
      <w:pPr>
        <w:pStyle w:val="46"/>
        <w:spacing w:line="360" w:lineRule="auto"/>
        <w:rPr>
          <w:rFonts w:hAnsi="宋体"/>
          <w:color w:val="auto"/>
          <w:szCs w:val="21"/>
          <w:highlight w:val="none"/>
          <w:u w:val="single"/>
        </w:rPr>
      </w:pPr>
      <w:r>
        <w:rPr>
          <w:rFonts w:hint="eastAsia" w:hAnsi="宋体"/>
          <w:color w:val="auto"/>
          <w:szCs w:val="21"/>
          <w:highlight w:val="none"/>
        </w:rPr>
        <w:t>有效期限：</w:t>
      </w:r>
      <w:bookmarkEnd w:id="362"/>
      <w:bookmarkStart w:id="363" w:name="_Toc223939107"/>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363"/>
      <w:bookmarkStart w:id="364" w:name="_Toc223939108"/>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6"/>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r>
        <w:rPr>
          <w:rFonts w:hint="eastAsia" w:hAnsi="宋体"/>
          <w:color w:val="auto"/>
          <w:szCs w:val="21"/>
          <w:highlight w:val="none"/>
          <w:u w:val="single"/>
        </w:rPr>
        <w:t xml:space="preserve">                     </w:t>
      </w:r>
      <w:bookmarkEnd w:id="364"/>
      <w:bookmarkStart w:id="365" w:name="_Toc223939109"/>
    </w:p>
    <w:p>
      <w:pPr>
        <w:pStyle w:val="46"/>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365"/>
    </w:p>
    <w:p>
      <w:pPr>
        <w:pStyle w:val="46"/>
        <w:spacing w:line="360" w:lineRule="auto"/>
        <w:jc w:val="center"/>
        <w:rPr>
          <w:rFonts w:hAnsi="宋体"/>
          <w:color w:val="auto"/>
          <w:szCs w:val="21"/>
          <w:highlight w:val="none"/>
        </w:rPr>
      </w:pPr>
    </w:p>
    <w:tbl>
      <w:tblPr>
        <w:tblStyle w:val="89"/>
        <w:tblW w:w="661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auto"/>
                <w:szCs w:val="21"/>
                <w:highlight w:val="none"/>
              </w:rPr>
            </w:pPr>
          </w:p>
          <w:p>
            <w:pPr>
              <w:pStyle w:val="46"/>
              <w:spacing w:line="360" w:lineRule="auto"/>
              <w:jc w:val="center"/>
              <w:rPr>
                <w:rFonts w:hAnsi="宋体"/>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6"/>
        <w:spacing w:line="360" w:lineRule="auto"/>
        <w:ind w:firstLine="420" w:firstLineChars="200"/>
        <w:jc w:val="left"/>
        <w:rPr>
          <w:rFonts w:hAnsi="宋体"/>
          <w:color w:val="auto"/>
          <w:szCs w:val="21"/>
          <w:highlight w:val="none"/>
        </w:rPr>
      </w:pPr>
    </w:p>
    <w:p>
      <w:pPr>
        <w:pStyle w:val="46"/>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u w:val="single"/>
        </w:rPr>
        <w:t>UU UUUU</w:t>
      </w:r>
      <w:r>
        <w:rPr>
          <w:rFonts w:hint="eastAsia" w:ascii="ZWAdobeF" w:hAnsi="ZWAdobeF" w:cs="ZWAdobeF"/>
          <w:color w:val="auto"/>
          <w:sz w:val="2"/>
          <w:szCs w:val="2"/>
          <w:highlight w:val="none"/>
          <w:u w:val="single"/>
          <w:lang w:val="en-US" w:eastAsia="zh-CN"/>
        </w:rPr>
        <w:t xml:space="preserve">                                 </w:t>
      </w:r>
      <w:r>
        <w:rPr>
          <w:rFonts w:hint="eastAsia" w:ascii="ZWAdobeF" w:hAnsi="ZWAdobeF" w:cs="ZWAdobeF"/>
          <w:color w:val="auto"/>
          <w:sz w:val="2"/>
          <w:szCs w:val="2"/>
          <w:highlight w:val="none"/>
          <w:lang w:val="en-US" w:eastAsia="zh-CN"/>
        </w:rPr>
        <w:t xml:space="preserve"> </w:t>
      </w:r>
      <w:r>
        <w:rPr>
          <w:rFonts w:hint="eastAsia" w:hAnsi="宋体"/>
          <w:color w:val="auto"/>
          <w:szCs w:val="21"/>
          <w:highlight w:val="none"/>
        </w:rPr>
        <w:t>是注册于的法定代表人，现任</w:t>
      </w:r>
      <w:r>
        <w:rPr>
          <w:rFonts w:ascii="ZWAdobeF" w:hAnsi="ZWAdobeF" w:cs="ZWAdobeF"/>
          <w:color w:val="auto"/>
          <w:sz w:val="2"/>
          <w:szCs w:val="2"/>
          <w:highlight w:val="none"/>
          <w:u w:val="single"/>
        </w:rPr>
        <w:t>UUUU UU</w:t>
      </w:r>
      <w:r>
        <w:rPr>
          <w:rFonts w:hint="eastAsia" w:ascii="ZWAdobeF" w:hAnsi="ZWAdobeF" w:cs="ZWAdobeF"/>
          <w:color w:val="auto"/>
          <w:sz w:val="2"/>
          <w:szCs w:val="2"/>
          <w:highlight w:val="none"/>
          <w:u w:val="single"/>
          <w:lang w:val="en-US" w:eastAsia="zh-CN"/>
        </w:rPr>
        <w:t xml:space="preserve">                                           </w:t>
      </w:r>
      <w:r>
        <w:rPr>
          <w:rFonts w:ascii="ZWAdobeF" w:hAnsi="ZWAdobeF" w:cs="ZWAdobeF"/>
          <w:color w:val="auto"/>
          <w:sz w:val="2"/>
          <w:szCs w:val="2"/>
          <w:highlight w:val="none"/>
          <w:u w:val="single"/>
        </w:rPr>
        <w:t>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6"/>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本授权书于  2020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89"/>
        <w:tblW w:w="573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被授权人(</w:t>
            </w:r>
            <w:r>
              <w:rPr>
                <w:rFonts w:hint="eastAsia" w:hAnsi="宋体"/>
                <w:b/>
                <w:color w:val="auto"/>
                <w:szCs w:val="21"/>
                <w:highlight w:val="none"/>
                <w:lang w:eastAsia="zh-CN"/>
              </w:rPr>
              <w:t>报价人</w:t>
            </w:r>
            <w:r>
              <w:rPr>
                <w:rFonts w:hint="eastAsia" w:hAnsi="宋体"/>
                <w:b/>
                <w:color w:val="auto"/>
                <w:szCs w:val="21"/>
                <w:highlight w:val="none"/>
              </w:rPr>
              <w:t>授权代表)</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left"/>
              <w:rPr>
                <w:rFonts w:hAnsi="宋体"/>
                <w:color w:val="auto"/>
                <w:szCs w:val="21"/>
                <w:highlight w:val="none"/>
              </w:rPr>
            </w:pPr>
          </w:p>
        </w:tc>
      </w:tr>
    </w:tbl>
    <w:p>
      <w:pPr>
        <w:pStyle w:val="46"/>
        <w:spacing w:line="360" w:lineRule="auto"/>
        <w:ind w:firstLine="422"/>
        <w:jc w:val="left"/>
        <w:rPr>
          <w:rFonts w:hAnsi="宋体"/>
          <w:b/>
          <w:color w:val="auto"/>
          <w:szCs w:val="21"/>
          <w:highlight w:val="none"/>
        </w:rPr>
      </w:pPr>
    </w:p>
    <w:p>
      <w:pPr>
        <w:pStyle w:val="46"/>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w:t>
      </w:r>
      <w:r>
        <w:rPr>
          <w:rFonts w:hint="eastAsia" w:hAnsi="宋体"/>
          <w:b/>
          <w:color w:val="auto"/>
          <w:szCs w:val="21"/>
          <w:highlight w:val="none"/>
          <w:lang w:eastAsia="zh-CN"/>
        </w:rPr>
        <w:t>报价人</w:t>
      </w:r>
      <w:r>
        <w:rPr>
          <w:rFonts w:hint="eastAsia" w:hAnsi="宋体"/>
          <w:b/>
          <w:color w:val="auto"/>
          <w:szCs w:val="21"/>
          <w:highlight w:val="none"/>
        </w:rPr>
        <w:t>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一、本公司（企业）具备《中华人民共和国政府采购法》第二十二条资格条件：</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（一）具有独立承担民事责任的能力【</w:t>
      </w:r>
      <w:r>
        <w:rPr>
          <w:rFonts w:hint="eastAsia"/>
          <w:color w:val="auto"/>
          <w:highlight w:val="none"/>
        </w:rPr>
        <w:t>提供法人或者其他组织的营业执照、组织机构代码证和税务登记证（或三证合一证明）等证明文件</w:t>
      </w:r>
      <w:r>
        <w:rPr>
          <w:rFonts w:hint="eastAsia" w:ascii="宋体" w:hAnsi="宋体" w:eastAsia="宋体" w:cs="宋体"/>
          <w:color w:val="auto"/>
          <w:szCs w:val="21"/>
          <w:highlight w:val="none"/>
        </w:rPr>
        <w:t>】；</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（二）具有良好的商业信誉和健全的财务会计制度【</w:t>
      </w:r>
      <w:r>
        <w:rPr>
          <w:rFonts w:hint="eastAsia"/>
          <w:color w:val="auto"/>
          <w:highlight w:val="none"/>
        </w:rPr>
        <w:t>提供2018年或2019年的财务状况报告或基本开户行（提供开户许可证）出具的资信证明复印件。如</w:t>
      </w:r>
      <w:r>
        <w:rPr>
          <w:rFonts w:hint="eastAsia"/>
          <w:color w:val="auto"/>
          <w:highlight w:val="none"/>
          <w:lang w:eastAsia="zh-CN"/>
        </w:rPr>
        <w:t>报价人</w:t>
      </w:r>
      <w:r>
        <w:rPr>
          <w:rFonts w:hint="eastAsia"/>
          <w:color w:val="auto"/>
          <w:highlight w:val="none"/>
        </w:rPr>
        <w:t>为新注册的，提供成立至今的月或季度财务状况报告复印件</w:t>
      </w:r>
      <w:r>
        <w:rPr>
          <w:rFonts w:hint="eastAsia" w:ascii="宋体" w:hAnsi="宋体" w:eastAsia="宋体" w:cs="宋体"/>
          <w:color w:val="auto"/>
          <w:szCs w:val="21"/>
          <w:highlight w:val="none"/>
        </w:rPr>
        <w:t>】；</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（三）具有履行合同所必需的设备和专业技术能力【</w:t>
      </w:r>
      <w:r>
        <w:rPr>
          <w:rFonts w:hint="eastAsia"/>
          <w:color w:val="auto"/>
          <w:highlight w:val="none"/>
        </w:rPr>
        <w:t>提供履行合同所必需的设备清单以及技术人员的名单材料</w:t>
      </w:r>
      <w:r>
        <w:rPr>
          <w:rFonts w:hint="eastAsia" w:ascii="宋体" w:hAnsi="宋体" w:eastAsia="宋体" w:cs="宋体"/>
          <w:color w:val="auto"/>
          <w:szCs w:val="21"/>
          <w:highlight w:val="none"/>
        </w:rPr>
        <w:t>】；</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（四）有依法缴纳税收和社会保障资金的良好记录【</w:t>
      </w:r>
      <w:r>
        <w:rPr>
          <w:rFonts w:hint="eastAsia"/>
          <w:color w:val="auto"/>
          <w:highlight w:val="none"/>
        </w:rPr>
        <w:t>提供缴纳税收和社会保险的凭证。如依法免税或不需要缴纳社会保障资金的，应提供相应文件证明</w:t>
      </w:r>
      <w:r>
        <w:rPr>
          <w:rFonts w:hint="eastAsia" w:ascii="宋体" w:hAnsi="宋体" w:eastAsia="宋体" w:cs="宋体"/>
          <w:color w:val="auto"/>
          <w:szCs w:val="21"/>
          <w:highlight w:val="none"/>
        </w:rPr>
        <w:t>】；</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（五）参加政府采购活动前三年内，在经营活动中没有重大违法记录【</w:t>
      </w:r>
      <w:r>
        <w:rPr>
          <w:rFonts w:hint="eastAsia"/>
          <w:color w:val="auto"/>
          <w:highlight w:val="none"/>
        </w:rPr>
        <w:t>提供书面声明</w:t>
      </w:r>
      <w:r>
        <w:rPr>
          <w:rFonts w:hint="eastAsia" w:ascii="宋体" w:hAnsi="宋体" w:eastAsia="宋体" w:cs="宋体"/>
          <w:color w:val="auto"/>
          <w:szCs w:val="21"/>
          <w:highlight w:val="none"/>
        </w:rPr>
        <w:t>】；</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（六）法律、行政法规规定的其他条件。</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二、根据《中华人民共和国政府采购法实施条例》的规定，本公司（企业）如为采购项目提供整体设计、规范编制或者项目管理、监理、检测等服务的</w:t>
      </w:r>
      <w:r>
        <w:rPr>
          <w:rFonts w:hint="eastAsia" w:ascii="宋体" w:hAnsi="宋体" w:cs="宋体"/>
          <w:color w:val="auto"/>
          <w:szCs w:val="21"/>
          <w:highlight w:val="none"/>
          <w:lang w:eastAsia="zh-CN"/>
        </w:rPr>
        <w:t>报价人</w:t>
      </w:r>
      <w:r>
        <w:rPr>
          <w:rFonts w:hint="eastAsia" w:ascii="宋体" w:hAnsi="宋体" w:eastAsia="宋体" w:cs="宋体"/>
          <w:color w:val="auto"/>
          <w:szCs w:val="21"/>
          <w:highlight w:val="none"/>
        </w:rPr>
        <w:t>，不再参加该采购项目的其他采购活动。否则，由此所造成的损失、不良后果及法律责任，一律由我公司（企业）承担。</w:t>
      </w:r>
    </w:p>
    <w:p>
      <w:pPr>
        <w:snapToGrid w:val="0"/>
        <w:spacing w:before="120" w:beforeLines="50" w:line="360" w:lineRule="auto"/>
        <w:ind w:firstLine="525" w:firstLineChars="250"/>
        <w:rPr>
          <w:rFonts w:hint="eastAsia" w:ascii="宋体" w:hAnsi="宋体" w:eastAsia="宋体" w:cs="宋体"/>
          <w:color w:val="auto"/>
          <w:highlight w:val="none"/>
        </w:rPr>
      </w:pPr>
      <w:r>
        <w:rPr>
          <w:rFonts w:hint="eastAsia" w:ascii="宋体" w:hAnsi="宋体" w:eastAsia="宋体" w:cs="宋体"/>
          <w:color w:val="auto"/>
          <w:szCs w:val="21"/>
          <w:highlight w:val="none"/>
        </w:rPr>
        <w:t>三、</w:t>
      </w:r>
      <w:r>
        <w:rPr>
          <w:rFonts w:hint="eastAsia" w:ascii="宋体" w:hAnsi="宋体" w:eastAsia="宋体" w:cs="宋体"/>
          <w:color w:val="auto"/>
          <w:highlight w:val="none"/>
        </w:rPr>
        <w:t>本公司（企业）的法定代表人或单位负责人与本项目其他</w:t>
      </w:r>
      <w:r>
        <w:rPr>
          <w:rFonts w:hint="eastAsia" w:ascii="宋体" w:hAnsi="宋体" w:cs="宋体"/>
          <w:color w:val="auto"/>
          <w:highlight w:val="none"/>
          <w:lang w:eastAsia="zh-CN"/>
        </w:rPr>
        <w:t>报价人</w:t>
      </w:r>
      <w:r>
        <w:rPr>
          <w:rFonts w:hint="eastAsia" w:ascii="宋体" w:hAnsi="宋体" w:eastAsia="宋体" w:cs="宋体"/>
          <w:color w:val="auto"/>
          <w:highlight w:val="none"/>
        </w:rPr>
        <w:t>的法定代表人或单位负责人不为同一人且与其他</w:t>
      </w:r>
      <w:r>
        <w:rPr>
          <w:rFonts w:hint="eastAsia" w:ascii="宋体" w:hAnsi="宋体" w:cs="宋体"/>
          <w:color w:val="auto"/>
          <w:highlight w:val="none"/>
          <w:lang w:eastAsia="zh-CN"/>
        </w:rPr>
        <w:t>报价人</w:t>
      </w:r>
      <w:r>
        <w:rPr>
          <w:rFonts w:hint="eastAsia" w:ascii="宋体" w:hAnsi="宋体" w:eastAsia="宋体" w:cs="宋体"/>
          <w:color w:val="auto"/>
          <w:highlight w:val="none"/>
        </w:rPr>
        <w:t>之间不存在直接控股、管理关系。</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四、本公司（企业）政府采购活动前三年内，没有正在被司法机关立案调查。</w:t>
      </w:r>
    </w:p>
    <w:p>
      <w:pPr>
        <w:snapToGrid w:val="0"/>
        <w:spacing w:line="360" w:lineRule="auto"/>
        <w:ind w:firstLine="420" w:firstLineChars="200"/>
        <w:jc w:val="left"/>
        <w:rPr>
          <w:color w:val="auto"/>
          <w:szCs w:val="21"/>
          <w:highlight w:val="none"/>
        </w:rPr>
      </w:pPr>
      <w:r>
        <w:rPr>
          <w:rFonts w:hint="eastAsia" w:ascii="宋体" w:hAnsi="宋体" w:eastAsia="宋体" w:cs="宋体"/>
          <w:color w:val="auto"/>
          <w:szCs w:val="21"/>
          <w:highlight w:val="none"/>
        </w:rPr>
        <w:t>本公司（企业）已清楚</w:t>
      </w:r>
      <w:r>
        <w:rPr>
          <w:rFonts w:hint="eastAsia" w:ascii="宋体" w:hAnsi="宋体" w:eastAsia="宋体" w:cs="宋体"/>
          <w:color w:val="auto"/>
          <w:szCs w:val="21"/>
          <w:highlight w:val="none"/>
          <w:lang w:eastAsia="zh-CN"/>
        </w:rPr>
        <w:t>竞争性磋商文件</w:t>
      </w:r>
      <w:r>
        <w:rPr>
          <w:rFonts w:hint="eastAsia" w:ascii="宋体" w:hAnsi="宋体" w:eastAsia="宋体" w:cs="宋体"/>
          <w:color w:val="auto"/>
          <w:szCs w:val="21"/>
          <w:highlight w:val="none"/>
        </w:rPr>
        <w:t>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adjustRightInd w:val="0"/>
        <w:snapToGrid w:val="0"/>
        <w:spacing w:line="360" w:lineRule="auto"/>
        <w:jc w:val="left"/>
        <w:rPr>
          <w:rFonts w:ascii="宋体" w:hAnsi="宋体"/>
          <w:color w:val="auto"/>
          <w:szCs w:val="21"/>
          <w:highlight w:val="none"/>
        </w:rPr>
      </w:pPr>
    </w:p>
    <w:p>
      <w:pPr>
        <w:pStyle w:val="46"/>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lang w:eastAsia="zh-CN"/>
        </w:rPr>
        <w:t>报价人</w:t>
      </w:r>
      <w:r>
        <w:rPr>
          <w:rFonts w:hint="eastAsia" w:hAnsi="宋体"/>
          <w:color w:val="auto"/>
          <w:szCs w:val="21"/>
          <w:highlight w:val="none"/>
        </w:rPr>
        <w:t>全称（加盖公章）：</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rPr>
        <w:t>2020年  月  日</w:t>
      </w: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w:t>
      </w:r>
      <w:r>
        <w:rPr>
          <w:rFonts w:hint="eastAsia" w:ascii="宋体" w:hAnsi="宋体" w:cs="宋体"/>
          <w:color w:val="auto"/>
          <w:kern w:val="0"/>
          <w:szCs w:val="21"/>
          <w:highlight w:val="none"/>
          <w:lang w:eastAsia="zh-CN"/>
        </w:rPr>
        <w:t>报价人</w:t>
      </w:r>
      <w:r>
        <w:rPr>
          <w:rFonts w:hint="eastAsia" w:ascii="宋体" w:hAnsi="宋体" w:cs="宋体"/>
          <w:color w:val="auto"/>
          <w:kern w:val="0"/>
          <w:szCs w:val="21"/>
          <w:highlight w:val="none"/>
        </w:rPr>
        <w:t>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46"/>
        <w:spacing w:line="360" w:lineRule="auto"/>
        <w:ind w:right="480"/>
        <w:jc w:val="left"/>
        <w:rPr>
          <w:rFonts w:hAnsi="宋体"/>
          <w:color w:val="auto"/>
          <w:highlight w:val="none"/>
        </w:rPr>
      </w:pPr>
    </w:p>
    <w:p>
      <w:pPr>
        <w:pStyle w:val="46"/>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46"/>
        <w:spacing w:line="360" w:lineRule="auto"/>
        <w:ind w:right="482"/>
        <w:jc w:val="left"/>
        <w:rPr>
          <w:rFonts w:hAnsi="宋体" w:cs="宋体"/>
          <w:color w:val="auto"/>
          <w:szCs w:val="21"/>
          <w:highlight w:val="none"/>
        </w:rPr>
      </w:pPr>
    </w:p>
    <w:tbl>
      <w:tblPr>
        <w:tblStyle w:val="89"/>
        <w:tblW w:w="8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hint="eastAsia"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lang w:eastAsia="zh-CN"/>
              </w:rPr>
              <w:t>报价人</w:t>
            </w:r>
            <w:r>
              <w:rPr>
                <w:rFonts w:hint="eastAsia" w:ascii="宋体" w:hAnsi="宋体" w:cs="宋体"/>
                <w:b/>
                <w:color w:val="auto"/>
                <w:kern w:val="0"/>
                <w:szCs w:val="21"/>
                <w:highlight w:val="none"/>
                <w:lang w:val="en-US" w:eastAsia="zh-CN"/>
              </w:rPr>
              <w:t>单位名称</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2"/>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w:t>
      </w:r>
      <w:r>
        <w:rPr>
          <w:rFonts w:hint="eastAsia" w:ascii="宋体" w:hAnsi="宋体"/>
          <w:b/>
          <w:color w:val="auto"/>
          <w:szCs w:val="21"/>
          <w:highlight w:val="none"/>
          <w:lang w:eastAsia="zh-CN"/>
        </w:rPr>
        <w:t>报价人</w:t>
      </w:r>
      <w:r>
        <w:rPr>
          <w:rFonts w:hint="eastAsia" w:ascii="宋体" w:hAnsi="宋体"/>
          <w:b/>
          <w:color w:val="auto"/>
          <w:szCs w:val="21"/>
          <w:highlight w:val="none"/>
        </w:rPr>
        <w:t>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snapToGrid w:val="0"/>
        <w:spacing w:line="360" w:lineRule="auto"/>
        <w:ind w:left="515" w:leftChars="150" w:hanging="200" w:hangingChars="95"/>
        <w:rPr>
          <w:rFonts w:ascii="宋体" w:hAnsi="宋体"/>
          <w:b/>
          <w:color w:val="auto"/>
          <w:szCs w:val="21"/>
          <w:highlight w:val="none"/>
        </w:rPr>
      </w:pPr>
      <w:r>
        <w:rPr>
          <w:rFonts w:hint="eastAsia" w:ascii="宋体" w:hAnsi="宋体"/>
          <w:b/>
          <w:color w:val="auto"/>
          <w:szCs w:val="21"/>
          <w:highlight w:val="none"/>
        </w:rPr>
        <w:t>2.</w:t>
      </w:r>
      <w:r>
        <w:rPr>
          <w:rFonts w:hint="eastAsia" w:ascii="宋体" w:hAnsi="宋体"/>
          <w:b/>
          <w:color w:val="auto"/>
          <w:szCs w:val="21"/>
          <w:highlight w:val="none"/>
          <w:lang w:eastAsia="zh-CN"/>
        </w:rPr>
        <w:t>报价人</w:t>
      </w:r>
      <w:r>
        <w:rPr>
          <w:rFonts w:hint="eastAsia" w:ascii="宋体" w:hAnsi="宋体"/>
          <w:b/>
          <w:color w:val="auto"/>
          <w:szCs w:val="21"/>
          <w:highlight w:val="none"/>
        </w:rPr>
        <w:t>报价高于采购项目预算金额的报价响应无效；</w:t>
      </w:r>
    </w:p>
    <w:p>
      <w:pPr>
        <w:snapToGrid w:val="0"/>
        <w:spacing w:line="360" w:lineRule="auto"/>
        <w:ind w:left="515" w:leftChars="150" w:hanging="200" w:hangingChars="95"/>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3</w:t>
      </w:r>
      <w:r>
        <w:rPr>
          <w:rFonts w:hint="eastAsia" w:ascii="宋体" w:hAnsi="宋体" w:eastAsia="宋体" w:cs="宋体"/>
          <w:b/>
          <w:color w:val="auto"/>
          <w:szCs w:val="21"/>
          <w:highlight w:val="none"/>
        </w:rPr>
        <w:t>.中文大写金额用汉字，如壹、贰、叁、肆、伍、陆、柒、捌、玖、拾、佰、仟、万、亿、元、角、分、零、整（正）等。如：小写： 1230000，大写：</w:t>
      </w:r>
      <w:r>
        <w:rPr>
          <w:rFonts w:hint="eastAsia" w:ascii="宋体" w:hAnsi="宋体" w:eastAsia="宋体" w:cs="宋体"/>
          <w:b/>
          <w:color w:val="auto"/>
          <w:szCs w:val="21"/>
          <w:highlight w:val="none"/>
          <w:u w:val="single"/>
        </w:rPr>
        <w:t>壹佰贰拾叁万元整</w:t>
      </w:r>
      <w:r>
        <w:rPr>
          <w:rFonts w:hint="eastAsia" w:ascii="宋体" w:hAnsi="宋体" w:eastAsia="宋体" w:cs="宋体"/>
          <w:b/>
          <w:color w:val="auto"/>
          <w:szCs w:val="21"/>
          <w:highlight w:val="none"/>
        </w:rPr>
        <w:t>。</w:t>
      </w:r>
    </w:p>
    <w:p>
      <w:pPr>
        <w:snapToGrid w:val="0"/>
        <w:spacing w:line="360" w:lineRule="auto"/>
        <w:ind w:left="512" w:leftChars="195" w:hanging="103" w:hangingChars="49"/>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4</w:t>
      </w:r>
      <w:r>
        <w:rPr>
          <w:rFonts w:hint="eastAsia" w:ascii="宋体" w:hAnsi="宋体" w:eastAsia="宋体" w:cs="宋体"/>
          <w:b/>
          <w:color w:val="auto"/>
          <w:szCs w:val="21"/>
          <w:highlight w:val="none"/>
        </w:rPr>
        <w:t>.投标总报价应包含采购项目的全部费用，</w:t>
      </w:r>
      <w:r>
        <w:rPr>
          <w:rFonts w:hint="eastAsia" w:ascii="宋体" w:hAnsi="宋体" w:cs="宋体"/>
          <w:b/>
          <w:color w:val="auto"/>
          <w:szCs w:val="21"/>
          <w:highlight w:val="none"/>
          <w:lang w:eastAsia="zh-CN"/>
        </w:rPr>
        <w:t>报价人</w:t>
      </w:r>
      <w:r>
        <w:rPr>
          <w:rFonts w:hint="eastAsia" w:ascii="宋体" w:hAnsi="宋体" w:eastAsia="宋体" w:cs="宋体"/>
          <w:b/>
          <w:color w:val="auto"/>
          <w:szCs w:val="21"/>
          <w:highlight w:val="none"/>
        </w:rPr>
        <w:t>不得再向采购人收取任何费用；</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5.报价以人民币元为单位，保留小数点后两位；</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6</w:t>
      </w:r>
      <w:r>
        <w:rPr>
          <w:rFonts w:hint="eastAsia" w:ascii="宋体" w:hAnsi="宋体" w:eastAsia="宋体" w:cs="宋体"/>
          <w:b/>
          <w:color w:val="auto"/>
          <w:szCs w:val="21"/>
          <w:highlight w:val="none"/>
        </w:rPr>
        <w:t>.投标报价要求具体见第二章“投标报价”及采购人需求要求；</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rPr>
        <w:t>.本表格须附在正副的投标文件中，并另封装一份在 “唱标信封”内。</w:t>
      </w:r>
    </w:p>
    <w:p>
      <w:pPr>
        <w:adjustRightInd w:val="0"/>
        <w:snapToGrid w:val="0"/>
        <w:spacing w:line="360" w:lineRule="auto"/>
        <w:ind w:left="630" w:hanging="630" w:hangingChars="299"/>
        <w:jc w:val="left"/>
        <w:rPr>
          <w:rFonts w:ascii="宋体" w:hAnsi="宋体"/>
          <w:b/>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lang w:eastAsia="zh-CN"/>
        </w:rPr>
        <w:t>报价人</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附件8  磋商分项报价表</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tbl>
      <w:tblPr>
        <w:tblStyle w:val="89"/>
        <w:tblW w:w="8520" w:type="dxa"/>
        <w:tblInd w:w="108" w:type="dxa"/>
        <w:tblLayout w:type="fixed"/>
        <w:tblCellMar>
          <w:top w:w="0" w:type="dxa"/>
          <w:left w:w="108" w:type="dxa"/>
          <w:bottom w:w="0" w:type="dxa"/>
          <w:right w:w="108" w:type="dxa"/>
        </w:tblCellMar>
      </w:tblPr>
      <w:tblGrid>
        <w:gridCol w:w="640"/>
        <w:gridCol w:w="1413"/>
        <w:gridCol w:w="1110"/>
        <w:gridCol w:w="1006"/>
        <w:gridCol w:w="791"/>
        <w:gridCol w:w="918"/>
        <w:gridCol w:w="1050"/>
        <w:gridCol w:w="863"/>
        <w:gridCol w:w="729"/>
      </w:tblGrid>
      <w:tr>
        <w:tblPrEx>
          <w:tblCellMar>
            <w:top w:w="0" w:type="dxa"/>
            <w:left w:w="108" w:type="dxa"/>
            <w:bottom w:w="0" w:type="dxa"/>
            <w:right w:w="108" w:type="dxa"/>
          </w:tblCellMar>
        </w:tblPrEx>
        <w:trPr>
          <w:trHeight w:val="850"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color w:val="auto"/>
                <w:kern w:val="0"/>
                <w:sz w:val="18"/>
                <w:szCs w:val="18"/>
                <w:highlight w:val="none"/>
              </w:rPr>
            </w:pPr>
            <w:r>
              <w:rPr>
                <w:rFonts w:hint="eastAsia" w:ascii="宋体" w:hAnsi="宋体" w:eastAsia="宋体" w:cs="宋体"/>
                <w:b/>
                <w:bCs/>
                <w:color w:val="auto"/>
                <w:kern w:val="0"/>
                <w:sz w:val="18"/>
                <w:szCs w:val="18"/>
                <w:highlight w:val="none"/>
              </w:rPr>
              <w:t>序号</w:t>
            </w:r>
          </w:p>
        </w:tc>
        <w:tc>
          <w:tcPr>
            <w:tcW w:w="141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color w:val="auto"/>
                <w:kern w:val="0"/>
                <w:sz w:val="18"/>
                <w:szCs w:val="18"/>
                <w:highlight w:val="none"/>
              </w:rPr>
            </w:pPr>
            <w:r>
              <w:rPr>
                <w:rFonts w:hint="eastAsia" w:ascii="宋体" w:hAnsi="宋体" w:eastAsia="宋体" w:cs="宋体"/>
                <w:b/>
                <w:bCs/>
                <w:color w:val="auto"/>
                <w:kern w:val="0"/>
                <w:sz w:val="18"/>
                <w:szCs w:val="18"/>
                <w:highlight w:val="none"/>
              </w:rPr>
              <w:t>货物名称</w:t>
            </w:r>
          </w:p>
        </w:tc>
        <w:tc>
          <w:tcPr>
            <w:tcW w:w="111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color w:val="auto"/>
                <w:kern w:val="0"/>
                <w:sz w:val="18"/>
                <w:szCs w:val="18"/>
                <w:highlight w:val="none"/>
              </w:rPr>
            </w:pPr>
            <w:r>
              <w:rPr>
                <w:rFonts w:hint="eastAsia" w:ascii="宋体" w:hAnsi="宋体" w:eastAsia="宋体" w:cs="宋体"/>
                <w:b/>
                <w:bCs/>
                <w:color w:val="auto"/>
                <w:kern w:val="0"/>
                <w:sz w:val="18"/>
                <w:szCs w:val="18"/>
                <w:highlight w:val="none"/>
              </w:rPr>
              <w:t>型号规格</w:t>
            </w:r>
          </w:p>
        </w:tc>
        <w:tc>
          <w:tcPr>
            <w:tcW w:w="100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color w:val="auto"/>
                <w:kern w:val="0"/>
                <w:sz w:val="18"/>
                <w:szCs w:val="18"/>
                <w:highlight w:val="none"/>
              </w:rPr>
            </w:pPr>
            <w:r>
              <w:rPr>
                <w:rFonts w:hint="eastAsia" w:ascii="宋体" w:hAnsi="宋体" w:eastAsia="宋体" w:cs="宋体"/>
                <w:b/>
                <w:bCs/>
                <w:color w:val="auto"/>
                <w:kern w:val="0"/>
                <w:sz w:val="18"/>
                <w:szCs w:val="18"/>
                <w:highlight w:val="none"/>
              </w:rPr>
              <w:t>数量</w:t>
            </w:r>
          </w:p>
        </w:tc>
        <w:tc>
          <w:tcPr>
            <w:tcW w:w="791"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color w:val="auto"/>
                <w:kern w:val="0"/>
                <w:sz w:val="18"/>
                <w:szCs w:val="18"/>
                <w:highlight w:val="none"/>
              </w:rPr>
            </w:pPr>
            <w:r>
              <w:rPr>
                <w:rFonts w:hint="eastAsia" w:ascii="宋体" w:hAnsi="宋体" w:eastAsia="宋体" w:cs="宋体"/>
                <w:b/>
                <w:bCs/>
                <w:color w:val="auto"/>
                <w:kern w:val="0"/>
                <w:sz w:val="18"/>
                <w:szCs w:val="18"/>
                <w:highlight w:val="none"/>
              </w:rPr>
              <w:t>单位</w:t>
            </w:r>
          </w:p>
        </w:tc>
        <w:tc>
          <w:tcPr>
            <w:tcW w:w="918"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color w:val="auto"/>
                <w:kern w:val="0"/>
                <w:sz w:val="18"/>
                <w:szCs w:val="18"/>
                <w:highlight w:val="none"/>
              </w:rPr>
            </w:pPr>
            <w:r>
              <w:rPr>
                <w:rFonts w:hint="eastAsia" w:ascii="宋体" w:hAnsi="宋体" w:eastAsia="宋体" w:cs="宋体"/>
                <w:b/>
                <w:bCs/>
                <w:color w:val="auto"/>
                <w:kern w:val="0"/>
                <w:sz w:val="18"/>
                <w:szCs w:val="18"/>
                <w:highlight w:val="none"/>
              </w:rPr>
              <w:t>单价（元）</w:t>
            </w:r>
          </w:p>
        </w:tc>
        <w:tc>
          <w:tcPr>
            <w:tcW w:w="10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b/>
                <w:bCs/>
                <w:color w:val="auto"/>
                <w:kern w:val="0"/>
                <w:sz w:val="18"/>
                <w:szCs w:val="18"/>
                <w:highlight w:val="none"/>
              </w:rPr>
            </w:pPr>
            <w:r>
              <w:rPr>
                <w:rFonts w:hint="eastAsia" w:ascii="宋体" w:hAnsi="宋体" w:eastAsia="宋体" w:cs="宋体"/>
                <w:b/>
                <w:bCs/>
                <w:color w:val="auto"/>
                <w:kern w:val="0"/>
                <w:sz w:val="18"/>
                <w:szCs w:val="18"/>
                <w:highlight w:val="none"/>
              </w:rPr>
              <w:t>金额合计（元）</w:t>
            </w:r>
          </w:p>
        </w:tc>
        <w:tc>
          <w:tcPr>
            <w:tcW w:w="86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rPr>
            </w:pPr>
            <w:r>
              <w:rPr>
                <w:rFonts w:hint="eastAsia" w:ascii="宋体" w:hAnsi="宋体" w:eastAsia="宋体" w:cs="宋体"/>
                <w:b/>
                <w:bCs/>
                <w:color w:val="auto"/>
                <w:kern w:val="0"/>
                <w:sz w:val="18"/>
                <w:szCs w:val="18"/>
                <w:highlight w:val="none"/>
                <w:lang w:val="en-US" w:eastAsia="zh-CN"/>
              </w:rPr>
              <w:t>所投货物品牌</w:t>
            </w:r>
          </w:p>
        </w:tc>
        <w:tc>
          <w:tcPr>
            <w:tcW w:w="72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hint="eastAsia" w:ascii="宋体" w:hAnsi="宋体" w:eastAsia="宋体" w:cs="宋体"/>
                <w:b/>
                <w:bCs/>
                <w:color w:val="auto"/>
                <w:kern w:val="0"/>
                <w:sz w:val="18"/>
                <w:szCs w:val="18"/>
                <w:highlight w:val="none"/>
              </w:rPr>
            </w:pPr>
            <w:r>
              <w:rPr>
                <w:rFonts w:hint="eastAsia" w:ascii="宋体" w:hAnsi="宋体" w:eastAsia="宋体" w:cs="宋体"/>
                <w:b/>
                <w:bCs/>
                <w:color w:val="auto"/>
                <w:kern w:val="0"/>
                <w:sz w:val="18"/>
                <w:szCs w:val="18"/>
                <w:highlight w:val="none"/>
              </w:rPr>
              <w:t>备注</w:t>
            </w:r>
          </w:p>
        </w:tc>
      </w:tr>
      <w:tr>
        <w:tblPrEx>
          <w:tblCellMar>
            <w:top w:w="0" w:type="dxa"/>
            <w:left w:w="108" w:type="dxa"/>
            <w:bottom w:w="0" w:type="dxa"/>
            <w:right w:w="108" w:type="dxa"/>
          </w:tblCellMar>
        </w:tblPrEx>
        <w:trPr>
          <w:trHeight w:val="850" w:hRule="atLeast"/>
        </w:trPr>
        <w:tc>
          <w:tcPr>
            <w:tcW w:w="8520"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auto"/>
                <w:kern w:val="0"/>
                <w:sz w:val="18"/>
                <w:szCs w:val="18"/>
                <w:highlight w:val="none"/>
              </w:rPr>
            </w:pPr>
            <w:r>
              <w:rPr>
                <w:rFonts w:hint="eastAsia" w:ascii="宋体" w:hAnsi="宋体" w:eastAsia="宋体" w:cs="宋体"/>
                <w:b/>
                <w:bCs/>
                <w:color w:val="auto"/>
                <w:kern w:val="0"/>
                <w:sz w:val="18"/>
                <w:szCs w:val="18"/>
                <w:highlight w:val="none"/>
              </w:rPr>
              <w:t>一、二层实验室台柜</w:t>
            </w:r>
          </w:p>
        </w:tc>
      </w:tr>
      <w:tr>
        <w:tblPrEx>
          <w:tblCellMar>
            <w:top w:w="0" w:type="dxa"/>
            <w:left w:w="108" w:type="dxa"/>
            <w:bottom w:w="0" w:type="dxa"/>
            <w:right w:w="108" w:type="dxa"/>
          </w:tblCellMar>
        </w:tblPrEx>
        <w:trPr>
          <w:trHeight w:val="850"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w:t>
            </w:r>
          </w:p>
        </w:tc>
        <w:tc>
          <w:tcPr>
            <w:tcW w:w="14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不锈钢台</w:t>
            </w:r>
          </w:p>
        </w:tc>
        <w:tc>
          <w:tcPr>
            <w:tcW w:w="11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0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3</w:t>
            </w:r>
          </w:p>
        </w:tc>
        <w:tc>
          <w:tcPr>
            <w:tcW w:w="79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米</w:t>
            </w:r>
          </w:p>
        </w:tc>
        <w:tc>
          <w:tcPr>
            <w:tcW w:w="9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86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7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850"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2</w:t>
            </w:r>
          </w:p>
        </w:tc>
        <w:tc>
          <w:tcPr>
            <w:tcW w:w="14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边台</w:t>
            </w:r>
          </w:p>
        </w:tc>
        <w:tc>
          <w:tcPr>
            <w:tcW w:w="11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29.4</w:t>
            </w:r>
          </w:p>
        </w:tc>
        <w:tc>
          <w:tcPr>
            <w:tcW w:w="7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米</w:t>
            </w:r>
          </w:p>
        </w:tc>
        <w:tc>
          <w:tcPr>
            <w:tcW w:w="9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86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72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850"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3</w:t>
            </w:r>
          </w:p>
        </w:tc>
        <w:tc>
          <w:tcPr>
            <w:tcW w:w="141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高温台</w:t>
            </w:r>
          </w:p>
        </w:tc>
        <w:tc>
          <w:tcPr>
            <w:tcW w:w="11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0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4</w:t>
            </w:r>
          </w:p>
        </w:tc>
        <w:tc>
          <w:tcPr>
            <w:tcW w:w="79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米</w:t>
            </w:r>
          </w:p>
        </w:tc>
        <w:tc>
          <w:tcPr>
            <w:tcW w:w="9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86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72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850"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4</w:t>
            </w:r>
          </w:p>
        </w:tc>
        <w:tc>
          <w:tcPr>
            <w:tcW w:w="141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中央台</w:t>
            </w:r>
          </w:p>
        </w:tc>
        <w:tc>
          <w:tcPr>
            <w:tcW w:w="11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0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34.5</w:t>
            </w:r>
          </w:p>
        </w:tc>
        <w:tc>
          <w:tcPr>
            <w:tcW w:w="79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台</w:t>
            </w:r>
          </w:p>
        </w:tc>
        <w:tc>
          <w:tcPr>
            <w:tcW w:w="9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86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72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850"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5</w:t>
            </w:r>
          </w:p>
        </w:tc>
        <w:tc>
          <w:tcPr>
            <w:tcW w:w="141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仪器台</w:t>
            </w:r>
          </w:p>
        </w:tc>
        <w:tc>
          <w:tcPr>
            <w:tcW w:w="11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0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18.3</w:t>
            </w:r>
          </w:p>
        </w:tc>
        <w:tc>
          <w:tcPr>
            <w:tcW w:w="79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台</w:t>
            </w:r>
          </w:p>
        </w:tc>
        <w:tc>
          <w:tcPr>
            <w:tcW w:w="9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86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72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850"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6</w:t>
            </w:r>
          </w:p>
        </w:tc>
        <w:tc>
          <w:tcPr>
            <w:tcW w:w="141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万向排气罩</w:t>
            </w:r>
          </w:p>
        </w:tc>
        <w:tc>
          <w:tcPr>
            <w:tcW w:w="11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0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15</w:t>
            </w:r>
          </w:p>
        </w:tc>
        <w:tc>
          <w:tcPr>
            <w:tcW w:w="79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套</w:t>
            </w:r>
          </w:p>
        </w:tc>
        <w:tc>
          <w:tcPr>
            <w:tcW w:w="9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86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72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850"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7</w:t>
            </w:r>
          </w:p>
        </w:tc>
        <w:tc>
          <w:tcPr>
            <w:tcW w:w="141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通风柜</w:t>
            </w:r>
          </w:p>
        </w:tc>
        <w:tc>
          <w:tcPr>
            <w:tcW w:w="11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0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7</w:t>
            </w:r>
          </w:p>
        </w:tc>
        <w:tc>
          <w:tcPr>
            <w:tcW w:w="79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台</w:t>
            </w:r>
          </w:p>
        </w:tc>
        <w:tc>
          <w:tcPr>
            <w:tcW w:w="9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86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72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850"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8</w:t>
            </w:r>
          </w:p>
        </w:tc>
        <w:tc>
          <w:tcPr>
            <w:tcW w:w="14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试剂柜</w:t>
            </w:r>
          </w:p>
        </w:tc>
        <w:tc>
          <w:tcPr>
            <w:tcW w:w="11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10</w:t>
            </w:r>
          </w:p>
        </w:tc>
        <w:tc>
          <w:tcPr>
            <w:tcW w:w="7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台</w:t>
            </w:r>
          </w:p>
        </w:tc>
        <w:tc>
          <w:tcPr>
            <w:tcW w:w="9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86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72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850" w:hRule="atLeast"/>
        </w:trPr>
        <w:tc>
          <w:tcPr>
            <w:tcW w:w="640" w:type="dxa"/>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9</w:t>
            </w:r>
          </w:p>
        </w:tc>
        <w:tc>
          <w:tcPr>
            <w:tcW w:w="141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器皿柜</w:t>
            </w:r>
          </w:p>
        </w:tc>
        <w:tc>
          <w:tcPr>
            <w:tcW w:w="11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0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8</w:t>
            </w:r>
          </w:p>
        </w:tc>
        <w:tc>
          <w:tcPr>
            <w:tcW w:w="79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台</w:t>
            </w:r>
          </w:p>
        </w:tc>
        <w:tc>
          <w:tcPr>
            <w:tcW w:w="918" w:type="dxa"/>
            <w:tcBorders>
              <w:top w:val="single" w:color="auto" w:sz="4" w:space="0"/>
              <w:left w:val="nil"/>
              <w:bottom w:val="single" w:color="auto" w:sz="4" w:space="0"/>
              <w:right w:val="single" w:color="auto" w:sz="4" w:space="0"/>
            </w:tcBorders>
            <w:shd w:val="clear" w:color="auto" w:fill="auto"/>
            <w:vAlign w:val="center"/>
          </w:tcPr>
          <w:p>
            <w:pPr>
              <w:jc w:val="left"/>
              <w:rPr>
                <w:color w:val="auto"/>
                <w:highlight w:val="none"/>
                <w:lang w:val="en-US" w:eastAsia="zh-CN"/>
              </w:rPr>
            </w:pPr>
          </w:p>
        </w:tc>
        <w:tc>
          <w:tcPr>
            <w:tcW w:w="10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86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72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850"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10</w:t>
            </w:r>
          </w:p>
        </w:tc>
        <w:tc>
          <w:tcPr>
            <w:tcW w:w="141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更衣柜</w:t>
            </w:r>
          </w:p>
        </w:tc>
        <w:tc>
          <w:tcPr>
            <w:tcW w:w="11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0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w:t>
            </w:r>
          </w:p>
        </w:tc>
        <w:tc>
          <w:tcPr>
            <w:tcW w:w="79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台</w:t>
            </w:r>
          </w:p>
        </w:tc>
        <w:tc>
          <w:tcPr>
            <w:tcW w:w="9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86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7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850" w:hRule="atLeast"/>
        </w:trPr>
        <w:tc>
          <w:tcPr>
            <w:tcW w:w="640" w:type="dxa"/>
            <w:tcBorders>
              <w:top w:val="nil"/>
              <w:left w:val="single" w:color="auto" w:sz="4" w:space="0"/>
              <w:bottom w:val="nil"/>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11</w:t>
            </w:r>
          </w:p>
        </w:tc>
        <w:tc>
          <w:tcPr>
            <w:tcW w:w="141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原子吸收罩</w:t>
            </w:r>
          </w:p>
        </w:tc>
        <w:tc>
          <w:tcPr>
            <w:tcW w:w="11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0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5</w:t>
            </w:r>
          </w:p>
        </w:tc>
        <w:tc>
          <w:tcPr>
            <w:tcW w:w="79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套</w:t>
            </w:r>
          </w:p>
        </w:tc>
        <w:tc>
          <w:tcPr>
            <w:tcW w:w="9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86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7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850"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12</w:t>
            </w:r>
          </w:p>
        </w:tc>
        <w:tc>
          <w:tcPr>
            <w:tcW w:w="141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试剂架</w:t>
            </w:r>
          </w:p>
        </w:tc>
        <w:tc>
          <w:tcPr>
            <w:tcW w:w="11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0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25.5</w:t>
            </w:r>
          </w:p>
        </w:tc>
        <w:tc>
          <w:tcPr>
            <w:tcW w:w="79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米</w:t>
            </w:r>
          </w:p>
        </w:tc>
        <w:tc>
          <w:tcPr>
            <w:tcW w:w="9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86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7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850"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13</w:t>
            </w:r>
          </w:p>
        </w:tc>
        <w:tc>
          <w:tcPr>
            <w:tcW w:w="14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中水盆水龙头</w:t>
            </w:r>
          </w:p>
        </w:tc>
        <w:tc>
          <w:tcPr>
            <w:tcW w:w="11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15</w:t>
            </w:r>
          </w:p>
        </w:tc>
        <w:tc>
          <w:tcPr>
            <w:tcW w:w="7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套</w:t>
            </w:r>
          </w:p>
        </w:tc>
        <w:tc>
          <w:tcPr>
            <w:tcW w:w="9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86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72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850" w:hRule="atLeast"/>
        </w:trPr>
        <w:tc>
          <w:tcPr>
            <w:tcW w:w="640" w:type="dxa"/>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14</w:t>
            </w:r>
          </w:p>
        </w:tc>
        <w:tc>
          <w:tcPr>
            <w:tcW w:w="141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滴水架</w:t>
            </w:r>
          </w:p>
        </w:tc>
        <w:tc>
          <w:tcPr>
            <w:tcW w:w="11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0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18</w:t>
            </w:r>
          </w:p>
        </w:tc>
        <w:tc>
          <w:tcPr>
            <w:tcW w:w="79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套</w:t>
            </w:r>
          </w:p>
        </w:tc>
        <w:tc>
          <w:tcPr>
            <w:tcW w:w="9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86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72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850"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15</w:t>
            </w:r>
          </w:p>
        </w:tc>
        <w:tc>
          <w:tcPr>
            <w:tcW w:w="141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洗眼器</w:t>
            </w:r>
          </w:p>
        </w:tc>
        <w:tc>
          <w:tcPr>
            <w:tcW w:w="11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0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14</w:t>
            </w:r>
          </w:p>
        </w:tc>
        <w:tc>
          <w:tcPr>
            <w:tcW w:w="79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套</w:t>
            </w:r>
          </w:p>
        </w:tc>
        <w:tc>
          <w:tcPr>
            <w:tcW w:w="9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86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7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850"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16</w:t>
            </w:r>
          </w:p>
        </w:tc>
        <w:tc>
          <w:tcPr>
            <w:tcW w:w="14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大水盆水龙头</w:t>
            </w:r>
          </w:p>
        </w:tc>
        <w:tc>
          <w:tcPr>
            <w:tcW w:w="11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3</w:t>
            </w:r>
          </w:p>
        </w:tc>
        <w:tc>
          <w:tcPr>
            <w:tcW w:w="7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套</w:t>
            </w:r>
          </w:p>
        </w:tc>
        <w:tc>
          <w:tcPr>
            <w:tcW w:w="9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86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72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850" w:hRule="atLeast"/>
        </w:trPr>
        <w:tc>
          <w:tcPr>
            <w:tcW w:w="640" w:type="dxa"/>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17</w:t>
            </w:r>
          </w:p>
        </w:tc>
        <w:tc>
          <w:tcPr>
            <w:tcW w:w="14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实验凳</w:t>
            </w:r>
          </w:p>
        </w:tc>
        <w:tc>
          <w:tcPr>
            <w:tcW w:w="11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0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60</w:t>
            </w:r>
          </w:p>
        </w:tc>
        <w:tc>
          <w:tcPr>
            <w:tcW w:w="7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张</w:t>
            </w:r>
          </w:p>
        </w:tc>
        <w:tc>
          <w:tcPr>
            <w:tcW w:w="9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86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72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850" w:hRule="atLeast"/>
        </w:trPr>
        <w:tc>
          <w:tcPr>
            <w:tcW w:w="4960" w:type="dxa"/>
            <w:gridSpan w:val="5"/>
            <w:tcBorders>
              <w:top w:val="single" w:color="auto" w:sz="4" w:space="0"/>
              <w:left w:val="single" w:color="auto" w:sz="4" w:space="0"/>
              <w:bottom w:val="nil"/>
              <w:right w:val="single" w:color="auto" w:sz="4" w:space="0"/>
            </w:tcBorders>
            <w:shd w:val="clear" w:color="auto" w:fill="auto"/>
            <w:vAlign w:val="center"/>
          </w:tcPr>
          <w:p>
            <w:pPr>
              <w:widowControl/>
              <w:jc w:val="center"/>
              <w:rPr>
                <w:rFonts w:hint="eastAsia" w:ascii="宋体" w:hAnsi="宋体" w:eastAsia="宋体" w:cs="宋体"/>
                <w:color w:val="auto"/>
                <w:kern w:val="0"/>
                <w:sz w:val="18"/>
                <w:szCs w:val="18"/>
                <w:highlight w:val="none"/>
              </w:rPr>
            </w:pPr>
            <w:r>
              <w:rPr>
                <w:rFonts w:hint="eastAsia" w:ascii="宋体" w:hAnsi="宋体" w:cs="宋体"/>
                <w:color w:val="auto"/>
                <w:kern w:val="0"/>
                <w:sz w:val="18"/>
                <w:szCs w:val="18"/>
                <w:highlight w:val="none"/>
                <w:lang w:val="en-US" w:eastAsia="zh-CN"/>
              </w:rPr>
              <w:t>合计</w:t>
            </w:r>
          </w:p>
        </w:tc>
        <w:tc>
          <w:tcPr>
            <w:tcW w:w="9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86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72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850" w:hRule="atLeast"/>
        </w:trPr>
        <w:tc>
          <w:tcPr>
            <w:tcW w:w="8520"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auto"/>
                <w:kern w:val="0"/>
                <w:sz w:val="18"/>
                <w:szCs w:val="18"/>
                <w:highlight w:val="none"/>
              </w:rPr>
            </w:pPr>
            <w:r>
              <w:rPr>
                <w:rFonts w:hint="eastAsia" w:ascii="宋体" w:hAnsi="宋体" w:eastAsia="宋体" w:cs="宋体"/>
                <w:b/>
                <w:bCs/>
                <w:color w:val="auto"/>
                <w:kern w:val="0"/>
                <w:sz w:val="18"/>
                <w:szCs w:val="18"/>
                <w:highlight w:val="none"/>
              </w:rPr>
              <w:t>实验室专用PVC地面</w:t>
            </w:r>
          </w:p>
        </w:tc>
      </w:tr>
      <w:tr>
        <w:tblPrEx>
          <w:tblCellMar>
            <w:top w:w="0" w:type="dxa"/>
            <w:left w:w="108" w:type="dxa"/>
            <w:bottom w:w="0" w:type="dxa"/>
            <w:right w:w="108" w:type="dxa"/>
          </w:tblCellMar>
        </w:tblPrEx>
        <w:trPr>
          <w:trHeight w:val="850" w:hRule="atLeast"/>
        </w:trPr>
        <w:tc>
          <w:tcPr>
            <w:tcW w:w="640" w:type="dxa"/>
            <w:tcBorders>
              <w:top w:val="nil"/>
              <w:left w:val="single" w:color="auto" w:sz="4" w:space="0"/>
              <w:bottom w:val="single" w:color="auto" w:sz="4" w:space="0"/>
              <w:right w:val="nil"/>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w:t>
            </w:r>
          </w:p>
        </w:tc>
        <w:tc>
          <w:tcPr>
            <w:tcW w:w="1413"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PVC地板胶</w:t>
            </w:r>
          </w:p>
        </w:tc>
        <w:tc>
          <w:tcPr>
            <w:tcW w:w="11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100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920</w:t>
            </w:r>
          </w:p>
        </w:tc>
        <w:tc>
          <w:tcPr>
            <w:tcW w:w="79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w:t>
            </w:r>
          </w:p>
        </w:tc>
        <w:tc>
          <w:tcPr>
            <w:tcW w:w="9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color w:val="auto"/>
                <w:kern w:val="0"/>
                <w:sz w:val="18"/>
                <w:szCs w:val="18"/>
                <w:highlight w:val="none"/>
              </w:rPr>
            </w:pPr>
          </w:p>
        </w:tc>
        <w:tc>
          <w:tcPr>
            <w:tcW w:w="10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86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7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850"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2</w:t>
            </w:r>
          </w:p>
        </w:tc>
        <w:tc>
          <w:tcPr>
            <w:tcW w:w="14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专用自流平</w:t>
            </w:r>
          </w:p>
        </w:tc>
        <w:tc>
          <w:tcPr>
            <w:tcW w:w="11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920</w:t>
            </w:r>
          </w:p>
        </w:tc>
        <w:tc>
          <w:tcPr>
            <w:tcW w:w="7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w:t>
            </w:r>
          </w:p>
        </w:tc>
        <w:tc>
          <w:tcPr>
            <w:tcW w:w="9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86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72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850" w:hRule="atLeast"/>
        </w:trPr>
        <w:tc>
          <w:tcPr>
            <w:tcW w:w="496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auto"/>
                <w:kern w:val="0"/>
                <w:sz w:val="18"/>
                <w:szCs w:val="18"/>
                <w:highlight w:val="none"/>
              </w:rPr>
            </w:pPr>
            <w:r>
              <w:rPr>
                <w:rFonts w:hint="eastAsia" w:ascii="宋体" w:hAnsi="宋体" w:cs="宋体"/>
                <w:color w:val="auto"/>
                <w:kern w:val="0"/>
                <w:sz w:val="18"/>
                <w:szCs w:val="18"/>
                <w:highlight w:val="none"/>
                <w:lang w:val="en-US" w:eastAsia="zh-CN"/>
              </w:rPr>
              <w:t>合计</w:t>
            </w:r>
          </w:p>
        </w:tc>
        <w:tc>
          <w:tcPr>
            <w:tcW w:w="9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18"/>
                <w:szCs w:val="18"/>
                <w:highlight w:val="none"/>
              </w:rPr>
            </w:pPr>
          </w:p>
        </w:tc>
        <w:tc>
          <w:tcPr>
            <w:tcW w:w="86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c>
          <w:tcPr>
            <w:tcW w:w="72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18"/>
                <w:szCs w:val="18"/>
                <w:highlight w:val="none"/>
              </w:rPr>
            </w:pPr>
          </w:p>
        </w:tc>
      </w:tr>
    </w:tbl>
    <w:p>
      <w:pPr>
        <w:rPr>
          <w:rFonts w:hint="eastAsia" w:hAnsi="宋体" w:cs="宋体"/>
          <w:color w:val="auto"/>
          <w:kern w:val="0"/>
          <w:szCs w:val="21"/>
          <w:highlight w:val="none"/>
        </w:rPr>
      </w:pPr>
    </w:p>
    <w:p>
      <w:pPr>
        <w:pStyle w:val="2"/>
        <w:rPr>
          <w:rFonts w:hint="eastAsia"/>
          <w:color w:val="auto"/>
          <w:highlight w:val="none"/>
        </w:rPr>
      </w:pPr>
    </w:p>
    <w:p>
      <w:pPr>
        <w:pStyle w:val="96"/>
        <w:rPr>
          <w:rFonts w:hAnsi="宋体"/>
          <w:color w:val="auto"/>
          <w:sz w:val="24"/>
          <w:szCs w:val="24"/>
          <w:highlight w:val="none"/>
        </w:rPr>
      </w:pPr>
    </w:p>
    <w:p>
      <w:pPr>
        <w:spacing w:line="360" w:lineRule="auto"/>
        <w:ind w:left="753" w:hanging="753" w:hangingChars="357"/>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w:t>
      </w:r>
      <w:r>
        <w:rPr>
          <w:rFonts w:hint="eastAsia" w:ascii="宋体" w:hAnsi="宋体"/>
          <w:b/>
          <w:color w:val="auto"/>
          <w:szCs w:val="21"/>
          <w:highlight w:val="none"/>
          <w:lang w:eastAsia="zh-CN"/>
        </w:rPr>
        <w:t>报价人</w:t>
      </w:r>
      <w:r>
        <w:rPr>
          <w:rFonts w:hint="eastAsia" w:ascii="宋体" w:hAnsi="宋体"/>
          <w:b/>
          <w:color w:val="auto"/>
          <w:szCs w:val="21"/>
          <w:highlight w:val="none"/>
        </w:rPr>
        <w:t>自行设计。</w:t>
      </w:r>
      <w:r>
        <w:rPr>
          <w:rFonts w:hint="eastAsia" w:ascii="宋体" w:hAnsi="宋体"/>
          <w:b/>
          <w:color w:val="auto"/>
          <w:szCs w:val="21"/>
          <w:highlight w:val="none"/>
          <w:lang w:eastAsia="zh-CN"/>
        </w:rPr>
        <w:t>报价人</w:t>
      </w:r>
      <w:r>
        <w:rPr>
          <w:rFonts w:hint="eastAsia" w:ascii="宋体" w:hAnsi="宋体"/>
          <w:b/>
          <w:color w:val="auto"/>
          <w:szCs w:val="21"/>
          <w:highlight w:val="none"/>
        </w:rPr>
        <w:t>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lang w:val="en-US" w:eastAsia="zh-CN"/>
        </w:rPr>
        <w:t>3.</w:t>
      </w:r>
      <w:r>
        <w:rPr>
          <w:rFonts w:hint="eastAsia" w:ascii="宋体" w:hAnsi="宋体"/>
          <w:b/>
          <w:color w:val="auto"/>
          <w:szCs w:val="21"/>
          <w:highlight w:val="none"/>
        </w:rPr>
        <w:t>该表格式仅作参考，</w:t>
      </w:r>
      <w:r>
        <w:rPr>
          <w:rFonts w:hint="eastAsia" w:ascii="宋体" w:hAnsi="宋体"/>
          <w:b/>
          <w:color w:val="auto"/>
          <w:szCs w:val="21"/>
          <w:highlight w:val="none"/>
          <w:lang w:eastAsia="zh-CN"/>
        </w:rPr>
        <w:t>报价人</w:t>
      </w:r>
      <w:r>
        <w:rPr>
          <w:rFonts w:hint="eastAsia" w:ascii="宋体" w:hAnsi="宋体"/>
          <w:b/>
          <w:color w:val="auto"/>
          <w:szCs w:val="21"/>
          <w:highlight w:val="none"/>
        </w:rPr>
        <w:t>的详细报价表格式可自定。</w:t>
      </w: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lang w:eastAsia="zh-CN"/>
        </w:rPr>
        <w:t>报价人</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12" w:type="default"/>
          <w:footerReference r:id="rId13" w:type="default"/>
          <w:pgSz w:w="11906" w:h="16838"/>
          <w:pgMar w:top="1134" w:right="1134" w:bottom="1134" w:left="1134"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89"/>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w:t>
            </w:r>
            <w:r>
              <w:rPr>
                <w:rFonts w:hint="eastAsia" w:ascii="宋体" w:hAnsi="宋体"/>
                <w:color w:val="auto"/>
                <w:szCs w:val="21"/>
                <w:highlight w:val="none"/>
                <w:lang w:eastAsia="zh-CN"/>
              </w:rPr>
              <w:t>报价人</w:t>
            </w:r>
            <w:r>
              <w:rPr>
                <w:rFonts w:hint="eastAsia" w:ascii="宋体" w:hAnsi="宋体"/>
                <w:color w:val="auto"/>
                <w:szCs w:val="21"/>
                <w:highlight w:val="none"/>
              </w:rPr>
              <w:t>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numPr>
          <w:ilvl w:val="0"/>
          <w:numId w:val="0"/>
        </w:numPr>
        <w:tabs>
          <w:tab w:val="left" w:pos="0"/>
        </w:tabs>
        <w:spacing w:line="360" w:lineRule="auto"/>
        <w:ind w:leftChars="0" w:right="84" w:rightChars="40" w:firstLine="420" w:firstLineChars="200"/>
        <w:jc w:val="left"/>
        <w:rPr>
          <w:rFonts w:ascii="宋体" w:hAnsi="宋体"/>
          <w:color w:val="auto"/>
          <w:szCs w:val="21"/>
          <w:highlight w:val="none"/>
          <w:lang w:val="en-GB"/>
        </w:rPr>
      </w:pPr>
      <w:r>
        <w:rPr>
          <w:rFonts w:hint="eastAsia" w:ascii="宋体" w:hAnsi="宋体"/>
          <w:color w:val="auto"/>
          <w:szCs w:val="21"/>
          <w:highlight w:val="none"/>
          <w:lang w:val="en-US" w:eastAsia="zh-CN"/>
        </w:rPr>
        <w:t>1.</w:t>
      </w: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4"/>
          <w:rFonts w:hint="eastAsia" w:ascii="宋体" w:hAnsi="宋体"/>
          <w:color w:val="auto"/>
          <w:szCs w:val="21"/>
          <w:highlight w:val="none"/>
        </w:rPr>
        <w:t>http://hzs.nd</w:t>
      </w:r>
      <w:r>
        <w:rPr>
          <w:rStyle w:val="94"/>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420" w:leftChars="200" w:right="84" w:rightChars="40" w:firstLine="105" w:firstLineChars="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lang w:eastAsia="zh-CN"/>
        </w:rPr>
        <w:t>报价人</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ind w:firstLine="420" w:firstLineChars="200"/>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日    期： 2020年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lang w:eastAsia="zh-CN"/>
        </w:rPr>
        <w:t>报价人</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lang w:eastAsia="zh-CN"/>
        </w:rPr>
        <w:t>报价人</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b、</w:t>
      </w:r>
      <w:r>
        <w:rPr>
          <w:rFonts w:hint="eastAsia" w:ascii="宋体" w:hAnsi="宋体" w:cs="宋体"/>
          <w:color w:val="auto"/>
          <w:kern w:val="0"/>
          <w:szCs w:val="21"/>
          <w:highlight w:val="none"/>
          <w:lang w:eastAsia="zh-CN"/>
        </w:rPr>
        <w:t>报价人</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lang w:eastAsia="zh-CN"/>
        </w:rPr>
        <w:t>报价人</w:t>
      </w:r>
      <w:r>
        <w:rPr>
          <w:rFonts w:hint="eastAsia" w:ascii="宋体" w:cs="宋体"/>
          <w:color w:val="auto"/>
          <w:szCs w:val="21"/>
          <w:highlight w:val="none"/>
        </w:rPr>
        <w:t>公章。</w:t>
      </w:r>
    </w:p>
    <w:p>
      <w:pPr>
        <w:spacing w:line="360" w:lineRule="auto"/>
        <w:ind w:left="359" w:hanging="359" w:hangingChars="171"/>
        <w:rPr>
          <w:rFonts w:ascii="宋体" w:hAnsi="宋体"/>
          <w:color w:val="auto"/>
          <w:szCs w:val="21"/>
          <w:highlight w:val="none"/>
          <w:lang w:val="en-GB"/>
        </w:rPr>
      </w:pPr>
      <w:r>
        <w:rPr>
          <w:rFonts w:hint="eastAsia" w:ascii="宋体" w:cs="宋体"/>
          <w:color w:val="auto"/>
          <w:szCs w:val="21"/>
          <w:highlight w:val="none"/>
        </w:rPr>
        <w:t>c、</w:t>
      </w:r>
      <w:r>
        <w:rPr>
          <w:rFonts w:hint="eastAsia" w:ascii="宋体" w:hAnsi="宋体" w:cs="宋体"/>
          <w:color w:val="auto"/>
          <w:kern w:val="0"/>
          <w:szCs w:val="21"/>
          <w:highlight w:val="none"/>
          <w:lang w:eastAsia="zh-CN"/>
        </w:rPr>
        <w:t>报价人</w:t>
      </w:r>
      <w:r>
        <w:rPr>
          <w:rFonts w:hint="eastAsia" w:ascii="宋体" w:cs="宋体"/>
          <w:color w:val="auto"/>
          <w:szCs w:val="21"/>
          <w:highlight w:val="none"/>
        </w:rPr>
        <w:t>提供本企业的从业人员数量(以社保局或税务局开具的证明文件为准)、营业收入和资产总额（以会计师事务所审计的财务报告或税务部门审核的财务报告为准）证明文件（加盖公章）。</w:t>
      </w:r>
    </w:p>
    <w:p>
      <w:pPr>
        <w:spacing w:line="360" w:lineRule="auto"/>
        <w:ind w:left="718" w:hanging="718" w:hangingChars="342"/>
        <w:rPr>
          <w:rFonts w:ascii="宋体" w:hAnsi="宋体"/>
          <w:color w:val="auto"/>
          <w:szCs w:val="21"/>
          <w:highlight w:val="none"/>
          <w:lang w:val="en-GB"/>
        </w:rPr>
      </w:pPr>
    </w:p>
    <w:p>
      <w:pPr>
        <w:pStyle w:val="6"/>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20" w:firstLineChars="200"/>
        <w:rPr>
          <w:rFonts w:ascii="宋体" w:hAnsi="宋体"/>
          <w:color w:val="auto"/>
          <w:sz w:val="21"/>
          <w:szCs w:val="21"/>
          <w:highlight w:val="none"/>
        </w:rPr>
      </w:pPr>
      <w:r>
        <w:rPr>
          <w:rFonts w:hint="eastAsia" w:ascii="宋体" w:hAnsi="宋体"/>
          <w:color w:val="auto"/>
          <w:sz w:val="21"/>
          <w:szCs w:val="21"/>
          <w:highlight w:val="none"/>
        </w:rPr>
        <w:t>说明：监狱企业参加政府采购活动时，应当提供由省级以上监狱管理局、戒毒管理局（含新疆生产建设兵团）出具的属于监狱企业的证明文件。</w:t>
      </w:r>
    </w:p>
    <w:p>
      <w:pPr>
        <w:pStyle w:val="6"/>
        <w:ind w:firstLine="422" w:firstLineChars="200"/>
        <w:rPr>
          <w:color w:val="auto"/>
          <w:sz w:val="21"/>
          <w:szCs w:val="21"/>
          <w:highlight w:val="none"/>
        </w:rPr>
      </w:pPr>
      <w:bookmarkStart w:id="366" w:name="OLE_LINK14"/>
      <w:bookmarkStart w:id="367" w:name="OLE_LINK13"/>
    </w:p>
    <w:p>
      <w:pPr>
        <w:pStyle w:val="6"/>
        <w:rPr>
          <w:color w:val="auto"/>
          <w:sz w:val="21"/>
          <w:szCs w:val="21"/>
          <w:highlight w:val="none"/>
        </w:rPr>
      </w:pPr>
    </w:p>
    <w:p>
      <w:pPr>
        <w:pStyle w:val="6"/>
        <w:rPr>
          <w:b w:val="0"/>
          <w:bCs/>
          <w:color w:val="auto"/>
          <w:sz w:val="21"/>
          <w:szCs w:val="21"/>
          <w:highlight w:val="none"/>
        </w:rPr>
      </w:pPr>
      <w:r>
        <w:rPr>
          <w:rFonts w:hint="eastAsia"/>
          <w:b w:val="0"/>
          <w:bCs/>
          <w:color w:val="auto"/>
          <w:sz w:val="21"/>
          <w:szCs w:val="21"/>
          <w:highlight w:val="none"/>
        </w:rPr>
        <w:t>报价人全称（加盖公章）:</w:t>
      </w:r>
      <w:r>
        <w:rPr>
          <w:rFonts w:hint="eastAsia"/>
          <w:b w:val="0"/>
          <w:bCs/>
          <w:color w:val="auto"/>
          <w:sz w:val="21"/>
          <w:szCs w:val="21"/>
          <w:highlight w:val="none"/>
          <w:u w:val="single"/>
        </w:rPr>
        <w:t xml:space="preserve">                         </w:t>
      </w:r>
    </w:p>
    <w:p>
      <w:pPr>
        <w:pStyle w:val="6"/>
        <w:rPr>
          <w:b w:val="0"/>
          <w:bCs/>
          <w:color w:val="auto"/>
          <w:sz w:val="21"/>
          <w:szCs w:val="21"/>
          <w:highlight w:val="none"/>
        </w:rPr>
      </w:pPr>
      <w:r>
        <w:rPr>
          <w:rFonts w:hint="eastAsia"/>
          <w:b w:val="0"/>
          <w:bCs/>
          <w:color w:val="auto"/>
          <w:sz w:val="21"/>
          <w:szCs w:val="21"/>
          <w:highlight w:val="none"/>
        </w:rPr>
        <w:t>法定代表或其授权代表(签字或签章)：</w:t>
      </w:r>
      <w:r>
        <w:rPr>
          <w:rFonts w:hint="eastAsia"/>
          <w:b w:val="0"/>
          <w:bCs/>
          <w:color w:val="auto"/>
          <w:sz w:val="21"/>
          <w:szCs w:val="21"/>
          <w:highlight w:val="none"/>
          <w:u w:val="single"/>
        </w:rPr>
        <w:t xml:space="preserve">                        </w:t>
      </w:r>
    </w:p>
    <w:p>
      <w:pPr>
        <w:pStyle w:val="6"/>
        <w:rPr>
          <w:color w:val="auto"/>
          <w:sz w:val="24"/>
          <w:szCs w:val="24"/>
          <w:highlight w:val="none"/>
        </w:rPr>
      </w:pPr>
      <w:r>
        <w:rPr>
          <w:rFonts w:hint="eastAsia"/>
          <w:b w:val="0"/>
          <w:bCs/>
          <w:color w:val="auto"/>
          <w:sz w:val="21"/>
          <w:szCs w:val="21"/>
          <w:highlight w:val="none"/>
        </w:rPr>
        <w:t>日    期： 2020年  月  日</w:t>
      </w:r>
      <w:r>
        <w:rPr>
          <w:rFonts w:hint="eastAsia"/>
          <w:color w:val="auto"/>
          <w:sz w:val="21"/>
          <w:szCs w:val="21"/>
          <w:highlight w:val="none"/>
        </w:rPr>
        <w:br w:type="page"/>
      </w:r>
      <w:bookmarkStart w:id="368" w:name="_Toc512331248"/>
    </w:p>
    <w:p>
      <w:pPr>
        <w:pStyle w:val="6"/>
        <w:rPr>
          <w:bCs/>
          <w:color w:val="auto"/>
          <w:szCs w:val="28"/>
          <w:highlight w:val="none"/>
        </w:rPr>
      </w:pPr>
      <w:r>
        <w:rPr>
          <w:rFonts w:hint="eastAsia"/>
          <w:bCs/>
          <w:color w:val="auto"/>
          <w:szCs w:val="28"/>
          <w:highlight w:val="none"/>
        </w:rPr>
        <w:t>附件12 残疾人福利性单位声明函（如适用）</w:t>
      </w:r>
      <w:bookmarkEnd w:id="368"/>
    </w:p>
    <w:p>
      <w:pPr>
        <w:rPr>
          <w:color w:val="auto"/>
          <w:highlight w:val="none"/>
        </w:rPr>
      </w:pPr>
    </w:p>
    <w:bookmarkEnd w:id="366"/>
    <w:bookmarkEnd w:id="367"/>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本单位郑重声明，根据《财政部 民政部 中国残疾人联合会关于促进残疾人就业政府采购政策的通知》（财库</w:t>
      </w:r>
      <w:r>
        <w:rPr>
          <w:rFonts w:hint="eastAsia" w:ascii="宋体" w:hAnsi="宋体"/>
          <w:color w:val="auto"/>
          <w:sz w:val="21"/>
          <w:szCs w:val="21"/>
          <w:highlight w:val="none"/>
        </w:rPr>
        <w:t>〔2017〕 141</w:t>
      </w:r>
      <w:r>
        <w:rPr>
          <w:rFonts w:hint="eastAsia" w:ascii="宋体" w:hAnsi="宋体"/>
          <w:color w:val="auto"/>
          <w:spacing w:val="6"/>
          <w:sz w:val="21"/>
          <w:szCs w:val="21"/>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本单位对上述声明的真实性负责。如有虚假，将依法承担相应责任。</w:t>
      </w:r>
    </w:p>
    <w:p>
      <w:pPr>
        <w:spacing w:line="360" w:lineRule="auto"/>
        <w:ind w:firstLine="444" w:firstLineChars="200"/>
        <w:rPr>
          <w:rFonts w:ascii="宋体" w:hAnsi="宋体"/>
          <w:color w:val="auto"/>
          <w:spacing w:val="6"/>
          <w:sz w:val="21"/>
          <w:szCs w:val="21"/>
          <w:highlight w:val="none"/>
        </w:rPr>
      </w:pPr>
    </w:p>
    <w:p>
      <w:pPr>
        <w:spacing w:line="360" w:lineRule="auto"/>
        <w:ind w:firstLine="444" w:firstLineChars="200"/>
        <w:rPr>
          <w:rFonts w:ascii="宋体" w:hAnsi="宋体"/>
          <w:color w:val="auto"/>
          <w:spacing w:val="6"/>
          <w:sz w:val="21"/>
          <w:szCs w:val="21"/>
          <w:highlight w:val="none"/>
        </w:rPr>
      </w:pPr>
    </w:p>
    <w:p>
      <w:pPr>
        <w:tabs>
          <w:tab w:val="left" w:pos="4860"/>
        </w:tabs>
        <w:spacing w:line="360" w:lineRule="auto"/>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单位名称（盖章）：</w:t>
      </w:r>
      <w:r>
        <w:rPr>
          <w:rFonts w:hint="eastAsia" w:ascii="宋体" w:hAnsi="宋体"/>
          <w:color w:val="auto"/>
          <w:spacing w:val="6"/>
          <w:sz w:val="21"/>
          <w:szCs w:val="21"/>
          <w:highlight w:val="none"/>
          <w:u w:val="single"/>
        </w:rPr>
        <w:t xml:space="preserve">                     </w:t>
      </w:r>
    </w:p>
    <w:p>
      <w:pPr>
        <w:tabs>
          <w:tab w:val="left" w:pos="4860"/>
        </w:tabs>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 xml:space="preserve">附件13 </w:t>
      </w:r>
      <w:r>
        <w:rPr>
          <w:rFonts w:hint="eastAsia" w:ascii="宋体" w:hAnsi="宋体"/>
          <w:b/>
          <w:bCs/>
          <w:color w:val="auto"/>
          <w:kern w:val="0"/>
          <w:sz w:val="28"/>
          <w:szCs w:val="28"/>
          <w:highlight w:val="none"/>
          <w:lang w:eastAsia="zh-CN"/>
        </w:rPr>
        <w:t>报价人</w:t>
      </w:r>
      <w:r>
        <w:rPr>
          <w:rFonts w:hint="eastAsia" w:ascii="宋体" w:hAnsi="宋体"/>
          <w:b/>
          <w:bCs/>
          <w:color w:val="auto"/>
          <w:kern w:val="0"/>
          <w:sz w:val="28"/>
          <w:szCs w:val="28"/>
          <w:highlight w:val="none"/>
        </w:rPr>
        <w:t>基本情况表</w:t>
      </w:r>
    </w:p>
    <w:p>
      <w:pPr>
        <w:pStyle w:val="144"/>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4"/>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olor w:val="auto"/>
          <w:szCs w:val="21"/>
          <w:highlight w:val="none"/>
        </w:rPr>
        <w:t xml:space="preserve">5、公司基本情况：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获得资质和荣誉证书复印件一览表（后附相关证书复印件加盖公章）</w:t>
      </w:r>
    </w:p>
    <w:tbl>
      <w:tblPr>
        <w:tblStyle w:val="89"/>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369" w:name="_Toc81142098"/>
      <w:bookmarkStart w:id="370" w:name="_Toc109467914"/>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4"/>
        <w:rPr>
          <w:color w:val="auto"/>
          <w:sz w:val="21"/>
          <w:szCs w:val="21"/>
          <w:highlight w:val="none"/>
        </w:rPr>
      </w:pPr>
    </w:p>
    <w:tbl>
      <w:tblPr>
        <w:tblStyle w:val="89"/>
        <w:tblW w:w="9210" w:type="dxa"/>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lang w:eastAsia="zh-CN"/>
        </w:rPr>
        <w:t>报价人</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w:t>
      </w:r>
      <w:r>
        <w:rPr>
          <w:rFonts w:hint="eastAsia" w:ascii="宋体" w:hAnsi="宋体" w:cs="Arial"/>
          <w:b/>
          <w:color w:val="auto"/>
          <w:szCs w:val="21"/>
          <w:highlight w:val="none"/>
          <w:lang w:eastAsia="zh-CN"/>
        </w:rPr>
        <w:t>报价人</w:t>
      </w:r>
      <w:r>
        <w:rPr>
          <w:rFonts w:hint="eastAsia" w:ascii="宋体" w:hAnsi="宋体" w:cs="Arial"/>
          <w:b/>
          <w:color w:val="auto"/>
          <w:szCs w:val="21"/>
          <w:highlight w:val="none"/>
        </w:rPr>
        <w:t>在磋商响应文件中必须列出具体报价响应内容。如果</w:t>
      </w:r>
      <w:r>
        <w:rPr>
          <w:rFonts w:hint="eastAsia" w:ascii="宋体" w:hAnsi="宋体" w:cs="Arial"/>
          <w:b/>
          <w:color w:val="auto"/>
          <w:szCs w:val="21"/>
          <w:highlight w:val="none"/>
          <w:lang w:eastAsia="zh-CN"/>
        </w:rPr>
        <w:t>报价人</w:t>
      </w:r>
      <w:r>
        <w:rPr>
          <w:rFonts w:hint="eastAsia" w:ascii="宋体" w:hAnsi="宋体" w:cs="Arial"/>
          <w:b/>
          <w:color w:val="auto"/>
          <w:szCs w:val="21"/>
          <w:highlight w:val="none"/>
        </w:rPr>
        <w:t>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cs="Arial"/>
          <w:b/>
          <w:color w:val="auto"/>
          <w:szCs w:val="21"/>
          <w:highlight w:val="none"/>
        </w:rPr>
        <w:t>3.</w:t>
      </w:r>
      <w:r>
        <w:rPr>
          <w:rFonts w:hint="eastAsia" w:ascii="宋体" w:hAnsi="宋体" w:cs="Arial"/>
          <w:b/>
          <w:color w:val="auto"/>
          <w:szCs w:val="21"/>
          <w:highlight w:val="none"/>
          <w:lang w:eastAsia="zh-CN"/>
        </w:rPr>
        <w:t>报价人</w:t>
      </w:r>
      <w:r>
        <w:rPr>
          <w:rFonts w:hint="eastAsia" w:ascii="宋体" w:hAnsi="宋体" w:cs="Arial"/>
          <w:b/>
          <w:color w:val="auto"/>
          <w:szCs w:val="21"/>
          <w:highlight w:val="none"/>
        </w:rPr>
        <w:t>没有在磋商响应文件中注明偏离（文字说明或在服务、商务偏离表注明）的参数、配置、条款视为</w:t>
      </w:r>
      <w:r>
        <w:rPr>
          <w:rFonts w:hint="eastAsia" w:ascii="宋体" w:hAnsi="宋体" w:cs="Arial"/>
          <w:b/>
          <w:color w:val="auto"/>
          <w:szCs w:val="21"/>
          <w:highlight w:val="none"/>
          <w:lang w:eastAsia="zh-CN"/>
        </w:rPr>
        <w:t>报价人</w:t>
      </w:r>
      <w:r>
        <w:rPr>
          <w:rFonts w:hint="eastAsia" w:ascii="宋体" w:hAnsi="宋体" w:cs="Arial"/>
          <w:b/>
          <w:color w:val="auto"/>
          <w:szCs w:val="21"/>
          <w:highlight w:val="none"/>
        </w:rPr>
        <w:t>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4"/>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89"/>
        <w:tblW w:w="943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6"/>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w:t>
      </w:r>
      <w:r>
        <w:rPr>
          <w:rFonts w:hint="eastAsia" w:ascii="宋体" w:hAnsi="宋体"/>
          <w:b/>
          <w:color w:val="auto"/>
          <w:szCs w:val="21"/>
          <w:highlight w:val="none"/>
          <w:lang w:eastAsia="zh-CN"/>
        </w:rPr>
        <w:t>报价人</w:t>
      </w:r>
      <w:r>
        <w:rPr>
          <w:rFonts w:hint="eastAsia" w:ascii="宋体" w:hAnsi="宋体"/>
          <w:b/>
          <w:color w:val="auto"/>
          <w:szCs w:val="21"/>
          <w:highlight w:val="none"/>
        </w:rPr>
        <w:t>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369"/>
    <w:bookmarkEnd w:id="370"/>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89"/>
        <w:tblW w:w="9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注：请附上成交/中标通知书或合同复印件作为同类业绩证明资料。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6"/>
        <w:spacing w:line="360" w:lineRule="auto"/>
        <w:ind w:right="482"/>
        <w:rPr>
          <w:rFonts w:hAnsi="宋体"/>
          <w:color w:val="auto"/>
          <w:szCs w:val="21"/>
          <w:highlight w:val="none"/>
        </w:rPr>
      </w:pPr>
      <w:r>
        <w:rPr>
          <w:rFonts w:hint="eastAsia" w:hAnsi="宋体"/>
          <w:color w:val="auto"/>
          <w:szCs w:val="21"/>
          <w:highlight w:val="none"/>
        </w:rPr>
        <w:t>项目名称：</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w:t>
      </w:r>
      <w:r>
        <w:rPr>
          <w:rFonts w:hint="eastAsia" w:ascii="宋体" w:hAnsi="宋体"/>
          <w:bCs/>
          <w:color w:val="auto"/>
          <w:szCs w:val="21"/>
          <w:highlight w:val="none"/>
          <w:lang w:eastAsia="zh-CN"/>
        </w:rPr>
        <w:t>报价人</w:t>
      </w:r>
      <w:r>
        <w:rPr>
          <w:rFonts w:hint="eastAsia" w:ascii="宋体" w:hAnsi="宋体"/>
          <w:bCs/>
          <w:color w:val="auto"/>
          <w:szCs w:val="21"/>
          <w:highlight w:val="none"/>
        </w:rPr>
        <w:t>应按照竞争性磋商文件的要求，根据采购人需求要求内容做出全面响应并编制服务方案。其内容应包括但不限于：</w:t>
      </w:r>
    </w:p>
    <w:p>
      <w:pPr>
        <w:spacing w:line="360" w:lineRule="auto"/>
        <w:ind w:left="420" w:leftChars="200" w:firstLine="105" w:firstLineChars="50"/>
        <w:rPr>
          <w:rFonts w:hint="eastAsia" w:ascii="宋体" w:hAnsi="宋体" w:cs="Times New Roman"/>
          <w:bCs/>
          <w:color w:val="auto"/>
          <w:szCs w:val="21"/>
          <w:highlight w:val="none"/>
        </w:rPr>
      </w:pPr>
    </w:p>
    <w:p>
      <w:pPr>
        <w:spacing w:line="360" w:lineRule="auto"/>
        <w:ind w:left="420" w:leftChars="200" w:firstLine="105" w:firstLineChars="50"/>
        <w:rPr>
          <w:rFonts w:hint="eastAsia" w:ascii="宋体" w:hAnsi="宋体" w:cs="Times New Roman"/>
          <w:bCs/>
          <w:color w:val="auto"/>
          <w:szCs w:val="21"/>
          <w:highlight w:val="none"/>
        </w:rPr>
      </w:pPr>
      <w:r>
        <w:rPr>
          <w:rFonts w:hint="eastAsia" w:ascii="宋体" w:hAnsi="宋体" w:cs="Times New Roman"/>
          <w:bCs/>
          <w:color w:val="auto"/>
          <w:szCs w:val="21"/>
          <w:highlight w:val="none"/>
        </w:rPr>
        <w:t>（</w:t>
      </w:r>
      <w:r>
        <w:rPr>
          <w:rFonts w:hint="eastAsia" w:ascii="宋体" w:hAnsi="宋体" w:cs="Times New Roman"/>
          <w:bCs/>
          <w:color w:val="auto"/>
          <w:szCs w:val="21"/>
          <w:highlight w:val="none"/>
          <w:lang w:val="en-US" w:eastAsia="zh-CN"/>
        </w:rPr>
        <w:t>1</w:t>
      </w:r>
      <w:r>
        <w:rPr>
          <w:rFonts w:hint="eastAsia" w:ascii="宋体" w:hAnsi="宋体" w:cs="Times New Roman"/>
          <w:bCs/>
          <w:color w:val="auto"/>
          <w:szCs w:val="21"/>
          <w:highlight w:val="none"/>
        </w:rPr>
        <w:t>）对所投产品设备技术参数、性能指标、质量及特别带“▲”的响应情况和符合性；</w:t>
      </w:r>
    </w:p>
    <w:p>
      <w:pPr>
        <w:spacing w:line="360" w:lineRule="auto"/>
        <w:ind w:left="420" w:leftChars="200" w:firstLine="105" w:firstLineChars="50"/>
        <w:rPr>
          <w:rFonts w:hint="eastAsia" w:ascii="宋体" w:hAnsi="宋体" w:cs="Times New Roman"/>
          <w:bCs/>
          <w:color w:val="auto"/>
          <w:szCs w:val="21"/>
          <w:highlight w:val="none"/>
          <w:lang w:val="zh-CN" w:eastAsia="zh-CN"/>
        </w:rPr>
      </w:pPr>
      <w:r>
        <w:rPr>
          <w:rFonts w:hint="eastAsia" w:ascii="宋体" w:hAnsi="宋体" w:cs="Times New Roman"/>
          <w:bCs/>
          <w:color w:val="auto"/>
          <w:szCs w:val="21"/>
          <w:highlight w:val="none"/>
          <w:lang w:val="zh-CN" w:eastAsia="zh-CN"/>
        </w:rPr>
        <w:t>（</w:t>
      </w:r>
      <w:r>
        <w:rPr>
          <w:rFonts w:hint="eastAsia" w:ascii="宋体" w:hAnsi="宋体" w:cs="Times New Roman"/>
          <w:bCs/>
          <w:color w:val="auto"/>
          <w:szCs w:val="21"/>
          <w:highlight w:val="none"/>
          <w:lang w:val="en-US" w:eastAsia="zh-CN"/>
        </w:rPr>
        <w:t>2</w:t>
      </w:r>
      <w:r>
        <w:rPr>
          <w:rFonts w:hint="eastAsia" w:ascii="宋体" w:hAnsi="宋体" w:cs="Times New Roman"/>
          <w:bCs/>
          <w:color w:val="auto"/>
          <w:szCs w:val="21"/>
          <w:highlight w:val="none"/>
          <w:lang w:val="zh-CN" w:eastAsia="zh-CN"/>
        </w:rPr>
        <w:t>）施工材料</w:t>
      </w:r>
      <w:r>
        <w:rPr>
          <w:rFonts w:hint="eastAsia" w:ascii="宋体" w:hAnsi="宋体" w:cs="Times New Roman"/>
          <w:bCs/>
          <w:color w:val="auto"/>
          <w:szCs w:val="21"/>
          <w:highlight w:val="none"/>
          <w:lang w:val="en-US" w:eastAsia="zh-CN"/>
        </w:rPr>
        <w:t>；</w:t>
      </w:r>
    </w:p>
    <w:p>
      <w:pPr>
        <w:spacing w:line="360" w:lineRule="auto"/>
        <w:ind w:left="420" w:leftChars="200" w:firstLine="105" w:firstLineChars="50"/>
        <w:rPr>
          <w:rFonts w:hint="eastAsia" w:ascii="宋体" w:hAnsi="宋体" w:cs="Times New Roman"/>
          <w:bCs/>
          <w:color w:val="auto"/>
          <w:szCs w:val="21"/>
          <w:highlight w:val="none"/>
          <w:lang w:val="zh-CN" w:eastAsia="zh-CN"/>
        </w:rPr>
      </w:pPr>
      <w:r>
        <w:rPr>
          <w:rFonts w:hint="eastAsia" w:ascii="宋体" w:hAnsi="宋体" w:cs="Times New Roman"/>
          <w:bCs/>
          <w:color w:val="auto"/>
          <w:szCs w:val="21"/>
          <w:highlight w:val="none"/>
          <w:lang w:val="en-US" w:eastAsia="zh-CN"/>
        </w:rPr>
        <w:t>（3）</w:t>
      </w:r>
      <w:r>
        <w:rPr>
          <w:rFonts w:hint="eastAsia" w:ascii="宋体" w:hAnsi="宋体" w:cs="Times New Roman"/>
          <w:bCs/>
          <w:color w:val="auto"/>
          <w:szCs w:val="21"/>
          <w:highlight w:val="none"/>
        </w:rPr>
        <w:t>安装方案、安装组织设计及保证措施</w:t>
      </w:r>
      <w:r>
        <w:rPr>
          <w:rFonts w:hint="eastAsia" w:ascii="宋体" w:hAnsi="宋体" w:cs="Times New Roman"/>
          <w:bCs/>
          <w:color w:val="auto"/>
          <w:szCs w:val="21"/>
          <w:highlight w:val="none"/>
          <w:lang w:val="zh-CN" w:eastAsia="zh-CN"/>
        </w:rPr>
        <w:t>；</w:t>
      </w:r>
    </w:p>
    <w:p>
      <w:pPr>
        <w:spacing w:line="360" w:lineRule="auto"/>
        <w:ind w:left="420" w:leftChars="200" w:firstLine="105" w:firstLineChars="50"/>
        <w:rPr>
          <w:rFonts w:hint="eastAsia" w:ascii="宋体" w:hAnsi="宋体" w:cs="Times New Roman"/>
          <w:bCs/>
          <w:color w:val="auto"/>
          <w:szCs w:val="21"/>
          <w:highlight w:val="none"/>
          <w:lang w:val="zh-CN" w:eastAsia="zh-CN"/>
        </w:rPr>
      </w:pPr>
      <w:r>
        <w:rPr>
          <w:rFonts w:hint="eastAsia" w:ascii="宋体" w:hAnsi="宋体" w:cs="Times New Roman"/>
          <w:bCs/>
          <w:color w:val="auto"/>
          <w:szCs w:val="21"/>
          <w:highlight w:val="none"/>
          <w:lang w:val="en-US" w:eastAsia="zh-CN"/>
        </w:rPr>
        <w:t>（4）</w:t>
      </w:r>
      <w:r>
        <w:rPr>
          <w:rFonts w:hint="eastAsia" w:ascii="宋体" w:hAnsi="宋体" w:cs="Times New Roman"/>
          <w:bCs/>
          <w:color w:val="auto"/>
          <w:szCs w:val="21"/>
          <w:highlight w:val="none"/>
        </w:rPr>
        <w:t>深化设计方案</w:t>
      </w:r>
      <w:r>
        <w:rPr>
          <w:rFonts w:hint="eastAsia" w:ascii="宋体" w:hAnsi="宋体" w:cs="Times New Roman"/>
          <w:bCs/>
          <w:color w:val="auto"/>
          <w:szCs w:val="21"/>
          <w:highlight w:val="none"/>
          <w:lang w:val="zh-CN" w:eastAsia="zh-CN"/>
        </w:rPr>
        <w:t>；</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val="en-US" w:eastAsia="zh-CN"/>
        </w:rPr>
        <w:t>（5）</w:t>
      </w:r>
      <w:r>
        <w:rPr>
          <w:rFonts w:hint="eastAsia" w:ascii="宋体" w:hAnsi="宋体" w:cs="Times New Roman"/>
          <w:bCs/>
          <w:color w:val="auto"/>
          <w:szCs w:val="21"/>
          <w:highlight w:val="none"/>
        </w:rPr>
        <w:t>合同履行期进度计划承诺</w:t>
      </w:r>
      <w:r>
        <w:rPr>
          <w:rFonts w:hint="eastAsia" w:ascii="宋体" w:hAnsi="宋体" w:cs="Times New Roman"/>
          <w:bCs/>
          <w:color w:val="auto"/>
          <w:szCs w:val="21"/>
          <w:highlight w:val="none"/>
          <w:lang w:eastAsia="zh-CN"/>
        </w:rPr>
        <w:t>；</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（6）</w:t>
      </w:r>
      <w:r>
        <w:rPr>
          <w:rFonts w:hint="eastAsia" w:ascii="宋体" w:hAnsi="宋体" w:cs="Times New Roman"/>
          <w:bCs/>
          <w:color w:val="auto"/>
          <w:szCs w:val="21"/>
          <w:highlight w:val="none"/>
        </w:rPr>
        <w:t>文明安全安装措施</w:t>
      </w:r>
      <w:r>
        <w:rPr>
          <w:rFonts w:hint="eastAsia" w:ascii="宋体" w:hAnsi="宋体" w:cs="Times New Roman"/>
          <w:bCs/>
          <w:color w:val="auto"/>
          <w:szCs w:val="21"/>
          <w:highlight w:val="none"/>
          <w:lang w:val="en-US" w:eastAsia="zh-CN"/>
        </w:rPr>
        <w:t>。</w:t>
      </w:r>
    </w:p>
    <w:p>
      <w:pPr>
        <w:pStyle w:val="46"/>
        <w:numPr>
          <w:ilvl w:val="0"/>
          <w:numId w:val="0"/>
        </w:numPr>
        <w:rPr>
          <w:rFonts w:hint="eastAsia"/>
          <w:color w:val="auto"/>
          <w:highlight w:val="none"/>
          <w:lang w:val="en-US" w:eastAsia="zh-CN"/>
        </w:rPr>
      </w:pPr>
      <w:r>
        <w:rPr>
          <w:rFonts w:hint="eastAsia"/>
          <w:color w:val="auto"/>
          <w:highlight w:val="none"/>
          <w:lang w:val="en-US" w:eastAsia="zh-CN"/>
        </w:rPr>
        <w:t xml:space="preserve">     </w:t>
      </w:r>
    </w:p>
    <w:p>
      <w:pPr>
        <w:pStyle w:val="46"/>
        <w:numPr>
          <w:ilvl w:val="0"/>
          <w:numId w:val="0"/>
        </w:numPr>
        <w:rPr>
          <w:rFonts w:hint="eastAsia"/>
          <w:color w:val="auto"/>
          <w:highlight w:val="none"/>
          <w:lang w:val="en-US" w:eastAsia="zh-CN"/>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全称（盖公章）：</w:t>
      </w:r>
    </w:p>
    <w:p>
      <w:pPr>
        <w:spacing w:line="360" w:lineRule="auto"/>
        <w:ind w:right="420"/>
        <w:jc w:val="right"/>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widowControl/>
        <w:jc w:val="left"/>
        <w:rPr>
          <w:rFonts w:ascii="宋体" w:hAnsi="宋体"/>
          <w:color w:val="auto"/>
          <w:highlight w:val="none"/>
        </w:rPr>
      </w:pPr>
      <w:r>
        <w:rPr>
          <w:rFonts w:hint="eastAsia" w:ascii="宋体" w:hAnsi="宋体"/>
          <w:b/>
          <w:bCs/>
          <w:color w:val="auto"/>
          <w:kern w:val="0"/>
          <w:sz w:val="28"/>
          <w:szCs w:val="28"/>
          <w:highlight w:val="none"/>
        </w:rPr>
        <w:t>附件18  缴交采购代理服务费承诺书</w:t>
      </w:r>
    </w:p>
    <w:p>
      <w:pPr>
        <w:spacing w:line="360" w:lineRule="auto"/>
        <w:rPr>
          <w:rFonts w:ascii="宋体" w:hAnsi="宋体"/>
          <w:b/>
          <w:bCs/>
          <w:color w:val="auto"/>
          <w:kern w:val="0"/>
          <w:sz w:val="28"/>
          <w:szCs w:val="28"/>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致：广州市信怡招标代理有限公司</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如果我方在贵公司组织的项目名称：</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）磋商采购项目中被确定为成交候选人，</w:t>
      </w:r>
      <w:r>
        <w:rPr>
          <w:rFonts w:hint="eastAsia" w:ascii="宋体" w:hAnsi="宋体" w:cs="宋体"/>
          <w:color w:val="auto"/>
          <w:szCs w:val="21"/>
          <w:highlight w:val="none"/>
        </w:rPr>
        <w:t>我方保证在收到《中标通知书》前，</w:t>
      </w:r>
      <w:r>
        <w:rPr>
          <w:rFonts w:hint="eastAsia" w:ascii="宋体" w:hAnsi="宋体"/>
          <w:color w:val="auto"/>
          <w:szCs w:val="21"/>
          <w:highlight w:val="none"/>
        </w:rPr>
        <w:t>按照磋商文件的规定向贵公司交纳采购代理服务费。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我方如违约，愿凭贵公司开出的违约通知，按上述承诺金额的200％在采购人与我方签订的采购合同款项中扣付，并在此同意和要求采购人（应广州市信怡招标代理有限公司的要求）办理支付手续。</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特此承诺！</w:t>
      </w:r>
    </w:p>
    <w:p>
      <w:pPr>
        <w:spacing w:line="360" w:lineRule="auto"/>
        <w:ind w:left="4700" w:leftChars="2238"/>
        <w:rPr>
          <w:rFonts w:ascii="宋体" w:hAnsi="宋体"/>
          <w:color w:val="auto"/>
          <w:szCs w:val="21"/>
          <w:highlight w:val="none"/>
        </w:rPr>
      </w:pPr>
    </w:p>
    <w:p>
      <w:pPr>
        <w:spacing w:line="360" w:lineRule="auto"/>
        <w:ind w:firstLine="3990" w:firstLineChars="1900"/>
        <w:rPr>
          <w:rFonts w:ascii="宋体" w:hAnsi="宋体"/>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全称（加盖公章）；</w:t>
      </w:r>
    </w:p>
    <w:p>
      <w:pPr>
        <w:spacing w:line="360" w:lineRule="auto"/>
        <w:ind w:left="3986" w:leftChars="1898"/>
        <w:rPr>
          <w:rFonts w:ascii="宋体" w:hAnsi="宋体"/>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法定地址：</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法定代表或其授权代表</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电    话：</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传    真：</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承诺日期：</w:t>
      </w:r>
      <w:r>
        <w:rPr>
          <w:rFonts w:hint="eastAsia" w:ascii="宋体" w:hAnsi="宋体"/>
          <w:bCs/>
          <w:color w:val="auto"/>
          <w:szCs w:val="21"/>
          <w:highlight w:val="none"/>
        </w:rPr>
        <w:t>2020年  月  日</w:t>
      </w:r>
    </w:p>
    <w:p>
      <w:pPr>
        <w:pStyle w:val="46"/>
        <w:spacing w:line="360" w:lineRule="auto"/>
        <w:jc w:val="right"/>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附件19 拟派本项目负责人及主要人员情况表</w:t>
      </w:r>
    </w:p>
    <w:p>
      <w:pPr>
        <w:spacing w:line="360" w:lineRule="auto"/>
        <w:rPr>
          <w:rFonts w:hint="eastAsia" w:ascii="宋体" w:hAnsi="宋体" w:cs="Tahoma"/>
          <w:color w:val="auto"/>
          <w:kern w:val="28"/>
          <w:szCs w:val="21"/>
          <w:highlight w:val="none"/>
          <w:lang w:val="en-US" w:eastAsia="zh-CN"/>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r>
        <w:rPr>
          <w:rFonts w:hint="eastAsia" w:ascii="宋体" w:hAnsi="宋体" w:cs="Tahoma"/>
          <w:color w:val="auto"/>
          <w:kern w:val="28"/>
          <w:szCs w:val="21"/>
          <w:highlight w:val="none"/>
          <w:lang w:val="en-US" w:eastAsia="zh-CN"/>
        </w:rPr>
        <w:t xml:space="preserve">                                         </w:t>
      </w:r>
    </w:p>
    <w:p>
      <w:pPr>
        <w:spacing w:line="360" w:lineRule="auto"/>
        <w:rPr>
          <w:bCs/>
          <w:color w:val="auto"/>
          <w:szCs w:val="21"/>
          <w:highlight w:val="none"/>
        </w:rPr>
      </w:pPr>
      <w:r>
        <w:rPr>
          <w:rFonts w:hint="eastAsia" w:cs="Tahoma"/>
          <w:color w:val="auto"/>
          <w:szCs w:val="21"/>
          <w:highlight w:val="none"/>
        </w:rPr>
        <w:t>项目编号：</w:t>
      </w:r>
    </w:p>
    <w:tbl>
      <w:tblPr>
        <w:tblStyle w:val="89"/>
        <w:tblW w:w="89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8"/>
              <w:widowControl w:val="0"/>
              <w:pBdr>
                <w:bottom w:val="none" w:color="auto" w:sz="0" w:space="0"/>
                <w:right w:val="none" w:color="auto" w:sz="0" w:space="0"/>
              </w:pBdr>
              <w:spacing w:before="0" w:beforeAutospacing="0" w:after="0" w:afterAutospacing="0" w:line="360" w:lineRule="auto"/>
              <w:jc w:val="both"/>
              <w:rPr>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kern w:val="2"/>
                <w:sz w:val="21"/>
                <w:szCs w:val="21"/>
                <w:highlight w:val="none"/>
              </w:rPr>
              <w:t>从事</w:t>
            </w:r>
            <w:r>
              <w:rPr>
                <w:rFonts w:hint="eastAsia" w:asciiTheme="minorEastAsia" w:hAnsiTheme="minorEastAsia" w:eastAsiaTheme="minorEastAsia" w:cstheme="minorEastAsia"/>
                <w:color w:val="auto"/>
                <w:sz w:val="21"/>
                <w:szCs w:val="21"/>
                <w:highlight w:val="none"/>
              </w:rPr>
              <w:t>同类</w:t>
            </w:r>
            <w:r>
              <w:rPr>
                <w:rFonts w:hint="eastAsia" w:asciiTheme="minorEastAsia" w:hAnsiTheme="minorEastAsia" w:eastAsiaTheme="minorEastAsia" w:cstheme="minorEastAsia"/>
                <w:color w:val="auto"/>
                <w:kern w:val="2"/>
                <w:sz w:val="21"/>
                <w:szCs w:val="21"/>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已完成的部分同类项目情况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成果质量</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bl>
    <w:p>
      <w:pPr>
        <w:pStyle w:val="46"/>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w:t>
      </w:r>
      <w:r>
        <w:rPr>
          <w:rFonts w:hint="eastAsia" w:ascii="宋体" w:hAnsi="宋体"/>
          <w:b/>
          <w:color w:val="auto"/>
          <w:szCs w:val="21"/>
          <w:highlight w:val="none"/>
          <w:lang w:eastAsia="zh-CN"/>
        </w:rPr>
        <w:t>报价人</w:t>
      </w:r>
      <w:r>
        <w:rPr>
          <w:rFonts w:hint="eastAsia" w:ascii="宋体" w:hAnsi="宋体"/>
          <w:b/>
          <w:color w:val="auto"/>
          <w:szCs w:val="21"/>
          <w:highlight w:val="none"/>
        </w:rPr>
        <w:t>须设立驻场项目负责人和专业专职的主要技术及服务人员，并在上表中列明；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2.需附上上表所列人员的证明材料文件。</w:t>
      </w:r>
    </w:p>
    <w:p>
      <w:pPr>
        <w:spacing w:line="360" w:lineRule="auto"/>
        <w:rPr>
          <w:rFonts w:ascii="宋体" w:hAnsi="宋体" w:cs="宋体"/>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1134" w:right="1417" w:bottom="1134" w:left="1417"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附件20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89"/>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szCs w:val="21"/>
                <w:highlight w:val="none"/>
              </w:rPr>
            </w:pPr>
            <w:r>
              <w:rPr>
                <w:rFonts w:hint="eastAsia" w:ascii="宋体" w:hAnsi="宋体" w:eastAsia="宋体" w:cs="宋体"/>
                <w:color w:val="auto"/>
                <w:kern w:val="0"/>
                <w:szCs w:val="21"/>
                <w:highlight w:val="none"/>
              </w:rPr>
              <w:t>★具有独立承担民事责任的能力【提供法人或者其他组织的营业执照、组织机构代码证和税务登记证（或三证合一证明）等证明文件】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szCs w:val="21"/>
                <w:highlight w:val="none"/>
              </w:rPr>
            </w:pPr>
            <w:r>
              <w:rPr>
                <w:rFonts w:hint="eastAsia" w:ascii="宋体" w:hAnsi="宋体" w:eastAsia="宋体" w:cs="宋体"/>
                <w:color w:val="auto"/>
                <w:kern w:val="0"/>
                <w:szCs w:val="21"/>
                <w:highlight w:val="none"/>
              </w:rPr>
              <w:t>★具有良好的商业信誉和健全的财务会计制度【提供2018年或2019年的财务状况报告或基本开户行（提供开户许可证）出具的资信证明复印件。如</w:t>
            </w:r>
            <w:r>
              <w:rPr>
                <w:rFonts w:hint="eastAsia" w:ascii="宋体" w:hAnsi="宋体" w:cs="宋体"/>
                <w:color w:val="auto"/>
                <w:kern w:val="0"/>
                <w:szCs w:val="21"/>
                <w:highlight w:val="none"/>
                <w:lang w:eastAsia="zh-CN"/>
              </w:rPr>
              <w:t>报价人</w:t>
            </w:r>
            <w:r>
              <w:rPr>
                <w:rFonts w:hint="eastAsia" w:ascii="宋体" w:hAnsi="宋体" w:eastAsia="宋体" w:cs="宋体"/>
                <w:color w:val="auto"/>
                <w:kern w:val="0"/>
                <w:szCs w:val="21"/>
                <w:highlight w:val="none"/>
              </w:rPr>
              <w:t>为新注册的，提供成立至今的月或季度财务状况报告复印件】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szCs w:val="21"/>
                <w:highlight w:val="none"/>
              </w:rPr>
            </w:pPr>
            <w:r>
              <w:rPr>
                <w:rFonts w:hint="eastAsia" w:ascii="宋体" w:hAnsi="宋体" w:eastAsia="宋体" w:cs="宋体"/>
                <w:color w:val="auto"/>
                <w:kern w:val="0"/>
                <w:szCs w:val="21"/>
                <w:highlight w:val="none"/>
              </w:rPr>
              <w:t>★具有履行合同所必需的设备和专业技术能力【提供履行合同所必需的设备清单以及技术人员的名单材料】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szCs w:val="21"/>
                <w:highlight w:val="none"/>
              </w:rPr>
            </w:pPr>
            <w:r>
              <w:rPr>
                <w:rFonts w:hint="eastAsia" w:ascii="宋体" w:hAnsi="宋体" w:eastAsia="宋体" w:cs="宋体"/>
                <w:color w:val="auto"/>
                <w:kern w:val="0"/>
                <w:szCs w:val="21"/>
                <w:highlight w:val="none"/>
              </w:rPr>
              <w:t>★有依法缴纳税收和社会保障资金的良好记录【提供缴纳税收和社会保险的凭证。如依法免税或不需要缴纳社会保障资金的，应提供相应文件证明】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szCs w:val="21"/>
                <w:highlight w:val="none"/>
              </w:rPr>
            </w:pPr>
            <w:r>
              <w:rPr>
                <w:rFonts w:hint="eastAsia" w:ascii="宋体" w:hAnsi="宋体" w:eastAsia="宋体" w:cs="宋体"/>
                <w:color w:val="auto"/>
                <w:kern w:val="0"/>
                <w:szCs w:val="21"/>
                <w:highlight w:val="none"/>
              </w:rPr>
              <w:t>★参加政府采购活动前三年内，在经营活动中没有重大违法记录【提供书面声明】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7</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lang w:eastAsia="zh-CN"/>
              </w:rPr>
              <w:t>报价人</w:t>
            </w:r>
            <w:r>
              <w:rPr>
                <w:rFonts w:hint="eastAsia" w:ascii="宋体" w:hAnsi="宋体" w:cs="宋体"/>
                <w:color w:val="auto"/>
                <w:kern w:val="0"/>
                <w:szCs w:val="21"/>
                <w:highlight w:val="none"/>
              </w:rPr>
              <w:t>《公平竞争承诺书》原件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8</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w:t>
            </w:r>
            <w:r>
              <w:rPr>
                <w:rFonts w:hint="eastAsia" w:ascii="宋体" w:hAnsi="宋体" w:cs="宋体"/>
                <w:color w:val="auto"/>
                <w:szCs w:val="20"/>
                <w:highlight w:val="none"/>
                <w:lang w:eastAsia="zh-CN"/>
              </w:rPr>
              <w:t>报价人</w:t>
            </w:r>
            <w:r>
              <w:rPr>
                <w:rFonts w:hint="eastAsia" w:ascii="宋体" w:hAnsi="宋体" w:cs="宋体"/>
                <w:color w:val="auto"/>
                <w:szCs w:val="20"/>
                <w:highlight w:val="none"/>
              </w:rPr>
              <w:t>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w:t>
            </w:r>
            <w:r>
              <w:rPr>
                <w:rFonts w:hint="eastAsia" w:ascii="宋体" w:hAnsi="宋体" w:cs="宋体"/>
                <w:color w:val="auto"/>
                <w:szCs w:val="20"/>
                <w:highlight w:val="none"/>
                <w:lang w:eastAsia="zh-CN"/>
              </w:rPr>
              <w:t>报价人</w:t>
            </w:r>
            <w:r>
              <w:rPr>
                <w:rFonts w:hint="eastAsia" w:ascii="宋体" w:hAnsi="宋体" w:cs="宋体"/>
                <w:color w:val="auto"/>
                <w:szCs w:val="20"/>
                <w:highlight w:val="none"/>
              </w:rPr>
              <w:t>为非独立法人（即由合法法人依法建立的分公司），除了对</w:t>
            </w:r>
            <w:r>
              <w:rPr>
                <w:rFonts w:hint="eastAsia" w:ascii="宋体" w:hAnsi="宋体" w:cs="宋体"/>
                <w:color w:val="auto"/>
                <w:szCs w:val="20"/>
                <w:highlight w:val="none"/>
                <w:lang w:eastAsia="zh-CN"/>
              </w:rPr>
              <w:t>报价人</w:t>
            </w:r>
            <w:r>
              <w:rPr>
                <w:rFonts w:hint="eastAsia" w:ascii="宋体" w:hAnsi="宋体" w:cs="宋体"/>
                <w:color w:val="auto"/>
                <w:szCs w:val="20"/>
                <w:highlight w:val="none"/>
              </w:rPr>
              <w:t>进行信息查询外，同时对总公司的信息查询记录和证据截图或下载存档）。</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9</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单位负责人为同一人或者存在直接控股、管理关系的不同</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，不得参加同一合同项下的政府采购活动。为采购项目提供整体设计、规范编制或者项目管理、监理、检测等服务的</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p>
    <w:p>
      <w:pPr>
        <w:spacing w:line="360" w:lineRule="auto"/>
        <w:rPr>
          <w:rFonts w:ascii="宋体" w:hAnsi="宋体"/>
          <w:b/>
          <w:bCs/>
          <w:color w:val="auto"/>
          <w:szCs w:val="21"/>
          <w:highlight w:val="none"/>
        </w:rPr>
      </w:pPr>
      <w:r>
        <w:rPr>
          <w:rFonts w:hint="eastAsia" w:ascii="宋体" w:hAnsi="宋体"/>
          <w:b/>
          <w:bCs/>
          <w:color w:val="auto"/>
          <w:szCs w:val="21"/>
          <w:highlight w:val="none"/>
        </w:rPr>
        <w:t>说明：1、</w:t>
      </w:r>
      <w:r>
        <w:rPr>
          <w:rFonts w:hint="eastAsia" w:ascii="宋体" w:hAnsi="宋体"/>
          <w:b/>
          <w:bCs/>
          <w:color w:val="auto"/>
          <w:szCs w:val="21"/>
          <w:highlight w:val="none"/>
          <w:lang w:eastAsia="zh-CN"/>
        </w:rPr>
        <w:t>报价人</w:t>
      </w:r>
      <w:r>
        <w:rPr>
          <w:rFonts w:hint="eastAsia" w:ascii="宋体" w:hAnsi="宋体"/>
          <w:b/>
          <w:bCs/>
          <w:color w:val="auto"/>
          <w:szCs w:val="21"/>
          <w:highlight w:val="none"/>
        </w:rPr>
        <w:t>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lang w:eastAsia="zh-CN"/>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287"/>
      <w:bookmarkEnd w:id="346"/>
      <w:bookmarkEnd w:id="347"/>
      <w:bookmarkEnd w:id="348"/>
      <w:bookmarkEnd w:id="349"/>
      <w:bookmarkEnd w:id="350"/>
      <w:bookmarkEnd w:id="352"/>
      <w:bookmarkEnd w:id="353"/>
      <w:bookmarkEnd w:id="354"/>
      <w:bookmarkEnd w:id="355"/>
      <w:bookmarkEnd w:id="356"/>
      <w:bookmarkEnd w:id="357"/>
      <w:bookmarkEnd w:id="358"/>
      <w:bookmarkEnd w:id="359"/>
      <w:bookmarkEnd w:id="360"/>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1</w:t>
      </w:r>
      <w:r>
        <w:rPr>
          <w:rFonts w:hint="eastAsia" w:ascii="宋体" w:hAnsi="宋体"/>
          <w:b/>
          <w:bCs/>
          <w:color w:val="auto"/>
          <w:kern w:val="0"/>
          <w:sz w:val="28"/>
          <w:szCs w:val="28"/>
          <w:highlight w:val="none"/>
        </w:rPr>
        <w:t xml:space="preserve">   ▲条款响应一览表</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r>
        <w:rPr>
          <w:rFonts w:hint="eastAsia" w:ascii="宋体" w:hAnsi="宋体" w:eastAsia="宋体" w:cs="宋体"/>
          <w:color w:val="auto"/>
          <w:kern w:val="28"/>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bl>
      <w:tblPr>
        <w:tblStyle w:val="89"/>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5347"/>
        <w:gridCol w:w="1088"/>
        <w:gridCol w:w="1187"/>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5347" w:type="dxa"/>
            <w:tcBorders>
              <w:left w:val="single" w:color="000000" w:sz="4" w:space="0"/>
            </w:tcBorders>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带“▲”号响应内容</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是否响应</w:t>
            </w: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偏离说明</w:t>
            </w: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w:t>
            </w:r>
          </w:p>
        </w:tc>
        <w:tc>
          <w:tcPr>
            <w:tcW w:w="5347" w:type="dxa"/>
            <w:tcBorders>
              <w:left w:val="single" w:color="000000" w:sz="4" w:space="0"/>
            </w:tcBorders>
            <w:vAlign w:val="top"/>
          </w:tcPr>
          <w:p>
            <w:pPr>
              <w:widowControl/>
              <w:jc w:val="left"/>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边台：</w:t>
            </w:r>
          </w:p>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▲B：物理性能：所检产品按照GB 18580-2017“室内装饰装修材料 人造板及其制品中甲醛释放量”限量值E1进行检验，所检结果达到标准要求。甲醛释放量（1m³气候箱法）：技术指标≤0.124，检测结果为0.021mg/m³.</w:t>
            </w:r>
          </w:p>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1.弯曲强度：126Mpa，（GB/T17657-2013）</w:t>
            </w:r>
          </w:p>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2.吸水率（24h,23℃）：0.34%，（GB/T17657-2013）</w:t>
            </w:r>
          </w:p>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3.拉伸断裂强度：82.2MPa，（GB/T17657-2013）</w:t>
            </w:r>
          </w:p>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4.压缩强度：266MPa，（GB/T1041-2008）</w:t>
            </w:r>
          </w:p>
          <w:p>
            <w:pPr>
              <w:widowControl/>
              <w:jc w:val="left"/>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5.洛氏硬度（R）：121，（GB/T3398.2-2008）</w:t>
            </w:r>
          </w:p>
          <w:p>
            <w:pPr>
              <w:pStyle w:val="2"/>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i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rPr>
              <w:t>6.悬臂梁无口冲击强度：14.5（c）KJ/㎡，（GB/T1843-2008）</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2</w:t>
            </w:r>
          </w:p>
        </w:tc>
        <w:tc>
          <w:tcPr>
            <w:tcW w:w="5347" w:type="dxa"/>
            <w:tcBorders>
              <w:left w:val="single" w:color="000000" w:sz="4" w:space="0"/>
            </w:tcBorders>
            <w:vAlign w:val="top"/>
          </w:tcPr>
          <w:p>
            <w:pPr>
              <w:widowControl/>
              <w:jc w:val="left"/>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边台：</w:t>
            </w:r>
          </w:p>
          <w:p>
            <w:pPr>
              <w:pStyle w:val="2"/>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宋体" w:hAnsi="宋体" w:eastAsia="宋体" w:cs="宋体"/>
                <w:color w:val="auto"/>
                <w:kern w:val="0"/>
                <w:sz w:val="21"/>
                <w:szCs w:val="21"/>
                <w:highlight w:val="none"/>
              </w:rPr>
              <w:t>▲D.甲醛的特殊转移,按照EN 13130-1:2004 &amp; DD CEN/TS 13130-23:2005测试方法进行检测，用3%的醋酸在60摄氏度浸泡6小时,用95%乙醇在60摄氏度浸泡6小时，检测结果均2.0mg/kg，检测结论为：合格。</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p>
        </w:tc>
        <w:tc>
          <w:tcPr>
            <w:tcW w:w="5347" w:type="dxa"/>
            <w:tcBorders>
              <w:left w:val="single" w:color="000000" w:sz="4" w:space="0"/>
            </w:tcBorders>
            <w:vAlign w:val="top"/>
          </w:tcPr>
          <w:p>
            <w:pPr>
              <w:widowControl/>
              <w:jc w:val="left"/>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边台：</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宋体" w:hAnsi="宋体" w:eastAsia="宋体" w:cs="宋体"/>
                <w:color w:val="auto"/>
                <w:kern w:val="0"/>
                <w:sz w:val="21"/>
                <w:szCs w:val="21"/>
                <w:highlight w:val="none"/>
              </w:rPr>
              <w:t>▲3. C型钢架采用≥40*60*1.2mm厚方钢管焊接成C型钢架，前后梁采用≥厚1.2mm厚方钢管焊接而成，表面经酸洗、磷化、表面环氧树脂粉末静电75um喷涂，（烤房）180℃高温固化；</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right="0"/>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4</w:t>
            </w:r>
          </w:p>
        </w:tc>
        <w:tc>
          <w:tcPr>
            <w:tcW w:w="5347" w:type="dxa"/>
            <w:tcBorders>
              <w:left w:val="single" w:color="000000" w:sz="4" w:space="0"/>
            </w:tcBorders>
            <w:vAlign w:val="top"/>
          </w:tcPr>
          <w:p>
            <w:pPr>
              <w:pStyle w:val="2"/>
              <w:rPr>
                <w:rFonts w:hint="eastAsia" w:cs="宋体"/>
                <w:color w:val="auto"/>
                <w:kern w:val="0"/>
                <w:sz w:val="21"/>
                <w:szCs w:val="21"/>
                <w:highlight w:val="none"/>
                <w:lang w:eastAsia="zh-CN"/>
              </w:rPr>
            </w:pPr>
            <w:r>
              <w:rPr>
                <w:rFonts w:hint="eastAsia" w:ascii="宋体" w:hAnsi="宋体" w:eastAsia="宋体" w:cs="宋体"/>
                <w:color w:val="auto"/>
                <w:kern w:val="0"/>
                <w:sz w:val="21"/>
                <w:szCs w:val="21"/>
                <w:highlight w:val="none"/>
              </w:rPr>
              <w:t>高温台</w:t>
            </w:r>
            <w:r>
              <w:rPr>
                <w:rFonts w:hint="eastAsia" w:cs="宋体"/>
                <w:color w:val="auto"/>
                <w:kern w:val="0"/>
                <w:sz w:val="21"/>
                <w:szCs w:val="21"/>
                <w:highlight w:val="none"/>
                <w:lang w:eastAsia="zh-CN"/>
              </w:rPr>
              <w:t>：</w:t>
            </w:r>
          </w:p>
          <w:p>
            <w:pPr>
              <w:pStyle w:val="2"/>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kern w:val="0"/>
                <w:sz w:val="21"/>
                <w:szCs w:val="21"/>
                <w:highlight w:val="none"/>
              </w:rPr>
            </w:pPr>
            <w:r>
              <w:rPr>
                <w:rFonts w:hint="eastAsia" w:ascii="宋体" w:hAnsi="宋体" w:eastAsia="宋体" w:cs="宋体"/>
                <w:color w:val="auto"/>
                <w:kern w:val="0"/>
                <w:sz w:val="21"/>
                <w:szCs w:val="21"/>
                <w:highlight w:val="none"/>
              </w:rPr>
              <w:t>▲1.采用≥40*60*1.2mm厚方形钢管制成的H型框架，连接处冷轧钢板冲压一体成型专用连接件连接, 使整体框架结构合理，稳定性及承重能力强；钢材表面经酸洗、磷化、静电粉沫喷涂处理，具有耐腐蚀、防火、防潮等功能</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right="0"/>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5347" w:type="dxa"/>
            <w:tcBorders>
              <w:left w:val="single" w:color="000000" w:sz="4" w:space="0"/>
            </w:tcBorders>
            <w:vAlign w:val="top"/>
          </w:tcPr>
          <w:p>
            <w:pP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中央台</w:t>
            </w:r>
            <w:r>
              <w:rPr>
                <w:rFonts w:hint="eastAsia" w:cs="宋体"/>
                <w:color w:val="auto"/>
                <w:kern w:val="0"/>
                <w:sz w:val="21"/>
                <w:szCs w:val="21"/>
                <w:highlight w:val="none"/>
                <w:lang w:eastAsia="zh-CN"/>
              </w:rPr>
              <w:t>：</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▲B：物理性能：所检产品按照GB 18580-2017“室内装饰装修材料 人造板及其制品中甲醛释放量”限量值E1进行检验，所检结果达到标准要求。甲醛释放量（1m³气候箱法）：技术指标≤0.124，检测结果为0.021mg/m³.</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1.弯曲强度：126Mpa，（GB/T17657-2013）2.吸水率（24h,23℃）：0.34%，（GB/T17657-2013）</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3.拉伸断裂强度：82.2MPa，（GB/T17657-2013）</w:t>
            </w:r>
          </w:p>
          <w:p>
            <w:pPr>
              <w:pStyle w:val="2"/>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i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rPr>
              <w:t>4.压缩强度：266MPa，（GB/T1041-2008）5.洛氏硬度（R）：121，（GB/T3398.2-2008）6.悬臂梁无口冲击强度：14.5（c）KJ/㎡，（GB/T1843-2008）</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right="0"/>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6</w:t>
            </w:r>
          </w:p>
        </w:tc>
        <w:tc>
          <w:tcPr>
            <w:tcW w:w="5347" w:type="dxa"/>
            <w:tcBorders>
              <w:left w:val="single" w:color="000000" w:sz="4" w:space="0"/>
            </w:tcBorders>
            <w:vAlign w:val="top"/>
          </w:tcPr>
          <w:p>
            <w:pP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中央台</w:t>
            </w:r>
            <w:r>
              <w:rPr>
                <w:rFonts w:hint="eastAsia" w:cs="宋体"/>
                <w:color w:val="auto"/>
                <w:kern w:val="0"/>
                <w:sz w:val="21"/>
                <w:szCs w:val="21"/>
                <w:highlight w:val="none"/>
                <w:lang w:eastAsia="zh-CN"/>
              </w:rPr>
              <w:t>：</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kern w:val="0"/>
                <w:sz w:val="21"/>
                <w:szCs w:val="21"/>
                <w:highlight w:val="none"/>
              </w:rPr>
            </w:pPr>
            <w:r>
              <w:rPr>
                <w:rFonts w:hint="eastAsia" w:ascii="宋体" w:hAnsi="宋体" w:eastAsia="宋体" w:cs="宋体"/>
                <w:color w:val="auto"/>
                <w:kern w:val="0"/>
                <w:sz w:val="21"/>
                <w:szCs w:val="21"/>
                <w:highlight w:val="none"/>
              </w:rPr>
              <w:t>▲D.甲醛的特殊转移,按照EN 13130-1:2004 &amp; DD CEN/TS 13130-23:2005测试方法进行检测，用3%的醋酸在60摄氏度浸泡6小时,用95%乙醇在60摄氏度浸泡6小时，检测结果均为2.0mg/kg，检测结论为：合格。</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right="0"/>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7</w:t>
            </w:r>
          </w:p>
        </w:tc>
        <w:tc>
          <w:tcPr>
            <w:tcW w:w="5347" w:type="dxa"/>
            <w:tcBorders>
              <w:left w:val="single" w:color="000000" w:sz="4" w:space="0"/>
            </w:tcBorders>
            <w:vAlign w:val="top"/>
          </w:tcPr>
          <w:p>
            <w:pP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中央台</w:t>
            </w:r>
            <w:r>
              <w:rPr>
                <w:rFonts w:hint="eastAsia" w:cs="宋体"/>
                <w:color w:val="auto"/>
                <w:kern w:val="0"/>
                <w:sz w:val="21"/>
                <w:szCs w:val="21"/>
                <w:highlight w:val="none"/>
                <w:lang w:eastAsia="zh-CN"/>
              </w:rPr>
              <w:t>：</w:t>
            </w:r>
          </w:p>
          <w:p>
            <w:pPr>
              <w:pStyle w:val="2"/>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kern w:val="0"/>
                <w:sz w:val="21"/>
                <w:szCs w:val="21"/>
                <w:highlight w:val="none"/>
              </w:rPr>
            </w:pPr>
            <w:r>
              <w:rPr>
                <w:rFonts w:hint="eastAsia" w:ascii="宋体" w:hAnsi="宋体" w:eastAsia="宋体" w:cs="宋体"/>
                <w:color w:val="auto"/>
                <w:kern w:val="0"/>
                <w:sz w:val="21"/>
                <w:szCs w:val="21"/>
                <w:highlight w:val="none"/>
              </w:rPr>
              <w:t>▲3. C型钢架采用≥40*60*1.2mm厚方钢管焊接成C型钢架，前后梁采用≥厚1.2mm厚方钢管焊接而成，表面经酸洗、磷化、表面环氧树脂粉末静电75um喷涂，（烤房）180℃高温固化；</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right="0"/>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8</w:t>
            </w:r>
          </w:p>
        </w:tc>
        <w:tc>
          <w:tcPr>
            <w:tcW w:w="5347" w:type="dxa"/>
            <w:tcBorders>
              <w:left w:val="single" w:color="000000" w:sz="4" w:space="0"/>
            </w:tcBorders>
            <w:vAlign w:val="top"/>
          </w:tcPr>
          <w:p>
            <w:pPr>
              <w:pStyle w:val="2"/>
              <w:rPr>
                <w:rFonts w:hint="eastAsia" w:cs="宋体"/>
                <w:color w:val="auto"/>
                <w:kern w:val="0"/>
                <w:sz w:val="21"/>
                <w:szCs w:val="21"/>
                <w:highlight w:val="none"/>
                <w:lang w:eastAsia="zh-CN"/>
              </w:rPr>
            </w:pPr>
            <w:r>
              <w:rPr>
                <w:rFonts w:hint="eastAsia" w:ascii="宋体" w:hAnsi="宋体" w:eastAsia="宋体" w:cs="宋体"/>
                <w:color w:val="auto"/>
                <w:kern w:val="0"/>
                <w:sz w:val="21"/>
                <w:szCs w:val="21"/>
                <w:highlight w:val="none"/>
              </w:rPr>
              <w:t>仪器台</w:t>
            </w:r>
            <w:r>
              <w:rPr>
                <w:rFonts w:hint="eastAsia" w:cs="宋体"/>
                <w:color w:val="auto"/>
                <w:kern w:val="0"/>
                <w:sz w:val="21"/>
                <w:szCs w:val="21"/>
                <w:highlight w:val="none"/>
                <w:lang w:eastAsia="zh-CN"/>
              </w:rPr>
              <w:t>：</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▲B：物理性能：所检产品按照GB 18580-2017“室内装饰装修材料 人造板及其制品中甲醛释放量”限量值E1进行检验，所检结果达到标准要求。甲醛释放量（1m³气候箱法）：技术指标≤0.124，检测结果为0.021mg/m³.</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1.弯曲强度：126Mpa，（GB/T17657-2013）2.吸水率（24h,23℃）：0.34%，（GB/T17657-2013）</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3.拉伸断裂强度：82.2MPa，（GB/T17657-2013）</w:t>
            </w:r>
          </w:p>
          <w:p>
            <w:pPr>
              <w:pStyle w:val="2"/>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i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rPr>
              <w:t>4.压缩强度：266MPa，（GB/T1041-2008）5.洛氏硬度（R）：121，（GB/T3398.2-2008）6.悬臂梁无口冲击强度：14.5（c）KJ/㎡，（GB/T1843-2008）</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right="0"/>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9</w:t>
            </w:r>
          </w:p>
        </w:tc>
        <w:tc>
          <w:tcPr>
            <w:tcW w:w="5347" w:type="dxa"/>
            <w:tcBorders>
              <w:left w:val="single" w:color="000000" w:sz="4" w:space="0"/>
            </w:tcBorders>
            <w:vAlign w:val="top"/>
          </w:tcPr>
          <w:p>
            <w:pPr>
              <w:pStyle w:val="2"/>
              <w:rPr>
                <w:rFonts w:hint="eastAsia" w:cs="宋体"/>
                <w:color w:val="auto"/>
                <w:kern w:val="0"/>
                <w:sz w:val="21"/>
                <w:szCs w:val="21"/>
                <w:highlight w:val="none"/>
                <w:lang w:eastAsia="zh-CN"/>
              </w:rPr>
            </w:pPr>
            <w:r>
              <w:rPr>
                <w:rFonts w:hint="eastAsia" w:ascii="宋体" w:hAnsi="宋体" w:eastAsia="宋体" w:cs="宋体"/>
                <w:color w:val="auto"/>
                <w:kern w:val="0"/>
                <w:sz w:val="21"/>
                <w:szCs w:val="21"/>
                <w:highlight w:val="none"/>
              </w:rPr>
              <w:t>仪器台</w:t>
            </w:r>
            <w:r>
              <w:rPr>
                <w:rFonts w:hint="eastAsia" w:cs="宋体"/>
                <w:color w:val="auto"/>
                <w:kern w:val="0"/>
                <w:sz w:val="21"/>
                <w:szCs w:val="21"/>
                <w:highlight w:val="none"/>
                <w:lang w:eastAsia="zh-CN"/>
              </w:rPr>
              <w:t>：</w:t>
            </w:r>
          </w:p>
          <w:p>
            <w:pPr>
              <w:pStyle w:val="2"/>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kern w:val="0"/>
                <w:sz w:val="21"/>
                <w:szCs w:val="21"/>
                <w:highlight w:val="none"/>
              </w:rPr>
            </w:pPr>
            <w:r>
              <w:rPr>
                <w:rFonts w:hint="eastAsia" w:ascii="宋体" w:hAnsi="宋体" w:eastAsia="宋体" w:cs="宋体"/>
                <w:color w:val="auto"/>
                <w:kern w:val="0"/>
                <w:sz w:val="21"/>
                <w:szCs w:val="21"/>
                <w:highlight w:val="none"/>
              </w:rPr>
              <w:t>▲D.甲醛的特殊转移,按照EN 13130-1:2004 &amp; DD CEN/TS 13130-23:2005测试方法进行检测，用3%的醋酸在60摄氏度浸泡6小时,用95%乙醇在60摄氏度浸泡6小时，检测结果均为2.0mg/kg，检测结论为：合格。</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right="0"/>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10</w:t>
            </w:r>
          </w:p>
        </w:tc>
        <w:tc>
          <w:tcPr>
            <w:tcW w:w="5347" w:type="dxa"/>
            <w:tcBorders>
              <w:left w:val="single" w:color="000000" w:sz="4" w:space="0"/>
            </w:tcBorders>
            <w:vAlign w:val="top"/>
          </w:tcPr>
          <w:p>
            <w:pPr>
              <w:pStyle w:val="2"/>
              <w:rPr>
                <w:rFonts w:hint="eastAsia" w:cs="宋体"/>
                <w:color w:val="auto"/>
                <w:kern w:val="0"/>
                <w:sz w:val="21"/>
                <w:szCs w:val="21"/>
                <w:highlight w:val="none"/>
                <w:lang w:eastAsia="zh-CN"/>
              </w:rPr>
            </w:pPr>
            <w:r>
              <w:rPr>
                <w:rFonts w:hint="eastAsia" w:ascii="宋体" w:hAnsi="宋体" w:eastAsia="宋体" w:cs="宋体"/>
                <w:color w:val="auto"/>
                <w:kern w:val="0"/>
                <w:sz w:val="21"/>
                <w:szCs w:val="21"/>
                <w:highlight w:val="none"/>
              </w:rPr>
              <w:t>仪器台</w:t>
            </w:r>
            <w:r>
              <w:rPr>
                <w:rFonts w:hint="eastAsia" w:cs="宋体"/>
                <w:color w:val="auto"/>
                <w:kern w:val="0"/>
                <w:sz w:val="21"/>
                <w:szCs w:val="21"/>
                <w:highlight w:val="none"/>
                <w:lang w:eastAsia="zh-CN"/>
              </w:rPr>
              <w:t>：</w:t>
            </w:r>
          </w:p>
          <w:p>
            <w:pPr>
              <w:pStyle w:val="2"/>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kern w:val="0"/>
                <w:sz w:val="21"/>
                <w:szCs w:val="21"/>
                <w:highlight w:val="none"/>
              </w:rPr>
            </w:pPr>
            <w:r>
              <w:rPr>
                <w:rFonts w:hint="eastAsia" w:ascii="宋体" w:hAnsi="宋体" w:eastAsia="宋体" w:cs="宋体"/>
                <w:color w:val="auto"/>
                <w:kern w:val="0"/>
                <w:sz w:val="21"/>
                <w:szCs w:val="21"/>
                <w:highlight w:val="none"/>
              </w:rPr>
              <w:t>▲3. C型钢架采用≥40*60*1.2mm厚方钢管焊接成C型钢架，前后梁采用≥厚1.2mm厚方钢管焊接而成，表面经酸洗、磷化、表面环氧树脂粉末静电75um喷涂，（烤房）180℃高温固化；</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right="0"/>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11</w:t>
            </w:r>
          </w:p>
        </w:tc>
        <w:tc>
          <w:tcPr>
            <w:tcW w:w="5347" w:type="dxa"/>
            <w:tcBorders>
              <w:left w:val="single" w:color="000000" w:sz="4" w:space="0"/>
            </w:tcBorders>
            <w:vAlign w:val="top"/>
          </w:tcPr>
          <w:p>
            <w:pPr>
              <w:pStyle w:val="2"/>
              <w:rPr>
                <w:rFonts w:hint="eastAsia" w:cs="宋体"/>
                <w:color w:val="auto"/>
                <w:kern w:val="0"/>
                <w:sz w:val="21"/>
                <w:szCs w:val="21"/>
                <w:highlight w:val="none"/>
                <w:lang w:eastAsia="zh-CN"/>
              </w:rPr>
            </w:pPr>
            <w:r>
              <w:rPr>
                <w:rFonts w:hint="eastAsia" w:cs="宋体"/>
                <w:color w:val="auto"/>
                <w:kern w:val="0"/>
                <w:sz w:val="21"/>
                <w:szCs w:val="21"/>
                <w:highlight w:val="none"/>
                <w:lang w:eastAsia="zh-CN"/>
              </w:rPr>
              <w:t>通风柜：</w:t>
            </w:r>
          </w:p>
          <w:p>
            <w:pPr>
              <w:pStyle w:val="2"/>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▲1.台面采用实验室专用≥20mm厚耐腐蚀国产陶瓷板。为保证台面材料质量以及从环保角度保障实验室人员健康，台面材料必须符合以下技术参数及要求：台面板理化性能参照中央实验台技术要求 </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right="0"/>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12</w:t>
            </w:r>
          </w:p>
        </w:tc>
        <w:tc>
          <w:tcPr>
            <w:tcW w:w="5347" w:type="dxa"/>
            <w:tcBorders>
              <w:left w:val="single" w:color="000000" w:sz="4" w:space="0"/>
            </w:tcBorders>
            <w:vAlign w:val="top"/>
          </w:tcPr>
          <w:p>
            <w:pPr>
              <w:pStyle w:val="2"/>
              <w:rPr>
                <w:rFonts w:hint="eastAsia" w:cs="宋体"/>
                <w:color w:val="auto"/>
                <w:kern w:val="0"/>
                <w:sz w:val="21"/>
                <w:szCs w:val="21"/>
                <w:highlight w:val="none"/>
                <w:lang w:eastAsia="zh-CN"/>
              </w:rPr>
            </w:pPr>
            <w:r>
              <w:rPr>
                <w:rFonts w:hint="eastAsia" w:ascii="宋体" w:hAnsi="宋体" w:eastAsia="宋体" w:cs="宋体"/>
                <w:color w:val="auto"/>
                <w:kern w:val="0"/>
                <w:sz w:val="21"/>
                <w:szCs w:val="21"/>
                <w:highlight w:val="none"/>
              </w:rPr>
              <w:t>PVC地板胶</w:t>
            </w:r>
            <w:r>
              <w:rPr>
                <w:rFonts w:hint="eastAsia" w:cs="宋体"/>
                <w:color w:val="auto"/>
                <w:kern w:val="0"/>
                <w:sz w:val="21"/>
                <w:szCs w:val="21"/>
                <w:highlight w:val="none"/>
                <w:lang w:eastAsia="zh-CN"/>
              </w:rPr>
              <w:t>：</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▲同质透芯pvc材质地板胶，厚度2.0mm；无缝,焊成一体,耐腐蚀易清洁.性能指标满足：</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1）难燃性达B1</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 xml:space="preserve"> </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2)防滑R9级（EN51130）标准。</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3）每平方米总重量≤2.75Kg。</w:t>
            </w:r>
          </w:p>
          <w:p>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4）褪色度、级别≤7（ISO105-B02)</w:t>
            </w:r>
            <w:r>
              <w:rPr>
                <w:rFonts w:hint="eastAsia" w:ascii="宋体" w:hAnsi="宋体" w:cs="宋体"/>
                <w:color w:val="auto"/>
                <w:kern w:val="0"/>
                <w:sz w:val="21"/>
                <w:szCs w:val="21"/>
                <w:highlight w:val="none"/>
                <w:lang w:eastAsia="zh-CN"/>
              </w:rPr>
              <w:t>。</w:t>
            </w:r>
          </w:p>
          <w:p>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5)绝热系数0.010M2K/W</w:t>
            </w:r>
            <w:r>
              <w:rPr>
                <w:rFonts w:hint="eastAsia" w:ascii="宋体" w:hAnsi="宋体" w:cs="宋体"/>
                <w:color w:val="auto"/>
                <w:kern w:val="0"/>
                <w:sz w:val="21"/>
                <w:szCs w:val="21"/>
                <w:highlight w:val="none"/>
                <w:lang w:eastAsia="zh-CN"/>
              </w:rPr>
              <w:t>。</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6)静电负载＜2.0Kv。</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7)绝缘系数200kohm.min。</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8）耐磨等级为T级。</w:t>
            </w:r>
          </w:p>
          <w:p>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9）抗菌性能ISO 846C，经防霉处理、免打蜡。</w:t>
            </w:r>
          </w:p>
          <w:p>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10）产品尺寸稳定性：≤0.04%，消音率：Approx.4dB,轮压测试：NO  damamage(标准EN425)</w:t>
            </w:r>
            <w:r>
              <w:rPr>
                <w:rFonts w:hint="eastAsia" w:ascii="宋体" w:hAnsi="宋体" w:cs="宋体"/>
                <w:color w:val="auto"/>
                <w:kern w:val="0"/>
                <w:sz w:val="21"/>
                <w:szCs w:val="21"/>
                <w:highlight w:val="none"/>
                <w:lang w:eastAsia="zh-CN"/>
              </w:rPr>
              <w:t>。</w:t>
            </w:r>
          </w:p>
          <w:p>
            <w:pPr>
              <w:pStyle w:val="2"/>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11）符合国家强制性标准，GB18686-2001《室内装饰装修材料聚氯乙烯卷材地板中有害物质限量》，具有甲醛检测绿色环保认证（FloorScore 认证），提供第三方检测报告。</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bl>
    <w:p>
      <w:pPr>
        <w:spacing w:line="360" w:lineRule="auto"/>
        <w:rPr>
          <w:rFonts w:hint="eastAsia" w:ascii="宋体" w:hAnsi="宋体" w:eastAsia="宋体" w:cs="宋体"/>
          <w:b/>
          <w:bCs/>
          <w:color w:val="auto"/>
          <w:szCs w:val="21"/>
          <w:highlight w:val="none"/>
        </w:rPr>
      </w:pPr>
    </w:p>
    <w:p>
      <w:pPr>
        <w:spacing w:line="360" w:lineRule="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说明：1、</w:t>
      </w:r>
      <w:r>
        <w:rPr>
          <w:rFonts w:hint="eastAsia" w:ascii="宋体" w:hAnsi="宋体" w:cs="宋体"/>
          <w:b/>
          <w:bCs/>
          <w:color w:val="auto"/>
          <w:szCs w:val="21"/>
          <w:highlight w:val="none"/>
          <w:lang w:eastAsia="zh-CN"/>
        </w:rPr>
        <w:t>报价人</w:t>
      </w:r>
      <w:r>
        <w:rPr>
          <w:rFonts w:hint="eastAsia" w:ascii="宋体" w:hAnsi="宋体" w:eastAsia="宋体" w:cs="宋体"/>
          <w:b/>
          <w:bCs/>
          <w:color w:val="auto"/>
          <w:szCs w:val="21"/>
          <w:highlight w:val="none"/>
        </w:rPr>
        <w:t>必须对应采购文件的 “</w:t>
      </w:r>
      <w:r>
        <w:rPr>
          <w:rFonts w:hint="eastAsia" w:ascii="宋体" w:hAnsi="宋体" w:eastAsia="宋体" w:cs="宋体"/>
          <w:color w:val="auto"/>
          <w:szCs w:val="21"/>
          <w:highlight w:val="none"/>
        </w:rPr>
        <w:t>▲</w:t>
      </w:r>
      <w:r>
        <w:rPr>
          <w:rFonts w:hint="eastAsia" w:ascii="宋体" w:hAnsi="宋体" w:eastAsia="宋体" w:cs="宋体"/>
          <w:b/>
          <w:bCs/>
          <w:color w:val="auto"/>
          <w:szCs w:val="21"/>
          <w:highlight w:val="none"/>
        </w:rPr>
        <w:t>”号条款逐条应答并按要求填写下表。</w:t>
      </w:r>
    </w:p>
    <w:p>
      <w:pPr>
        <w:rPr>
          <w:rFonts w:hint="eastAsia" w:ascii="宋体" w:hAnsi="宋体" w:eastAsia="宋体" w:cs="宋体"/>
          <w:b/>
          <w:bCs/>
          <w:color w:val="auto"/>
          <w:kern w:val="0"/>
          <w:sz w:val="24"/>
          <w:highlight w:val="none"/>
        </w:rPr>
      </w:pPr>
      <w:r>
        <w:rPr>
          <w:rFonts w:hint="eastAsia" w:ascii="宋体" w:hAnsi="宋体" w:eastAsia="宋体" w:cs="宋体"/>
          <w:b/>
          <w:bCs/>
          <w:color w:val="auto"/>
          <w:szCs w:val="21"/>
          <w:highlight w:val="none"/>
        </w:rPr>
        <w:t>2、对完全响应的条目在下表相应列中标注“○”。对有偏离的条目在下表相应列中标注“×”，并简述偏离内容。</w:t>
      </w: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spacing w:line="360" w:lineRule="auto"/>
        <w:rPr>
          <w:rFonts w:hint="eastAsia" w:ascii="宋体" w:hAnsi="宋体" w:eastAsia="宋体" w:cs="宋体"/>
          <w:bCs/>
          <w:color w:val="auto"/>
          <w:szCs w:val="21"/>
          <w:highlight w:val="none"/>
        </w:rPr>
      </w:pPr>
      <w:r>
        <w:rPr>
          <w:rFonts w:hint="eastAsia" w:ascii="宋体" w:hAnsi="宋体" w:cs="宋体"/>
          <w:bCs/>
          <w:color w:val="auto"/>
          <w:szCs w:val="21"/>
          <w:highlight w:val="none"/>
          <w:lang w:eastAsia="zh-CN"/>
        </w:rPr>
        <w:t>报价人</w:t>
      </w:r>
      <w:r>
        <w:rPr>
          <w:rFonts w:hint="eastAsia" w:ascii="宋体" w:hAnsi="宋体" w:eastAsia="宋体" w:cs="宋体"/>
          <w:bCs/>
          <w:color w:val="auto"/>
          <w:szCs w:val="21"/>
          <w:highlight w:val="none"/>
        </w:rPr>
        <w:t>全称（加盖公章）:</w:t>
      </w: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法定代表或其授权代表(</w:t>
      </w:r>
      <w:r>
        <w:rPr>
          <w:rFonts w:hint="eastAsia" w:ascii="宋体" w:hAnsi="宋体" w:eastAsia="宋体" w:cs="宋体"/>
          <w:color w:val="auto"/>
          <w:szCs w:val="21"/>
          <w:highlight w:val="none"/>
        </w:rPr>
        <w:t>签字或签章</w:t>
      </w:r>
      <w:r>
        <w:rPr>
          <w:rFonts w:hint="eastAsia" w:ascii="宋体" w:hAnsi="宋体" w:eastAsia="宋体" w:cs="宋体"/>
          <w:bCs/>
          <w:color w:val="auto"/>
          <w:szCs w:val="21"/>
          <w:highlight w:val="none"/>
        </w:rPr>
        <w:t>)：</w:t>
      </w:r>
    </w:p>
    <w:p>
      <w:pPr>
        <w:rPr>
          <w:rFonts w:hint="eastAsia" w:ascii="宋体" w:hAnsi="宋体"/>
          <w:b/>
          <w:bCs/>
          <w:color w:val="auto"/>
          <w:kern w:val="0"/>
          <w:sz w:val="28"/>
          <w:szCs w:val="28"/>
          <w:highlight w:val="none"/>
        </w:rPr>
      </w:pPr>
      <w:r>
        <w:rPr>
          <w:rFonts w:hint="eastAsia" w:ascii="宋体" w:hAnsi="宋体" w:eastAsia="宋体" w:cs="宋体"/>
          <w:bCs/>
          <w:color w:val="auto"/>
          <w:szCs w:val="21"/>
          <w:highlight w:val="none"/>
        </w:rPr>
        <w:t>日    期：     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2</w:t>
      </w:r>
      <w:r>
        <w:rPr>
          <w:rFonts w:hint="eastAsia" w:ascii="宋体" w:hAnsi="宋体"/>
          <w:b/>
          <w:bCs/>
          <w:color w:val="auto"/>
          <w:kern w:val="0"/>
          <w:sz w:val="28"/>
          <w:szCs w:val="28"/>
          <w:highlight w:val="none"/>
        </w:rPr>
        <w:t xml:space="preserve">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lang w:eastAsia="zh-CN"/>
        </w:rPr>
        <w:t>报价人</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3</w:t>
      </w:r>
      <w:r>
        <w:rPr>
          <w:rFonts w:hint="eastAsia" w:ascii="宋体" w:hAnsi="宋体"/>
          <w:b/>
          <w:bCs/>
          <w:color w:val="auto"/>
          <w:kern w:val="0"/>
          <w:sz w:val="28"/>
          <w:szCs w:val="28"/>
          <w:highlight w:val="none"/>
        </w:rPr>
        <w:t xml:space="preserve">  </w:t>
      </w:r>
      <w:r>
        <w:rPr>
          <w:rFonts w:hint="eastAsia" w:ascii="宋体" w:hAnsi="宋体"/>
          <w:b/>
          <w:bCs/>
          <w:color w:val="auto"/>
          <w:kern w:val="0"/>
          <w:sz w:val="28"/>
          <w:szCs w:val="28"/>
          <w:highlight w:val="none"/>
          <w:lang w:eastAsia="zh-CN"/>
        </w:rPr>
        <w:t>报价人</w:t>
      </w:r>
      <w:r>
        <w:rPr>
          <w:rFonts w:hint="eastAsia" w:ascii="宋体" w:hAnsi="宋体"/>
          <w:b/>
          <w:bCs/>
          <w:color w:val="auto"/>
          <w:kern w:val="0"/>
          <w:sz w:val="28"/>
          <w:szCs w:val="28"/>
          <w:highlight w:val="none"/>
        </w:rPr>
        <w:t>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sectPr>
      <w:pgSz w:w="11906" w:h="16838"/>
      <w:pgMar w:top="567" w:right="1304" w:bottom="567" w:left="1361" w:header="567" w:footer="737"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文鼎CS书宋二">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6"/>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vsYzPEBAADIAwAADgAAAAAAAAABACAAAAAeAQAAZHJzL2Uyb0RvYy54bWxQSwUGAAAAAAYABgBZ&#10;AQAAgQUAAAAA&#10;">
              <v:fill on="f" focussize="0,0"/>
              <v:stroke on="f"/>
              <v:imagedata o:title=""/>
              <o:lock v:ext="edit" aspectratio="f"/>
              <v:textbox inset="0mm,0mm,0mm,0mm" style="mso-fit-shape-to-text:t;">
                <w:txbxContent>
                  <w:p>
                    <w:pPr>
                      <w:pStyle w:val="56"/>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framePr w:wrap="around" w:vAnchor="text" w:hAnchor="margin" w:xAlign="right" w:y="1"/>
      <w:rPr>
        <w:rStyle w:val="93"/>
      </w:rPr>
    </w:pPr>
    <w:r>
      <w:fldChar w:fldCharType="begin"/>
    </w:r>
    <w:r>
      <w:rPr>
        <w:rStyle w:val="93"/>
      </w:rPr>
      <w:instrText xml:space="preserve">PAGE  </w:instrText>
    </w:r>
    <w:r>
      <w:fldChar w:fldCharType="end"/>
    </w:r>
  </w:p>
  <w:p>
    <w:pPr>
      <w:pStyle w:val="5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0" r="0"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6"/>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yB2bHfUBAADGAwAADgAAAAAAAAABACAAAAAgAQAAZHJzL2Uyb0RvYy54bWxQSwUGAAAA&#10;AAYABgBZAQAAhwUAAAAA&#10;">
              <v:fill on="f" focussize="0,0"/>
              <v:stroke on="f"/>
              <v:imagedata o:title=""/>
              <o:lock v:ext="edit" aspectratio="f"/>
              <v:textbox inset="0mm,0mm,0mm,0mm" style="mso-fit-shape-to-text:t;">
                <w:txbxContent>
                  <w:p>
                    <w:pPr>
                      <w:pStyle w:val="56"/>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0" r="0"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6"/>
                            <w:rPr>
                              <w:rStyle w:val="93"/>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TZkhFvUBAADGAwAADgAAAAAAAAABACAAAAAgAQAAZHJzL2Uyb0RvYy54bWxQSwUGAAAA&#10;AAYABgBZAQAAhwUAAAAA&#10;">
              <v:fill on="f" focussize="0,0"/>
              <v:stroke on="f"/>
              <v:imagedata o:title=""/>
              <o:lock v:ext="edit" aspectratio="f"/>
              <v:textbox inset="0mm,0mm,0mm,0mm" style="mso-fit-shape-to-text:t;">
                <w:txbxContent>
                  <w:p>
                    <w:pPr>
                      <w:pStyle w:val="56"/>
                      <w:rPr>
                        <w:rStyle w:val="93"/>
                      </w:rPr>
                    </w:pPr>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6"/>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FMuvfEBAADIAwAADgAAAAAAAAABACAAAAAeAQAAZHJzL2Uyb0RvYy54bWxQSwUGAAAAAAYABgBZ&#10;AQAAgQUAAAAA&#10;">
              <v:fill on="f" focussize="0,0"/>
              <v:stroke on="f"/>
              <v:imagedata o:title=""/>
              <o:lock v:ext="edit" aspectratio="f"/>
              <v:textbox inset="0mm,0mm,0mm,0mm" style="mso-fit-shape-to-text:t;">
                <w:txbxContent>
                  <w:p>
                    <w:pPr>
                      <w:pStyle w:val="5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6"/>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Chc7u0QAAAAMBAAAPAAAAAAAAAAEAIAAAACIAAABkcnMvZG93bnJldi54bWxQSwECFAAUAAAA&#10;CACHTuJAUNe21/UBAADGAwAADgAAAAAAAAABACAAAAAgAQAAZHJzL2Uyb0RvYy54bWxQSwUGAAAA&#10;AAYABgBZAQAAhwUAAAAA&#10;">
              <v:fill on="f" focussize="0,0"/>
              <v:stroke on="f"/>
              <v:imagedata o:title=""/>
              <o:lock v:ext="edit" aspectratio="f"/>
              <v:textbox inset="0mm,0mm,0mm,0mm" style="mso-fit-shape-to-text:t;">
                <w:txbxContent>
                  <w:p>
                    <w:pPr>
                      <w:pStyle w:val="56"/>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F586E8"/>
    <w:multiLevelType w:val="singleLevel"/>
    <w:tmpl w:val="E1F586E8"/>
    <w:lvl w:ilvl="0" w:tentative="0">
      <w:start w:val="1"/>
      <w:numFmt w:val="decimal"/>
      <w:suff w:val="nothing"/>
      <w:lvlText w:val="（%1）"/>
      <w:lvlJc w:val="left"/>
      <w:pPr>
        <w:ind w:left="945" w:firstLine="0"/>
      </w:pPr>
    </w:lvl>
  </w:abstractNum>
  <w:abstractNum w:abstractNumId="1">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3">
    <w:nsid w:val="0AAD48F0"/>
    <w:multiLevelType w:val="multilevel"/>
    <w:tmpl w:val="0AAD48F0"/>
    <w:lvl w:ilvl="0" w:tentative="0">
      <w:start w:val="1"/>
      <w:numFmt w:val="decimal"/>
      <w:lvlText w:val="%1)"/>
      <w:lvlJc w:val="left"/>
      <w:pPr>
        <w:tabs>
          <w:tab w:val="left" w:pos="1215"/>
        </w:tabs>
        <w:ind w:left="1215" w:hanging="420"/>
      </w:pPr>
      <w:rPr>
        <w:rFonts w:hint="eastAsia"/>
        <w:color w:val="auto"/>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
    <w:nsid w:val="15B21310"/>
    <w:multiLevelType w:val="multilevel"/>
    <w:tmpl w:val="15B21310"/>
    <w:lvl w:ilvl="0" w:tentative="0">
      <w:start w:val="1"/>
      <w:numFmt w:val="decimal"/>
      <w:lvlText w:val="%1)"/>
      <w:lvlJc w:val="left"/>
      <w:pPr>
        <w:tabs>
          <w:tab w:val="left" w:pos="1215"/>
        </w:tabs>
        <w:ind w:left="1215" w:hanging="4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5">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1D0B7790"/>
    <w:multiLevelType w:val="multilevel"/>
    <w:tmpl w:val="1D0B7790"/>
    <w:lvl w:ilvl="0" w:tentative="0">
      <w:start w:val="1"/>
      <w:numFmt w:val="decimal"/>
      <w:lvlText w:val="8.%1"/>
      <w:lvlJc w:val="left"/>
      <w:pPr>
        <w:tabs>
          <w:tab w:val="left" w:pos="720"/>
        </w:tabs>
        <w:ind w:left="720" w:hanging="720"/>
      </w:pPr>
      <w:rPr>
        <w:rFonts w:hint="eastAsia" w:eastAsia="楷体_GB231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27FB0DF5"/>
    <w:multiLevelType w:val="multilevel"/>
    <w:tmpl w:val="27FB0DF5"/>
    <w:lvl w:ilvl="0" w:tentative="0">
      <w:start w:val="1"/>
      <w:numFmt w:val="decimal"/>
      <w:lvlText w:val="%1)"/>
      <w:lvlJc w:val="left"/>
      <w:pPr>
        <w:tabs>
          <w:tab w:val="left" w:pos="1352"/>
        </w:tabs>
        <w:ind w:left="1352" w:hanging="420"/>
      </w:pPr>
      <w:rPr>
        <w:rFonts w:hint="eastAsia"/>
      </w:rPr>
    </w:lvl>
    <w:lvl w:ilvl="1" w:tentative="0">
      <w:start w:val="1"/>
      <w:numFmt w:val="lowerLetter"/>
      <w:lvlText w:val="%2)"/>
      <w:lvlJc w:val="left"/>
      <w:pPr>
        <w:tabs>
          <w:tab w:val="left" w:pos="1457"/>
        </w:tabs>
        <w:ind w:left="1457" w:hanging="420"/>
      </w:pPr>
    </w:lvl>
    <w:lvl w:ilvl="2" w:tentative="0">
      <w:start w:val="1"/>
      <w:numFmt w:val="lowerRoman"/>
      <w:lvlText w:val="%3."/>
      <w:lvlJc w:val="right"/>
      <w:pPr>
        <w:tabs>
          <w:tab w:val="left" w:pos="1877"/>
        </w:tabs>
        <w:ind w:left="1877" w:hanging="420"/>
      </w:pPr>
    </w:lvl>
    <w:lvl w:ilvl="3" w:tentative="0">
      <w:start w:val="1"/>
      <w:numFmt w:val="decimal"/>
      <w:lvlText w:val="%4."/>
      <w:lvlJc w:val="left"/>
      <w:pPr>
        <w:tabs>
          <w:tab w:val="left" w:pos="2297"/>
        </w:tabs>
        <w:ind w:left="2297" w:hanging="420"/>
      </w:pPr>
    </w:lvl>
    <w:lvl w:ilvl="4" w:tentative="0">
      <w:start w:val="1"/>
      <w:numFmt w:val="lowerLetter"/>
      <w:lvlText w:val="%5)"/>
      <w:lvlJc w:val="left"/>
      <w:pPr>
        <w:tabs>
          <w:tab w:val="left" w:pos="2717"/>
        </w:tabs>
        <w:ind w:left="2717" w:hanging="420"/>
      </w:pPr>
    </w:lvl>
    <w:lvl w:ilvl="5" w:tentative="0">
      <w:start w:val="1"/>
      <w:numFmt w:val="lowerRoman"/>
      <w:lvlText w:val="%6."/>
      <w:lvlJc w:val="right"/>
      <w:pPr>
        <w:tabs>
          <w:tab w:val="left" w:pos="3137"/>
        </w:tabs>
        <w:ind w:left="3137" w:hanging="420"/>
      </w:pPr>
    </w:lvl>
    <w:lvl w:ilvl="6" w:tentative="0">
      <w:start w:val="1"/>
      <w:numFmt w:val="decimal"/>
      <w:lvlText w:val="%7."/>
      <w:lvlJc w:val="left"/>
      <w:pPr>
        <w:tabs>
          <w:tab w:val="left" w:pos="3557"/>
        </w:tabs>
        <w:ind w:left="3557" w:hanging="420"/>
      </w:pPr>
    </w:lvl>
    <w:lvl w:ilvl="7" w:tentative="0">
      <w:start w:val="1"/>
      <w:numFmt w:val="lowerLetter"/>
      <w:lvlText w:val="%8)"/>
      <w:lvlJc w:val="left"/>
      <w:pPr>
        <w:tabs>
          <w:tab w:val="left" w:pos="3977"/>
        </w:tabs>
        <w:ind w:left="3977" w:hanging="420"/>
      </w:pPr>
    </w:lvl>
    <w:lvl w:ilvl="8" w:tentative="0">
      <w:start w:val="1"/>
      <w:numFmt w:val="lowerRoman"/>
      <w:lvlText w:val="%9."/>
      <w:lvlJc w:val="right"/>
      <w:pPr>
        <w:tabs>
          <w:tab w:val="left" w:pos="4397"/>
        </w:tabs>
        <w:ind w:left="4397" w:hanging="420"/>
      </w:pPr>
    </w:lvl>
  </w:abstractNum>
  <w:abstractNum w:abstractNumId="9">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0">
    <w:nsid w:val="55392391"/>
    <w:multiLevelType w:val="multilevel"/>
    <w:tmpl w:val="55392391"/>
    <w:lvl w:ilvl="0" w:tentative="0">
      <w:start w:val="1"/>
      <w:numFmt w:val="decimal"/>
      <w:lvlText w:val="%1)"/>
      <w:lvlJc w:val="left"/>
      <w:pPr>
        <w:tabs>
          <w:tab w:val="left" w:pos="1215"/>
        </w:tabs>
        <w:ind w:left="1215" w:hanging="4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2">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779E4400"/>
    <w:multiLevelType w:val="multilevel"/>
    <w:tmpl w:val="779E4400"/>
    <w:lvl w:ilvl="0" w:tentative="0">
      <w:start w:val="1"/>
      <w:numFmt w:val="decimal"/>
      <w:lvlText w:val="7.%1"/>
      <w:lvlJc w:val="left"/>
      <w:pPr>
        <w:tabs>
          <w:tab w:val="left" w:pos="720"/>
        </w:tabs>
        <w:ind w:left="720" w:hanging="720"/>
      </w:pPr>
      <w:rPr>
        <w:rFonts w:hint="eastAsia" w:eastAsia="楷体_GB231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5">
    <w:nsid w:val="7E5E3B11"/>
    <w:multiLevelType w:val="multilevel"/>
    <w:tmpl w:val="7E5E3B11"/>
    <w:lvl w:ilvl="0" w:tentative="0">
      <w:start w:val="1"/>
      <w:numFmt w:val="decimal"/>
      <w:lvlText w:val="%1)"/>
      <w:lvlJc w:val="left"/>
      <w:pPr>
        <w:tabs>
          <w:tab w:val="left" w:pos="1215"/>
        </w:tabs>
        <w:ind w:left="1215" w:hanging="420"/>
      </w:pPr>
      <w:rPr>
        <w:rFonts w:hint="eastAsia"/>
      </w:rPr>
    </w:lvl>
    <w:lvl w:ilvl="1" w:tentative="0">
      <w:start w:val="1"/>
      <w:numFmt w:val="decimal"/>
      <w:lvlText w:val="%2）"/>
      <w:lvlJc w:val="left"/>
      <w:pPr>
        <w:tabs>
          <w:tab w:val="left" w:pos="1260"/>
        </w:tabs>
        <w:ind w:left="1260" w:hanging="360"/>
      </w:pPr>
      <w:rPr>
        <w:rFonts w:hint="default"/>
      </w:rPr>
    </w:lvl>
    <w:lvl w:ilvl="2" w:tentative="0">
      <w:start w:val="1"/>
      <w:numFmt w:val="decimal"/>
      <w:lvlText w:val="%3."/>
      <w:lvlJc w:val="left"/>
      <w:pPr>
        <w:tabs>
          <w:tab w:val="left" w:pos="1680"/>
        </w:tabs>
        <w:ind w:left="1680" w:hanging="360"/>
      </w:pPr>
      <w:rPr>
        <w:rFonts w:hint="default"/>
      </w:r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1"/>
    <w:lvlOverride w:ilvl="0">
      <w:startOverride w:val="1"/>
    </w:lvlOverride>
  </w:num>
  <w:num w:numId="2">
    <w:abstractNumId w:val="0"/>
  </w:num>
  <w:num w:numId="3">
    <w:abstractNumId w:val="2"/>
  </w:num>
  <w:num w:numId="4">
    <w:abstractNumId w:val="12"/>
  </w:num>
  <w:num w:numId="5">
    <w:abstractNumId w:val="11"/>
  </w:num>
  <w:num w:numId="6">
    <w:abstractNumId w:val="9"/>
  </w:num>
  <w:num w:numId="7">
    <w:abstractNumId w:val="8"/>
  </w:num>
  <w:num w:numId="8">
    <w:abstractNumId w:val="15"/>
  </w:num>
  <w:num w:numId="9">
    <w:abstractNumId w:val="3"/>
  </w:num>
  <w:num w:numId="10">
    <w:abstractNumId w:val="13"/>
  </w:num>
  <w:num w:numId="11">
    <w:abstractNumId w:val="6"/>
  </w:num>
  <w:num w:numId="12">
    <w:abstractNumId w:val="10"/>
  </w:num>
  <w:num w:numId="13">
    <w:abstractNumId w:val="4"/>
  </w:num>
  <w:num w:numId="14">
    <w:abstractNumId w:val="14"/>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151E"/>
    <w:rsid w:val="000B73FB"/>
    <w:rsid w:val="001D6D92"/>
    <w:rsid w:val="001F053A"/>
    <w:rsid w:val="002075A9"/>
    <w:rsid w:val="00422C1A"/>
    <w:rsid w:val="005054B5"/>
    <w:rsid w:val="00511485"/>
    <w:rsid w:val="00542854"/>
    <w:rsid w:val="00545874"/>
    <w:rsid w:val="006E4DAE"/>
    <w:rsid w:val="007A5220"/>
    <w:rsid w:val="007C756C"/>
    <w:rsid w:val="00801945"/>
    <w:rsid w:val="00822326"/>
    <w:rsid w:val="008E4121"/>
    <w:rsid w:val="009F7297"/>
    <w:rsid w:val="00A50D6E"/>
    <w:rsid w:val="00C56CAD"/>
    <w:rsid w:val="00C86501"/>
    <w:rsid w:val="00D71D8C"/>
    <w:rsid w:val="00D75658"/>
    <w:rsid w:val="00D908A5"/>
    <w:rsid w:val="00E6627F"/>
    <w:rsid w:val="00FA526C"/>
    <w:rsid w:val="01980809"/>
    <w:rsid w:val="05006FA0"/>
    <w:rsid w:val="07161791"/>
    <w:rsid w:val="084429CB"/>
    <w:rsid w:val="08694ADA"/>
    <w:rsid w:val="0AE11E48"/>
    <w:rsid w:val="0C045CD2"/>
    <w:rsid w:val="0CDF06FD"/>
    <w:rsid w:val="0D8152E8"/>
    <w:rsid w:val="0E294FAB"/>
    <w:rsid w:val="105C59F3"/>
    <w:rsid w:val="11A42212"/>
    <w:rsid w:val="137179C0"/>
    <w:rsid w:val="167654DF"/>
    <w:rsid w:val="16A36F9A"/>
    <w:rsid w:val="199B7D6D"/>
    <w:rsid w:val="1A251978"/>
    <w:rsid w:val="1B62425E"/>
    <w:rsid w:val="1B9B22B5"/>
    <w:rsid w:val="1C245DE6"/>
    <w:rsid w:val="1D461912"/>
    <w:rsid w:val="1F1539B4"/>
    <w:rsid w:val="1F9E3FD7"/>
    <w:rsid w:val="20630372"/>
    <w:rsid w:val="210359FE"/>
    <w:rsid w:val="210C2156"/>
    <w:rsid w:val="216E2E07"/>
    <w:rsid w:val="22535329"/>
    <w:rsid w:val="22C869D7"/>
    <w:rsid w:val="2301305E"/>
    <w:rsid w:val="233D3FD3"/>
    <w:rsid w:val="24EE7B33"/>
    <w:rsid w:val="255A3784"/>
    <w:rsid w:val="2988523F"/>
    <w:rsid w:val="2A1810D7"/>
    <w:rsid w:val="2A4464A6"/>
    <w:rsid w:val="2B8F5A11"/>
    <w:rsid w:val="2CC3315B"/>
    <w:rsid w:val="32711968"/>
    <w:rsid w:val="348E0D5D"/>
    <w:rsid w:val="354A32AA"/>
    <w:rsid w:val="35504E75"/>
    <w:rsid w:val="370D4E81"/>
    <w:rsid w:val="39144DD2"/>
    <w:rsid w:val="39613E61"/>
    <w:rsid w:val="3A817547"/>
    <w:rsid w:val="3B91650A"/>
    <w:rsid w:val="3C47493F"/>
    <w:rsid w:val="40F2232A"/>
    <w:rsid w:val="413E03B5"/>
    <w:rsid w:val="422B07EA"/>
    <w:rsid w:val="433C464F"/>
    <w:rsid w:val="45816D95"/>
    <w:rsid w:val="45BC0B50"/>
    <w:rsid w:val="47F7074A"/>
    <w:rsid w:val="48BB5163"/>
    <w:rsid w:val="498664A7"/>
    <w:rsid w:val="4BA44348"/>
    <w:rsid w:val="4BC27EF0"/>
    <w:rsid w:val="4BD95E6C"/>
    <w:rsid w:val="4DBE3804"/>
    <w:rsid w:val="4E5221B2"/>
    <w:rsid w:val="4ECA1C10"/>
    <w:rsid w:val="500819AE"/>
    <w:rsid w:val="52A95F17"/>
    <w:rsid w:val="55137FB5"/>
    <w:rsid w:val="56A0651B"/>
    <w:rsid w:val="5CE9656C"/>
    <w:rsid w:val="5E363818"/>
    <w:rsid w:val="5E421EBB"/>
    <w:rsid w:val="5F9100C4"/>
    <w:rsid w:val="61C679A6"/>
    <w:rsid w:val="62113364"/>
    <w:rsid w:val="629F1549"/>
    <w:rsid w:val="65FE204E"/>
    <w:rsid w:val="68BC1C18"/>
    <w:rsid w:val="6C3237AC"/>
    <w:rsid w:val="6CF57457"/>
    <w:rsid w:val="6D6E5707"/>
    <w:rsid w:val="6D757E5C"/>
    <w:rsid w:val="6DBB2FB8"/>
    <w:rsid w:val="6E7252CC"/>
    <w:rsid w:val="7151618F"/>
    <w:rsid w:val="73E10AC3"/>
    <w:rsid w:val="76AC3FB9"/>
    <w:rsid w:val="77D008D6"/>
    <w:rsid w:val="78E967AD"/>
    <w:rsid w:val="79C925F3"/>
    <w:rsid w:val="7B0503DB"/>
    <w:rsid w:val="7B2E0E6C"/>
    <w:rsid w:val="7CC65E6E"/>
    <w:rsid w:val="7CE37D39"/>
    <w:rsid w:val="7D8D6193"/>
    <w:rsid w:val="7E7E2AD4"/>
    <w:rsid w:val="7F141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semiHidden="0"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7"/>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8"/>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99"/>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0"/>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1"/>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2"/>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3"/>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4"/>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5"/>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1">
    <w:name w:val="Default Paragraph Font"/>
    <w:unhideWhenUsed/>
    <w:qFormat/>
    <w:uiPriority w:val="1"/>
  </w:style>
  <w:style w:type="table" w:default="1" w:styleId="89">
    <w:name w:val="Normal Table"/>
    <w:unhideWhenUsed/>
    <w:qFormat/>
    <w:uiPriority w:val="99"/>
    <w:tblPr>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0"/>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3"/>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4"/>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0"/>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5"/>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3"/>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1"/>
    <w:qFormat/>
    <w:uiPriority w:val="0"/>
  </w:style>
  <w:style w:type="paragraph" w:styleId="32">
    <w:name w:val="Body Text 3"/>
    <w:basedOn w:val="1"/>
    <w:link w:val="118"/>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2"/>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09"/>
    <w:qFormat/>
    <w:uiPriority w:val="0"/>
    <w:pPr>
      <w:spacing w:after="120"/>
    </w:pPr>
    <w:rPr>
      <w:rFonts w:asciiTheme="minorHAnsi" w:hAnsiTheme="minorHAnsi" w:cstheme="minorBidi"/>
    </w:rPr>
  </w:style>
  <w:style w:type="paragraph" w:styleId="36">
    <w:name w:val="Body Text Indent"/>
    <w:basedOn w:val="1"/>
    <w:link w:val="126"/>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5"/>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1"/>
    <w:link w:val="108"/>
    <w:qFormat/>
    <w:uiPriority w:val="0"/>
    <w:rPr>
      <w:rFonts w:ascii="宋体" w:hAnsi="Courier New" w:cstheme="minorBidi"/>
      <w:szCs w:val="22"/>
    </w:rPr>
  </w:style>
  <w:style w:type="paragraph" w:styleId="47">
    <w:name w:val="List Bullet 5"/>
    <w:basedOn w:val="1"/>
    <w:qFormat/>
    <w:uiPriority w:val="0"/>
    <w:pPr>
      <w:tabs>
        <w:tab w:val="left" w:pos="2040"/>
      </w:tabs>
      <w:ind w:left="2040" w:hanging="360"/>
    </w:pPr>
  </w:style>
  <w:style w:type="paragraph" w:styleId="48">
    <w:name w:val="List Number 4"/>
    <w:basedOn w:val="1"/>
    <w:qFormat/>
    <w:uiPriority w:val="0"/>
    <w:pPr>
      <w:tabs>
        <w:tab w:val="left" w:pos="1620"/>
      </w:tabs>
      <w:ind w:left="1620" w:hanging="360"/>
    </w:pPr>
  </w:style>
  <w:style w:type="paragraph" w:styleId="49">
    <w:name w:val="toc 8"/>
    <w:basedOn w:val="1"/>
    <w:next w:val="1"/>
    <w:qFormat/>
    <w:uiPriority w:val="0"/>
    <w:pPr>
      <w:ind w:left="1470"/>
      <w:jc w:val="left"/>
    </w:pPr>
    <w:rPr>
      <w:sz w:val="18"/>
      <w:szCs w:val="18"/>
    </w:rPr>
  </w:style>
  <w:style w:type="paragraph" w:styleId="50">
    <w:name w:val="index 3"/>
    <w:basedOn w:val="1"/>
    <w:next w:val="1"/>
    <w:semiHidden/>
    <w:qFormat/>
    <w:uiPriority w:val="0"/>
    <w:pPr>
      <w:ind w:left="400" w:leftChars="400"/>
    </w:pPr>
  </w:style>
  <w:style w:type="paragraph" w:styleId="51">
    <w:name w:val="Date"/>
    <w:basedOn w:val="1"/>
    <w:next w:val="1"/>
    <w:link w:val="137"/>
    <w:qFormat/>
    <w:uiPriority w:val="0"/>
    <w:pPr>
      <w:autoSpaceDE w:val="0"/>
      <w:autoSpaceDN w:val="0"/>
      <w:adjustRightInd w:val="0"/>
      <w:spacing w:line="312" w:lineRule="atLeast"/>
      <w:textAlignment w:val="baseline"/>
    </w:pPr>
    <w:rPr>
      <w:kern w:val="0"/>
      <w:sz w:val="32"/>
      <w:szCs w:val="20"/>
    </w:rPr>
  </w:style>
  <w:style w:type="paragraph" w:styleId="52">
    <w:name w:val="Body Text Indent 2"/>
    <w:basedOn w:val="1"/>
    <w:link w:val="134"/>
    <w:qFormat/>
    <w:uiPriority w:val="0"/>
    <w:pPr>
      <w:spacing w:line="360" w:lineRule="auto"/>
      <w:ind w:left="718" w:leftChars="342"/>
    </w:pPr>
    <w:rPr>
      <w:rFonts w:ascii="宋体" w:hAnsi="宋体"/>
      <w:sz w:val="24"/>
    </w:rPr>
  </w:style>
  <w:style w:type="paragraph" w:styleId="53">
    <w:name w:val="endnote text"/>
    <w:basedOn w:val="1"/>
    <w:link w:val="141"/>
    <w:semiHidden/>
    <w:qFormat/>
    <w:uiPriority w:val="0"/>
    <w:pPr>
      <w:snapToGrid w:val="0"/>
      <w:jc w:val="left"/>
    </w:pPr>
  </w:style>
  <w:style w:type="paragraph" w:styleId="54">
    <w:name w:val="List Continue 5"/>
    <w:basedOn w:val="1"/>
    <w:qFormat/>
    <w:uiPriority w:val="0"/>
    <w:pPr>
      <w:spacing w:after="120"/>
      <w:ind w:left="2100" w:leftChars="1000"/>
    </w:pPr>
  </w:style>
  <w:style w:type="paragraph" w:styleId="55">
    <w:name w:val="Balloon Text"/>
    <w:basedOn w:val="1"/>
    <w:link w:val="114"/>
    <w:qFormat/>
    <w:uiPriority w:val="0"/>
    <w:rPr>
      <w:rFonts w:asciiTheme="minorHAnsi" w:hAnsiTheme="minorHAnsi" w:eastAsiaTheme="minorEastAsia" w:cstheme="minorBidi"/>
      <w:sz w:val="18"/>
      <w:szCs w:val="18"/>
    </w:rPr>
  </w:style>
  <w:style w:type="paragraph" w:styleId="56">
    <w:name w:val="footer"/>
    <w:basedOn w:val="1"/>
    <w:link w:val="111"/>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7">
    <w:name w:val="envelope return"/>
    <w:basedOn w:val="1"/>
    <w:qFormat/>
    <w:uiPriority w:val="0"/>
    <w:pPr>
      <w:snapToGrid w:val="0"/>
    </w:pPr>
    <w:rPr>
      <w:rFonts w:ascii="Arial" w:hAnsi="Arial" w:cs="Arial"/>
    </w:rPr>
  </w:style>
  <w:style w:type="paragraph" w:styleId="58">
    <w:name w:val="header"/>
    <w:basedOn w:val="1"/>
    <w:link w:val="112"/>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9">
    <w:name w:val="Signature"/>
    <w:basedOn w:val="1"/>
    <w:link w:val="146"/>
    <w:qFormat/>
    <w:uiPriority w:val="0"/>
    <w:pPr>
      <w:ind w:left="100" w:leftChars="2100"/>
    </w:pPr>
  </w:style>
  <w:style w:type="paragraph" w:styleId="60">
    <w:name w:val="toc 1"/>
    <w:basedOn w:val="1"/>
    <w:next w:val="1"/>
    <w:qFormat/>
    <w:uiPriority w:val="39"/>
    <w:pPr>
      <w:spacing w:before="120" w:after="120"/>
      <w:jc w:val="left"/>
    </w:pPr>
    <w:rPr>
      <w:b/>
      <w:bCs/>
      <w:caps/>
      <w:sz w:val="20"/>
      <w:szCs w:val="20"/>
    </w:rPr>
  </w:style>
  <w:style w:type="paragraph" w:styleId="61">
    <w:name w:val="List Continue 4"/>
    <w:basedOn w:val="1"/>
    <w:qFormat/>
    <w:uiPriority w:val="0"/>
    <w:pPr>
      <w:spacing w:after="120"/>
      <w:ind w:left="1680" w:leftChars="800"/>
    </w:pPr>
  </w:style>
  <w:style w:type="paragraph" w:styleId="62">
    <w:name w:val="toc 4"/>
    <w:basedOn w:val="1"/>
    <w:next w:val="1"/>
    <w:qFormat/>
    <w:uiPriority w:val="0"/>
    <w:pPr>
      <w:ind w:left="630"/>
      <w:jc w:val="left"/>
    </w:pPr>
    <w:rPr>
      <w:sz w:val="18"/>
      <w:szCs w:val="18"/>
    </w:rPr>
  </w:style>
  <w:style w:type="paragraph" w:styleId="63">
    <w:name w:val="index heading"/>
    <w:basedOn w:val="1"/>
    <w:next w:val="64"/>
    <w:semiHidden/>
    <w:qFormat/>
    <w:uiPriority w:val="0"/>
    <w:rPr>
      <w:rFonts w:ascii="Arial" w:hAnsi="Arial" w:cs="Arial"/>
      <w:b/>
      <w:bCs/>
    </w:rPr>
  </w:style>
  <w:style w:type="paragraph" w:styleId="64">
    <w:name w:val="index 1"/>
    <w:basedOn w:val="1"/>
    <w:next w:val="1"/>
    <w:semiHidden/>
    <w:qFormat/>
    <w:uiPriority w:val="0"/>
  </w:style>
  <w:style w:type="paragraph" w:styleId="65">
    <w:name w:val="Subtitle"/>
    <w:basedOn w:val="1"/>
    <w:link w:val="133"/>
    <w:qFormat/>
    <w:uiPriority w:val="0"/>
    <w:pPr>
      <w:spacing w:before="240" w:after="60" w:line="312" w:lineRule="auto"/>
      <w:jc w:val="center"/>
      <w:outlineLvl w:val="1"/>
    </w:pPr>
    <w:rPr>
      <w:rFonts w:ascii="Arial" w:hAnsi="Arial" w:cs="Arial"/>
      <w:b/>
      <w:bCs/>
      <w:kern w:val="28"/>
      <w:sz w:val="32"/>
      <w:szCs w:val="32"/>
    </w:rPr>
  </w:style>
  <w:style w:type="paragraph" w:styleId="66">
    <w:name w:val="List Number 5"/>
    <w:basedOn w:val="1"/>
    <w:qFormat/>
    <w:uiPriority w:val="0"/>
    <w:pPr>
      <w:tabs>
        <w:tab w:val="left" w:pos="2040"/>
      </w:tabs>
      <w:ind w:left="2040" w:hanging="360"/>
    </w:pPr>
  </w:style>
  <w:style w:type="paragraph" w:styleId="67">
    <w:name w:val="List"/>
    <w:basedOn w:val="1"/>
    <w:qFormat/>
    <w:uiPriority w:val="0"/>
    <w:pPr>
      <w:tabs>
        <w:tab w:val="left" w:pos="360"/>
        <w:tab w:val="left" w:pos="709"/>
      </w:tabs>
      <w:spacing w:line="300" w:lineRule="auto"/>
      <w:ind w:left="363" w:hanging="170"/>
    </w:pPr>
    <w:rPr>
      <w:spacing w:val="20"/>
      <w:szCs w:val="20"/>
    </w:rPr>
  </w:style>
  <w:style w:type="paragraph" w:styleId="68">
    <w:name w:val="footnote text"/>
    <w:basedOn w:val="1"/>
    <w:link w:val="156"/>
    <w:semiHidden/>
    <w:qFormat/>
    <w:uiPriority w:val="0"/>
    <w:pPr>
      <w:snapToGrid w:val="0"/>
      <w:jc w:val="left"/>
    </w:pPr>
    <w:rPr>
      <w:sz w:val="18"/>
      <w:szCs w:val="18"/>
    </w:rPr>
  </w:style>
  <w:style w:type="paragraph" w:styleId="69">
    <w:name w:val="toc 6"/>
    <w:basedOn w:val="1"/>
    <w:next w:val="1"/>
    <w:qFormat/>
    <w:uiPriority w:val="0"/>
    <w:pPr>
      <w:ind w:left="1050"/>
      <w:jc w:val="left"/>
    </w:pPr>
    <w:rPr>
      <w:sz w:val="18"/>
      <w:szCs w:val="18"/>
    </w:rPr>
  </w:style>
  <w:style w:type="paragraph" w:styleId="70">
    <w:name w:val="List 5"/>
    <w:basedOn w:val="1"/>
    <w:qFormat/>
    <w:uiPriority w:val="0"/>
    <w:pPr>
      <w:ind w:left="100" w:leftChars="800" w:hanging="200" w:hangingChars="200"/>
    </w:pPr>
  </w:style>
  <w:style w:type="paragraph" w:styleId="71">
    <w:name w:val="Body Text Indent 3"/>
    <w:basedOn w:val="1"/>
    <w:link w:val="157"/>
    <w:qFormat/>
    <w:uiPriority w:val="0"/>
    <w:pPr>
      <w:spacing w:line="360" w:lineRule="auto"/>
      <w:ind w:firstLine="480" w:firstLineChars="200"/>
    </w:pPr>
    <w:rPr>
      <w:rFonts w:ascii="宋体" w:hAnsi="宋体"/>
      <w:sz w:val="24"/>
    </w:rPr>
  </w:style>
  <w:style w:type="paragraph" w:styleId="72">
    <w:name w:val="index 7"/>
    <w:basedOn w:val="1"/>
    <w:next w:val="1"/>
    <w:semiHidden/>
    <w:qFormat/>
    <w:uiPriority w:val="0"/>
    <w:pPr>
      <w:ind w:left="1200" w:leftChars="1200"/>
    </w:pPr>
  </w:style>
  <w:style w:type="paragraph" w:styleId="73">
    <w:name w:val="index 9"/>
    <w:basedOn w:val="1"/>
    <w:next w:val="1"/>
    <w:semiHidden/>
    <w:qFormat/>
    <w:uiPriority w:val="0"/>
    <w:pPr>
      <w:ind w:left="1600" w:leftChars="1600"/>
    </w:pPr>
  </w:style>
  <w:style w:type="paragraph" w:styleId="74">
    <w:name w:val="table of figures"/>
    <w:basedOn w:val="1"/>
    <w:next w:val="1"/>
    <w:semiHidden/>
    <w:qFormat/>
    <w:uiPriority w:val="0"/>
    <w:pPr>
      <w:ind w:left="200" w:leftChars="200" w:hanging="200" w:hangingChars="200"/>
    </w:pPr>
  </w:style>
  <w:style w:type="paragraph" w:styleId="75">
    <w:name w:val="toc 2"/>
    <w:basedOn w:val="1"/>
    <w:next w:val="1"/>
    <w:qFormat/>
    <w:uiPriority w:val="0"/>
    <w:pPr>
      <w:ind w:left="210"/>
      <w:jc w:val="left"/>
    </w:pPr>
    <w:rPr>
      <w:smallCaps/>
      <w:sz w:val="20"/>
      <w:szCs w:val="20"/>
    </w:rPr>
  </w:style>
  <w:style w:type="paragraph" w:styleId="76">
    <w:name w:val="toc 9"/>
    <w:basedOn w:val="1"/>
    <w:next w:val="1"/>
    <w:qFormat/>
    <w:uiPriority w:val="0"/>
    <w:pPr>
      <w:ind w:left="1680"/>
      <w:jc w:val="left"/>
    </w:pPr>
    <w:rPr>
      <w:sz w:val="18"/>
      <w:szCs w:val="18"/>
    </w:rPr>
  </w:style>
  <w:style w:type="paragraph" w:styleId="77">
    <w:name w:val="Body Text 2"/>
    <w:basedOn w:val="1"/>
    <w:link w:val="119"/>
    <w:qFormat/>
    <w:uiPriority w:val="0"/>
    <w:rPr>
      <w:rFonts w:asciiTheme="minorHAnsi" w:hAnsiTheme="minorHAnsi" w:eastAsiaTheme="minorEastAsia" w:cstheme="minorBidi"/>
      <w:sz w:val="18"/>
    </w:rPr>
  </w:style>
  <w:style w:type="paragraph" w:styleId="78">
    <w:name w:val="List 4"/>
    <w:basedOn w:val="1"/>
    <w:qFormat/>
    <w:uiPriority w:val="0"/>
    <w:pPr>
      <w:ind w:left="100" w:leftChars="600" w:hanging="200" w:hangingChars="200"/>
    </w:pPr>
  </w:style>
  <w:style w:type="paragraph" w:styleId="79">
    <w:name w:val="List Continue 2"/>
    <w:basedOn w:val="1"/>
    <w:qFormat/>
    <w:uiPriority w:val="0"/>
    <w:pPr>
      <w:spacing w:after="120"/>
      <w:ind w:left="840" w:leftChars="400"/>
    </w:pPr>
  </w:style>
  <w:style w:type="paragraph" w:styleId="80">
    <w:name w:val="Message Header"/>
    <w:basedOn w:val="1"/>
    <w:link w:val="147"/>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1">
    <w:name w:val="HTML Preformatted"/>
    <w:basedOn w:val="1"/>
    <w:link w:val="12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2">
    <w:name w:val="Normal (Web)"/>
    <w:basedOn w:val="1"/>
    <w:qFormat/>
    <w:uiPriority w:val="0"/>
    <w:pPr>
      <w:widowControl/>
      <w:spacing w:before="100" w:beforeAutospacing="1" w:after="100" w:afterAutospacing="1"/>
      <w:jc w:val="left"/>
    </w:pPr>
    <w:rPr>
      <w:rFonts w:ascii="宋体" w:hAnsi="宋体"/>
      <w:kern w:val="0"/>
      <w:sz w:val="24"/>
    </w:rPr>
  </w:style>
  <w:style w:type="paragraph" w:styleId="83">
    <w:name w:val="List Continue 3"/>
    <w:basedOn w:val="1"/>
    <w:qFormat/>
    <w:uiPriority w:val="0"/>
    <w:pPr>
      <w:spacing w:after="120"/>
      <w:ind w:left="1260" w:leftChars="600"/>
    </w:pPr>
  </w:style>
  <w:style w:type="paragraph" w:styleId="84">
    <w:name w:val="index 2"/>
    <w:basedOn w:val="1"/>
    <w:next w:val="1"/>
    <w:semiHidden/>
    <w:qFormat/>
    <w:uiPriority w:val="0"/>
    <w:pPr>
      <w:ind w:left="200" w:leftChars="200"/>
    </w:pPr>
  </w:style>
  <w:style w:type="paragraph" w:styleId="85">
    <w:name w:val="Title"/>
    <w:basedOn w:val="1"/>
    <w:link w:val="123"/>
    <w:qFormat/>
    <w:uiPriority w:val="0"/>
    <w:pPr>
      <w:spacing w:before="240" w:after="60"/>
      <w:jc w:val="center"/>
      <w:outlineLvl w:val="0"/>
    </w:pPr>
    <w:rPr>
      <w:rFonts w:ascii="Arial" w:hAnsi="Arial" w:eastAsiaTheme="minorEastAsia" w:cstheme="minorBidi"/>
      <w:b/>
      <w:bCs/>
      <w:sz w:val="32"/>
      <w:szCs w:val="32"/>
    </w:rPr>
  </w:style>
  <w:style w:type="paragraph" w:styleId="86">
    <w:name w:val="annotation subject"/>
    <w:basedOn w:val="29"/>
    <w:next w:val="29"/>
    <w:link w:val="116"/>
    <w:qFormat/>
    <w:uiPriority w:val="0"/>
    <w:rPr>
      <w:rFonts w:eastAsiaTheme="minorEastAsia"/>
      <w:b/>
      <w:bCs/>
    </w:rPr>
  </w:style>
  <w:style w:type="paragraph" w:styleId="87">
    <w:name w:val="Body Text First Indent"/>
    <w:basedOn w:val="35"/>
    <w:link w:val="117"/>
    <w:qFormat/>
    <w:uiPriority w:val="0"/>
    <w:pPr>
      <w:widowControl/>
      <w:ind w:firstLine="420" w:firstLineChars="100"/>
      <w:jc w:val="left"/>
    </w:pPr>
    <w:rPr>
      <w:rFonts w:ascii="楷体_GB2312" w:eastAsia="楷体_GB2312"/>
      <w:b/>
      <w:sz w:val="30"/>
    </w:rPr>
  </w:style>
  <w:style w:type="paragraph" w:styleId="88">
    <w:name w:val="Body Text First Indent 2"/>
    <w:basedOn w:val="36"/>
    <w:link w:val="127"/>
    <w:qFormat/>
    <w:uiPriority w:val="0"/>
    <w:pPr>
      <w:ind w:firstLine="420" w:firstLineChars="200"/>
    </w:pPr>
    <w:rPr>
      <w:rFonts w:ascii="Times New Roman" w:hAnsi="Times New Roman"/>
    </w:rPr>
  </w:style>
  <w:style w:type="table" w:styleId="90">
    <w:name w:val="Table Grid"/>
    <w:basedOn w:val="89"/>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2">
    <w:name w:val="Strong"/>
    <w:qFormat/>
    <w:uiPriority w:val="0"/>
    <w:rPr>
      <w:rFonts w:eastAsia="黑体"/>
      <w:b/>
      <w:bCs/>
      <w:sz w:val="44"/>
    </w:rPr>
  </w:style>
  <w:style w:type="character" w:styleId="93">
    <w:name w:val="page number"/>
    <w:basedOn w:val="91"/>
    <w:qFormat/>
    <w:uiPriority w:val="0"/>
  </w:style>
  <w:style w:type="character" w:styleId="94">
    <w:name w:val="Hyperlink"/>
    <w:qFormat/>
    <w:uiPriority w:val="99"/>
    <w:rPr>
      <w:color w:val="0000FF"/>
      <w:u w:val="single"/>
    </w:rPr>
  </w:style>
  <w:style w:type="character" w:styleId="95">
    <w:name w:val="annotation reference"/>
    <w:qFormat/>
    <w:uiPriority w:val="0"/>
    <w:rPr>
      <w:sz w:val="21"/>
      <w:szCs w:val="21"/>
    </w:rPr>
  </w:style>
  <w:style w:type="paragraph" w:customStyle="1" w:styleId="9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97">
    <w:name w:val="标题 1 Char"/>
    <w:basedOn w:val="91"/>
    <w:link w:val="4"/>
    <w:qFormat/>
    <w:uiPriority w:val="0"/>
    <w:rPr>
      <w:rFonts w:ascii="宋体" w:hAnsi="宋体" w:eastAsia="宋体" w:cs="Times New Roman"/>
      <w:b/>
      <w:bCs/>
      <w:sz w:val="48"/>
      <w:szCs w:val="24"/>
    </w:rPr>
  </w:style>
  <w:style w:type="character" w:customStyle="1" w:styleId="98">
    <w:name w:val="标题 2 Char"/>
    <w:basedOn w:val="91"/>
    <w:link w:val="5"/>
    <w:qFormat/>
    <w:uiPriority w:val="0"/>
    <w:rPr>
      <w:rFonts w:ascii="宋体" w:hAnsi="宋体" w:eastAsia="宋体" w:cs="Times New Roman"/>
      <w:b/>
      <w:kern w:val="0"/>
      <w:sz w:val="30"/>
      <w:szCs w:val="20"/>
    </w:rPr>
  </w:style>
  <w:style w:type="character" w:customStyle="1" w:styleId="99">
    <w:name w:val="标题 3 Char"/>
    <w:basedOn w:val="91"/>
    <w:link w:val="6"/>
    <w:qFormat/>
    <w:uiPriority w:val="0"/>
    <w:rPr>
      <w:rFonts w:ascii="宋体" w:hAnsi="宋体" w:eastAsia="宋体" w:cs="Times New Roman"/>
      <w:b/>
      <w:kern w:val="0"/>
      <w:sz w:val="28"/>
      <w:szCs w:val="20"/>
    </w:rPr>
  </w:style>
  <w:style w:type="character" w:customStyle="1" w:styleId="100">
    <w:name w:val="标题 4 Char"/>
    <w:basedOn w:val="91"/>
    <w:link w:val="7"/>
    <w:qFormat/>
    <w:uiPriority w:val="0"/>
    <w:rPr>
      <w:rFonts w:ascii="Arial" w:hAnsi="Arial" w:eastAsia="黑体" w:cs="Times New Roman"/>
      <w:b/>
      <w:bCs/>
      <w:sz w:val="28"/>
      <w:szCs w:val="28"/>
    </w:rPr>
  </w:style>
  <w:style w:type="character" w:customStyle="1" w:styleId="101">
    <w:name w:val="标题 5 Char"/>
    <w:basedOn w:val="91"/>
    <w:link w:val="8"/>
    <w:qFormat/>
    <w:uiPriority w:val="0"/>
    <w:rPr>
      <w:rFonts w:ascii="Arial" w:hAnsi="Arial" w:eastAsia="宋体" w:cs="Times New Roman"/>
      <w:kern w:val="0"/>
      <w:sz w:val="22"/>
      <w:szCs w:val="20"/>
    </w:rPr>
  </w:style>
  <w:style w:type="character" w:customStyle="1" w:styleId="102">
    <w:name w:val="标题 6 Char"/>
    <w:basedOn w:val="91"/>
    <w:link w:val="9"/>
    <w:qFormat/>
    <w:uiPriority w:val="0"/>
    <w:rPr>
      <w:rFonts w:ascii="Calibri" w:hAnsi="Arial" w:eastAsia="宋体" w:cs="Times New Roman"/>
      <w:i/>
      <w:kern w:val="0"/>
      <w:sz w:val="22"/>
      <w:szCs w:val="20"/>
    </w:rPr>
  </w:style>
  <w:style w:type="character" w:customStyle="1" w:styleId="103">
    <w:name w:val="标题 7 Char"/>
    <w:basedOn w:val="91"/>
    <w:link w:val="10"/>
    <w:qFormat/>
    <w:uiPriority w:val="0"/>
    <w:rPr>
      <w:rFonts w:ascii="Arial" w:hAnsi="Arial" w:eastAsia="宋体" w:cs="Times New Roman"/>
      <w:kern w:val="0"/>
      <w:sz w:val="20"/>
      <w:szCs w:val="20"/>
    </w:rPr>
  </w:style>
  <w:style w:type="character" w:customStyle="1" w:styleId="104">
    <w:name w:val="标题 8 Char"/>
    <w:basedOn w:val="91"/>
    <w:link w:val="11"/>
    <w:qFormat/>
    <w:uiPriority w:val="0"/>
    <w:rPr>
      <w:rFonts w:ascii="Arial" w:hAnsi="Arial" w:eastAsia="宋体" w:cs="Times New Roman"/>
      <w:i/>
      <w:kern w:val="0"/>
      <w:sz w:val="20"/>
      <w:szCs w:val="20"/>
    </w:rPr>
  </w:style>
  <w:style w:type="character" w:customStyle="1" w:styleId="105">
    <w:name w:val="标题 9 Char"/>
    <w:basedOn w:val="91"/>
    <w:link w:val="12"/>
    <w:qFormat/>
    <w:uiPriority w:val="0"/>
    <w:rPr>
      <w:rFonts w:ascii="Arial" w:hAnsi="Arial" w:eastAsia="宋体" w:cs="Times New Roman"/>
      <w:b/>
      <w:i/>
      <w:kern w:val="0"/>
      <w:sz w:val="18"/>
      <w:szCs w:val="20"/>
    </w:rPr>
  </w:style>
  <w:style w:type="character" w:customStyle="1" w:styleId="106">
    <w:name w:val="页脚2 Char"/>
    <w:link w:val="107"/>
    <w:qFormat/>
    <w:uiPriority w:val="0"/>
    <w:rPr>
      <w:rFonts w:ascii="宋体" w:hAnsi="宋体" w:eastAsia="宋体"/>
      <w:sz w:val="18"/>
      <w:szCs w:val="18"/>
    </w:rPr>
  </w:style>
  <w:style w:type="paragraph" w:customStyle="1" w:styleId="107">
    <w:name w:val="页脚2"/>
    <w:basedOn w:val="1"/>
    <w:link w:val="106"/>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8">
    <w:name w:val="纯文本 Char"/>
    <w:link w:val="46"/>
    <w:qFormat/>
    <w:locked/>
    <w:uiPriority w:val="0"/>
    <w:rPr>
      <w:rFonts w:ascii="宋体" w:hAnsi="Courier New" w:eastAsia="宋体"/>
    </w:rPr>
  </w:style>
  <w:style w:type="character" w:customStyle="1" w:styleId="109">
    <w:name w:val="正文文本 Char"/>
    <w:link w:val="35"/>
    <w:qFormat/>
    <w:uiPriority w:val="0"/>
    <w:rPr>
      <w:rFonts w:eastAsia="宋体"/>
      <w:szCs w:val="24"/>
    </w:rPr>
  </w:style>
  <w:style w:type="character" w:customStyle="1" w:styleId="110">
    <w:name w:val="正文文本缩进 Char"/>
    <w:qFormat/>
    <w:uiPriority w:val="0"/>
    <w:rPr>
      <w:rFonts w:ascii="Arial" w:hAnsi="Arial" w:eastAsia="宋体"/>
      <w:kern w:val="2"/>
      <w:sz w:val="21"/>
      <w:szCs w:val="24"/>
      <w:lang w:val="en-US" w:eastAsia="zh-CN" w:bidi="ar-SA"/>
    </w:rPr>
  </w:style>
  <w:style w:type="character" w:customStyle="1" w:styleId="111">
    <w:name w:val="页脚 Char"/>
    <w:link w:val="56"/>
    <w:qFormat/>
    <w:uiPriority w:val="0"/>
    <w:rPr>
      <w:sz w:val="18"/>
    </w:rPr>
  </w:style>
  <w:style w:type="character" w:customStyle="1" w:styleId="112">
    <w:name w:val="页眉 Char"/>
    <w:link w:val="58"/>
    <w:qFormat/>
    <w:uiPriority w:val="0"/>
    <w:rPr>
      <w:sz w:val="18"/>
      <w:szCs w:val="18"/>
    </w:rPr>
  </w:style>
  <w:style w:type="character" w:customStyle="1" w:styleId="113">
    <w:name w:val="批注文字 Char"/>
    <w:link w:val="29"/>
    <w:semiHidden/>
    <w:qFormat/>
    <w:uiPriority w:val="0"/>
    <w:rPr>
      <w:rFonts w:eastAsia="宋体"/>
      <w:szCs w:val="24"/>
    </w:rPr>
  </w:style>
  <w:style w:type="character" w:customStyle="1" w:styleId="114">
    <w:name w:val="批注框文本 Char"/>
    <w:link w:val="55"/>
    <w:qFormat/>
    <w:uiPriority w:val="0"/>
    <w:rPr>
      <w:sz w:val="18"/>
      <w:szCs w:val="18"/>
    </w:rPr>
  </w:style>
  <w:style w:type="character" w:customStyle="1" w:styleId="115">
    <w:name w:val="文档结构图 Char"/>
    <w:link w:val="27"/>
    <w:qFormat/>
    <w:uiPriority w:val="0"/>
    <w:rPr>
      <w:szCs w:val="24"/>
      <w:shd w:val="clear" w:color="auto" w:fill="000080"/>
    </w:rPr>
  </w:style>
  <w:style w:type="character" w:customStyle="1" w:styleId="116">
    <w:name w:val="批注主题 Char"/>
    <w:link w:val="86"/>
    <w:qFormat/>
    <w:uiPriority w:val="0"/>
    <w:rPr>
      <w:b/>
      <w:bCs/>
      <w:szCs w:val="24"/>
    </w:rPr>
  </w:style>
  <w:style w:type="character" w:customStyle="1" w:styleId="117">
    <w:name w:val="正文首行缩进 Char"/>
    <w:link w:val="87"/>
    <w:qFormat/>
    <w:uiPriority w:val="0"/>
    <w:rPr>
      <w:rFonts w:ascii="楷体_GB2312" w:eastAsia="楷体_GB2312"/>
      <w:b/>
      <w:sz w:val="30"/>
      <w:szCs w:val="24"/>
    </w:rPr>
  </w:style>
  <w:style w:type="character" w:customStyle="1" w:styleId="118">
    <w:name w:val="正文文本 3 Char"/>
    <w:link w:val="32"/>
    <w:qFormat/>
    <w:uiPriority w:val="0"/>
    <w:rPr>
      <w:sz w:val="24"/>
    </w:rPr>
  </w:style>
  <w:style w:type="character" w:customStyle="1" w:styleId="119">
    <w:name w:val="正文文本 2 Char"/>
    <w:link w:val="77"/>
    <w:qFormat/>
    <w:uiPriority w:val="0"/>
    <w:rPr>
      <w:sz w:val="18"/>
      <w:szCs w:val="24"/>
    </w:rPr>
  </w:style>
  <w:style w:type="character" w:customStyle="1" w:styleId="120">
    <w:name w:val="正文缩进 Char"/>
    <w:link w:val="22"/>
    <w:qFormat/>
    <w:uiPriority w:val="0"/>
  </w:style>
  <w:style w:type="character" w:customStyle="1" w:styleId="121">
    <w:name w:val="列出段落 Char"/>
    <w:link w:val="122"/>
    <w:qFormat/>
    <w:uiPriority w:val="0"/>
    <w:rPr>
      <w:rFonts w:ascii="Calibri" w:hAnsi="Calibri"/>
    </w:rPr>
  </w:style>
  <w:style w:type="paragraph" w:customStyle="1" w:styleId="122">
    <w:name w:val="List Paragraph"/>
    <w:basedOn w:val="1"/>
    <w:link w:val="121"/>
    <w:qFormat/>
    <w:uiPriority w:val="0"/>
    <w:pPr>
      <w:ind w:firstLine="420" w:firstLineChars="200"/>
    </w:pPr>
    <w:rPr>
      <w:rFonts w:eastAsiaTheme="minorEastAsia" w:cstheme="minorBidi"/>
      <w:szCs w:val="22"/>
    </w:rPr>
  </w:style>
  <w:style w:type="character" w:customStyle="1" w:styleId="123">
    <w:name w:val="标题 Char"/>
    <w:link w:val="85"/>
    <w:qFormat/>
    <w:uiPriority w:val="0"/>
    <w:rPr>
      <w:rFonts w:ascii="Arial" w:hAnsi="Arial"/>
      <w:b/>
      <w:bCs/>
      <w:sz w:val="32"/>
      <w:szCs w:val="32"/>
    </w:rPr>
  </w:style>
  <w:style w:type="character" w:customStyle="1" w:styleId="124">
    <w:name w:val="页眉 Char1"/>
    <w:basedOn w:val="91"/>
    <w:semiHidden/>
    <w:qFormat/>
    <w:uiPriority w:val="99"/>
    <w:rPr>
      <w:rFonts w:ascii="Calibri" w:hAnsi="Calibri" w:eastAsia="宋体" w:cs="Times New Roman"/>
      <w:sz w:val="18"/>
      <w:szCs w:val="18"/>
    </w:rPr>
  </w:style>
  <w:style w:type="character" w:customStyle="1" w:styleId="125">
    <w:name w:val="HTML 预设格式 Char"/>
    <w:basedOn w:val="91"/>
    <w:link w:val="81"/>
    <w:qFormat/>
    <w:uiPriority w:val="0"/>
    <w:rPr>
      <w:rFonts w:ascii="黑体" w:hAnsi="Courier New" w:eastAsia="黑体" w:cs="Courier New"/>
      <w:kern w:val="0"/>
      <w:sz w:val="20"/>
      <w:szCs w:val="20"/>
    </w:rPr>
  </w:style>
  <w:style w:type="character" w:customStyle="1" w:styleId="126">
    <w:name w:val="正文文本缩进 Char1"/>
    <w:basedOn w:val="91"/>
    <w:link w:val="36"/>
    <w:semiHidden/>
    <w:qFormat/>
    <w:uiPriority w:val="99"/>
    <w:rPr>
      <w:rFonts w:ascii="Calibri" w:hAnsi="Calibri" w:eastAsia="宋体" w:cs="Times New Roman"/>
      <w:szCs w:val="24"/>
    </w:rPr>
  </w:style>
  <w:style w:type="character" w:customStyle="1" w:styleId="127">
    <w:name w:val="正文首行缩进 2 Char"/>
    <w:basedOn w:val="126"/>
    <w:link w:val="88"/>
    <w:qFormat/>
    <w:uiPriority w:val="0"/>
    <w:rPr>
      <w:rFonts w:ascii="Times New Roman" w:hAnsi="Times New Roman" w:eastAsia="宋体" w:cs="Times New Roman"/>
      <w:szCs w:val="24"/>
    </w:rPr>
  </w:style>
  <w:style w:type="character" w:customStyle="1" w:styleId="128">
    <w:name w:val="正文文本 3 Char1"/>
    <w:basedOn w:val="91"/>
    <w:semiHidden/>
    <w:qFormat/>
    <w:uiPriority w:val="99"/>
    <w:rPr>
      <w:rFonts w:ascii="Calibri" w:hAnsi="Calibri" w:eastAsia="宋体" w:cs="Times New Roman"/>
      <w:sz w:val="16"/>
      <w:szCs w:val="16"/>
    </w:rPr>
  </w:style>
  <w:style w:type="paragraph" w:customStyle="1" w:styleId="129">
    <w:name w:val="Char Char2 Char1"/>
    <w:basedOn w:val="1"/>
    <w:qFormat/>
    <w:uiPriority w:val="0"/>
  </w:style>
  <w:style w:type="character" w:customStyle="1" w:styleId="130">
    <w:name w:val="正文文本 Char1"/>
    <w:basedOn w:val="91"/>
    <w:semiHidden/>
    <w:qFormat/>
    <w:uiPriority w:val="99"/>
    <w:rPr>
      <w:rFonts w:ascii="Calibri" w:hAnsi="Calibri" w:eastAsia="宋体" w:cs="Times New Roman"/>
      <w:szCs w:val="24"/>
    </w:rPr>
  </w:style>
  <w:style w:type="character" w:customStyle="1" w:styleId="131">
    <w:name w:val="称呼 Char"/>
    <w:basedOn w:val="91"/>
    <w:link w:val="31"/>
    <w:qFormat/>
    <w:uiPriority w:val="0"/>
    <w:rPr>
      <w:rFonts w:ascii="Calibri" w:hAnsi="Calibri" w:eastAsia="宋体" w:cs="Times New Roman"/>
      <w:szCs w:val="24"/>
    </w:rPr>
  </w:style>
  <w:style w:type="character" w:customStyle="1" w:styleId="132">
    <w:name w:val="正文文本 2 Char1"/>
    <w:basedOn w:val="91"/>
    <w:semiHidden/>
    <w:qFormat/>
    <w:uiPriority w:val="99"/>
    <w:rPr>
      <w:rFonts w:ascii="Calibri" w:hAnsi="Calibri" w:eastAsia="宋体" w:cs="Times New Roman"/>
      <w:szCs w:val="24"/>
    </w:rPr>
  </w:style>
  <w:style w:type="character" w:customStyle="1" w:styleId="133">
    <w:name w:val="副标题 Char"/>
    <w:basedOn w:val="91"/>
    <w:link w:val="65"/>
    <w:qFormat/>
    <w:uiPriority w:val="0"/>
    <w:rPr>
      <w:rFonts w:ascii="Arial" w:hAnsi="Arial" w:eastAsia="宋体" w:cs="Arial"/>
      <w:b/>
      <w:bCs/>
      <w:kern w:val="28"/>
      <w:sz w:val="32"/>
      <w:szCs w:val="32"/>
    </w:rPr>
  </w:style>
  <w:style w:type="character" w:customStyle="1" w:styleId="134">
    <w:name w:val="正文文本缩进 2 Char"/>
    <w:basedOn w:val="91"/>
    <w:link w:val="52"/>
    <w:qFormat/>
    <w:uiPriority w:val="0"/>
    <w:rPr>
      <w:rFonts w:ascii="宋体" w:hAnsi="宋体" w:eastAsia="宋体" w:cs="Times New Roman"/>
      <w:sz w:val="24"/>
      <w:szCs w:val="24"/>
    </w:rPr>
  </w:style>
  <w:style w:type="character" w:customStyle="1" w:styleId="135">
    <w:name w:val="HTML 地址 Char"/>
    <w:basedOn w:val="91"/>
    <w:link w:val="42"/>
    <w:qFormat/>
    <w:uiPriority w:val="0"/>
    <w:rPr>
      <w:rFonts w:ascii="Calibri" w:hAnsi="Calibri" w:eastAsia="宋体" w:cs="Times New Roman"/>
      <w:i/>
      <w:iCs/>
      <w:szCs w:val="24"/>
    </w:rPr>
  </w:style>
  <w:style w:type="character" w:customStyle="1" w:styleId="136">
    <w:name w:val="批注文字 Char1"/>
    <w:basedOn w:val="91"/>
    <w:semiHidden/>
    <w:qFormat/>
    <w:uiPriority w:val="99"/>
    <w:rPr>
      <w:rFonts w:ascii="Calibri" w:hAnsi="Calibri" w:eastAsia="宋体" w:cs="Times New Roman"/>
      <w:szCs w:val="24"/>
    </w:rPr>
  </w:style>
  <w:style w:type="character" w:customStyle="1" w:styleId="137">
    <w:name w:val="日期 Char"/>
    <w:basedOn w:val="91"/>
    <w:link w:val="51"/>
    <w:qFormat/>
    <w:uiPriority w:val="0"/>
    <w:rPr>
      <w:rFonts w:ascii="Calibri" w:hAnsi="Calibri" w:eastAsia="宋体" w:cs="Times New Roman"/>
      <w:kern w:val="0"/>
      <w:sz w:val="32"/>
      <w:szCs w:val="20"/>
    </w:rPr>
  </w:style>
  <w:style w:type="paragraph" w:customStyle="1" w:styleId="138">
    <w:name w:val="Char Char Char Char"/>
    <w:basedOn w:val="1"/>
    <w:qFormat/>
    <w:uiPriority w:val="0"/>
    <w:pPr>
      <w:widowControl/>
      <w:spacing w:after="160" w:line="240" w:lineRule="exact"/>
      <w:jc w:val="left"/>
    </w:pPr>
    <w:rPr>
      <w:szCs w:val="20"/>
    </w:rPr>
  </w:style>
  <w:style w:type="character" w:customStyle="1" w:styleId="139">
    <w:name w:val="文档结构图 Char1"/>
    <w:basedOn w:val="91"/>
    <w:semiHidden/>
    <w:qFormat/>
    <w:uiPriority w:val="99"/>
    <w:rPr>
      <w:rFonts w:ascii="宋体" w:hAnsi="Calibri" w:eastAsia="宋体" w:cs="Times New Roman"/>
      <w:sz w:val="18"/>
      <w:szCs w:val="18"/>
    </w:rPr>
  </w:style>
  <w:style w:type="paragraph" w:customStyle="1" w:styleId="140">
    <w:name w:val="Char Char Char Char Char Char Char Char Char Char Char Char Char"/>
    <w:basedOn w:val="27"/>
    <w:qFormat/>
    <w:uiPriority w:val="0"/>
    <w:rPr>
      <w:szCs w:val="20"/>
    </w:rPr>
  </w:style>
  <w:style w:type="character" w:customStyle="1" w:styleId="141">
    <w:name w:val="尾注文本 Char"/>
    <w:basedOn w:val="91"/>
    <w:link w:val="53"/>
    <w:semiHidden/>
    <w:qFormat/>
    <w:uiPriority w:val="0"/>
    <w:rPr>
      <w:rFonts w:ascii="Calibri" w:hAnsi="Calibri" w:eastAsia="宋体" w:cs="Times New Roman"/>
      <w:szCs w:val="24"/>
    </w:rPr>
  </w:style>
  <w:style w:type="character" w:customStyle="1" w:styleId="142">
    <w:name w:val="结束语 Char"/>
    <w:basedOn w:val="91"/>
    <w:link w:val="33"/>
    <w:qFormat/>
    <w:uiPriority w:val="0"/>
    <w:rPr>
      <w:rFonts w:ascii="Calibri" w:hAnsi="Calibri" w:eastAsia="宋体" w:cs="Times New Roman"/>
      <w:szCs w:val="24"/>
    </w:rPr>
  </w:style>
  <w:style w:type="character" w:customStyle="1" w:styleId="143">
    <w:name w:val="注释标题 Char"/>
    <w:basedOn w:val="91"/>
    <w:link w:val="17"/>
    <w:qFormat/>
    <w:uiPriority w:val="0"/>
    <w:rPr>
      <w:rFonts w:ascii="Calibri" w:hAnsi="Calibri" w:eastAsia="宋体" w:cs="Times New Roman"/>
      <w:szCs w:val="24"/>
    </w:rPr>
  </w:style>
  <w:style w:type="paragraph" w:customStyle="1" w:styleId="144">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5">
    <w:name w:val="标题 Char1"/>
    <w:basedOn w:val="91"/>
    <w:qFormat/>
    <w:uiPriority w:val="10"/>
    <w:rPr>
      <w:rFonts w:eastAsia="宋体" w:asciiTheme="majorHAnsi" w:hAnsiTheme="majorHAnsi" w:cstheme="majorBidi"/>
      <w:b/>
      <w:bCs/>
      <w:sz w:val="32"/>
      <w:szCs w:val="32"/>
    </w:rPr>
  </w:style>
  <w:style w:type="character" w:customStyle="1" w:styleId="146">
    <w:name w:val="签名 Char"/>
    <w:basedOn w:val="91"/>
    <w:link w:val="59"/>
    <w:qFormat/>
    <w:uiPriority w:val="0"/>
    <w:rPr>
      <w:rFonts w:ascii="Calibri" w:hAnsi="Calibri" w:eastAsia="宋体" w:cs="Times New Roman"/>
      <w:szCs w:val="24"/>
    </w:rPr>
  </w:style>
  <w:style w:type="character" w:customStyle="1" w:styleId="147">
    <w:name w:val="信息标题 Char"/>
    <w:basedOn w:val="91"/>
    <w:link w:val="80"/>
    <w:qFormat/>
    <w:uiPriority w:val="0"/>
    <w:rPr>
      <w:rFonts w:ascii="Arial" w:hAnsi="Arial" w:eastAsia="宋体" w:cs="Arial"/>
      <w:sz w:val="24"/>
      <w:szCs w:val="24"/>
      <w:shd w:val="pct20" w:color="auto" w:fill="auto"/>
    </w:rPr>
  </w:style>
  <w:style w:type="character" w:customStyle="1" w:styleId="148">
    <w:name w:val="批注框文本 Char1"/>
    <w:basedOn w:val="91"/>
    <w:semiHidden/>
    <w:qFormat/>
    <w:uiPriority w:val="99"/>
    <w:rPr>
      <w:rFonts w:ascii="Calibri" w:hAnsi="Calibri" w:eastAsia="宋体" w:cs="Times New Roman"/>
      <w:sz w:val="18"/>
      <w:szCs w:val="18"/>
    </w:rPr>
  </w:style>
  <w:style w:type="character" w:customStyle="1" w:styleId="149">
    <w:name w:val="正文首行缩进 Char1"/>
    <w:basedOn w:val="130"/>
    <w:semiHidden/>
    <w:qFormat/>
    <w:uiPriority w:val="99"/>
    <w:rPr>
      <w:rFonts w:ascii="Calibri" w:hAnsi="Calibri" w:eastAsia="宋体" w:cs="Times New Roman"/>
      <w:szCs w:val="24"/>
    </w:rPr>
  </w:style>
  <w:style w:type="character" w:customStyle="1" w:styleId="150">
    <w:name w:val="宏文本 Char"/>
    <w:basedOn w:val="91"/>
    <w:link w:val="3"/>
    <w:semiHidden/>
    <w:qFormat/>
    <w:uiPriority w:val="0"/>
    <w:rPr>
      <w:rFonts w:ascii="Courier New" w:hAnsi="Courier New" w:eastAsia="宋体" w:cs="Courier New"/>
      <w:sz w:val="24"/>
      <w:szCs w:val="24"/>
    </w:rPr>
  </w:style>
  <w:style w:type="character" w:customStyle="1" w:styleId="151">
    <w:name w:val="页脚 Char1"/>
    <w:basedOn w:val="91"/>
    <w:semiHidden/>
    <w:qFormat/>
    <w:uiPriority w:val="99"/>
    <w:rPr>
      <w:rFonts w:ascii="Calibri" w:hAnsi="Calibri" w:eastAsia="宋体" w:cs="Times New Roman"/>
      <w:sz w:val="18"/>
      <w:szCs w:val="18"/>
    </w:rPr>
  </w:style>
  <w:style w:type="character" w:customStyle="1" w:styleId="152">
    <w:name w:val="批注主题 Char1"/>
    <w:basedOn w:val="136"/>
    <w:semiHidden/>
    <w:qFormat/>
    <w:uiPriority w:val="99"/>
    <w:rPr>
      <w:rFonts w:ascii="Calibri" w:hAnsi="Calibri" w:eastAsia="宋体" w:cs="Times New Roman"/>
      <w:b/>
      <w:bCs/>
      <w:szCs w:val="24"/>
    </w:rPr>
  </w:style>
  <w:style w:type="character" w:customStyle="1" w:styleId="153">
    <w:name w:val="纯文本 Char1"/>
    <w:basedOn w:val="91"/>
    <w:semiHidden/>
    <w:qFormat/>
    <w:uiPriority w:val="99"/>
    <w:rPr>
      <w:rFonts w:ascii="宋体" w:hAnsi="Courier New" w:eastAsia="宋体" w:cs="Courier New"/>
      <w:szCs w:val="21"/>
    </w:rPr>
  </w:style>
  <w:style w:type="character" w:customStyle="1" w:styleId="154">
    <w:name w:val="电子邮件签名 Char"/>
    <w:basedOn w:val="91"/>
    <w:link w:val="20"/>
    <w:qFormat/>
    <w:uiPriority w:val="0"/>
    <w:rPr>
      <w:rFonts w:ascii="Calibri" w:hAnsi="Calibri" w:eastAsia="宋体" w:cs="Times New Roman"/>
      <w:szCs w:val="24"/>
    </w:rPr>
  </w:style>
  <w:style w:type="paragraph" w:customStyle="1" w:styleId="155">
    <w:name w:val="样式4"/>
    <w:basedOn w:val="1"/>
    <w:qFormat/>
    <w:uiPriority w:val="0"/>
    <w:pPr>
      <w:tabs>
        <w:tab w:val="left" w:pos="2328"/>
      </w:tabs>
      <w:ind w:left="2328" w:hanging="708"/>
    </w:pPr>
  </w:style>
  <w:style w:type="character" w:customStyle="1" w:styleId="156">
    <w:name w:val="脚注文本 Char"/>
    <w:basedOn w:val="91"/>
    <w:link w:val="68"/>
    <w:semiHidden/>
    <w:qFormat/>
    <w:uiPriority w:val="0"/>
    <w:rPr>
      <w:rFonts w:ascii="Calibri" w:hAnsi="Calibri" w:eastAsia="宋体" w:cs="Times New Roman"/>
      <w:sz w:val="18"/>
      <w:szCs w:val="18"/>
    </w:rPr>
  </w:style>
  <w:style w:type="character" w:customStyle="1" w:styleId="157">
    <w:name w:val="正文文本缩进 3 Char"/>
    <w:basedOn w:val="91"/>
    <w:link w:val="71"/>
    <w:qFormat/>
    <w:uiPriority w:val="0"/>
    <w:rPr>
      <w:rFonts w:ascii="宋体" w:hAnsi="宋体" w:eastAsia="宋体" w:cs="Times New Roman"/>
      <w:sz w:val="24"/>
      <w:szCs w:val="24"/>
    </w:rPr>
  </w:style>
  <w:style w:type="paragraph" w:customStyle="1" w:styleId="158">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59">
    <w:name w:val="Char2"/>
    <w:basedOn w:val="1"/>
    <w:qFormat/>
    <w:uiPriority w:val="0"/>
    <w:rPr>
      <w:rFonts w:ascii="Tahoma" w:hAnsi="Tahoma"/>
      <w:sz w:val="24"/>
      <w:szCs w:val="20"/>
    </w:rPr>
  </w:style>
  <w:style w:type="paragraph" w:customStyle="1" w:styleId="160">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1">
    <w:name w:val="列出段落1"/>
    <w:basedOn w:val="1"/>
    <w:qFormat/>
    <w:uiPriority w:val="0"/>
    <w:pPr>
      <w:ind w:firstLine="420" w:firstLineChars="200"/>
    </w:pPr>
  </w:style>
  <w:style w:type="paragraph" w:customStyle="1" w:styleId="162">
    <w:name w:val="内正文"/>
    <w:basedOn w:val="1"/>
    <w:qFormat/>
    <w:uiPriority w:val="0"/>
    <w:pPr>
      <w:ind w:firstLine="420"/>
    </w:pPr>
    <w:rPr>
      <w:rFonts w:eastAsia="文鼎CS书宋二"/>
      <w:szCs w:val="20"/>
    </w:rPr>
  </w:style>
  <w:style w:type="paragraph" w:customStyle="1" w:styleId="163">
    <w:name w:val="Char Char Char Char Char Char Char Char Char Char"/>
    <w:basedOn w:val="1"/>
    <w:qFormat/>
    <w:uiPriority w:val="0"/>
    <w:rPr>
      <w:rFonts w:ascii="Tahoma" w:hAnsi="Tahoma"/>
      <w:sz w:val="24"/>
      <w:szCs w:val="20"/>
    </w:rPr>
  </w:style>
  <w:style w:type="paragraph" w:customStyle="1" w:styleId="164">
    <w:name w:val="5"/>
    <w:basedOn w:val="1"/>
    <w:qFormat/>
    <w:uiPriority w:val="0"/>
    <w:rPr>
      <w:rFonts w:ascii="Tahoma" w:hAnsi="Tahoma"/>
      <w:sz w:val="24"/>
      <w:szCs w:val="20"/>
    </w:rPr>
  </w:style>
  <w:style w:type="paragraph" w:customStyle="1" w:styleId="165">
    <w:name w:val="Char"/>
    <w:basedOn w:val="1"/>
    <w:qFormat/>
    <w:uiPriority w:val="0"/>
    <w:pPr>
      <w:adjustRightInd w:val="0"/>
      <w:spacing w:line="360" w:lineRule="auto"/>
    </w:pPr>
    <w:rPr>
      <w:kern w:val="0"/>
      <w:sz w:val="24"/>
      <w:szCs w:val="20"/>
    </w:rPr>
  </w:style>
  <w:style w:type="paragraph" w:customStyle="1" w:styleId="166">
    <w:name w:val="Char Char Char1"/>
    <w:basedOn w:val="1"/>
    <w:qFormat/>
    <w:uiPriority w:val="0"/>
    <w:rPr>
      <w:rFonts w:ascii="宋体" w:hAnsi="宋体"/>
      <w:b/>
      <w:sz w:val="28"/>
      <w:szCs w:val="28"/>
    </w:rPr>
  </w:style>
  <w:style w:type="paragraph" w:customStyle="1" w:styleId="167">
    <w:name w:val="表"/>
    <w:basedOn w:val="1"/>
    <w:qFormat/>
    <w:uiPriority w:val="0"/>
    <w:pPr>
      <w:spacing w:line="460" w:lineRule="exact"/>
    </w:pPr>
    <w:rPr>
      <w:rFonts w:ascii="宋体" w:hAnsi="宋体"/>
      <w:b/>
      <w:bCs/>
      <w:szCs w:val="20"/>
    </w:rPr>
  </w:style>
  <w:style w:type="paragraph" w:customStyle="1" w:styleId="168">
    <w:name w:val="样式"/>
    <w:basedOn w:val="1"/>
    <w:next w:val="36"/>
    <w:qFormat/>
    <w:uiPriority w:val="0"/>
    <w:pPr>
      <w:jc w:val="center"/>
    </w:pPr>
    <w:rPr>
      <w:rFonts w:ascii="宋体" w:hAnsi="宋体"/>
      <w:color w:val="FF0000"/>
      <w:sz w:val="24"/>
    </w:rPr>
  </w:style>
  <w:style w:type="paragraph" w:customStyle="1" w:styleId="169">
    <w:name w:val="Char1 Char Char Char"/>
    <w:basedOn w:val="1"/>
    <w:qFormat/>
    <w:uiPriority w:val="0"/>
    <w:rPr>
      <w:szCs w:val="20"/>
    </w:rPr>
  </w:style>
  <w:style w:type="paragraph" w:customStyle="1" w:styleId="170">
    <w:name w:val="列出段落111"/>
    <w:basedOn w:val="1"/>
    <w:qFormat/>
    <w:uiPriority w:val="0"/>
    <w:pPr>
      <w:ind w:firstLine="420" w:firstLineChars="200"/>
    </w:pPr>
  </w:style>
  <w:style w:type="paragraph" w:customStyle="1" w:styleId="171">
    <w:name w:val="默认段落字体 Para Char Char Char Char Char Char Char"/>
    <w:basedOn w:val="1"/>
    <w:qFormat/>
    <w:uiPriority w:val="0"/>
    <w:rPr>
      <w:rFonts w:ascii="Tahoma" w:hAnsi="Tahoma"/>
      <w:sz w:val="24"/>
      <w:szCs w:val="20"/>
    </w:rPr>
  </w:style>
  <w:style w:type="paragraph" w:customStyle="1" w:styleId="172">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3">
    <w:name w:val="Table Paragraph"/>
    <w:basedOn w:val="1"/>
    <w:qFormat/>
    <w:uiPriority w:val="0"/>
    <w:pPr>
      <w:jc w:val="left"/>
    </w:pPr>
    <w:rPr>
      <w:kern w:val="0"/>
      <w:sz w:val="22"/>
      <w:szCs w:val="22"/>
      <w:lang w:eastAsia="en-US"/>
    </w:rPr>
  </w:style>
  <w:style w:type="paragraph" w:customStyle="1" w:styleId="174">
    <w:name w:val="qw"/>
    <w:qFormat/>
    <w:uiPriority w:val="0"/>
    <w:pPr>
      <w:widowControl w:val="0"/>
      <w:adjustRightInd w:val="0"/>
      <w:spacing w:line="312" w:lineRule="atLeast"/>
      <w:jc w:val="both"/>
      <w:textAlignment w:val="baseline"/>
    </w:pPr>
    <w:rPr>
      <w:rFonts w:ascii="宋体" w:hAnsi="Calibri" w:eastAsia="宋体" w:cs="Times New Roman"/>
      <w:sz w:val="24"/>
      <w:lang w:val="en-US" w:eastAsia="zh-CN" w:bidi="ar-SA"/>
    </w:rPr>
  </w:style>
  <w:style w:type="paragraph" w:customStyle="1" w:styleId="175">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6">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7">
    <w:name w:val="样式1"/>
    <w:basedOn w:val="1"/>
    <w:qFormat/>
    <w:uiPriority w:val="0"/>
    <w:pPr>
      <w:spacing w:line="440" w:lineRule="atLeast"/>
      <w:outlineLvl w:val="0"/>
    </w:pPr>
    <w:rPr>
      <w:rFonts w:ascii="宋体" w:hAnsi="宋体"/>
      <w:sz w:val="24"/>
    </w:rPr>
  </w:style>
  <w:style w:type="paragraph" w:customStyle="1" w:styleId="178">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7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0">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1">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2">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3">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4">
    <w:name w:val="列出段落11"/>
    <w:basedOn w:val="1"/>
    <w:qFormat/>
    <w:uiPriority w:val="0"/>
    <w:pPr>
      <w:ind w:firstLine="420" w:firstLineChars="200"/>
    </w:pPr>
    <w:rPr>
      <w:szCs w:val="22"/>
    </w:rPr>
  </w:style>
  <w:style w:type="paragraph" w:customStyle="1" w:styleId="185">
    <w:name w:val="表格和图形名称"/>
    <w:basedOn w:val="1"/>
    <w:next w:val="1"/>
    <w:qFormat/>
    <w:uiPriority w:val="0"/>
    <w:pPr>
      <w:widowControl/>
      <w:spacing w:afterLines="50" w:line="360" w:lineRule="auto"/>
      <w:jc w:val="center"/>
    </w:pPr>
    <w:rPr>
      <w:kern w:val="0"/>
      <w:szCs w:val="20"/>
    </w:rPr>
  </w:style>
  <w:style w:type="paragraph" w:customStyle="1" w:styleId="186">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7">
    <w:name w:val="正文1"/>
    <w:basedOn w:val="1"/>
    <w:qFormat/>
    <w:uiPriority w:val="0"/>
    <w:pPr>
      <w:adjustRightInd w:val="0"/>
      <w:spacing w:line="312" w:lineRule="atLeast"/>
    </w:pPr>
    <w:rPr>
      <w:kern w:val="0"/>
      <w:sz w:val="28"/>
      <w:szCs w:val="20"/>
    </w:rPr>
  </w:style>
  <w:style w:type="paragraph" w:customStyle="1" w:styleId="188">
    <w:name w:val="排列"/>
    <w:basedOn w:val="67"/>
    <w:next w:val="67"/>
    <w:qFormat/>
    <w:uiPriority w:val="0"/>
    <w:pPr>
      <w:tabs>
        <w:tab w:val="left" w:pos="1261"/>
        <w:tab w:val="clear" w:pos="360"/>
      </w:tabs>
      <w:ind w:left="1261" w:hanging="420"/>
    </w:pPr>
  </w:style>
  <w:style w:type="paragraph" w:customStyle="1" w:styleId="189">
    <w:name w:val="Char1 Char Char Char1"/>
    <w:basedOn w:val="1"/>
    <w:qFormat/>
    <w:uiPriority w:val="0"/>
    <w:pPr>
      <w:ind w:left="420" w:hanging="420"/>
    </w:pPr>
    <w:rPr>
      <w:sz w:val="24"/>
    </w:rPr>
  </w:style>
  <w:style w:type="paragraph" w:customStyle="1" w:styleId="190">
    <w:name w:val="修订1"/>
    <w:semiHidden/>
    <w:qFormat/>
    <w:uiPriority w:val="0"/>
    <w:rPr>
      <w:rFonts w:ascii="Calibri" w:hAnsi="Calibri" w:eastAsia="宋体" w:cs="Times New Roman"/>
      <w:kern w:val="2"/>
      <w:sz w:val="21"/>
      <w:szCs w:val="24"/>
      <w:lang w:val="en-US" w:eastAsia="zh-CN" w:bidi="ar-SA"/>
    </w:rPr>
  </w:style>
  <w:style w:type="paragraph" w:customStyle="1" w:styleId="191">
    <w:name w:val="Char Char Char Char Char Char Char Char Char Char Char Char Char1"/>
    <w:basedOn w:val="27"/>
    <w:qFormat/>
    <w:uiPriority w:val="0"/>
    <w:rPr>
      <w:szCs w:val="20"/>
    </w:rPr>
  </w:style>
  <w:style w:type="paragraph" w:customStyle="1" w:styleId="192">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3">
    <w:name w:val="封面2"/>
    <w:basedOn w:val="1"/>
    <w:qFormat/>
    <w:uiPriority w:val="0"/>
    <w:pPr>
      <w:spacing w:line="360" w:lineRule="auto"/>
      <w:jc w:val="center"/>
    </w:pPr>
    <w:rPr>
      <w:rFonts w:ascii="黑体" w:hAnsi="宋体" w:eastAsia="黑体"/>
      <w:b/>
      <w:spacing w:val="-30"/>
      <w:sz w:val="96"/>
    </w:rPr>
  </w:style>
  <w:style w:type="paragraph" w:customStyle="1" w:styleId="194">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5">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6">
    <w:name w:val="Char Char2 Char"/>
    <w:basedOn w:val="1"/>
    <w:qFormat/>
    <w:uiPriority w:val="0"/>
  </w:style>
  <w:style w:type="paragraph" w:customStyle="1" w:styleId="197">
    <w:name w:val="Char Char Char Char Char Char Char Char Char Char1"/>
    <w:basedOn w:val="1"/>
    <w:qFormat/>
    <w:uiPriority w:val="0"/>
    <w:rPr>
      <w:rFonts w:ascii="Tahoma" w:hAnsi="Tahoma"/>
      <w:sz w:val="24"/>
      <w:szCs w:val="20"/>
    </w:rPr>
  </w:style>
  <w:style w:type="paragraph" w:customStyle="1" w:styleId="198">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199">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0">
    <w:name w:val="Char Char Char"/>
    <w:basedOn w:val="1"/>
    <w:qFormat/>
    <w:uiPriority w:val="0"/>
    <w:rPr>
      <w:rFonts w:ascii="宋体" w:hAnsi="宋体"/>
      <w:b/>
      <w:sz w:val="28"/>
      <w:szCs w:val="28"/>
    </w:rPr>
  </w:style>
  <w:style w:type="paragraph" w:customStyle="1" w:styleId="201">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2">
    <w:name w:val="Char Char Char1 Char"/>
    <w:basedOn w:val="1"/>
    <w:qFormat/>
    <w:uiPriority w:val="0"/>
    <w:pPr>
      <w:tabs>
        <w:tab w:val="left" w:pos="425"/>
      </w:tabs>
      <w:ind w:left="425" w:hanging="425"/>
    </w:pPr>
    <w:rPr>
      <w:rFonts w:eastAsia="仿宋_GB2312"/>
      <w:kern w:val="24"/>
      <w:sz w:val="24"/>
    </w:rPr>
  </w:style>
  <w:style w:type="paragraph" w:customStyle="1" w:styleId="203">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4">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5">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6">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7">
    <w:name w:val="网格型1"/>
    <w:basedOn w:val="89"/>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8">
    <w:name w:val="网格型2"/>
    <w:basedOn w:val="89"/>
    <w:qFormat/>
    <w:uiPriority w:val="0"/>
    <w:pPr>
      <w:spacing w:beforeAutospacing="1" w:afterAutospacing="1"/>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09">
    <w:name w:val="修订2"/>
    <w:hidden/>
    <w:semiHidden/>
    <w:qFormat/>
    <w:uiPriority w:val="99"/>
    <w:rPr>
      <w:rFonts w:ascii="Calibri" w:hAnsi="Calibri" w:eastAsia="宋体" w:cs="Times New Roman"/>
      <w:kern w:val="2"/>
      <w:sz w:val="21"/>
      <w:szCs w:val="24"/>
      <w:lang w:val="en-US" w:eastAsia="zh-CN" w:bidi="ar-SA"/>
    </w:rPr>
  </w:style>
  <w:style w:type="paragraph" w:customStyle="1" w:styleId="210">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1">
    <w:name w:val="font31"/>
    <w:basedOn w:val="91"/>
    <w:qFormat/>
    <w:uiPriority w:val="0"/>
    <w:rPr>
      <w:rFonts w:hint="eastAsia" w:ascii="宋体" w:hAnsi="宋体" w:eastAsia="宋体" w:cs="宋体"/>
      <w:color w:val="000000"/>
      <w:sz w:val="22"/>
      <w:szCs w:val="22"/>
      <w:u w:val="none"/>
    </w:rPr>
  </w:style>
  <w:style w:type="character" w:customStyle="1" w:styleId="212">
    <w:name w:val="font01"/>
    <w:basedOn w:val="91"/>
    <w:qFormat/>
    <w:uiPriority w:val="0"/>
    <w:rPr>
      <w:rFonts w:hint="eastAsia" w:ascii="宋体" w:hAnsi="宋体" w:eastAsia="宋体" w:cs="宋体"/>
      <w:color w:val="333333"/>
      <w:sz w:val="22"/>
      <w:szCs w:val="22"/>
      <w:u w:val="none"/>
    </w:rPr>
  </w:style>
  <w:style w:type="character" w:customStyle="1" w:styleId="213">
    <w:name w:val="font51"/>
    <w:basedOn w:val="91"/>
    <w:qFormat/>
    <w:uiPriority w:val="0"/>
    <w:rPr>
      <w:rFonts w:hint="eastAsia" w:ascii="宋体" w:hAnsi="宋体" w:eastAsia="宋体" w:cs="宋体"/>
      <w:color w:val="000000"/>
      <w:sz w:val="22"/>
      <w:szCs w:val="22"/>
      <w:u w:val="none"/>
    </w:rPr>
  </w:style>
  <w:style w:type="paragraph" w:customStyle="1" w:styleId="214">
    <w:name w:val="文一"/>
    <w:basedOn w:val="1"/>
    <w:qFormat/>
    <w:uiPriority w:val="0"/>
    <w:pPr>
      <w:topLinePunct/>
      <w:adjustRightInd w:val="0"/>
      <w:snapToGrid w:val="0"/>
      <w:spacing w:line="360" w:lineRule="auto"/>
      <w:ind w:firstLine="200" w:firstLineChars="200"/>
    </w:pPr>
    <w:rPr>
      <w:spacing w:val="4"/>
      <w:kern w:val="0"/>
      <w:sz w:val="24"/>
      <w:szCs w:val="24"/>
    </w:rPr>
  </w:style>
  <w:style w:type="character" w:customStyle="1" w:styleId="215">
    <w:name w:val="font41"/>
    <w:basedOn w:val="91"/>
    <w:qFormat/>
    <w:uiPriority w:val="0"/>
    <w:rPr>
      <w:rFonts w:hint="eastAsia" w:ascii="宋体" w:hAnsi="宋体" w:eastAsia="宋体" w:cs="宋体"/>
      <w:color w:val="000000"/>
      <w:sz w:val="22"/>
      <w:szCs w:val="22"/>
      <w:u w:val="none"/>
    </w:rPr>
  </w:style>
  <w:style w:type="character" w:customStyle="1" w:styleId="216">
    <w:name w:val="font61"/>
    <w:basedOn w:val="91"/>
    <w:qFormat/>
    <w:uiPriority w:val="0"/>
    <w:rPr>
      <w:rFonts w:hint="eastAsia" w:ascii="宋体" w:hAnsi="宋体" w:eastAsia="宋体" w:cs="宋体"/>
      <w:color w:val="000000"/>
      <w:sz w:val="22"/>
      <w:szCs w:val="22"/>
      <w:u w:val="none"/>
    </w:rPr>
  </w:style>
  <w:style w:type="character" w:customStyle="1" w:styleId="217">
    <w:name w:val="font21"/>
    <w:basedOn w:val="91"/>
    <w:qFormat/>
    <w:uiPriority w:val="0"/>
    <w:rPr>
      <w:rFonts w:hint="eastAsia" w:ascii="宋体" w:hAnsi="宋体" w:eastAsia="宋体" w:cs="宋体"/>
      <w:color w:val="000000"/>
      <w:sz w:val="22"/>
      <w:szCs w:val="22"/>
      <w:u w:val="none"/>
    </w:rPr>
  </w:style>
  <w:style w:type="character" w:customStyle="1" w:styleId="218">
    <w:name w:val="font151"/>
    <w:basedOn w:val="91"/>
    <w:qFormat/>
    <w:uiPriority w:val="0"/>
    <w:rPr>
      <w:rFonts w:hint="default" w:ascii="Times New Roman" w:hAnsi="Times New Roman" w:cs="Times New Roman"/>
      <w:color w:val="000000"/>
      <w:sz w:val="20"/>
      <w:szCs w:val="20"/>
      <w:u w:val="none"/>
    </w:rPr>
  </w:style>
  <w:style w:type="character" w:customStyle="1" w:styleId="219">
    <w:name w:val="font71"/>
    <w:basedOn w:val="91"/>
    <w:qFormat/>
    <w:uiPriority w:val="0"/>
    <w:rPr>
      <w:rFonts w:hint="default" w:ascii="Times New Roman" w:hAnsi="Times New Roman" w:cs="Times New Roman"/>
      <w:color w:val="000000"/>
      <w:sz w:val="20"/>
      <w:szCs w:val="20"/>
      <w:u w:val="none"/>
    </w:rPr>
  </w:style>
  <w:style w:type="character" w:customStyle="1" w:styleId="220">
    <w:name w:val="font11"/>
    <w:basedOn w:val="91"/>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26695</Words>
  <Characters>152167</Characters>
  <Lines>1268</Lines>
  <Paragraphs>357</Paragraphs>
  <TotalTime>8</TotalTime>
  <ScaleCrop>false</ScaleCrop>
  <LinksUpToDate>false</LinksUpToDate>
  <CharactersWithSpaces>178505</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小笼包</cp:lastModifiedBy>
  <cp:lastPrinted>2020-02-27T05:24:00Z</cp:lastPrinted>
  <dcterms:modified xsi:type="dcterms:W3CDTF">2020-09-08T01:53:00Z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