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p>
    <w:p>
      <w:pPr>
        <w:spacing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360" w:lineRule="auto"/>
        <w:jc w:val="center"/>
        <w:rPr>
          <w:rFonts w:hint="eastAsia" w:ascii="宋体" w:hAnsi="宋体" w:eastAsia="宋体"/>
          <w:b/>
          <w:color w:val="auto"/>
          <w:sz w:val="28"/>
          <w:szCs w:val="28"/>
          <w:highlight w:val="none"/>
          <w:lang w:eastAsia="zh-CN"/>
        </w:rPr>
      </w:pPr>
      <w:r>
        <w:rPr>
          <w:rFonts w:hint="eastAsia" w:ascii="宋体" w:hAnsi="宋体"/>
          <w:b/>
          <w:color w:val="auto"/>
          <w:sz w:val="28"/>
          <w:szCs w:val="28"/>
          <w:highlight w:val="none"/>
        </w:rPr>
        <w:t>项目名称：</w:t>
      </w:r>
      <w:r>
        <w:rPr>
          <w:rFonts w:hint="eastAsia" w:ascii="宋体" w:hAnsi="宋体"/>
          <w:b/>
          <w:color w:val="auto"/>
          <w:sz w:val="28"/>
          <w:szCs w:val="28"/>
          <w:highlight w:val="none"/>
          <w:lang w:eastAsia="zh-CN"/>
        </w:rPr>
        <w:t>广东省农业科学院领军人才项目微生物实验室通风与洁净系统设备采购及配套服务项目采购</w:t>
      </w: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项目编号：202009-184098-0055</w:t>
      </w:r>
    </w:p>
    <w:p>
      <w:pPr>
        <w:spacing w:line="360" w:lineRule="auto"/>
        <w:rPr>
          <w:rFonts w:ascii="宋体" w:hAnsi="宋体"/>
          <w:color w:val="auto"/>
          <w:sz w:val="84"/>
          <w:highlight w:val="none"/>
        </w:rPr>
      </w:pPr>
    </w:p>
    <w:p>
      <w:pPr>
        <w:spacing w:line="360" w:lineRule="auto"/>
        <w:ind w:firstLine="1687" w:firstLineChars="200"/>
        <w:rPr>
          <w:rFonts w:ascii="宋体" w:hAnsi="宋体"/>
          <w:b/>
          <w:color w:val="auto"/>
          <w:sz w:val="84"/>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   购   人：</w:t>
      </w:r>
      <w:r>
        <w:rPr>
          <w:rFonts w:hint="eastAsia" w:ascii="宋体" w:hAnsi="宋体" w:cs="宋体"/>
          <w:b/>
          <w:bCs/>
          <w:color w:val="auto"/>
          <w:sz w:val="30"/>
          <w:szCs w:val="30"/>
          <w:highlight w:val="none"/>
        </w:rPr>
        <w:t>广东省农业科学院动物科学研究所</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4"/>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1134" w:right="1417" w:bottom="1134" w:left="1417" w:header="567" w:footer="737" w:gutter="0"/>
          <w:cols w:space="720" w:num="1"/>
          <w:titlePg/>
          <w:docGrid w:linePitch="312" w:charSpace="0"/>
        </w:sectPr>
      </w:pPr>
      <w:r>
        <w:rPr>
          <w:rFonts w:hint="eastAsia" w:ascii="宋体" w:hAnsi="宋体"/>
          <w:b/>
          <w:color w:val="auto"/>
          <w:sz w:val="30"/>
          <w:szCs w:val="30"/>
          <w:highlight w:val="none"/>
        </w:rPr>
        <w:t>日        期：</w:t>
      </w:r>
      <w:bookmarkStart w:id="0" w:name="_Toc14450806"/>
      <w:bookmarkStart w:id="1" w:name="_Toc28489433"/>
      <w:r>
        <w:rPr>
          <w:rStyle w:val="94"/>
          <w:rFonts w:hint="eastAsia" w:ascii="宋体" w:hAnsi="宋体"/>
          <w:b/>
          <w:color w:val="auto"/>
          <w:sz w:val="30"/>
          <w:szCs w:val="30"/>
          <w:highlight w:val="none"/>
          <w:u w:val="none"/>
        </w:rPr>
        <w:t xml:space="preserve"> 二○二○年九月</w:t>
      </w:r>
    </w:p>
    <w:p>
      <w:pPr>
        <w:spacing w:beforeLines="50" w:afterLines="50" w:line="360" w:lineRule="auto"/>
        <w:rPr>
          <w:rFonts w:ascii="宋体" w:hAnsi="宋体"/>
          <w:b/>
          <w:color w:val="auto"/>
          <w:sz w:val="36"/>
          <w:highlight w:val="none"/>
        </w:rPr>
      </w:pPr>
    </w:p>
    <w:p>
      <w:pPr>
        <w:spacing w:beforeLines="5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请仔细检查投标/报价文件是否已按采购文件要求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报价报价人以非独立法人注册的分公司名义代表总公司盖章和签署文件的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投标/报价报价人为中型、小型、微型企业的，请提交《中小企业声明函》。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采购文件而决定不参加本次投标/报价的报价人，在投标/报价文件递交截止时间的3日前，按《投标/报价邀请函》中的联系方式，以书面形式告知采购代理机构。对您的支持与配合，谨此致谢。</w:t>
      </w:r>
    </w:p>
    <w:p>
      <w:pPr>
        <w:spacing w:beforeLines="5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（本提示内容非采购文件的组成部分，仅为善意提醒。如有不一致，以采购文件为准）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Lines="100" w:afterLines="100" w:line="360" w:lineRule="auto"/>
        <w:rPr>
          <w:rStyle w:val="94"/>
          <w:rFonts w:ascii="宋体" w:hAnsi="宋体"/>
          <w:smallCaps/>
          <w:color w:val="auto"/>
          <w:sz w:val="28"/>
          <w:szCs w:val="28"/>
          <w:highlight w:val="none"/>
        </w:rPr>
      </w:pPr>
    </w:p>
    <w:p>
      <w:pPr>
        <w:pStyle w:val="60"/>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4"/>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4"/>
          <w:rFonts w:hint="eastAsia"/>
          <w:color w:val="auto"/>
          <w:sz w:val="28"/>
          <w:szCs w:val="28"/>
          <w:highlight w:val="none"/>
        </w:rPr>
        <w:t>第一章 竞争性磋商公告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color w:val="auto"/>
          <w:sz w:val="28"/>
          <w:szCs w:val="28"/>
          <w:highlight w:val="none"/>
        </w:rPr>
        <w:fldChar w:fldCharType="end"/>
      </w:r>
    </w:p>
    <w:p>
      <w:pPr>
        <w:pStyle w:val="60"/>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4"/>
          <w:rFonts w:hint="eastAsia"/>
          <w:color w:val="auto"/>
          <w:sz w:val="28"/>
          <w:szCs w:val="28"/>
          <w:highlight w:val="none"/>
        </w:rPr>
        <w:t>第二章 竞争性磋商须</w:t>
      </w:r>
      <w:bookmarkStart w:id="2" w:name="_Hlt509928387"/>
      <w:r>
        <w:rPr>
          <w:rStyle w:val="94"/>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rPr>
        <w:t>8</w:t>
      </w:r>
    </w:p>
    <w:p>
      <w:pPr>
        <w:pStyle w:val="60"/>
        <w:tabs>
          <w:tab w:val="right" w:leader="dot" w:pos="9231"/>
        </w:tabs>
        <w:spacing w:line="360" w:lineRule="auto"/>
        <w:rPr>
          <w:b w:val="0"/>
          <w:bCs w:val="0"/>
          <w:caps w:val="0"/>
          <w:color w:val="auto"/>
          <w:sz w:val="28"/>
          <w:szCs w:val="28"/>
          <w:highlight w:val="none"/>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4"/>
          <w:rFonts w:hint="eastAsia"/>
          <w:color w:val="auto"/>
          <w:sz w:val="28"/>
          <w:szCs w:val="28"/>
          <w:highlight w:val="none"/>
        </w:rPr>
        <w:t>第三章 采购人</w:t>
      </w:r>
      <w:bookmarkStart w:id="3" w:name="_Hlt510014101"/>
      <w:r>
        <w:rPr>
          <w:rStyle w:val="94"/>
          <w:rFonts w:hint="eastAsia"/>
          <w:color w:val="auto"/>
          <w:sz w:val="28"/>
          <w:szCs w:val="28"/>
          <w:highlight w:val="none"/>
        </w:rPr>
        <w:t>需</w:t>
      </w:r>
      <w:bookmarkEnd w:id="3"/>
      <w:bookmarkStart w:id="4" w:name="_Hlt510971526"/>
      <w:r>
        <w:rPr>
          <w:rStyle w:val="94"/>
          <w:rFonts w:hint="eastAsia"/>
          <w:color w:val="auto"/>
          <w:sz w:val="28"/>
          <w:szCs w:val="28"/>
          <w:highlight w:val="none"/>
        </w:rPr>
        <w:t>求</w:t>
      </w:r>
      <w:bookmarkEnd w:id="4"/>
      <w:bookmarkStart w:id="5" w:name="_Hlt510014036"/>
      <w:bookmarkStart w:id="6" w:name="_Hlt510014037"/>
      <w:r>
        <w:rPr>
          <w:rStyle w:val="94"/>
          <w:rFonts w:hint="eastAsia"/>
          <w:color w:val="auto"/>
          <w:sz w:val="28"/>
          <w:szCs w:val="28"/>
          <w:highlight w:val="none"/>
        </w:rPr>
        <w:t>书</w:t>
      </w:r>
      <w:bookmarkEnd w:id="5"/>
      <w:bookmarkEnd w:id="6"/>
      <w:bookmarkStart w:id="7" w:name="_Hlt509994711"/>
      <w:bookmarkStart w:id="8" w:name="_Hlt509994710"/>
      <w:bookmarkStart w:id="9" w:name="_Hlt509991847"/>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25</w:t>
      </w:r>
    </w:p>
    <w:p>
      <w:pPr>
        <w:pStyle w:val="60"/>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4"/>
          <w:rFonts w:hint="eastAsia"/>
          <w:color w:val="auto"/>
          <w:sz w:val="28"/>
          <w:szCs w:val="28"/>
          <w:highlight w:val="none"/>
        </w:rPr>
        <w:t xml:space="preserve">第四章 </w:t>
      </w:r>
      <w:bookmarkStart w:id="10" w:name="_Hlt511828826"/>
      <w:r>
        <w:rPr>
          <w:rStyle w:val="94"/>
          <w:rFonts w:hint="eastAsia"/>
          <w:color w:val="auto"/>
          <w:sz w:val="28"/>
          <w:szCs w:val="28"/>
          <w:highlight w:val="none"/>
        </w:rPr>
        <w:t>政府采购合同（</w:t>
      </w:r>
      <w:bookmarkEnd w:id="10"/>
      <w:r>
        <w:rPr>
          <w:rStyle w:val="94"/>
          <w:rFonts w:hint="eastAsia"/>
          <w:color w:val="auto"/>
          <w:sz w:val="28"/>
          <w:szCs w:val="28"/>
          <w:highlight w:val="none"/>
        </w:rPr>
        <w:t>样本）</w:t>
      </w:r>
      <w:r>
        <w:rPr>
          <w:rStyle w:val="94"/>
          <w:rFonts w:hint="eastAsia"/>
          <w:color w:val="auto"/>
          <w:sz w:val="28"/>
          <w:szCs w:val="28"/>
          <w:highlight w:val="none"/>
        </w:rPr>
        <w:fldChar w:fldCharType="end"/>
      </w:r>
      <w:r>
        <w:rPr>
          <w:rFonts w:hint="eastAsia"/>
          <w:color w:val="auto"/>
          <w:sz w:val="28"/>
          <w:szCs w:val="28"/>
          <w:highlight w:val="none"/>
        </w:rPr>
        <w:t>........................................................................</w:t>
      </w:r>
      <w:r>
        <w:rPr>
          <w:rFonts w:hint="eastAsia"/>
          <w:color w:val="auto"/>
          <w:sz w:val="28"/>
          <w:szCs w:val="28"/>
          <w:highlight w:val="none"/>
          <w:lang w:val="en-US" w:eastAsia="zh-CN"/>
        </w:rPr>
        <w:t>56</w:t>
      </w:r>
    </w:p>
    <w:p>
      <w:pPr>
        <w:pStyle w:val="60"/>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4"/>
          <w:rFonts w:hint="eastAsia"/>
          <w:color w:val="auto"/>
          <w:sz w:val="28"/>
          <w:szCs w:val="28"/>
          <w:highlight w:val="none"/>
        </w:rPr>
        <w:t>第五章 评分</w:t>
      </w:r>
      <w:bookmarkStart w:id="11" w:name="_Hlt509997395"/>
      <w:r>
        <w:rPr>
          <w:rStyle w:val="94"/>
          <w:rFonts w:hint="eastAsia"/>
          <w:color w:val="auto"/>
          <w:sz w:val="28"/>
          <w:szCs w:val="28"/>
          <w:highlight w:val="none"/>
        </w:rPr>
        <w:t>体</w:t>
      </w:r>
      <w:bookmarkEnd w:id="11"/>
      <w:bookmarkStart w:id="12" w:name="_Hlt475104622"/>
      <w:r>
        <w:rPr>
          <w:rStyle w:val="94"/>
          <w:rFonts w:hint="eastAsia"/>
          <w:color w:val="auto"/>
          <w:sz w:val="28"/>
          <w:szCs w:val="28"/>
          <w:highlight w:val="none"/>
        </w:rPr>
        <w:t>系</w:t>
      </w:r>
      <w:bookmarkEnd w:id="12"/>
      <w:bookmarkStart w:id="13" w:name="_Hlt510014093"/>
      <w:bookmarkStart w:id="14" w:name="_Hlt509932460"/>
      <w:bookmarkStart w:id="15" w:name="_Hlt509932461"/>
      <w:r>
        <w:rPr>
          <w:rStyle w:val="94"/>
          <w:rFonts w:hint="eastAsia"/>
          <w:color w:val="auto"/>
          <w:sz w:val="28"/>
          <w:szCs w:val="28"/>
          <w:highlight w:val="none"/>
        </w:rPr>
        <w:t>与</w:t>
      </w:r>
      <w:bookmarkEnd w:id="13"/>
      <w:bookmarkEnd w:id="14"/>
      <w:bookmarkEnd w:id="15"/>
      <w:bookmarkStart w:id="16" w:name="_Hlt509994748"/>
      <w:r>
        <w:rPr>
          <w:rStyle w:val="94"/>
          <w:rFonts w:hint="eastAsia"/>
          <w:color w:val="auto"/>
          <w:sz w:val="28"/>
          <w:szCs w:val="28"/>
          <w:highlight w:val="none"/>
        </w:rPr>
        <w:t>标</w:t>
      </w:r>
      <w:bookmarkEnd w:id="16"/>
      <w:bookmarkStart w:id="17" w:name="_Hlt509992254"/>
      <w:bookmarkStart w:id="18" w:name="_Hlt510014176"/>
      <w:r>
        <w:rPr>
          <w:rStyle w:val="94"/>
          <w:rFonts w:hint="eastAsia"/>
          <w:color w:val="auto"/>
          <w:sz w:val="28"/>
          <w:szCs w:val="28"/>
          <w:highlight w:val="none"/>
        </w:rPr>
        <w:t>准</w:t>
      </w:r>
      <w:bookmarkEnd w:id="17"/>
      <w:bookmarkEnd w:id="18"/>
      <w:bookmarkStart w:id="19" w:name="_Hlt509991939"/>
      <w:bookmarkStart w:id="20" w:name="_Hlt509991722"/>
      <w:bookmarkStart w:id="21" w:name="_Hlt509991721"/>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lang w:val="en-US" w:eastAsia="zh-CN"/>
        </w:rPr>
        <w:t>61</w:t>
      </w:r>
    </w:p>
    <w:p>
      <w:pPr>
        <w:pStyle w:val="60"/>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4"/>
          <w:rFonts w:hint="eastAsia"/>
          <w:color w:val="auto"/>
          <w:sz w:val="28"/>
          <w:szCs w:val="28"/>
          <w:highlight w:val="none"/>
        </w:rPr>
        <w:t>第六章 附件（格</w:t>
      </w:r>
      <w:bookmarkStart w:id="22" w:name="_Hlt510014049"/>
      <w:r>
        <w:rPr>
          <w:rStyle w:val="94"/>
          <w:rFonts w:hint="eastAsia"/>
          <w:color w:val="auto"/>
          <w:sz w:val="28"/>
          <w:szCs w:val="28"/>
          <w:highlight w:val="none"/>
        </w:rPr>
        <w:t>式</w:t>
      </w:r>
      <w:bookmarkEnd w:id="22"/>
      <w:r>
        <w:rPr>
          <w:rStyle w:val="94"/>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69</w:t>
      </w:r>
    </w:p>
    <w:p>
      <w:pPr>
        <w:pStyle w:val="60"/>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cols w:space="720" w:num="1"/>
          <w:titlePg/>
          <w:docGrid w:linePitch="312" w:charSpace="0"/>
        </w:sectPr>
      </w:pPr>
    </w:p>
    <w:p>
      <w:pPr>
        <w:pStyle w:val="60"/>
        <w:tabs>
          <w:tab w:val="right" w:leader="dot" w:pos="9231"/>
        </w:tabs>
        <w:spacing w:line="360" w:lineRule="auto"/>
        <w:rPr>
          <w:b w:val="0"/>
          <w:bCs w:val="0"/>
          <w:caps w:val="0"/>
          <w:color w:val="auto"/>
          <w:sz w:val="28"/>
          <w:szCs w:val="28"/>
          <w:highlight w:val="none"/>
        </w:rPr>
      </w:pPr>
    </w:p>
    <w:p>
      <w:pPr>
        <w:pStyle w:val="60"/>
        <w:tabs>
          <w:tab w:val="right" w:leader="dot" w:pos="9231"/>
        </w:tabs>
        <w:spacing w:line="360" w:lineRule="auto"/>
        <w:rPr>
          <w:b w:val="0"/>
          <w:bCs w:val="0"/>
          <w:caps w:val="0"/>
          <w:color w:val="auto"/>
          <w:sz w:val="28"/>
          <w:szCs w:val="28"/>
          <w:highlight w:val="none"/>
        </w:rPr>
      </w:pPr>
    </w:p>
    <w:p>
      <w:pPr>
        <w:snapToGrid w:val="0"/>
        <w:spacing w:beforeLines="10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23" w:name="_Toc475104466"/>
      <w:bookmarkStart w:id="24" w:name="_Toc320515014"/>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w:t>
      </w:r>
      <w:bookmarkEnd w:id="0"/>
      <w:bookmarkEnd w:id="1"/>
      <w:bookmarkEnd w:id="23"/>
      <w:bookmarkEnd w:id="24"/>
      <w:bookmarkEnd w:id="25"/>
      <w:r>
        <w:rPr>
          <w:rFonts w:hint="eastAsia"/>
          <w:color w:val="auto"/>
          <w:sz w:val="44"/>
          <w:highlight w:val="none"/>
        </w:rPr>
        <w:t>公告</w:t>
      </w:r>
    </w:p>
    <w:p>
      <w:pPr>
        <w:spacing w:line="480" w:lineRule="auto"/>
        <w:jc w:val="center"/>
        <w:rPr>
          <w:rFonts w:ascii="宋体" w:hAnsi="宋体"/>
          <w:b/>
          <w:color w:val="auto"/>
          <w:sz w:val="30"/>
          <w:szCs w:val="30"/>
          <w:highlight w:val="none"/>
        </w:rPr>
      </w:pPr>
      <w:r>
        <w:rPr>
          <w:rFonts w:ascii="宋体" w:hAnsi="宋体"/>
          <w:color w:val="auto"/>
          <w:highlight w:val="none"/>
        </w:rPr>
        <w:br w:type="page"/>
      </w:r>
      <w:r>
        <w:rPr>
          <w:rFonts w:hint="eastAsia" w:ascii="宋体" w:hAnsi="宋体"/>
          <w:b/>
          <w:color w:val="auto"/>
          <w:sz w:val="30"/>
          <w:szCs w:val="30"/>
          <w:highlight w:val="none"/>
        </w:rPr>
        <w:t>竞争性磋商公告</w:t>
      </w:r>
    </w:p>
    <w:p>
      <w:pPr>
        <w:widowControl/>
        <w:adjustRightInd w:val="0"/>
        <w:snapToGrid w:val="0"/>
        <w:spacing w:before="100" w:beforeAutospacing="1" w:after="100" w:afterAutospacing="1"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项目概况</w:t>
      </w:r>
    </w:p>
    <w:p>
      <w:pPr>
        <w:widowControl/>
        <w:adjustRightInd w:val="0"/>
        <w:snapToGrid w:val="0"/>
        <w:spacing w:before="100" w:beforeAutospacing="1" w:after="100" w:afterAutospacing="1"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eastAsia="zh-CN"/>
        </w:rPr>
        <w:t>广东省农业科学院领军人才项目微生物实验室通风与洁净系统设备采购及配套服务项目采购</w:t>
      </w:r>
      <w:r>
        <w:rPr>
          <w:rFonts w:hint="eastAsia" w:ascii="宋体" w:hAnsi="宋体" w:cs="宋体"/>
          <w:color w:val="auto"/>
          <w:szCs w:val="21"/>
          <w:highlight w:val="none"/>
        </w:rPr>
        <w:t xml:space="preserve"> 招标项目的潜在报价人应在广州市海珠区红卫新村西路29号UP智谷D栋503房获取竞争性磋商文件，并于2020年</w:t>
      </w:r>
      <w:r>
        <w:rPr>
          <w:rFonts w:hint="eastAsia" w:ascii="宋体" w:hAnsi="宋体" w:cs="宋体"/>
          <w:color w:val="auto"/>
          <w:szCs w:val="21"/>
          <w:highlight w:val="none"/>
        </w:rPr>
        <w:t>09月</w:t>
      </w:r>
      <w:r>
        <w:rPr>
          <w:rFonts w:hint="eastAsia" w:ascii="宋体" w:hAnsi="宋体" w:cs="宋体"/>
          <w:color w:val="auto"/>
          <w:szCs w:val="21"/>
          <w:highlight w:val="none"/>
          <w:lang w:val="en-US" w:eastAsia="zh-CN"/>
        </w:rPr>
        <w:t>27</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14</w:t>
      </w:r>
      <w:r>
        <w:rPr>
          <w:rFonts w:hint="eastAsia" w:ascii="宋体" w:hAnsi="宋体" w:cs="宋体"/>
          <w:color w:val="auto"/>
          <w:szCs w:val="21"/>
          <w:highlight w:val="none"/>
        </w:rPr>
        <w:t>点30分（北京时间）前递交响应文件。</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一、项目基本情况</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项目编号：</w:t>
      </w:r>
      <w:r>
        <w:rPr>
          <w:rFonts w:hint="eastAsia" w:ascii="宋体" w:hAnsi="宋体" w:cs="宋体"/>
          <w:bCs/>
          <w:color w:val="auto"/>
          <w:szCs w:val="20"/>
          <w:highlight w:val="none"/>
        </w:rPr>
        <w:t>202009-184098-0055</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项目名称：</w:t>
      </w:r>
      <w:r>
        <w:rPr>
          <w:rFonts w:hint="eastAsia" w:ascii="宋体" w:hAnsi="宋体" w:cs="宋体"/>
          <w:bCs/>
          <w:color w:val="auto"/>
          <w:szCs w:val="20"/>
          <w:highlight w:val="none"/>
          <w:lang w:eastAsia="zh-CN"/>
        </w:rPr>
        <w:t>广东省农业科学院领军人才项目微生物实验室通风与洁净系统设备采购及配套服务项目采购</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采购方式：竞争性磋商</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预算金额：</w:t>
      </w:r>
      <w:r>
        <w:rPr>
          <w:rFonts w:hint="eastAsia" w:ascii="宋体" w:hAnsi="宋体" w:cs="宋体"/>
          <w:bCs/>
          <w:color w:val="auto"/>
          <w:szCs w:val="20"/>
          <w:highlight w:val="none"/>
          <w:lang w:eastAsia="zh-CN"/>
        </w:rPr>
        <w:t>462995.16</w:t>
      </w:r>
      <w:r>
        <w:rPr>
          <w:rFonts w:hint="eastAsia" w:ascii="宋体" w:hAnsi="宋体" w:cs="宋体"/>
          <w:bCs/>
          <w:color w:val="auto"/>
          <w:szCs w:val="20"/>
          <w:highlight w:val="none"/>
        </w:rPr>
        <w:t>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最高限价：</w:t>
      </w:r>
      <w:r>
        <w:rPr>
          <w:rFonts w:hint="eastAsia" w:ascii="宋体" w:hAnsi="宋体" w:cs="宋体"/>
          <w:bCs/>
          <w:color w:val="auto"/>
          <w:szCs w:val="20"/>
          <w:highlight w:val="none"/>
          <w:lang w:eastAsia="zh-CN"/>
        </w:rPr>
        <w:t>462995.16</w:t>
      </w:r>
      <w:r>
        <w:rPr>
          <w:rFonts w:hint="eastAsia" w:ascii="宋体" w:hAnsi="宋体" w:cs="宋体"/>
          <w:bCs/>
          <w:color w:val="auto"/>
          <w:szCs w:val="20"/>
          <w:highlight w:val="none"/>
        </w:rPr>
        <w:t>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采购需求：（包括但不限于标的的名称、数量、简要技术需求或服务要求等）</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1、标的名称：</w:t>
      </w:r>
      <w:r>
        <w:rPr>
          <w:rFonts w:hint="eastAsia" w:ascii="宋体" w:hAnsi="宋体" w:cs="宋体"/>
          <w:bCs/>
          <w:color w:val="auto"/>
          <w:szCs w:val="20"/>
          <w:highlight w:val="none"/>
          <w:lang w:eastAsia="zh-CN"/>
        </w:rPr>
        <w:t>广东省农业科学院领军人才项目微生物实验室通风与洁净系统设备采购及配套服务项目采购</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2、标的数量：1项</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3、简要技术需求或服务要求：</w:t>
      </w:r>
    </w:p>
    <w:tbl>
      <w:tblPr>
        <w:tblStyle w:val="89"/>
        <w:tblW w:w="8214" w:type="dxa"/>
        <w:tblCellSpacing w:w="0" w:type="dxa"/>
        <w:tblInd w:w="991"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4038"/>
        <w:gridCol w:w="2053"/>
        <w:gridCol w:w="21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9"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采购内容</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数量</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采购预算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55"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hint="eastAsia" w:ascii="宋体" w:hAnsi="宋体" w:eastAsia="宋体" w:cs="宋体"/>
                <w:bCs/>
                <w:color w:val="auto"/>
                <w:szCs w:val="20"/>
                <w:highlight w:val="none"/>
                <w:lang w:eastAsia="zh-CN"/>
              </w:rPr>
            </w:pPr>
            <w:r>
              <w:rPr>
                <w:rFonts w:hint="eastAsia" w:ascii="宋体" w:hAnsi="宋体" w:cs="宋体"/>
                <w:bCs/>
                <w:color w:val="auto"/>
                <w:szCs w:val="20"/>
                <w:highlight w:val="none"/>
                <w:lang w:eastAsia="zh-CN"/>
              </w:rPr>
              <w:t>广东省农业科学院领军人才项目微生物实验室通风与洁净系统设备采购及配套服务项目采购</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1项</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lang w:eastAsia="zh-CN"/>
              </w:rPr>
              <w:t>462995.16</w:t>
            </w:r>
            <w:r>
              <w:rPr>
                <w:rFonts w:hint="eastAsia" w:ascii="宋体" w:hAnsi="宋体" w:cs="宋体"/>
                <w:bCs/>
                <w:color w:val="auto"/>
                <w:szCs w:val="20"/>
                <w:highlight w:val="none"/>
              </w:rPr>
              <w:t>元</w:t>
            </w:r>
          </w:p>
        </w:tc>
      </w:tr>
    </w:tbl>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详细请看第三章采购人需求书 。</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子项目1：最高限价：人民币</w:t>
      </w:r>
      <w:r>
        <w:rPr>
          <w:rFonts w:hint="eastAsia" w:ascii="宋体" w:hAnsi="宋体" w:cs="宋体"/>
          <w:bCs/>
          <w:color w:val="auto"/>
          <w:szCs w:val="20"/>
          <w:highlight w:val="none"/>
          <w:lang w:eastAsia="zh-CN"/>
        </w:rPr>
        <w:t>462995.16</w:t>
      </w:r>
      <w:r>
        <w:rPr>
          <w:rFonts w:hint="eastAsia" w:ascii="宋体" w:hAnsi="宋体" w:cs="宋体"/>
          <w:bCs/>
          <w:color w:val="auto"/>
          <w:szCs w:val="20"/>
          <w:highlight w:val="none"/>
        </w:rPr>
        <w:t>元。</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项目基本概况简述：本项目为</w:t>
      </w:r>
      <w:r>
        <w:rPr>
          <w:rFonts w:hint="eastAsia" w:ascii="宋体" w:hAnsi="宋体" w:cs="宋体"/>
          <w:bCs/>
          <w:color w:val="auto"/>
          <w:szCs w:val="20"/>
          <w:highlight w:val="none"/>
          <w:lang w:eastAsia="zh-CN"/>
        </w:rPr>
        <w:t>广东省农业科学院领军人才项目微生物实验室通风与洁净系统设备采购及配套服务项目采购</w:t>
      </w:r>
      <w:r>
        <w:rPr>
          <w:rFonts w:hint="eastAsia"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4、其他：</w:t>
      </w:r>
      <w:r>
        <w:rPr>
          <w:rFonts w:hint="eastAsia" w:ascii="宋体" w:hAnsi="宋体" w:cs="宋体"/>
          <w:bCs/>
          <w:color w:val="auto"/>
          <w:szCs w:val="20"/>
          <w:highlight w:val="none"/>
        </w:rPr>
        <w:t>无</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合同履行期限</w:t>
      </w:r>
      <w:r>
        <w:rPr>
          <w:rFonts w:hint="eastAsia" w:ascii="宋体" w:hAnsi="宋体" w:cs="宋体"/>
          <w:bCs/>
          <w:color w:val="auto"/>
          <w:szCs w:val="20"/>
          <w:highlight w:val="none"/>
        </w:rPr>
        <w:t>：35日历天内</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本项目不接受联合体</w:t>
      </w:r>
      <w:r>
        <w:rPr>
          <w:rFonts w:hint="eastAsia"/>
          <w:color w:val="auto"/>
          <w:szCs w:val="21"/>
          <w:highlight w:val="none"/>
        </w:rPr>
        <w:t>磋商</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二、申请人的资格要求</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2.落实政府采购政策需满足的资格要求：</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（1）《政府采购促进中小企业发展暂行办法》（财库〔2011〕181号）</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（2）《关于政府采购支持监狱企业发展有关问题的通知》(财库〔2014〕68号)</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（3）《关于促进残疾人就业政府采购政策的通知》（财库〔2017〕141号)</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（4）《关于环境标志产品政府采购实施的意见》(财库〔2006〕90号）</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（5）《节能产品政府采购实施意见》的通知（财库〔2004〕185号）。</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3.本项目的特定资格要求：</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1）具有独立承担民事责任的能力；（提供法人或者其他组织的营业执照、组织机构代码证和税务登记证（或三证合一证明）等证明文件）。</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2）具有良好的商业信誉和健全的财务会计制度；（提供2018年或2019年的财务状况报告或基本开户行（提供开户许可证）出具的资信证明复印件。如报价人为新注册的，提供成立至今的月或季度财务状况报告复印件）。</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3）具有履行合同所必需的设备和专业技术能力；（提供履行合同所必需的设备清单以及技术人员的名单材料）。</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4）有依法缴纳税收和社会保障资金的良好记录；（提供缴纳税收和社会保险的凭证。如依法免税或不需要缴纳社会保障资金的，应提供相应文件证明）。</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5）参加政府采购活动前三年内，在经营活动中没有重大违法记录；（提供书面声明）</w:t>
      </w:r>
    </w:p>
    <w:p>
      <w:pPr>
        <w:tabs>
          <w:tab w:val="left" w:pos="840"/>
          <w:tab w:val="left" w:pos="945"/>
        </w:tabs>
        <w:snapToGrid w:val="0"/>
        <w:spacing w:line="360" w:lineRule="auto"/>
        <w:ind w:left="527" w:firstLine="630" w:firstLineChars="300"/>
        <w:rPr>
          <w:rFonts w:ascii="宋体" w:hAnsi="宋体" w:cs="宋体"/>
          <w:bCs/>
          <w:color w:val="auto"/>
          <w:szCs w:val="20"/>
          <w:highlight w:val="none"/>
        </w:rPr>
      </w:pPr>
      <w:r>
        <w:rPr>
          <w:rFonts w:hint="eastAsia" w:ascii="宋体" w:hAnsi="宋体" w:cs="宋体"/>
          <w:bCs/>
          <w:color w:val="auto"/>
          <w:szCs w:val="20"/>
          <w:highlight w:val="none"/>
        </w:rPr>
        <w:t>6）法律、行政法规规定的其他条件。</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（2）报价人《公平竞争承诺书》原件。</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3）本项目报价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报价人为非独立法人（即由合法法人依法建立的分公司），除了对报价人进行信息查询外，同时对总公司的信息查询记录和证据截图或下载存档）。</w:t>
      </w:r>
    </w:p>
    <w:p>
      <w:pPr>
        <w:tabs>
          <w:tab w:val="left" w:pos="840"/>
          <w:tab w:val="left" w:pos="945"/>
        </w:tabs>
        <w:snapToGrid w:val="0"/>
        <w:spacing w:line="360" w:lineRule="auto"/>
        <w:ind w:left="527" w:firstLine="420" w:firstLineChars="200"/>
        <w:rPr>
          <w:rFonts w:ascii="宋体" w:hAnsi="宋体" w:cs="宋体"/>
          <w:bCs/>
          <w:color w:val="auto"/>
          <w:szCs w:val="20"/>
          <w:highlight w:val="none"/>
        </w:rPr>
      </w:pPr>
      <w:r>
        <w:rPr>
          <w:rFonts w:hint="eastAsia" w:ascii="宋体" w:hAnsi="宋体" w:cs="宋体"/>
          <w:bCs/>
          <w:color w:val="auto"/>
          <w:szCs w:val="20"/>
          <w:highlight w:val="none"/>
        </w:rPr>
        <w:t>（4）报价人单位负责人为同一人或者存在直接控股、管理关系的不同报价人，不得参加同一合同项下的政府采购活动。为采购项目提供整体设计、规范编制或者项目管理、监理、检测等服务的报价人，不得再参加该采购项目的其他采购活动。</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三、获取</w:t>
      </w:r>
      <w:r>
        <w:rPr>
          <w:rFonts w:hint="eastAsia" w:ascii="宋体" w:hAnsi="宋体" w:cs="宋体"/>
          <w:b/>
          <w:bCs/>
          <w:color w:val="auto"/>
          <w:szCs w:val="20"/>
          <w:highlight w:val="none"/>
        </w:rPr>
        <w:t>采购</w:t>
      </w:r>
      <w:r>
        <w:rPr>
          <w:rFonts w:ascii="宋体" w:hAnsi="宋体" w:cs="宋体"/>
          <w:b/>
          <w:bCs/>
          <w:color w:val="auto"/>
          <w:szCs w:val="20"/>
          <w:highlight w:val="none"/>
        </w:rPr>
        <w:t>文件</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时间：</w:t>
      </w:r>
      <w:r>
        <w:rPr>
          <w:rFonts w:ascii="宋体" w:hAnsi="宋体" w:cs="宋体"/>
          <w:bCs/>
          <w:color w:val="auto"/>
          <w:szCs w:val="20"/>
          <w:highlight w:val="none"/>
        </w:rPr>
        <w:t>2020年</w:t>
      </w:r>
      <w:r>
        <w:rPr>
          <w:rFonts w:hint="eastAsia" w:ascii="宋体" w:hAnsi="宋体" w:cs="宋体"/>
          <w:bCs/>
          <w:color w:val="auto"/>
          <w:szCs w:val="20"/>
          <w:highlight w:val="none"/>
        </w:rPr>
        <w:t>9</w:t>
      </w:r>
      <w:r>
        <w:rPr>
          <w:rFonts w:ascii="宋体" w:hAnsi="宋体" w:cs="宋体"/>
          <w:bCs/>
          <w:color w:val="auto"/>
          <w:szCs w:val="20"/>
          <w:highlight w:val="none"/>
        </w:rPr>
        <w:t>月</w:t>
      </w:r>
      <w:r>
        <w:rPr>
          <w:rFonts w:hint="eastAsia" w:ascii="宋体" w:hAnsi="宋体" w:cs="宋体"/>
          <w:bCs/>
          <w:color w:val="auto"/>
          <w:szCs w:val="20"/>
          <w:highlight w:val="none"/>
        </w:rPr>
        <w:t>15</w:t>
      </w:r>
      <w:r>
        <w:rPr>
          <w:rFonts w:ascii="宋体" w:hAnsi="宋体" w:cs="宋体"/>
          <w:bCs/>
          <w:color w:val="auto"/>
          <w:szCs w:val="20"/>
          <w:highlight w:val="none"/>
        </w:rPr>
        <w:t>日至2020年</w:t>
      </w:r>
      <w:r>
        <w:rPr>
          <w:rFonts w:hint="eastAsia" w:ascii="宋体" w:hAnsi="宋体" w:cs="宋体"/>
          <w:bCs/>
          <w:color w:val="auto"/>
          <w:szCs w:val="20"/>
          <w:highlight w:val="none"/>
        </w:rPr>
        <w:t>9</w:t>
      </w:r>
      <w:r>
        <w:rPr>
          <w:rFonts w:ascii="宋体" w:hAnsi="宋体" w:cs="宋体"/>
          <w:bCs/>
          <w:color w:val="auto"/>
          <w:szCs w:val="20"/>
          <w:highlight w:val="none"/>
        </w:rPr>
        <w:t>月</w:t>
      </w:r>
      <w:r>
        <w:rPr>
          <w:rFonts w:hint="eastAsia" w:ascii="宋体" w:hAnsi="宋体" w:cs="宋体"/>
          <w:bCs/>
          <w:color w:val="auto"/>
          <w:szCs w:val="20"/>
          <w:highlight w:val="none"/>
        </w:rPr>
        <w:t>21</w:t>
      </w:r>
      <w:r>
        <w:rPr>
          <w:rFonts w:ascii="宋体" w:hAnsi="宋体" w:cs="宋体"/>
          <w:bCs/>
          <w:color w:val="auto"/>
          <w:szCs w:val="20"/>
          <w:highlight w:val="none"/>
        </w:rPr>
        <w:t>日</w:t>
      </w:r>
      <w:r>
        <w:rPr>
          <w:rFonts w:ascii="宋体" w:hAnsi="宋体" w:cs="宋体"/>
          <w:bCs/>
          <w:color w:val="auto"/>
          <w:szCs w:val="20"/>
          <w:highlight w:val="none"/>
        </w:rPr>
        <w:t>（磋商文件的发售期限自开始之日起不得少于5个工作日），每天上午</w:t>
      </w:r>
      <w:r>
        <w:rPr>
          <w:rFonts w:hint="eastAsia" w:ascii="宋体" w:hAnsi="宋体" w:cs="宋体"/>
          <w:bCs/>
          <w:color w:val="auto"/>
          <w:szCs w:val="20"/>
          <w:highlight w:val="none"/>
        </w:rPr>
        <w:t>09</w:t>
      </w:r>
      <w:r>
        <w:rPr>
          <w:rFonts w:ascii="宋体" w:hAnsi="宋体" w:cs="宋体"/>
          <w:bCs/>
          <w:color w:val="auto"/>
          <w:szCs w:val="20"/>
          <w:highlight w:val="none"/>
        </w:rPr>
        <w:t>:</w:t>
      </w:r>
      <w:r>
        <w:rPr>
          <w:rFonts w:hint="eastAsia" w:ascii="宋体" w:hAnsi="宋体" w:cs="宋体"/>
          <w:bCs/>
          <w:color w:val="auto"/>
          <w:szCs w:val="20"/>
          <w:highlight w:val="none"/>
        </w:rPr>
        <w:t>0</w:t>
      </w:r>
      <w:r>
        <w:rPr>
          <w:rFonts w:ascii="宋体" w:hAnsi="宋体" w:cs="宋体"/>
          <w:bCs/>
          <w:color w:val="auto"/>
          <w:szCs w:val="20"/>
          <w:highlight w:val="none"/>
        </w:rPr>
        <w:t>0至12:00，下午14:30至17:30（北京时间，法定节假日除外 ）</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方式：现场</w:t>
      </w:r>
      <w:r>
        <w:rPr>
          <w:rFonts w:hint="eastAsia" w:ascii="宋体" w:hAnsi="宋体" w:cs="宋体"/>
          <w:bCs/>
          <w:color w:val="auto"/>
          <w:szCs w:val="20"/>
          <w:highlight w:val="none"/>
        </w:rPr>
        <w:t>登记</w:t>
      </w:r>
      <w:r>
        <w:rPr>
          <w:rFonts w:ascii="宋体" w:hAnsi="宋体" w:cs="宋体"/>
          <w:bCs/>
          <w:color w:val="auto"/>
          <w:szCs w:val="20"/>
          <w:highlight w:val="none"/>
        </w:rPr>
        <w:t>。</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售价（元）：</w:t>
      </w:r>
      <w:r>
        <w:rPr>
          <w:rFonts w:hint="eastAsia" w:ascii="宋体" w:hAnsi="宋体" w:cs="宋体"/>
          <w:bCs/>
          <w:color w:val="auto"/>
          <w:szCs w:val="20"/>
          <w:highlight w:val="none"/>
        </w:rPr>
        <w:t>5</w:t>
      </w:r>
      <w:r>
        <w:rPr>
          <w:rFonts w:ascii="宋体" w:hAnsi="宋体" w:cs="宋体"/>
          <w:bCs/>
          <w:color w:val="auto"/>
          <w:szCs w:val="20"/>
          <w:highlight w:val="none"/>
        </w:rPr>
        <w:t>00</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四、响应文件提交</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hint="eastAsia" w:ascii="宋体" w:hAnsi="宋体" w:cs="宋体"/>
          <w:bCs/>
          <w:color w:val="auto"/>
          <w:szCs w:val="20"/>
          <w:highlight w:val="none"/>
        </w:rPr>
        <w:t>截止时间</w:t>
      </w:r>
      <w:r>
        <w:rPr>
          <w:rFonts w:hint="eastAsia" w:ascii="仿宋" w:hAnsi="仿宋" w:eastAsia="仿宋"/>
          <w:color w:val="auto"/>
          <w:sz w:val="28"/>
          <w:szCs w:val="28"/>
          <w:highlight w:val="none"/>
        </w:rPr>
        <w:t>：</w:t>
      </w:r>
      <w:r>
        <w:rPr>
          <w:rFonts w:ascii="宋体" w:hAnsi="宋体" w:cs="宋体"/>
          <w:bCs/>
          <w:color w:val="auto"/>
          <w:szCs w:val="20"/>
          <w:highlight w:val="none"/>
        </w:rPr>
        <w:t>2020年</w:t>
      </w:r>
      <w:r>
        <w:rPr>
          <w:rFonts w:hint="eastAsia" w:ascii="宋体" w:hAnsi="宋体" w:cs="宋体"/>
          <w:bCs/>
          <w:color w:val="auto"/>
          <w:szCs w:val="20"/>
          <w:highlight w:val="none"/>
        </w:rPr>
        <w:t>09</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27</w:t>
      </w:r>
      <w:r>
        <w:rPr>
          <w:rFonts w:ascii="宋体" w:hAnsi="宋体" w:cs="宋体"/>
          <w:bCs/>
          <w:color w:val="auto"/>
          <w:szCs w:val="20"/>
          <w:highlight w:val="none"/>
        </w:rPr>
        <w:t>日</w:t>
      </w:r>
      <w:r>
        <w:rPr>
          <w:rFonts w:hint="eastAsia" w:ascii="宋体" w:hAnsi="宋体" w:cs="宋体"/>
          <w:bCs/>
          <w:color w:val="auto"/>
          <w:szCs w:val="20"/>
          <w:highlight w:val="none"/>
          <w:lang w:val="en-US" w:eastAsia="zh-CN"/>
        </w:rPr>
        <w:t>14</w:t>
      </w:r>
      <w:r>
        <w:rPr>
          <w:rFonts w:ascii="宋体" w:hAnsi="宋体" w:cs="宋体"/>
          <w:bCs/>
          <w:color w:val="auto"/>
          <w:szCs w:val="20"/>
          <w:highlight w:val="none"/>
        </w:rPr>
        <w:t>点30分</w:t>
      </w:r>
      <w:r>
        <w:rPr>
          <w:rFonts w:ascii="宋体" w:hAnsi="宋体" w:cs="宋体"/>
          <w:bCs/>
          <w:color w:val="auto"/>
          <w:szCs w:val="20"/>
          <w:highlight w:val="none"/>
        </w:rPr>
        <w:t>（北京时间）（从磋商文件开始发出之日起至</w:t>
      </w:r>
      <w:r>
        <w:rPr>
          <w:rFonts w:hint="eastAsia" w:ascii="宋体" w:hAnsi="宋体" w:cs="宋体"/>
          <w:bCs/>
          <w:color w:val="auto"/>
          <w:szCs w:val="20"/>
          <w:highlight w:val="none"/>
        </w:rPr>
        <w:t>报价人</w:t>
      </w:r>
      <w:r>
        <w:rPr>
          <w:rFonts w:ascii="宋体" w:hAnsi="宋体" w:cs="宋体"/>
          <w:bCs/>
          <w:color w:val="auto"/>
          <w:szCs w:val="20"/>
          <w:highlight w:val="none"/>
        </w:rPr>
        <w:t>提交首次响应文件截止之日止不得少于10日）</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bookmarkStart w:id="26" w:name="_Toc28359093"/>
      <w:bookmarkStart w:id="27" w:name="_Toc28359016"/>
      <w:bookmarkStart w:id="28" w:name="_Toc35393633"/>
      <w:bookmarkStart w:id="29" w:name="_Toc35393802"/>
      <w:r>
        <w:rPr>
          <w:rFonts w:hint="eastAsia" w:ascii="宋体" w:hAnsi="宋体" w:cs="宋体"/>
          <w:b/>
          <w:bCs/>
          <w:color w:val="auto"/>
          <w:szCs w:val="20"/>
          <w:highlight w:val="none"/>
        </w:rPr>
        <w:t>五、开启</w:t>
      </w:r>
      <w:bookmarkEnd w:id="26"/>
      <w:bookmarkEnd w:id="27"/>
      <w:bookmarkEnd w:id="28"/>
      <w:bookmarkEnd w:id="29"/>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时间：</w:t>
      </w:r>
      <w:r>
        <w:rPr>
          <w:rFonts w:hint="eastAsia" w:ascii="宋体" w:hAnsi="宋体" w:cs="宋体"/>
          <w:bCs/>
          <w:color w:val="auto"/>
          <w:szCs w:val="20"/>
          <w:highlight w:val="none"/>
        </w:rPr>
        <w:t>2020年09月</w:t>
      </w:r>
      <w:r>
        <w:rPr>
          <w:rFonts w:hint="eastAsia" w:ascii="宋体" w:hAnsi="宋体" w:cs="宋体"/>
          <w:bCs/>
          <w:color w:val="auto"/>
          <w:szCs w:val="20"/>
          <w:highlight w:val="none"/>
          <w:lang w:val="en-US" w:eastAsia="zh-CN"/>
        </w:rPr>
        <w:t>27</w:t>
      </w:r>
      <w:r>
        <w:rPr>
          <w:rFonts w:hint="eastAsia" w:ascii="宋体" w:hAnsi="宋体" w:cs="宋体"/>
          <w:bCs/>
          <w:color w:val="auto"/>
          <w:szCs w:val="20"/>
          <w:highlight w:val="none"/>
        </w:rPr>
        <w:t>日</w:t>
      </w:r>
      <w:r>
        <w:rPr>
          <w:rFonts w:hint="eastAsia" w:ascii="宋体" w:hAnsi="宋体" w:cs="宋体"/>
          <w:bCs/>
          <w:color w:val="auto"/>
          <w:szCs w:val="20"/>
          <w:highlight w:val="none"/>
          <w:lang w:val="en-US" w:eastAsia="zh-CN"/>
        </w:rPr>
        <w:t>14</w:t>
      </w:r>
      <w:r>
        <w:rPr>
          <w:rFonts w:hint="eastAsia" w:ascii="宋体" w:hAnsi="宋体" w:cs="宋体"/>
          <w:bCs/>
          <w:color w:val="auto"/>
          <w:szCs w:val="20"/>
          <w:highlight w:val="none"/>
        </w:rPr>
        <w:t>点30分</w:t>
      </w:r>
      <w:r>
        <w:rPr>
          <w:rFonts w:hint="eastAsia" w:ascii="宋体" w:hAnsi="宋体" w:cs="宋体"/>
          <w:bCs/>
          <w:color w:val="auto"/>
          <w:szCs w:val="20"/>
          <w:highlight w:val="none"/>
        </w:rPr>
        <w:t>（北京时间）</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六</w:t>
      </w:r>
      <w:r>
        <w:rPr>
          <w:rFonts w:ascii="宋体" w:hAnsi="宋体" w:cs="宋体"/>
          <w:b/>
          <w:bCs/>
          <w:color w:val="auto"/>
          <w:szCs w:val="20"/>
          <w:highlight w:val="none"/>
        </w:rPr>
        <w:t>、公告期限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自本公告发布之日起</w:t>
      </w:r>
      <w:r>
        <w:rPr>
          <w:rFonts w:hint="eastAsia" w:ascii="宋体" w:hAnsi="宋体" w:cs="宋体"/>
          <w:bCs/>
          <w:color w:val="auto"/>
          <w:szCs w:val="20"/>
          <w:highlight w:val="none"/>
        </w:rPr>
        <w:t>3</w:t>
      </w:r>
      <w:r>
        <w:rPr>
          <w:rFonts w:ascii="宋体" w:hAnsi="宋体" w:cs="宋体"/>
          <w:bCs/>
          <w:color w:val="auto"/>
          <w:szCs w:val="20"/>
          <w:highlight w:val="none"/>
        </w:rPr>
        <w:t>个工作日。</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七</w:t>
      </w:r>
      <w:r>
        <w:rPr>
          <w:rFonts w:ascii="宋体" w:hAnsi="宋体" w:cs="宋体"/>
          <w:b/>
          <w:bCs/>
          <w:color w:val="auto"/>
          <w:szCs w:val="20"/>
          <w:highlight w:val="none"/>
        </w:rPr>
        <w:t>、其他补充事宜</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1.只接受登记及领购采购文件的报价人投标。</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2.已成功登记及领购采购文件的报价人参加投标的，不代表通过资格性、符合性审查。投标资格最终根据报价人投标文件中的资格审查资料作出的结论为准。</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3.若已登记及领购采购文件而决定不参加本项目投标的报价人，应在开标前三日以书面形式（书面材料、信函或传真加盖报价人公章）通知采购代理机构。</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4.采购文件的公示，根据《广东省实施〈中华人民共和国政府采购法〉办法》第三十五条的规定，报价人认为政府采购文件的内容损害其权益的，可以在公示期间或者自期满之日起七个工作日内以书面形式向采购人或者代理机构提出质疑。质疑书应当署名。质疑报价人为自然人的，应当由本人签字；质疑报价人为法人或者其他组织的，应当由法定代表人或者主要负责人签字盖章并加盖公章。</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八</w:t>
      </w:r>
      <w:r>
        <w:rPr>
          <w:rFonts w:ascii="宋体" w:hAnsi="宋体" w:cs="宋体"/>
          <w:b/>
          <w:bCs/>
          <w:color w:val="auto"/>
          <w:szCs w:val="20"/>
          <w:highlight w:val="none"/>
        </w:rPr>
        <w:t>、</w:t>
      </w:r>
      <w:r>
        <w:rPr>
          <w:rFonts w:hint="eastAsia" w:ascii="宋体" w:hAnsi="宋体" w:cs="宋体"/>
          <w:b/>
          <w:bCs/>
          <w:color w:val="auto"/>
          <w:szCs w:val="20"/>
          <w:highlight w:val="none"/>
        </w:rPr>
        <w:t>凡</w:t>
      </w:r>
      <w:r>
        <w:rPr>
          <w:rFonts w:ascii="宋体" w:hAnsi="宋体" w:cs="宋体"/>
          <w:b/>
          <w:bCs/>
          <w:color w:val="auto"/>
          <w:szCs w:val="20"/>
          <w:highlight w:val="none"/>
        </w:rPr>
        <w:t>对本次招标提出询问，请按以下方式联系</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1.采购人信息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w:t>
      </w:r>
      <w:r>
        <w:rPr>
          <w:rFonts w:hint="eastAsia" w:ascii="宋体" w:hAnsi="宋体" w:cs="宋体"/>
          <w:color w:val="auto"/>
          <w:szCs w:val="21"/>
          <w:highlight w:val="none"/>
        </w:rPr>
        <w:t>广东省农业科学院动物科学研究所</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地址：广州市天河区五山大丰一街1号</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联系方式：020-87577013</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2.采购代理机构信息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名称：广州市信怡招标代理有限公司</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地址：广州市海珠区红卫新村西路29号UP智谷D栋503房</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联系方式：020-8900129</w:t>
      </w:r>
      <w:r>
        <w:rPr>
          <w:rFonts w:hint="eastAsia" w:ascii="宋体" w:hAnsi="宋体" w:cs="宋体"/>
          <w:bCs/>
          <w:color w:val="auto"/>
          <w:szCs w:val="20"/>
          <w:highlight w:val="none"/>
        </w:rPr>
        <w:t>6</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3.项目联系方式</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项目联系人：陈小姐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电话：020-8900129</w:t>
      </w:r>
      <w:r>
        <w:rPr>
          <w:rFonts w:hint="eastAsia" w:ascii="宋体" w:hAnsi="宋体" w:cs="宋体"/>
          <w:bCs/>
          <w:color w:val="auto"/>
          <w:szCs w:val="20"/>
          <w:highlight w:val="none"/>
        </w:rPr>
        <w:t>6</w:t>
      </w:r>
    </w:p>
    <w:p>
      <w:pPr>
        <w:pStyle w:val="46"/>
        <w:rPr>
          <w:rFonts w:hAnsi="宋体" w:cs="宋体"/>
          <w:bCs/>
          <w:color w:val="auto"/>
          <w:szCs w:val="20"/>
          <w:highlight w:val="none"/>
        </w:rPr>
      </w:pPr>
    </w:p>
    <w:p>
      <w:pPr>
        <w:pStyle w:val="96"/>
        <w:rPr>
          <w:color w:val="auto"/>
          <w:highlight w:val="none"/>
        </w:rPr>
      </w:pPr>
    </w:p>
    <w:p>
      <w:pPr>
        <w:tabs>
          <w:tab w:val="left" w:pos="840"/>
          <w:tab w:val="left" w:pos="945"/>
        </w:tabs>
        <w:snapToGrid w:val="0"/>
        <w:spacing w:line="360" w:lineRule="auto"/>
        <w:ind w:left="525"/>
        <w:jc w:val="right"/>
        <w:rPr>
          <w:rFonts w:ascii="宋体" w:hAnsi="宋体" w:cs="宋体"/>
          <w:bCs/>
          <w:color w:val="auto"/>
          <w:szCs w:val="20"/>
          <w:highlight w:val="none"/>
        </w:rPr>
      </w:pPr>
      <w:r>
        <w:rPr>
          <w:rFonts w:ascii="宋体" w:hAnsi="宋体" w:cs="宋体"/>
          <w:bCs/>
          <w:color w:val="auto"/>
          <w:szCs w:val="20"/>
          <w:highlight w:val="none"/>
        </w:rPr>
        <w:t>发布人：广州市信怡招标代理有限公司</w:t>
      </w:r>
    </w:p>
    <w:p>
      <w:pPr>
        <w:pStyle w:val="36"/>
        <w:snapToGrid w:val="0"/>
        <w:spacing w:line="528" w:lineRule="auto"/>
        <w:ind w:firstLine="630" w:firstLineChars="300"/>
        <w:jc w:val="right"/>
        <w:rPr>
          <w:rFonts w:ascii="宋体" w:hAnsi="宋体"/>
          <w:color w:val="auto"/>
          <w:sz w:val="28"/>
          <w:highlight w:val="none"/>
        </w:rPr>
      </w:pPr>
      <w:r>
        <w:rPr>
          <w:rFonts w:ascii="宋体" w:hAnsi="宋体" w:cs="宋体"/>
          <w:bCs/>
          <w:color w:val="auto"/>
          <w:szCs w:val="20"/>
          <w:highlight w:val="none"/>
        </w:rPr>
        <w:t>发布时间：</w:t>
      </w:r>
      <w:r>
        <w:rPr>
          <w:rFonts w:ascii="宋体" w:hAnsi="宋体" w:cs="宋体"/>
          <w:bCs/>
          <w:color w:val="auto"/>
          <w:szCs w:val="20"/>
          <w:highlight w:val="none"/>
        </w:rPr>
        <w:t>2020 年</w:t>
      </w:r>
      <w:r>
        <w:rPr>
          <w:rFonts w:hint="eastAsia" w:ascii="宋体" w:hAnsi="宋体" w:cs="宋体"/>
          <w:bCs/>
          <w:color w:val="auto"/>
          <w:szCs w:val="20"/>
          <w:highlight w:val="none"/>
        </w:rPr>
        <w:t>9</w:t>
      </w:r>
      <w:r>
        <w:rPr>
          <w:rFonts w:ascii="宋体" w:hAnsi="宋体" w:cs="宋体"/>
          <w:bCs/>
          <w:color w:val="auto"/>
          <w:szCs w:val="20"/>
          <w:highlight w:val="none"/>
        </w:rPr>
        <w:t>月</w:t>
      </w:r>
      <w:r>
        <w:rPr>
          <w:rFonts w:hint="eastAsia" w:ascii="宋体" w:hAnsi="宋体" w:cs="宋体"/>
          <w:bCs/>
          <w:color w:val="auto"/>
          <w:szCs w:val="20"/>
          <w:highlight w:val="none"/>
        </w:rPr>
        <w:t>14</w:t>
      </w:r>
      <w:r>
        <w:rPr>
          <w:rFonts w:ascii="宋体" w:hAnsi="宋体" w:cs="宋体"/>
          <w:bCs/>
          <w:color w:val="auto"/>
          <w:szCs w:val="20"/>
          <w:highlight w:val="none"/>
        </w:rPr>
        <w:t>日</w:t>
      </w:r>
      <w:bookmarkStart w:id="30" w:name="_Toc14450807"/>
      <w:bookmarkStart w:id="31" w:name="_Toc28489434"/>
    </w:p>
    <w:p>
      <w:pPr>
        <w:rPr>
          <w:rFonts w:ascii="宋体" w:hAnsi="宋体"/>
          <w:color w:val="auto"/>
          <w:sz w:val="28"/>
          <w:highlight w:val="none"/>
        </w:rPr>
      </w:pPr>
      <w:r>
        <w:rPr>
          <w:rFonts w:ascii="宋体" w:hAnsi="宋体"/>
          <w:color w:val="auto"/>
          <w:sz w:val="28"/>
          <w:highlight w:val="none"/>
        </w:rPr>
        <w:br w:type="page"/>
      </w:r>
    </w:p>
    <w:p>
      <w:pPr>
        <w:pStyle w:val="2"/>
        <w:rPr>
          <w:color w:val="auto"/>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color w:val="auto"/>
          <w:highlight w:val="none"/>
        </w:rPr>
      </w:pPr>
    </w:p>
    <w:p>
      <w:pPr>
        <w:pStyle w:val="2"/>
        <w:rPr>
          <w:color w:val="auto"/>
          <w:highlight w:val="none"/>
        </w:rPr>
      </w:pPr>
    </w:p>
    <w:p>
      <w:pPr>
        <w:pStyle w:val="2"/>
        <w:rPr>
          <w:color w:val="auto"/>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32" w:name="_Toc475104467"/>
      <w:bookmarkStart w:id="33" w:name="_Toc320515015"/>
      <w:r>
        <w:rPr>
          <w:rFonts w:cs="ZWAdobeF"/>
          <w:b w:val="0"/>
          <w:color w:val="auto"/>
          <w:sz w:val="2"/>
          <w:szCs w:val="2"/>
          <w:highlight w:val="none"/>
        </w:rPr>
        <w:t>1B1B</w:t>
      </w:r>
      <w:r>
        <w:rPr>
          <w:rFonts w:hint="eastAsia"/>
          <w:color w:val="auto"/>
          <w:sz w:val="44"/>
          <w:highlight w:val="none"/>
        </w:rPr>
        <w:t>第二章</w:t>
      </w:r>
      <w:bookmarkStart w:id="34" w:name="_Toc10525515"/>
      <w:r>
        <w:rPr>
          <w:rFonts w:hint="eastAsia"/>
          <w:color w:val="auto"/>
          <w:sz w:val="44"/>
          <w:highlight w:val="none"/>
        </w:rPr>
        <w:t xml:space="preserve"> 竞争性磋商须知</w:t>
      </w:r>
      <w:bookmarkEnd w:id="30"/>
      <w:bookmarkEnd w:id="31"/>
      <w:bookmarkEnd w:id="32"/>
      <w:bookmarkEnd w:id="33"/>
      <w:bookmarkEnd w:id="34"/>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89"/>
        <w:tblW w:w="994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ascii="宋体" w:hAnsi="宋体" w:cs="宋体"/>
                <w:color w:val="auto"/>
                <w:szCs w:val="21"/>
                <w:highlight w:val="none"/>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p>
        </w:tc>
        <w:tc>
          <w:tcPr>
            <w:tcW w:w="6234" w:type="dxa"/>
            <w:tcBorders>
              <w:top w:val="single" w:color="auto" w:sz="4" w:space="0"/>
              <w:left w:val="single" w:color="auto" w:sz="4" w:space="0"/>
              <w:right w:val="single" w:color="auto" w:sz="4" w:space="0"/>
            </w:tcBorders>
            <w:vAlign w:val="center"/>
          </w:tcPr>
          <w:p>
            <w:pPr>
              <w:spacing w:line="300" w:lineRule="exact"/>
              <w:rPr>
                <w:rFonts w:ascii="宋体" w:hAnsi="宋体" w:cs="宋体"/>
                <w:color w:val="auto"/>
                <w:szCs w:val="21"/>
                <w:highlight w:val="none"/>
              </w:rPr>
            </w:pPr>
            <w:r>
              <w:rPr>
                <w:rFonts w:hint="eastAsia" w:ascii="宋体" w:hAnsi="宋体" w:cs="宋体"/>
                <w:b/>
                <w:bCs/>
                <w:color w:val="auto"/>
                <w:szCs w:val="21"/>
                <w:highlight w:val="none"/>
              </w:rPr>
              <w:t>收费依据及方法：</w:t>
            </w:r>
            <w:r>
              <w:rPr>
                <w:rFonts w:hint="eastAsia" w:ascii="宋体" w:hAnsi="宋体" w:cs="宋体"/>
                <w:color w:val="auto"/>
                <w:szCs w:val="21"/>
                <w:highlight w:val="none"/>
              </w:rPr>
              <w:t>招标代理服务费按中华人民共和国国家发展计划委员会颁发的计价格[2002]1980号、国家发改委[2003]857号及发改价格</w:t>
            </w:r>
            <w:r>
              <w:rPr>
                <w:rFonts w:hint="eastAsia" w:ascii="宋体" w:hAnsi="宋体" w:cs="宋体"/>
                <w:color w:val="auto"/>
                <w:szCs w:val="21"/>
                <w:highlight w:val="none"/>
              </w:rPr>
              <w:sym w:font="Symbol" w:char="F05B"/>
            </w:r>
            <w:r>
              <w:rPr>
                <w:rFonts w:hint="eastAsia" w:ascii="宋体" w:hAnsi="宋体" w:cs="宋体"/>
                <w:color w:val="auto"/>
                <w:szCs w:val="21"/>
                <w:highlight w:val="none"/>
              </w:rPr>
              <w:t>2011</w:t>
            </w:r>
            <w:r>
              <w:rPr>
                <w:rFonts w:hint="eastAsia" w:ascii="宋体" w:hAnsi="宋体" w:cs="宋体"/>
                <w:color w:val="auto"/>
                <w:szCs w:val="21"/>
                <w:highlight w:val="none"/>
              </w:rPr>
              <w:sym w:font="Symbol" w:char="F05D"/>
            </w:r>
            <w:r>
              <w:rPr>
                <w:rFonts w:hint="eastAsia" w:ascii="宋体" w:hAnsi="宋体" w:cs="宋体"/>
                <w:color w:val="auto"/>
                <w:szCs w:val="21"/>
                <w:highlight w:val="none"/>
              </w:rPr>
              <w:t>534号文规定进行计算。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color w:val="auto"/>
                <w:szCs w:val="21"/>
                <w:highlight w:val="none"/>
              </w:rPr>
            </w:pPr>
            <w:r>
              <w:rPr>
                <w:rFonts w:hint="eastAsia" w:ascii="宋体" w:hAnsi="宋体" w:cs="宋体"/>
                <w:color w:val="auto"/>
                <w:szCs w:val="21"/>
                <w:highlight w:val="none"/>
              </w:rPr>
              <w:t>成交人在领取《中标通知书》前直接一次性向采购代理机构足额支付招标代理服务费及专家费（专家费按实进行结算）。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自从磋商响应文件递交截止日起90天，成交报价人的响应有效期自动延长至合同终止为止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报价人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详见报价人须知</w:t>
            </w:r>
          </w:p>
        </w:tc>
      </w:tr>
    </w:tbl>
    <w:p>
      <w:pPr>
        <w:spacing w:line="360" w:lineRule="auto"/>
        <w:jc w:val="center"/>
        <w:rPr>
          <w:rFonts w:ascii="宋体" w:hAnsi="宋体"/>
          <w:b/>
          <w:bCs/>
          <w:color w:val="auto"/>
          <w:sz w:val="30"/>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5" w:name="_Toc363737682"/>
      <w:bookmarkStart w:id="36" w:name="_Toc322680342"/>
      <w:bookmarkStart w:id="37" w:name="_Toc315793450"/>
      <w:bookmarkStart w:id="38" w:name="_Toc475104468"/>
      <w:bookmarkStart w:id="39" w:name="_Toc320515016"/>
      <w:bookmarkStart w:id="40" w:name="_Toc320515065"/>
      <w:bookmarkStart w:id="41" w:name="_Toc323110975"/>
      <w:r>
        <w:rPr>
          <w:rFonts w:hint="eastAsia" w:ascii="宋体" w:hAnsi="宋体"/>
          <w:b/>
          <w:color w:val="auto"/>
          <w:sz w:val="28"/>
          <w:szCs w:val="28"/>
          <w:highlight w:val="none"/>
          <w:lang w:eastAsia="zh-TW"/>
        </w:rPr>
        <w:t>说 明</w:t>
      </w:r>
      <w:bookmarkEnd w:id="35"/>
      <w:bookmarkEnd w:id="36"/>
      <w:bookmarkEnd w:id="37"/>
      <w:bookmarkEnd w:id="38"/>
      <w:bookmarkEnd w:id="39"/>
      <w:bookmarkEnd w:id="40"/>
      <w:bookmarkEnd w:id="41"/>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2" w:name="_Toc315793451"/>
      <w:bookmarkStart w:id="43" w:name="_Toc475104469"/>
      <w:bookmarkStart w:id="44" w:name="_Toc320515066"/>
      <w:bookmarkStart w:id="45" w:name="_Toc323110976"/>
      <w:bookmarkStart w:id="46" w:name="_Toc320515017"/>
      <w:bookmarkStart w:id="47" w:name="_Toc322680343"/>
      <w:bookmarkStart w:id="48" w:name="_Toc363737683"/>
      <w:r>
        <w:rPr>
          <w:rFonts w:hint="eastAsia" w:ascii="宋体" w:hAnsi="宋体"/>
          <w:b/>
          <w:bCs/>
          <w:color w:val="auto"/>
          <w:sz w:val="24"/>
          <w:highlight w:val="none"/>
        </w:rPr>
        <w:t>招标适用范围</w:t>
      </w:r>
      <w:bookmarkEnd w:id="42"/>
      <w:bookmarkEnd w:id="43"/>
      <w:bookmarkEnd w:id="44"/>
      <w:bookmarkEnd w:id="45"/>
      <w:bookmarkEnd w:id="46"/>
      <w:bookmarkEnd w:id="47"/>
      <w:bookmarkEnd w:id="48"/>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9" w:name="_Toc320515018"/>
      <w:bookmarkStart w:id="50" w:name="_Toc323110977"/>
      <w:bookmarkStart w:id="51" w:name="_Toc475104470"/>
      <w:bookmarkStart w:id="52" w:name="_Toc363737684"/>
      <w:bookmarkStart w:id="53" w:name="_Toc322680344"/>
      <w:bookmarkStart w:id="54" w:name="_Toc320515067"/>
      <w:r>
        <w:rPr>
          <w:rFonts w:hint="eastAsia" w:ascii="宋体" w:hAnsi="宋体"/>
          <w:b/>
          <w:bCs/>
          <w:color w:val="auto"/>
          <w:sz w:val="24"/>
          <w:highlight w:val="none"/>
        </w:rPr>
        <w:t>定义</w:t>
      </w:r>
      <w:bookmarkEnd w:id="49"/>
      <w:bookmarkEnd w:id="50"/>
      <w:bookmarkEnd w:id="51"/>
      <w:bookmarkEnd w:id="52"/>
      <w:bookmarkEnd w:id="53"/>
      <w:bookmarkEnd w:id="54"/>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rPr>
        <w:t>广东省农业科学院动物科学研究所</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报价人</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5"/>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“乙方”系指成交报价人。</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“成交报价人”系指</w:t>
      </w:r>
      <w:r>
        <w:rPr>
          <w:rFonts w:hint="eastAsia" w:ascii="宋体" w:hAnsi="宋体"/>
          <w:color w:val="auto"/>
          <w:szCs w:val="21"/>
          <w:highlight w:val="none"/>
        </w:rPr>
        <w:t>法定程序确定并授予合同的</w:t>
      </w:r>
      <w:r>
        <w:rPr>
          <w:rFonts w:hint="eastAsia" w:ascii="宋体" w:hAnsi="宋体"/>
          <w:color w:val="auto"/>
          <w:highlight w:val="none"/>
        </w:rPr>
        <w:t>报价人</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报价人</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报价人</w:t>
      </w:r>
      <w:r>
        <w:rPr>
          <w:rFonts w:hint="eastAsia" w:ascii="宋体" w:hAnsi="宋体" w:cs="宋体"/>
          <w:color w:val="auto"/>
          <w:szCs w:val="21"/>
          <w:highlight w:val="none"/>
        </w:rPr>
        <w:t>的公平竞争地位。</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55" w:name="_Toc320515019"/>
      <w:bookmarkStart w:id="56" w:name="_Toc323110978"/>
      <w:bookmarkStart w:id="57" w:name="_Toc322680345"/>
      <w:bookmarkStart w:id="58" w:name="_Toc315793453"/>
      <w:bookmarkStart w:id="59" w:name="_Toc320515068"/>
      <w:bookmarkStart w:id="60" w:name="_Toc475104471"/>
      <w:bookmarkStart w:id="61" w:name="_Toc363737685"/>
      <w:r>
        <w:rPr>
          <w:rFonts w:hint="eastAsia" w:ascii="宋体" w:hAnsi="宋体"/>
          <w:b/>
          <w:bCs/>
          <w:color w:val="auto"/>
          <w:sz w:val="24"/>
          <w:highlight w:val="none"/>
        </w:rPr>
        <w:t>合格的</w:t>
      </w:r>
      <w:bookmarkEnd w:id="55"/>
      <w:bookmarkEnd w:id="56"/>
      <w:bookmarkEnd w:id="57"/>
      <w:bookmarkEnd w:id="58"/>
      <w:bookmarkEnd w:id="59"/>
      <w:bookmarkEnd w:id="60"/>
      <w:bookmarkEnd w:id="61"/>
      <w:r>
        <w:rPr>
          <w:rFonts w:hint="eastAsia" w:ascii="宋体" w:hAnsi="宋体"/>
          <w:b/>
          <w:bCs/>
          <w:color w:val="auto"/>
          <w:sz w:val="24"/>
          <w:highlight w:val="none"/>
        </w:rPr>
        <w:t>报价人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报价人</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报价人</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邀请“报价人资格”要求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报价人</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报价人</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报价人</w:t>
      </w:r>
      <w:r>
        <w:rPr>
          <w:rFonts w:hint="eastAsia"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报价人</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报价人</w:t>
      </w:r>
      <w:r>
        <w:rPr>
          <w:rFonts w:hint="eastAsia" w:ascii="宋体" w:hAnsi="宋体"/>
          <w:color w:val="auto"/>
          <w:szCs w:val="21"/>
          <w:highlight w:val="none"/>
        </w:rPr>
        <w:t>参加竞争，但只作为一家</w:t>
      </w:r>
      <w:r>
        <w:rPr>
          <w:rFonts w:hint="eastAsia" w:ascii="宋体" w:hAnsi="宋体"/>
          <w:color w:val="auto"/>
          <w:highlight w:val="none"/>
        </w:rPr>
        <w:t>报价人</w:t>
      </w:r>
      <w:r>
        <w:rPr>
          <w:rFonts w:hint="eastAsia" w:ascii="宋体" w:hAnsi="宋体"/>
          <w:color w:val="auto"/>
          <w:szCs w:val="21"/>
          <w:highlight w:val="none"/>
        </w:rPr>
        <w:t>计算。同一品牌不同型号的产品由多家</w:t>
      </w:r>
      <w:r>
        <w:rPr>
          <w:rFonts w:hint="eastAsia" w:ascii="宋体" w:hAnsi="宋体"/>
          <w:color w:val="auto"/>
          <w:highlight w:val="none"/>
        </w:rPr>
        <w:t>报价人</w:t>
      </w:r>
      <w:r>
        <w:rPr>
          <w:rFonts w:hint="eastAsia" w:ascii="宋体" w:hAnsi="宋体"/>
          <w:color w:val="auto"/>
          <w:szCs w:val="21"/>
          <w:highlight w:val="none"/>
        </w:rPr>
        <w:t>参加竞争，作为不同的</w:t>
      </w:r>
      <w:r>
        <w:rPr>
          <w:rFonts w:hint="eastAsia" w:ascii="宋体" w:hAnsi="宋体"/>
          <w:color w:val="auto"/>
          <w:highlight w:val="none"/>
        </w:rPr>
        <w:t>报价人</w:t>
      </w:r>
      <w:r>
        <w:rPr>
          <w:rFonts w:hint="eastAsia" w:ascii="宋体" w:hAnsi="宋体"/>
          <w:color w:val="auto"/>
          <w:szCs w:val="21"/>
          <w:highlight w:val="none"/>
        </w:rPr>
        <w:t>计算。</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62" w:name="_Toc363737686"/>
      <w:bookmarkStart w:id="63" w:name="_Toc475104472"/>
      <w:bookmarkStart w:id="64" w:name="_Toc333236630"/>
      <w:bookmarkStart w:id="65" w:name="_Toc320515070"/>
      <w:bookmarkStart w:id="66" w:name="_Toc322680347"/>
      <w:bookmarkStart w:id="67" w:name="_Toc320515021"/>
      <w:bookmarkStart w:id="68" w:name="_Toc323110980"/>
      <w:bookmarkStart w:id="69" w:name="_Toc315793455"/>
      <w:r>
        <w:rPr>
          <w:rFonts w:hint="eastAsia" w:ascii="宋体" w:hAnsi="宋体"/>
          <w:b/>
          <w:bCs/>
          <w:color w:val="auto"/>
          <w:sz w:val="24"/>
          <w:highlight w:val="none"/>
        </w:rPr>
        <w:t>合格的服务和货物</w:t>
      </w:r>
      <w:bookmarkEnd w:id="62"/>
      <w:bookmarkEnd w:id="63"/>
      <w:bookmarkEnd w:id="64"/>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报价人</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报价人</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报价人</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报价人</w:t>
      </w:r>
      <w:r>
        <w:rPr>
          <w:rFonts w:hint="eastAsia" w:ascii="宋体" w:hAnsi="宋体"/>
          <w:color w:val="auto"/>
          <w:szCs w:val="21"/>
          <w:highlight w:val="none"/>
        </w:rPr>
        <w:t>自行承担。</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报价人</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报价人</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报价人</w:t>
      </w:r>
      <w:r>
        <w:rPr>
          <w:rFonts w:hint="eastAsia" w:ascii="宋体" w:hAnsi="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0" w:name="_Toc475104473"/>
      <w:bookmarkStart w:id="71" w:name="_Toc363737687"/>
      <w:r>
        <w:rPr>
          <w:rFonts w:hint="eastAsia" w:ascii="宋体" w:hAnsi="宋体"/>
          <w:b/>
          <w:bCs/>
          <w:color w:val="auto"/>
          <w:sz w:val="24"/>
          <w:highlight w:val="none"/>
        </w:rPr>
        <w:t>磋商费用</w:t>
      </w:r>
      <w:bookmarkEnd w:id="65"/>
      <w:bookmarkEnd w:id="66"/>
      <w:bookmarkEnd w:id="67"/>
      <w:bookmarkEnd w:id="68"/>
      <w:bookmarkEnd w:id="69"/>
      <w:bookmarkEnd w:id="70"/>
      <w:bookmarkEnd w:id="71"/>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bookmarkStart w:id="72" w:name="_Toc322680348"/>
      <w:bookmarkStart w:id="73" w:name="_Toc320515022"/>
      <w:bookmarkStart w:id="74" w:name="_Toc320515071"/>
      <w:bookmarkStart w:id="75" w:name="_Toc323110981"/>
      <w:bookmarkStart w:id="76" w:name="_Toc315793456"/>
      <w:r>
        <w:rPr>
          <w:rFonts w:hint="eastAsia" w:ascii="宋体" w:hAnsi="宋体"/>
          <w:color w:val="auto"/>
          <w:highlight w:val="none"/>
        </w:rPr>
        <w:t>报价人</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72"/>
      <w:bookmarkEnd w:id="73"/>
      <w:bookmarkEnd w:id="74"/>
      <w:bookmarkEnd w:id="75"/>
    </w:p>
    <w:bookmarkEnd w:id="76"/>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77" w:name="_Toc475104474"/>
      <w:r>
        <w:rPr>
          <w:rFonts w:hint="eastAsia" w:ascii="宋体" w:hAnsi="宋体"/>
          <w:b/>
          <w:color w:val="auto"/>
          <w:sz w:val="28"/>
          <w:szCs w:val="28"/>
          <w:highlight w:val="none"/>
          <w:lang w:eastAsia="zh-TW"/>
        </w:rPr>
        <w:t>竞争性磋商文件</w:t>
      </w:r>
      <w:bookmarkEnd w:id="77"/>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8" w:name="_Toc315793458"/>
      <w:bookmarkStart w:id="79" w:name="_Toc363737689"/>
      <w:bookmarkStart w:id="80" w:name="_Toc320515073"/>
      <w:bookmarkStart w:id="81" w:name="_Toc322680350"/>
      <w:bookmarkStart w:id="82" w:name="_Toc475104475"/>
      <w:bookmarkStart w:id="83" w:name="_Toc323110983"/>
      <w:bookmarkStart w:id="84" w:name="_Toc320515024"/>
      <w:r>
        <w:rPr>
          <w:rFonts w:hint="eastAsia" w:ascii="宋体" w:hAnsi="宋体"/>
          <w:b/>
          <w:bCs/>
          <w:color w:val="auto"/>
          <w:sz w:val="24"/>
          <w:highlight w:val="none"/>
        </w:rPr>
        <w:t>竞争性磋商文件的编制依据与构成</w:t>
      </w:r>
      <w:bookmarkEnd w:id="78"/>
      <w:bookmarkEnd w:id="79"/>
      <w:bookmarkEnd w:id="80"/>
      <w:bookmarkEnd w:id="81"/>
      <w:bookmarkEnd w:id="82"/>
      <w:bookmarkEnd w:id="83"/>
      <w:bookmarkEnd w:id="84"/>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5"/>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ascii="宋体" w:hAnsi="宋体"/>
          <w:color w:val="auto"/>
          <w:szCs w:val="21"/>
          <w:highlight w:val="none"/>
        </w:rPr>
      </w:pPr>
      <w:r>
        <w:rPr>
          <w:rFonts w:hint="eastAsia" w:ascii="宋体" w:hAnsi="宋体"/>
          <w:color w:val="auto"/>
          <w:szCs w:val="21"/>
          <w:highlight w:val="none"/>
        </w:rPr>
        <w:t>（5）附件（格式）</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报价人</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报价人</w:t>
      </w:r>
      <w:r>
        <w:rPr>
          <w:rFonts w:hint="eastAsia" w:ascii="宋体" w:hAnsi="宋体" w:cs="宋体"/>
          <w:color w:val="auto"/>
          <w:szCs w:val="21"/>
          <w:highlight w:val="none"/>
        </w:rPr>
        <w:t>的风险，有可能导致其报价被拒绝，或被认定为无效响应。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85" w:name="_Toc320515025"/>
      <w:bookmarkStart w:id="86" w:name="_Toc320515074"/>
      <w:bookmarkStart w:id="87" w:name="_Toc323110984"/>
      <w:bookmarkStart w:id="88" w:name="_Toc322680351"/>
      <w:bookmarkStart w:id="89" w:name="_Toc475104476"/>
      <w:bookmarkStart w:id="90" w:name="_Toc315793459"/>
      <w:bookmarkStart w:id="91" w:name="_Toc363737690"/>
      <w:r>
        <w:rPr>
          <w:rFonts w:hint="eastAsia" w:ascii="宋体" w:hAnsi="宋体"/>
          <w:b/>
          <w:bCs/>
          <w:color w:val="auto"/>
          <w:sz w:val="24"/>
          <w:highlight w:val="none"/>
        </w:rPr>
        <w:t>竞争性磋商文件的澄清</w:t>
      </w:r>
      <w:bookmarkEnd w:id="85"/>
      <w:bookmarkEnd w:id="86"/>
      <w:bookmarkEnd w:id="87"/>
      <w:bookmarkEnd w:id="88"/>
      <w:bookmarkEnd w:id="89"/>
      <w:bookmarkEnd w:id="90"/>
      <w:bookmarkEnd w:id="91"/>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报价人</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报价人</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报价人</w:t>
      </w:r>
      <w:r>
        <w:rPr>
          <w:rFonts w:hint="eastAsia" w:ascii="宋体" w:hAnsi="宋体" w:cs="宋体"/>
          <w:color w:val="auto"/>
          <w:szCs w:val="21"/>
          <w:highlight w:val="none"/>
        </w:rPr>
        <w:t>，答复中不包括问题的来源。</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报价人</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报价人</w:t>
      </w:r>
      <w:r>
        <w:rPr>
          <w:rFonts w:hint="eastAsia" w:ascii="宋体" w:hAnsi="宋体" w:cs="宋体"/>
          <w:color w:val="auto"/>
          <w:szCs w:val="21"/>
          <w:highlight w:val="none"/>
        </w:rPr>
        <w:t>授权代表于上述的时间和地点出席答疑会或现场考察。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报价人</w:t>
      </w:r>
      <w:r>
        <w:rPr>
          <w:rFonts w:hint="eastAsia" w:ascii="宋体" w:hAnsi="宋体" w:cs="宋体"/>
          <w:color w:val="auto"/>
          <w:szCs w:val="21"/>
          <w:highlight w:val="none"/>
        </w:rPr>
        <w:t>如不出席答疑会或现场考察视为对竞争性磋商文件所有内容无任何异议。</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92" w:name="_Toc323110985"/>
      <w:bookmarkStart w:id="93" w:name="_Toc320515075"/>
      <w:bookmarkStart w:id="94" w:name="_Toc363737691"/>
      <w:bookmarkStart w:id="95" w:name="_Toc315793460"/>
      <w:bookmarkStart w:id="96" w:name="_Toc475104477"/>
      <w:bookmarkStart w:id="97" w:name="_Toc320515026"/>
      <w:bookmarkStart w:id="98" w:name="_Toc322680352"/>
      <w:r>
        <w:rPr>
          <w:rFonts w:hint="eastAsia" w:ascii="宋体" w:hAnsi="宋体"/>
          <w:b/>
          <w:bCs/>
          <w:color w:val="auto"/>
          <w:sz w:val="24"/>
          <w:highlight w:val="none"/>
        </w:rPr>
        <w:t>竞争性磋商文件的修改</w:t>
      </w:r>
      <w:bookmarkEnd w:id="92"/>
      <w:bookmarkEnd w:id="93"/>
      <w:bookmarkEnd w:id="94"/>
      <w:bookmarkEnd w:id="95"/>
      <w:bookmarkEnd w:id="96"/>
      <w:bookmarkEnd w:id="97"/>
      <w:bookmarkEnd w:id="98"/>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报价人</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报价人</w:t>
      </w:r>
      <w:r>
        <w:rPr>
          <w:rFonts w:hint="eastAsia" w:ascii="宋体" w:hAnsi="宋体"/>
          <w:bCs/>
          <w:color w:val="auto"/>
          <w:szCs w:val="21"/>
          <w:highlight w:val="none"/>
        </w:rPr>
        <w:t>，</w:t>
      </w:r>
      <w:r>
        <w:rPr>
          <w:rFonts w:hint="eastAsia" w:ascii="宋体" w:hAnsi="宋体"/>
          <w:color w:val="auto"/>
          <w:highlight w:val="none"/>
        </w:rPr>
        <w:t>报价人</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5"/>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报价人</w:t>
      </w:r>
      <w:r>
        <w:rPr>
          <w:rFonts w:hint="eastAsia" w:ascii="宋体" w:hAnsi="宋体"/>
          <w:bCs/>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报价人</w:t>
      </w:r>
      <w:r>
        <w:rPr>
          <w:rFonts w:hint="eastAsia" w:ascii="宋体" w:hAnsi="宋体" w:cs="宋体"/>
          <w:color w:val="auto"/>
          <w:szCs w:val="21"/>
          <w:highlight w:val="none"/>
        </w:rPr>
        <w:t>，并对潜在</w:t>
      </w:r>
      <w:r>
        <w:rPr>
          <w:rFonts w:hint="eastAsia" w:ascii="宋体" w:hAnsi="宋体"/>
          <w:color w:val="auto"/>
          <w:highlight w:val="none"/>
        </w:rPr>
        <w:t>报价人</w:t>
      </w:r>
      <w:r>
        <w:rPr>
          <w:rFonts w:hint="eastAsia" w:ascii="宋体" w:hAnsi="宋体" w:cs="宋体"/>
          <w:color w:val="auto"/>
          <w:szCs w:val="21"/>
          <w:highlight w:val="none"/>
        </w:rPr>
        <w:t>具有约束力。潜在</w:t>
      </w:r>
      <w:r>
        <w:rPr>
          <w:rFonts w:hint="eastAsia" w:ascii="宋体" w:hAnsi="宋体"/>
          <w:color w:val="auto"/>
          <w:highlight w:val="none"/>
        </w:rPr>
        <w:t>报价人</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99" w:name="_Toc475104478"/>
      <w:bookmarkStart w:id="100" w:name="_Toc320515027"/>
      <w:bookmarkStart w:id="101" w:name="_Toc315793461"/>
      <w:bookmarkStart w:id="102" w:name="_Toc363737692"/>
      <w:bookmarkStart w:id="103" w:name="_Toc322680353"/>
      <w:bookmarkStart w:id="104" w:name="_Toc323110986"/>
      <w:bookmarkStart w:id="105" w:name="_Toc320515076"/>
      <w:r>
        <w:rPr>
          <w:rFonts w:hint="eastAsia" w:ascii="宋体" w:hAnsi="宋体"/>
          <w:b/>
          <w:color w:val="auto"/>
          <w:sz w:val="28"/>
          <w:szCs w:val="28"/>
          <w:highlight w:val="none"/>
          <w:lang w:eastAsia="zh-TW"/>
        </w:rPr>
        <w:t>磋商响应文件的编制</w:t>
      </w:r>
      <w:bookmarkEnd w:id="99"/>
      <w:bookmarkEnd w:id="100"/>
      <w:bookmarkEnd w:id="101"/>
      <w:bookmarkEnd w:id="102"/>
      <w:bookmarkEnd w:id="103"/>
      <w:bookmarkEnd w:id="104"/>
      <w:bookmarkEnd w:id="10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06" w:name="_Toc363737693"/>
      <w:bookmarkStart w:id="107" w:name="_Toc322680354"/>
      <w:bookmarkStart w:id="108" w:name="_Toc475104479"/>
      <w:bookmarkStart w:id="109" w:name="_Toc323110987"/>
      <w:bookmarkStart w:id="110" w:name="_Toc320515077"/>
      <w:bookmarkStart w:id="111" w:name="_Toc315793462"/>
      <w:bookmarkStart w:id="112" w:name="_Toc320515028"/>
      <w:r>
        <w:rPr>
          <w:rFonts w:hint="eastAsia" w:ascii="宋体" w:hAnsi="宋体"/>
          <w:b/>
          <w:bCs/>
          <w:color w:val="auto"/>
          <w:sz w:val="24"/>
          <w:highlight w:val="none"/>
        </w:rPr>
        <w:t>响应的语言</w:t>
      </w:r>
      <w:bookmarkEnd w:id="106"/>
      <w:bookmarkEnd w:id="107"/>
      <w:bookmarkEnd w:id="108"/>
      <w:bookmarkEnd w:id="109"/>
      <w:bookmarkEnd w:id="110"/>
      <w:bookmarkEnd w:id="111"/>
      <w:bookmarkEnd w:id="11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提交的磋商响应文件以及</w:t>
      </w:r>
      <w:r>
        <w:rPr>
          <w:rFonts w:hint="eastAsia" w:ascii="宋体" w:hAnsi="宋体"/>
          <w:color w:val="auto"/>
          <w:highlight w:val="none"/>
        </w:rPr>
        <w:t>报价人</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报价人</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13" w:name="_Toc315793463"/>
      <w:bookmarkStart w:id="114" w:name="_Toc320515029"/>
      <w:bookmarkStart w:id="115" w:name="_Toc320515078"/>
      <w:bookmarkStart w:id="116" w:name="_Toc323110988"/>
      <w:bookmarkStart w:id="117" w:name="_Toc322680355"/>
      <w:bookmarkStart w:id="118" w:name="_Toc363737694"/>
      <w:bookmarkStart w:id="119" w:name="_Toc475104480"/>
      <w:r>
        <w:rPr>
          <w:rFonts w:hint="eastAsia" w:ascii="宋体" w:hAnsi="宋体"/>
          <w:b/>
          <w:bCs/>
          <w:color w:val="auto"/>
          <w:sz w:val="24"/>
          <w:highlight w:val="none"/>
        </w:rPr>
        <w:t>磋商响应文件的构成</w:t>
      </w:r>
      <w:bookmarkEnd w:id="113"/>
      <w:bookmarkEnd w:id="114"/>
      <w:bookmarkEnd w:id="115"/>
      <w:bookmarkEnd w:id="116"/>
      <w:bookmarkEnd w:id="117"/>
      <w:bookmarkEnd w:id="118"/>
      <w:bookmarkEnd w:id="119"/>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报价人</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报价人</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报价人</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报价人</w:t>
      </w:r>
      <w:r>
        <w:rPr>
          <w:rFonts w:hint="eastAsia" w:ascii="宋体" w:hAnsi="宋体" w:cs="宋体"/>
          <w:color w:val="auto"/>
          <w:szCs w:val="21"/>
          <w:highlight w:val="none"/>
        </w:rPr>
        <w:t>认为须提交与评审内容相关的其他资料。</w:t>
      </w:r>
    </w:p>
    <w:p>
      <w:pPr>
        <w:pStyle w:val="177"/>
        <w:numPr>
          <w:ilvl w:val="1"/>
          <w:numId w:val="5"/>
        </w:numPr>
        <w:tabs>
          <w:tab w:val="left" w:pos="360"/>
          <w:tab w:val="left" w:pos="709"/>
        </w:tabs>
        <w:adjustRightInd w:val="0"/>
        <w:spacing w:line="360" w:lineRule="auto"/>
        <w:textAlignment w:val="baseline"/>
        <w:outlineLvl w:val="9"/>
        <w:rPr>
          <w:rFonts w:cs="宋体"/>
          <w:color w:val="auto"/>
          <w:sz w:val="21"/>
          <w:szCs w:val="21"/>
          <w:highlight w:val="none"/>
        </w:rPr>
      </w:pPr>
      <w:bookmarkStart w:id="120" w:name="_Toc475104481"/>
      <w:r>
        <w:rPr>
          <w:rFonts w:hint="eastAsia" w:cs="宋体"/>
          <w:color w:val="auto"/>
          <w:sz w:val="21"/>
          <w:szCs w:val="21"/>
          <w:highlight w:val="none"/>
        </w:rPr>
        <w:t>商务部分文件是指报价人提交的证明报价人的资格合格，且获得成交资格后有能力履行合同的文件。服务部分文件是指证明报价人提供的服务和货物是合格的，而且符合本竞争性磋商文件规定的文件。</w:t>
      </w:r>
      <w:bookmarkEnd w:id="12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1" w:name="_Toc320515079"/>
      <w:bookmarkStart w:id="122" w:name="_Toc320515030"/>
      <w:bookmarkStart w:id="123" w:name="_Toc475104482"/>
      <w:bookmarkStart w:id="124" w:name="_Toc322680356"/>
      <w:bookmarkStart w:id="125" w:name="_Toc315793464"/>
      <w:bookmarkStart w:id="126" w:name="_Toc363737695"/>
      <w:bookmarkStart w:id="127" w:name="_Toc323110989"/>
      <w:r>
        <w:rPr>
          <w:rFonts w:hint="eastAsia" w:ascii="宋体" w:hAnsi="宋体"/>
          <w:b/>
          <w:bCs/>
          <w:color w:val="auto"/>
          <w:sz w:val="24"/>
          <w:highlight w:val="none"/>
        </w:rPr>
        <w:t>磋商响应文件的编写</w:t>
      </w:r>
      <w:bookmarkEnd w:id="121"/>
      <w:bookmarkEnd w:id="122"/>
      <w:bookmarkEnd w:id="123"/>
      <w:bookmarkEnd w:id="124"/>
      <w:bookmarkEnd w:id="125"/>
      <w:bookmarkEnd w:id="126"/>
      <w:bookmarkEnd w:id="127"/>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报价人</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报价人</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报价人</w:t>
      </w:r>
      <w:r>
        <w:rPr>
          <w:rFonts w:hint="eastAsia" w:ascii="宋体" w:hAnsi="宋体" w:cs="宋体"/>
          <w:color w:val="auto"/>
          <w:szCs w:val="21"/>
          <w:highlight w:val="none"/>
        </w:rPr>
        <w:t>承担。</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报价人</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报价人</w:t>
      </w:r>
      <w:r>
        <w:rPr>
          <w:rFonts w:hint="eastAsia" w:ascii="宋体" w:hAnsi="宋体" w:cs="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8" w:name="_Toc475104483"/>
      <w:bookmarkStart w:id="129" w:name="_Toc363737696"/>
      <w:bookmarkStart w:id="130" w:name="_Toc323110990"/>
      <w:r>
        <w:rPr>
          <w:rFonts w:hint="eastAsia" w:ascii="宋体" w:hAnsi="宋体"/>
          <w:b/>
          <w:bCs/>
          <w:color w:val="auto"/>
          <w:sz w:val="24"/>
          <w:highlight w:val="none"/>
        </w:rPr>
        <w:t>竞争性磋商报价</w:t>
      </w:r>
      <w:bookmarkEnd w:id="128"/>
      <w:bookmarkEnd w:id="129"/>
      <w:bookmarkEnd w:id="13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31" w:name="_Toc323110991"/>
      <w:bookmarkStart w:id="132" w:name="_Toc320515032"/>
      <w:bookmarkStart w:id="133" w:name="_Toc320515081"/>
      <w:bookmarkStart w:id="134" w:name="_Toc322680358"/>
      <w:bookmarkStart w:id="135" w:name="_Toc315793468"/>
      <w:r>
        <w:rPr>
          <w:rFonts w:hint="eastAsia" w:cs="宋体"/>
          <w:color w:val="auto"/>
          <w:szCs w:val="21"/>
          <w:highlight w:val="none"/>
        </w:rPr>
        <w:t>报价人</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rPr>
        <w:t>报价人</w:t>
      </w:r>
      <w:r>
        <w:rPr>
          <w:rFonts w:hint="eastAsia" w:ascii="宋体" w:hAnsi="宋体" w:cs="宋体"/>
          <w:color w:val="auto"/>
          <w:szCs w:val="21"/>
          <w:highlight w:val="none"/>
        </w:rPr>
        <w:t>作出书面说明并提供相关证明材料。</w:t>
      </w:r>
      <w:r>
        <w:rPr>
          <w:rFonts w:hint="eastAsia" w:cs="宋体"/>
          <w:color w:val="auto"/>
          <w:szCs w:val="21"/>
          <w:highlight w:val="none"/>
        </w:rPr>
        <w:t>报价人</w:t>
      </w:r>
      <w:r>
        <w:rPr>
          <w:rFonts w:hint="eastAsia" w:ascii="宋体" w:hAnsi="宋体" w:cs="宋体"/>
          <w:color w:val="auto"/>
          <w:szCs w:val="21"/>
          <w:highlight w:val="none"/>
        </w:rPr>
        <w:t>不能合理说明或者不能提供相关证明材料的，由磋商小组认定该报价人以低于成本报价竞标其报价应作无效竞标处理。</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报价为本次采购内容的综合单价包干响应报价即为合同价，不得在成交后提出任何增加费用要求，</w:t>
      </w:r>
      <w:r>
        <w:rPr>
          <w:rFonts w:hint="eastAsia" w:cs="宋体"/>
          <w:color w:val="auto"/>
          <w:szCs w:val="21"/>
          <w:highlight w:val="none"/>
        </w:rPr>
        <w:t>报价人</w:t>
      </w:r>
      <w:r>
        <w:rPr>
          <w:rFonts w:hint="eastAsia" w:ascii="宋体" w:hAnsi="宋体" w:cs="宋体"/>
          <w:color w:val="auto"/>
          <w:szCs w:val="21"/>
          <w:highlight w:val="none"/>
        </w:rPr>
        <w:t>在报价时应充分考虑相关风险性因素。</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报价人</w:t>
      </w:r>
      <w:r>
        <w:rPr>
          <w:rFonts w:hint="eastAsia" w:ascii="宋体" w:hAnsi="宋体" w:cs="宋体"/>
          <w:color w:val="auto"/>
          <w:szCs w:val="21"/>
          <w:highlight w:val="none"/>
        </w:rPr>
        <w:t>在获得成交资格并签署合同后，服务期限内出现的任何遗漏，均由成交报价人负责，采购人将不再支付任何费用。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投标报价应为包括设计图纸和清单项目所发生的人工费、材料费、机械费、管理费、利润、项目措施费、规费、税金、配合费、预留金以及施工合同包含的所有风险、责任等全部费用。</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6" w:name="_Toc475104484"/>
      <w:bookmarkStart w:id="137" w:name="_Toc363737697"/>
      <w:r>
        <w:rPr>
          <w:rFonts w:hint="eastAsia" w:ascii="宋体" w:hAnsi="宋体"/>
          <w:b/>
          <w:bCs/>
          <w:color w:val="auto"/>
          <w:sz w:val="24"/>
          <w:highlight w:val="none"/>
        </w:rPr>
        <w:t>证明报价人合格和资格的文件</w:t>
      </w:r>
      <w:bookmarkEnd w:id="131"/>
      <w:bookmarkEnd w:id="132"/>
      <w:bookmarkEnd w:id="133"/>
      <w:bookmarkEnd w:id="134"/>
      <w:bookmarkEnd w:id="135"/>
      <w:bookmarkEnd w:id="136"/>
      <w:bookmarkEnd w:id="137"/>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报价人</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报价人提交的资格证明文件应证明其满足本须知定义的合格</w:t>
      </w:r>
      <w:r>
        <w:rPr>
          <w:rFonts w:hint="eastAsia" w:cs="宋体"/>
          <w:color w:val="auto"/>
          <w:szCs w:val="21"/>
          <w:highlight w:val="none"/>
        </w:rPr>
        <w:t>报价人</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8" w:name="_Toc475104485"/>
      <w:bookmarkStart w:id="139" w:name="_Toc320515033"/>
      <w:bookmarkStart w:id="140" w:name="_Toc315793469"/>
      <w:bookmarkStart w:id="141" w:name="_Toc333236642"/>
      <w:bookmarkStart w:id="142" w:name="_Toc363737698"/>
      <w:bookmarkStart w:id="143" w:name="_Toc320515082"/>
      <w:bookmarkStart w:id="144" w:name="_Toc323110993"/>
      <w:r>
        <w:rPr>
          <w:rFonts w:hint="eastAsia" w:ascii="宋体" w:hAnsi="宋体"/>
          <w:b/>
          <w:bCs/>
          <w:color w:val="auto"/>
          <w:sz w:val="24"/>
          <w:highlight w:val="none"/>
        </w:rPr>
        <w:t>证明服务的合格性和符合磋商文件规定的文件</w:t>
      </w:r>
      <w:bookmarkEnd w:id="138"/>
      <w:bookmarkEnd w:id="139"/>
      <w:bookmarkEnd w:id="140"/>
      <w:bookmarkEnd w:id="141"/>
      <w:bookmarkEnd w:id="142"/>
      <w:bookmarkEnd w:id="143"/>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报价人</w:t>
      </w:r>
      <w:r>
        <w:rPr>
          <w:rFonts w:hint="eastAsia" w:ascii="宋体" w:hAnsi="宋体" w:cs="宋体"/>
          <w:color w:val="auto"/>
          <w:szCs w:val="21"/>
          <w:highlight w:val="none"/>
        </w:rPr>
        <w:t>须提供所投服务的具体参数值。</w:t>
      </w:r>
      <w:r>
        <w:rPr>
          <w:rFonts w:hint="eastAsia" w:cs="宋体"/>
          <w:color w:val="auto"/>
          <w:szCs w:val="21"/>
          <w:highlight w:val="none"/>
        </w:rPr>
        <w:t>报价人</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报价人</w:t>
      </w:r>
      <w:r>
        <w:rPr>
          <w:rFonts w:hint="eastAsia" w:ascii="宋体" w:hAnsi="宋体" w:cs="宋体"/>
          <w:color w:val="auto"/>
          <w:szCs w:val="21"/>
          <w:highlight w:val="none"/>
        </w:rPr>
        <w:t>在报价中要实质上满足或超过竞争性磋商文件的要求。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5" w:name="_Toc363737699"/>
      <w:r>
        <w:rPr>
          <w:rFonts w:hint="eastAsia" w:ascii="宋体" w:hAnsi="宋体"/>
          <w:b/>
          <w:bCs/>
          <w:color w:val="auto"/>
          <w:sz w:val="24"/>
          <w:highlight w:val="none"/>
        </w:rPr>
        <w:t>磋商保证金</w:t>
      </w:r>
    </w:p>
    <w:bookmarkEnd w:id="145"/>
    <w:p>
      <w:pPr>
        <w:numPr>
          <w:ilvl w:val="1"/>
          <w:numId w:val="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本项目不收取磋商保证金</w:t>
      </w:r>
    </w:p>
    <w:bookmarkEnd w:id="144"/>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6" w:name="_Toc351550769"/>
      <w:bookmarkStart w:id="147" w:name="_Toc394926941"/>
      <w:bookmarkStart w:id="148" w:name="_Toc475104487"/>
      <w:bookmarkStart w:id="149" w:name="_Toc315793471"/>
      <w:bookmarkStart w:id="150" w:name="_Toc322680361"/>
      <w:bookmarkStart w:id="151" w:name="_Toc323110994"/>
      <w:bookmarkStart w:id="152" w:name="_Toc363737700"/>
      <w:bookmarkStart w:id="153" w:name="_Toc320515084"/>
      <w:bookmarkStart w:id="154" w:name="_Toc320515035"/>
      <w:r>
        <w:rPr>
          <w:rFonts w:hint="eastAsia" w:ascii="宋体" w:hAnsi="宋体"/>
          <w:b/>
          <w:bCs/>
          <w:color w:val="auto"/>
          <w:sz w:val="24"/>
          <w:highlight w:val="none"/>
        </w:rPr>
        <w:t>政府采购信用担保</w:t>
      </w:r>
      <w:bookmarkEnd w:id="146"/>
      <w:bookmarkEnd w:id="147"/>
      <w:bookmarkEnd w:id="148"/>
    </w:p>
    <w:bookmarkEnd w:id="149"/>
    <w:bookmarkEnd w:id="150"/>
    <w:bookmarkEnd w:id="151"/>
    <w:bookmarkEnd w:id="152"/>
    <w:bookmarkEnd w:id="153"/>
    <w:bookmarkEnd w:id="154"/>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5" w:name="_Toc475104489"/>
      <w:r>
        <w:rPr>
          <w:rFonts w:hint="eastAsia" w:ascii="宋体" w:hAnsi="宋体"/>
          <w:color w:val="auto"/>
          <w:szCs w:val="21"/>
          <w:highlight w:val="none"/>
        </w:rPr>
        <w:t>履约担保，是指由专业担保机构为</w:t>
      </w:r>
      <w:r>
        <w:rPr>
          <w:rFonts w:hint="eastAsia" w:cs="宋体"/>
          <w:color w:val="auto"/>
          <w:szCs w:val="21"/>
          <w:highlight w:val="none"/>
        </w:rPr>
        <w:t>报价人</w:t>
      </w:r>
      <w:r>
        <w:rPr>
          <w:rFonts w:hint="eastAsia" w:ascii="宋体" w:hAnsi="宋体"/>
          <w:color w:val="auto"/>
          <w:szCs w:val="21"/>
          <w:highlight w:val="none"/>
        </w:rPr>
        <w:t>支付履约保证金的义务向采购人提供的保证担保。</w:t>
      </w:r>
      <w:r>
        <w:rPr>
          <w:rFonts w:hint="eastAsia" w:cs="宋体"/>
          <w:color w:val="auto"/>
          <w:szCs w:val="21"/>
          <w:highlight w:val="none"/>
        </w:rPr>
        <w:t>报价人</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报价人</w:t>
      </w:r>
      <w:r>
        <w:rPr>
          <w:rFonts w:hint="eastAsia" w:ascii="宋体" w:hAnsi="宋体"/>
          <w:color w:val="auto"/>
          <w:szCs w:val="21"/>
          <w:highlight w:val="none"/>
        </w:rPr>
        <w:t>可以自行选择是否采取履约担保函的形式交纳履约保证金。</w:t>
      </w:r>
      <w:bookmarkEnd w:id="155"/>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6" w:name="_Toc475104490"/>
      <w:bookmarkStart w:id="157" w:name="_Toc315793300"/>
      <w:r>
        <w:rPr>
          <w:rFonts w:hint="eastAsia"/>
          <w:color w:val="auto"/>
          <w:szCs w:val="21"/>
          <w:highlight w:val="none"/>
        </w:rPr>
        <w:t>融资担保，是指由专业担保机构为</w:t>
      </w:r>
      <w:r>
        <w:rPr>
          <w:rFonts w:hint="eastAsia" w:cs="宋体"/>
          <w:color w:val="auto"/>
          <w:szCs w:val="21"/>
          <w:highlight w:val="none"/>
        </w:rPr>
        <w:t>报价人</w:t>
      </w:r>
      <w:r>
        <w:rPr>
          <w:rFonts w:hint="eastAsia"/>
          <w:color w:val="auto"/>
          <w:szCs w:val="21"/>
          <w:highlight w:val="none"/>
        </w:rPr>
        <w:t>向银行融资提供的保证担保。</w:t>
      </w:r>
      <w:r>
        <w:rPr>
          <w:rFonts w:hint="eastAsia" w:cs="宋体"/>
          <w:color w:val="auto"/>
          <w:szCs w:val="21"/>
          <w:highlight w:val="none"/>
        </w:rPr>
        <w:t>报价人</w:t>
      </w:r>
      <w:r>
        <w:rPr>
          <w:rFonts w:hint="eastAsia"/>
          <w:color w:val="auto"/>
          <w:szCs w:val="21"/>
          <w:highlight w:val="none"/>
        </w:rPr>
        <w:t>可以自愿选择是否采取融资担保的形式为政府采购履约进行融资。</w:t>
      </w:r>
      <w:bookmarkEnd w:id="156"/>
      <w:bookmarkEnd w:id="157"/>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8" w:name="_Toc475104493"/>
      <w:r>
        <w:rPr>
          <w:rFonts w:hint="eastAsia" w:ascii="宋体" w:hAnsi="宋体"/>
          <w:color w:val="auto"/>
          <w:szCs w:val="21"/>
          <w:highlight w:val="none"/>
        </w:rPr>
        <w:t>专业担保机构的选择。</w:t>
      </w:r>
      <w:r>
        <w:rPr>
          <w:rFonts w:hint="eastAsia" w:cs="宋体"/>
          <w:color w:val="auto"/>
          <w:szCs w:val="21"/>
          <w:highlight w:val="none"/>
        </w:rPr>
        <w:t>报价人</w:t>
      </w:r>
      <w:r>
        <w:rPr>
          <w:rFonts w:hint="eastAsia" w:ascii="宋体" w:hAnsi="宋体"/>
          <w:color w:val="auto"/>
          <w:szCs w:val="21"/>
          <w:highlight w:val="none"/>
        </w:rPr>
        <w:t>必须选定有合法资质的担保公司任一家作为专业担保机构。</w:t>
      </w:r>
    </w:p>
    <w:bookmarkEnd w:id="158"/>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报价人</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报价人</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rPr>
        <w:t>报价人</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59" w:name="_Toc320515036"/>
      <w:bookmarkStart w:id="160" w:name="_Toc320515085"/>
      <w:bookmarkStart w:id="161" w:name="_Toc363737701"/>
      <w:bookmarkStart w:id="162" w:name="_Toc475104494"/>
      <w:bookmarkStart w:id="163" w:name="_Toc315793472"/>
      <w:bookmarkStart w:id="164" w:name="_Toc323110996"/>
      <w:bookmarkStart w:id="165" w:name="_Toc322680363"/>
      <w:bookmarkStart w:id="166" w:name="_Toc315793473"/>
      <w:bookmarkStart w:id="167" w:name="_Toc320515037"/>
      <w:bookmarkStart w:id="168" w:name="_Toc320515086"/>
      <w:r>
        <w:rPr>
          <w:rFonts w:hint="eastAsia" w:ascii="宋体" w:hAnsi="宋体"/>
          <w:b/>
          <w:bCs/>
          <w:color w:val="auto"/>
          <w:sz w:val="24"/>
          <w:highlight w:val="none"/>
        </w:rPr>
        <w:t>磋商响应文件的式样和签署</w:t>
      </w:r>
      <w:bookmarkEnd w:id="159"/>
      <w:bookmarkEnd w:id="160"/>
      <w:bookmarkEnd w:id="161"/>
      <w:bookmarkEnd w:id="162"/>
      <w:bookmarkEnd w:id="16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报价人</w:t>
      </w:r>
      <w:r>
        <w:rPr>
          <w:rFonts w:hint="eastAsia" w:ascii="宋体" w:hAnsi="宋体" w:cs="宋体"/>
          <w:color w:val="auto"/>
          <w:szCs w:val="21"/>
          <w:highlight w:val="none"/>
        </w:rPr>
        <w:t>的全部磋商响应文件均不退回。</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磋商响应文件正本每一页均要求加盖报价人公章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69" w:name="_Toc475104495"/>
      <w:bookmarkStart w:id="170" w:name="_Toc363737702"/>
      <w:r>
        <w:rPr>
          <w:rFonts w:hint="eastAsia" w:ascii="宋体" w:hAnsi="宋体"/>
          <w:b/>
          <w:color w:val="auto"/>
          <w:sz w:val="28"/>
          <w:szCs w:val="28"/>
          <w:highlight w:val="none"/>
          <w:lang w:eastAsia="zh-TW"/>
        </w:rPr>
        <w:t>磋商响应文件的递交</w:t>
      </w:r>
      <w:bookmarkEnd w:id="164"/>
      <w:bookmarkEnd w:id="165"/>
      <w:bookmarkEnd w:id="166"/>
      <w:bookmarkEnd w:id="167"/>
      <w:bookmarkEnd w:id="168"/>
      <w:bookmarkEnd w:id="169"/>
      <w:bookmarkEnd w:id="170"/>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1" w:name="_Toc320515038"/>
      <w:bookmarkStart w:id="172" w:name="_Toc315793474"/>
      <w:bookmarkStart w:id="173" w:name="_Toc363737703"/>
      <w:bookmarkStart w:id="174" w:name="_Toc320515087"/>
      <w:bookmarkStart w:id="175" w:name="_Toc475104496"/>
      <w:r>
        <w:rPr>
          <w:rFonts w:hint="eastAsia" w:ascii="宋体" w:hAnsi="宋体"/>
          <w:b/>
          <w:bCs/>
          <w:color w:val="auto"/>
          <w:sz w:val="24"/>
          <w:highlight w:val="none"/>
        </w:rPr>
        <w:t>磋商响应文件的密封和标记</w:t>
      </w:r>
      <w:bookmarkEnd w:id="171"/>
      <w:bookmarkEnd w:id="172"/>
      <w:bookmarkEnd w:id="173"/>
      <w:bookmarkEnd w:id="174"/>
      <w:bookmarkEnd w:id="175"/>
    </w:p>
    <w:p>
      <w:pPr>
        <w:numPr>
          <w:ilvl w:val="1"/>
          <w:numId w:val="5"/>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5"/>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89"/>
        <w:tblW w:w="7200" w:type="dxa"/>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报价人</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报价人</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在规定的磋商时间2020</w:t>
            </w:r>
            <w:r>
              <w:rPr>
                <w:rFonts w:ascii="宋体" w:hAnsi="宋体"/>
                <w:color w:val="auto"/>
                <w:szCs w:val="21"/>
                <w:highlight w:val="none"/>
              </w:rPr>
              <w:t>年月日</w:t>
            </w:r>
            <w:r>
              <w:rPr>
                <w:rFonts w:hint="eastAsia" w:ascii="宋体" w:hAnsi="宋体"/>
                <w:color w:val="auto"/>
                <w:szCs w:val="21"/>
                <w:highlight w:val="none"/>
              </w:rPr>
              <w:t>前不得启封</w:t>
            </w:r>
          </w:p>
        </w:tc>
      </w:tr>
    </w:tbl>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6" w:name="_Toc315793476"/>
      <w:bookmarkStart w:id="177" w:name="_Toc320515040"/>
      <w:bookmarkStart w:id="178" w:name="_Toc323110999"/>
      <w:bookmarkStart w:id="179" w:name="_Toc322680366"/>
      <w:bookmarkStart w:id="180" w:name="_Toc320515089"/>
      <w:r>
        <w:rPr>
          <w:rFonts w:hint="eastAsia" w:ascii="宋体" w:hAnsi="宋体"/>
          <w:b/>
          <w:bCs/>
          <w:color w:val="auto"/>
          <w:sz w:val="24"/>
          <w:highlight w:val="none"/>
        </w:rPr>
        <w:t>磋商响应文件递交截止期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6"/>
    <w:bookmarkEnd w:id="177"/>
    <w:bookmarkEnd w:id="178"/>
    <w:bookmarkEnd w:id="179"/>
    <w:bookmarkEnd w:id="180"/>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1" w:name="_Toc475104498"/>
      <w:bookmarkStart w:id="182" w:name="_Toc363737705"/>
      <w:bookmarkStart w:id="183" w:name="_Toc323111000"/>
      <w:r>
        <w:rPr>
          <w:rFonts w:hint="eastAsia" w:ascii="宋体" w:hAnsi="宋体"/>
          <w:b/>
          <w:bCs/>
          <w:color w:val="auto"/>
          <w:sz w:val="24"/>
          <w:highlight w:val="none"/>
        </w:rPr>
        <w:t>磋商响应文件的修改和撤回</w:t>
      </w:r>
      <w:bookmarkEnd w:id="181"/>
      <w:bookmarkEnd w:id="18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报价人</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报价人</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84" w:name="_Toc475104499"/>
      <w:bookmarkStart w:id="185" w:name="_Toc363737706"/>
      <w:r>
        <w:rPr>
          <w:rFonts w:hint="eastAsia" w:ascii="宋体" w:hAnsi="宋体"/>
          <w:b/>
          <w:color w:val="auto"/>
          <w:sz w:val="28"/>
          <w:szCs w:val="28"/>
          <w:highlight w:val="none"/>
        </w:rPr>
        <w:t>竞争性磋商流程</w:t>
      </w:r>
      <w:bookmarkEnd w:id="183"/>
      <w:bookmarkEnd w:id="184"/>
      <w:bookmarkEnd w:id="18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6" w:name="_Toc475104500"/>
      <w:bookmarkStart w:id="187" w:name="_Toc363737707"/>
      <w:bookmarkStart w:id="188" w:name="_Toc323111001"/>
      <w:r>
        <w:rPr>
          <w:rFonts w:hint="eastAsia" w:ascii="宋体" w:hAnsi="宋体"/>
          <w:b/>
          <w:bCs/>
          <w:color w:val="auto"/>
          <w:sz w:val="24"/>
          <w:highlight w:val="none"/>
        </w:rPr>
        <w:t>磋商及抽取磋商顺序</w:t>
      </w:r>
      <w:bookmarkEnd w:id="186"/>
      <w:bookmarkEnd w:id="187"/>
      <w:bookmarkEnd w:id="18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w:t>
      </w:r>
      <w:r>
        <w:rPr>
          <w:rFonts w:hint="eastAsia" w:ascii="宋体" w:hAnsi="宋体" w:cs="宋体"/>
          <w:b/>
          <w:color w:val="auto"/>
          <w:szCs w:val="21"/>
          <w:highlight w:val="none"/>
        </w:rPr>
        <w:t>报价人</w:t>
      </w:r>
      <w:r>
        <w:rPr>
          <w:rFonts w:hint="eastAsia" w:ascii="宋体" w:hAnsi="宋体" w:cs="宋体"/>
          <w:b/>
          <w:color w:val="auto"/>
          <w:szCs w:val="21"/>
          <w:highlight w:val="none"/>
          <w:lang w:eastAsia="zh-TW"/>
        </w:rPr>
        <w:t>代表持本人身份证原件</w:t>
      </w:r>
      <w:r>
        <w:rPr>
          <w:rFonts w:hint="eastAsia" w:ascii="宋体" w:hAnsi="宋体" w:cs="宋体"/>
          <w:b/>
          <w:color w:val="auto"/>
          <w:szCs w:val="21"/>
          <w:highlight w:val="none"/>
        </w:rPr>
        <w:t>、法定代表人证明书、法定代表人授权书（如适用）参加。</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报价人</w:t>
      </w:r>
      <w:r>
        <w:rPr>
          <w:rFonts w:hint="eastAsia" w:ascii="宋体" w:hAnsi="宋体" w:cs="宋体"/>
          <w:color w:val="auto"/>
          <w:kern w:val="0"/>
          <w:szCs w:val="21"/>
          <w:highlight w:val="none"/>
        </w:rPr>
        <w:t>授权代表作为全体</w:t>
      </w:r>
      <w:r>
        <w:rPr>
          <w:rFonts w:hint="eastAsia" w:cs="宋体"/>
          <w:color w:val="auto"/>
          <w:szCs w:val="21"/>
          <w:highlight w:val="none"/>
        </w:rPr>
        <w:t>报价人</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报价人</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报价人</w:t>
      </w:r>
      <w:r>
        <w:rPr>
          <w:rFonts w:hint="eastAsia" w:ascii="宋体" w:hAnsi="宋体" w:cs="宋体"/>
          <w:color w:val="auto"/>
          <w:szCs w:val="21"/>
          <w:highlight w:val="none"/>
        </w:rPr>
        <w:t>抽签决定磋商顺序。</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9" w:name="_Toc475104501"/>
      <w:bookmarkStart w:id="190" w:name="_Toc323111002"/>
      <w:bookmarkStart w:id="191" w:name="_Toc363737708"/>
      <w:r>
        <w:rPr>
          <w:rFonts w:hint="eastAsia" w:ascii="宋体" w:hAnsi="宋体"/>
          <w:b/>
          <w:bCs/>
          <w:color w:val="auto"/>
          <w:sz w:val="24"/>
          <w:highlight w:val="none"/>
        </w:rPr>
        <w:t>磋商小组</w:t>
      </w:r>
      <w:bookmarkEnd w:id="189"/>
      <w:bookmarkEnd w:id="190"/>
      <w:bookmarkEnd w:id="191"/>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92" w:name="_Toc320515044"/>
      <w:bookmarkStart w:id="193" w:name="_Toc320515093"/>
      <w:bookmarkStart w:id="194" w:name="_Toc322680370"/>
      <w:bookmarkStart w:id="195" w:name="_Toc323111003"/>
      <w:bookmarkStart w:id="196" w:name="_Toc315793480"/>
      <w:bookmarkStart w:id="197" w:name="_Toc363737709"/>
      <w:bookmarkStart w:id="198"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报价人</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报价人</w:t>
      </w:r>
      <w:r>
        <w:rPr>
          <w:rFonts w:hint="eastAsia" w:ascii="宋体" w:hAnsi="宋体" w:cs="宋体"/>
          <w:color w:val="auto"/>
          <w:szCs w:val="21"/>
          <w:highlight w:val="none"/>
        </w:rPr>
        <w:t>发生过法律纠纷；</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报价人</w:t>
      </w:r>
      <w:r>
        <w:rPr>
          <w:rFonts w:hint="eastAsia" w:ascii="宋体" w:hAnsi="宋体" w:cs="宋体"/>
          <w:color w:val="auto"/>
          <w:szCs w:val="21"/>
          <w:highlight w:val="none"/>
        </w:rPr>
        <w:t>存在行政隶属关系；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报价人</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报价人</w:t>
      </w:r>
      <w:r>
        <w:rPr>
          <w:rFonts w:hint="eastAsia" w:ascii="宋体" w:hAnsi="宋体" w:cs="宋体"/>
          <w:color w:val="auto"/>
          <w:szCs w:val="21"/>
          <w:highlight w:val="none"/>
        </w:rPr>
        <w:t>存在其他经济利益关系；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rPr>
        <w:t>报价人</w:t>
      </w:r>
      <w:r>
        <w:rPr>
          <w:rFonts w:hint="eastAsia" w:ascii="宋体" w:hAnsi="宋体" w:cs="宋体"/>
          <w:color w:val="auto"/>
          <w:szCs w:val="21"/>
          <w:highlight w:val="none"/>
        </w:rPr>
        <w:t>的法定代表人或者负责人有夫妻、直系血亲、三代以内旁系血亲或者近姻亲关系；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92"/>
      <w:bookmarkEnd w:id="193"/>
      <w:bookmarkEnd w:id="194"/>
      <w:bookmarkEnd w:id="195"/>
      <w:bookmarkEnd w:id="196"/>
      <w:bookmarkEnd w:id="197"/>
      <w:r>
        <w:rPr>
          <w:rFonts w:hint="eastAsia" w:ascii="宋体" w:hAnsi="宋体"/>
          <w:b/>
          <w:bCs/>
          <w:color w:val="auto"/>
          <w:sz w:val="24"/>
          <w:highlight w:val="none"/>
        </w:rPr>
        <w:t>资格性审查及符合性检查</w:t>
      </w:r>
      <w:bookmarkEnd w:id="19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报价人</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报价人</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报价人</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报价人</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报价人</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报价人</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9" w:name="_Toc323111004"/>
      <w:bookmarkStart w:id="200" w:name="_Toc475104503"/>
      <w:bookmarkStart w:id="201" w:name="_Toc363737710"/>
      <w:bookmarkStart w:id="202" w:name="_Toc351716665"/>
      <w:bookmarkStart w:id="203" w:name="_Toc320515096"/>
      <w:bookmarkStart w:id="204" w:name="_Toc320515047"/>
      <w:bookmarkStart w:id="205" w:name="_Toc322680372"/>
      <w:bookmarkStart w:id="206" w:name="_Toc315793483"/>
      <w:bookmarkStart w:id="207" w:name="_Toc323111005"/>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报价人</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报价人</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9"/>
      <w:r>
        <w:rPr>
          <w:rFonts w:hint="eastAsia" w:ascii="宋体" w:hAnsi="宋体"/>
          <w:b/>
          <w:bCs/>
          <w:color w:val="auto"/>
          <w:sz w:val="24"/>
          <w:highlight w:val="none"/>
        </w:rPr>
        <w:t>及谈判</w:t>
      </w:r>
      <w:bookmarkEnd w:id="200"/>
      <w:bookmarkEnd w:id="201"/>
      <w:bookmarkEnd w:id="202"/>
    </w:p>
    <w:p>
      <w:pPr>
        <w:numPr>
          <w:ilvl w:val="1"/>
          <w:numId w:val="5"/>
        </w:numPr>
        <w:autoSpaceDE w:val="0"/>
        <w:autoSpaceDN w:val="0"/>
        <w:adjustRightInd w:val="0"/>
        <w:snapToGrid w:val="0"/>
        <w:spacing w:line="360" w:lineRule="auto"/>
        <w:jc w:val="left"/>
        <w:rPr>
          <w:rFonts w:ascii="宋体" w:hAnsi="宋体"/>
          <w:color w:val="auto"/>
          <w:szCs w:val="21"/>
          <w:highlight w:val="none"/>
        </w:rPr>
      </w:pPr>
      <w:bookmarkStart w:id="208" w:name="_Toc475104505"/>
      <w:bookmarkStart w:id="209"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报价人</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报价人</w:t>
      </w:r>
      <w:r>
        <w:rPr>
          <w:rFonts w:hint="eastAsia" w:ascii="宋体" w:hAnsi="宋体"/>
          <w:color w:val="auto"/>
          <w:szCs w:val="21"/>
          <w:highlight w:val="none"/>
        </w:rPr>
        <w:t>应实行现场告知，以让其核证、澄清事实。</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报价人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报价人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报价人</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报价人</w:t>
      </w:r>
      <w:r>
        <w:rPr>
          <w:rFonts w:hint="eastAsia" w:ascii="宋体" w:hAnsi="宋体"/>
          <w:color w:val="auto"/>
          <w:szCs w:val="21"/>
          <w:highlight w:val="none"/>
        </w:rPr>
        <w:t>的服务、价格和其他任何信息。</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报价人</w:t>
      </w:r>
      <w:r>
        <w:rPr>
          <w:rFonts w:hint="eastAsia" w:ascii="宋体" w:hAnsi="宋体"/>
          <w:color w:val="auto"/>
          <w:szCs w:val="21"/>
          <w:highlight w:val="none"/>
        </w:rPr>
        <w:t>。但任何形式的决定须以符合公平、公正原则和有利于项目的顺利实施为前提。</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报价人</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报价人</w:t>
      </w:r>
      <w:r>
        <w:rPr>
          <w:rFonts w:hint="eastAsia" w:ascii="宋体" w:hAnsi="宋体"/>
          <w:color w:val="auto"/>
          <w:szCs w:val="21"/>
          <w:highlight w:val="none"/>
        </w:rPr>
        <w:t>提交的澄清文件和最后报价文件，由</w:t>
      </w:r>
      <w:r>
        <w:rPr>
          <w:rFonts w:hint="eastAsia" w:cs="宋体"/>
          <w:color w:val="auto"/>
          <w:szCs w:val="21"/>
          <w:highlight w:val="none"/>
        </w:rPr>
        <w:t>报价人</w:t>
      </w:r>
      <w:r>
        <w:rPr>
          <w:rFonts w:hint="eastAsia" w:ascii="宋体" w:hAnsi="宋体"/>
          <w:color w:val="auto"/>
          <w:szCs w:val="21"/>
          <w:highlight w:val="none"/>
        </w:rPr>
        <w:t>法人代表或其授权代表签字或加盖公章后生效。报价人为自然人的，应当由本人签字并附身份证明。</w:t>
      </w:r>
      <w:r>
        <w:rPr>
          <w:rFonts w:hint="eastAsia" w:cs="宋体"/>
          <w:color w:val="auto"/>
          <w:szCs w:val="21"/>
          <w:highlight w:val="none"/>
        </w:rPr>
        <w:t>报价人</w:t>
      </w:r>
      <w:r>
        <w:rPr>
          <w:rFonts w:hint="eastAsia" w:ascii="宋体" w:hAnsi="宋体"/>
          <w:color w:val="auto"/>
          <w:szCs w:val="21"/>
          <w:highlight w:val="none"/>
        </w:rPr>
        <w:t>应受其约束。</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经磋商确定最终采购需求和提交最后报价的报价人后，由磋商小组采用综合评分法对提交最后报价的报价人的响应文件和最后报价进行综合评分。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0" w:name="_Toc351716666"/>
      <w:bookmarkStart w:id="211" w:name="_Toc475104504"/>
      <w:bookmarkStart w:id="212" w:name="_Toc363737711"/>
      <w:r>
        <w:rPr>
          <w:rFonts w:hint="eastAsia" w:ascii="宋体" w:hAnsi="宋体"/>
          <w:b/>
          <w:bCs/>
          <w:color w:val="auto"/>
          <w:sz w:val="24"/>
          <w:highlight w:val="none"/>
        </w:rPr>
        <w:t>评定成交的评审方法和标准</w:t>
      </w:r>
      <w:bookmarkEnd w:id="210"/>
      <w:bookmarkEnd w:id="211"/>
      <w:bookmarkEnd w:id="212"/>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8"/>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8%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27.3符合中小企业划分标准，并以</w:t>
      </w:r>
      <w:r>
        <w:rPr>
          <w:rFonts w:hint="eastAsia" w:ascii="宋体" w:hAnsi="宋体"/>
          <w:bCs/>
          <w:color w:val="auto"/>
          <w:szCs w:val="21"/>
          <w:highlight w:val="none"/>
          <w:u w:val="single"/>
        </w:rPr>
        <w:t>提供中小企业管理部门出具的证明为准</w:t>
      </w:r>
      <w:r>
        <w:rPr>
          <w:rFonts w:hint="eastAsia" w:ascii="宋体" w:hAnsi="宋体"/>
          <w:bCs/>
          <w:color w:val="auto"/>
          <w:szCs w:val="21"/>
          <w:highlight w:val="none"/>
        </w:rPr>
        <w:t>；</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27.9报价人同时为小型、微型企业和监狱企业的，评审中只享受一次价格扣除。不重复进行价格扣除。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13" w:name="_Toc475104506"/>
      <w:r>
        <w:rPr>
          <w:rFonts w:hint="eastAsia" w:ascii="宋体" w:hAnsi="宋体"/>
          <w:color w:val="auto"/>
          <w:szCs w:val="21"/>
          <w:highlight w:val="none"/>
        </w:rPr>
        <w:t>27.11</w:t>
      </w:r>
      <w:r>
        <w:rPr>
          <w:rFonts w:hint="eastAsia" w:ascii="宋体" w:hAnsi="宋体"/>
          <w:bCs/>
          <w:color w:val="auto"/>
          <w:highlight w:val="none"/>
        </w:rPr>
        <w:t>报价人</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13"/>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4" w:name="_Toc475104507"/>
      <w:r>
        <w:rPr>
          <w:rFonts w:hint="eastAsia" w:ascii="宋体" w:hAnsi="宋体"/>
          <w:b/>
          <w:bCs/>
          <w:color w:val="auto"/>
          <w:sz w:val="24"/>
          <w:highlight w:val="none"/>
        </w:rPr>
        <w:t>定标原则与授标</w:t>
      </w:r>
      <w:bookmarkEnd w:id="203"/>
      <w:bookmarkEnd w:id="204"/>
      <w:bookmarkEnd w:id="205"/>
      <w:bookmarkEnd w:id="206"/>
      <w:bookmarkEnd w:id="207"/>
      <w:bookmarkEnd w:id="209"/>
      <w:bookmarkEnd w:id="214"/>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15" w:name="_Toc475104508"/>
      <w:bookmarkStart w:id="216" w:name="_Toc320515048"/>
      <w:bookmarkStart w:id="217" w:name="_Toc315793484"/>
      <w:bookmarkStart w:id="218" w:name="_Toc363737713"/>
      <w:bookmarkStart w:id="219" w:name="_Toc320515097"/>
      <w:bookmarkStart w:id="220" w:name="_Toc323111007"/>
      <w:bookmarkStart w:id="221" w:name="_Toc322680374"/>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报价人，也可以事先授权磋商小组直接确定成交报价人。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布成交公告。不在成交名单之列者即为未成交报价人，政府采购代理机构不再以其他方式另行通知。</w:t>
      </w:r>
    </w:p>
    <w:p>
      <w:pPr>
        <w:numPr>
          <w:ilvl w:val="1"/>
          <w:numId w:val="5"/>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rPr>
        <w:t>报价人</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报价人放弃成交、成交资格被依法确认无效的，采购人可以与排位在成交报价人之后第一位的成交候选人签订政府采购合同，没有其他成交候选人的，应当重新组织采购活动。</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5"/>
      <w:bookmarkEnd w:id="216"/>
      <w:bookmarkEnd w:id="217"/>
      <w:bookmarkEnd w:id="218"/>
      <w:bookmarkEnd w:id="219"/>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报价人的姓名或者名称、地址、邮编、联系人及联系电话；</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质疑书应当署名。报价人为自然人的，应当由本人签字；报价人为法人或者其他组织的，应当由法定代表人、主要负责人，或者其授权代表签字或者盖章，并加盖公章。</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报价人</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报价人</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rPr>
        <w:t>报价人</w:t>
      </w:r>
      <w:r>
        <w:rPr>
          <w:rFonts w:hint="eastAsia" w:ascii="宋体" w:hAnsi="宋体"/>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报价人</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报价人</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rPr>
        <w:t>报价人</w:t>
      </w:r>
      <w:r>
        <w:rPr>
          <w:rFonts w:hint="eastAsia" w:ascii="宋体" w:hAnsi="宋体" w:cs="黑体"/>
          <w:bCs/>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报价人</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报价人</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报价人</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报价人</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bookmarkEnd w:id="220"/>
    <w:bookmarkEnd w:id="221"/>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22" w:name="_Toc475104509"/>
      <w:bookmarkStart w:id="223" w:name="_Toc363737714"/>
      <w:r>
        <w:rPr>
          <w:rFonts w:hint="eastAsia" w:ascii="宋体" w:hAnsi="宋体" w:cs="宋体"/>
          <w:b/>
          <w:bCs/>
          <w:color w:val="auto"/>
          <w:sz w:val="24"/>
          <w:highlight w:val="none"/>
        </w:rPr>
        <w:t>报价人询问的途径、接收质疑函的方式</w:t>
      </w:r>
      <w:r>
        <w:rPr>
          <w:rFonts w:hint="eastAsia" w:ascii="宋体" w:hAnsi="宋体"/>
          <w:b/>
          <w:bCs/>
          <w:color w:val="auto"/>
          <w:sz w:val="24"/>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询问和质疑接收机构名称：广州市信怡招标代理有限公司</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询问和质疑接收机构地址：广州市海珠区红卫新村西路29号UP智谷D栋503房</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询问和质疑接收部门联系人：胡先生</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询问和质疑接收机构电话：020-89001296（工作/接收时间：9：00-17：00）</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质疑接收机构传真：020-89001292</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成交通知书</w:t>
      </w:r>
      <w:bookmarkEnd w:id="222"/>
      <w:bookmarkEnd w:id="22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和采购人具有同等法律效力。</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224" w:name="_Toc475104510"/>
      <w:bookmarkStart w:id="225" w:name="_Toc320515099"/>
      <w:bookmarkStart w:id="226" w:name="_Toc315793486"/>
      <w:bookmarkStart w:id="227" w:name="_Toc363737715"/>
      <w:bookmarkStart w:id="228" w:name="_Toc320515050"/>
      <w:bookmarkStart w:id="229" w:name="_Toc28489462"/>
      <w:bookmarkStart w:id="230" w:name="_Toc14450813"/>
      <w:r>
        <w:rPr>
          <w:rFonts w:hint="eastAsia" w:ascii="宋体" w:hAnsi="宋体"/>
          <w:b/>
          <w:color w:val="auto"/>
          <w:sz w:val="28"/>
          <w:szCs w:val="28"/>
          <w:highlight w:val="none"/>
          <w:lang w:eastAsia="zh-TW"/>
        </w:rPr>
        <w:t>授予合同</w:t>
      </w:r>
      <w:bookmarkEnd w:id="224"/>
      <w:bookmarkEnd w:id="225"/>
      <w:bookmarkEnd w:id="226"/>
      <w:bookmarkEnd w:id="227"/>
      <w:bookmarkEnd w:id="228"/>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31" w:name="_Toc315793487"/>
      <w:bookmarkStart w:id="232" w:name="_Toc475104511"/>
      <w:bookmarkStart w:id="233" w:name="_Toc320515051"/>
      <w:bookmarkStart w:id="234" w:name="_Toc363737716"/>
      <w:bookmarkStart w:id="235" w:name="_Toc320515100"/>
      <w:r>
        <w:rPr>
          <w:rFonts w:hint="eastAsia" w:ascii="宋体" w:hAnsi="宋体"/>
          <w:b/>
          <w:bCs/>
          <w:color w:val="auto"/>
          <w:sz w:val="24"/>
          <w:highlight w:val="none"/>
        </w:rPr>
        <w:t>合同的订立</w:t>
      </w:r>
      <w:bookmarkEnd w:id="231"/>
      <w:bookmarkEnd w:id="232"/>
      <w:bookmarkEnd w:id="233"/>
      <w:bookmarkEnd w:id="234"/>
      <w:bookmarkEnd w:id="235"/>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36" w:name="_Toc475104512"/>
      <w:bookmarkStart w:id="237" w:name="_Toc315793488"/>
      <w:bookmarkStart w:id="238" w:name="_Toc320515052"/>
      <w:bookmarkStart w:id="239" w:name="_Toc363737717"/>
      <w:bookmarkStart w:id="240" w:name="_Toc320515101"/>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w:t>
      </w:r>
      <w:r>
        <w:rPr>
          <w:rFonts w:hint="eastAsia" w:ascii="宋体" w:hAnsi="宋体" w:cs="宋体"/>
          <w:color w:val="auto"/>
          <w:szCs w:val="21"/>
          <w:highlight w:val="none"/>
        </w:rPr>
        <w:t>报价人</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签订书面合同。所签订的合同不得对竞争性磋商文件和成交</w:t>
      </w:r>
      <w:r>
        <w:rPr>
          <w:rFonts w:hint="eastAsia" w:ascii="宋体" w:hAnsi="宋体" w:cs="宋体"/>
          <w:color w:val="auto"/>
          <w:szCs w:val="21"/>
          <w:highlight w:val="none"/>
        </w:rPr>
        <w:t>报价人</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招标采购单位不得向成交报价人提出任何不合理的要求，作为签订合同的条件，不得与成交报价人私下订立背离合同实质性内容的协议。 </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6"/>
      <w:bookmarkEnd w:id="237"/>
      <w:bookmarkEnd w:id="238"/>
      <w:bookmarkEnd w:id="239"/>
      <w:bookmarkEnd w:id="240"/>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成交报价人</w:t>
      </w:r>
      <w:r>
        <w:rPr>
          <w:rFonts w:hint="eastAsia" w:ascii="宋体" w:hAnsi="宋体" w:cs="宋体"/>
          <w:color w:val="auto"/>
          <w:szCs w:val="21"/>
          <w:highlight w:val="none"/>
          <w:lang w:eastAsia="zh-TW"/>
        </w:rPr>
        <w:t>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1" w:name="_Toc363737720"/>
      <w:bookmarkStart w:id="242" w:name="_Toc475104515"/>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41"/>
      <w:bookmarkEnd w:id="242"/>
    </w:p>
    <w:p>
      <w:pPr>
        <w:numPr>
          <w:ilvl w:val="0"/>
          <w:numId w:val="5"/>
        </w:numPr>
        <w:autoSpaceDE w:val="0"/>
        <w:autoSpaceDN w:val="0"/>
        <w:adjustRightInd w:val="0"/>
        <w:snapToGrid w:val="0"/>
        <w:spacing w:line="360" w:lineRule="auto"/>
        <w:outlineLvl w:val="0"/>
        <w:rPr>
          <w:rFonts w:ascii="宋体" w:hAnsi="宋体" w:cs="宋体"/>
          <w:b/>
          <w:color w:val="auto"/>
          <w:sz w:val="24"/>
          <w:highlight w:val="none"/>
        </w:rPr>
      </w:pPr>
      <w:bookmarkStart w:id="243" w:name="_Toc363737723"/>
      <w:bookmarkStart w:id="244" w:name="_Toc475104518"/>
      <w:r>
        <w:rPr>
          <w:rFonts w:hint="eastAsia" w:ascii="宋体" w:hAnsi="宋体" w:cs="宋体"/>
          <w:b/>
          <w:color w:val="auto"/>
          <w:sz w:val="24"/>
          <w:highlight w:val="none"/>
        </w:rPr>
        <w:t>其他</w:t>
      </w:r>
      <w:bookmarkEnd w:id="243"/>
      <w:bookmarkEnd w:id="244"/>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5" w:name="_Toc475104519"/>
      <w:bookmarkStart w:id="246" w:name="_Toc363737724"/>
      <w:r>
        <w:rPr>
          <w:rFonts w:hint="eastAsia" w:ascii="宋体" w:hAnsi="宋体" w:cs="宋体"/>
          <w:color w:val="auto"/>
          <w:szCs w:val="21"/>
          <w:highlight w:val="none"/>
        </w:rPr>
        <w:t>本项目相关公告在以下媒体发布：中国采购与招标网（网址：www.chinabidding.com.cn）、广州市信怡招标代理有限公司网站（www.gzxyzb.com）和广东省农业科学院动物科学研究所网站（new.gdias.net或www.gdias.com ）。相关公告在法定媒体上公布之日即视为有效送达，不再另行通知。</w:t>
      </w:r>
      <w:bookmarkEnd w:id="245"/>
      <w:bookmarkEnd w:id="246"/>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7" w:name="_Toc475104520"/>
      <w:bookmarkStart w:id="248" w:name="_Toc363737725"/>
      <w:r>
        <w:rPr>
          <w:rFonts w:hint="eastAsia" w:ascii="宋体" w:hAnsi="宋体" w:cs="宋体"/>
          <w:color w:val="auto"/>
          <w:szCs w:val="21"/>
          <w:highlight w:val="none"/>
        </w:rPr>
        <w:t>其他未尽事宜，依照《中华人民共和国政府采购法》和省市相关法律、法规执行。</w:t>
      </w:r>
      <w:bookmarkEnd w:id="247"/>
      <w:bookmarkEnd w:id="248"/>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说明：本部分格式为报价人提交询问函、质疑函时使用，不属于响应文件格式的组成部分。</w:t>
      </w:r>
    </w:p>
    <w:p>
      <w:pPr>
        <w:jc w:val="center"/>
        <w:rPr>
          <w:rFonts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询问函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于年月日组织的政府采购活动。根据《政府采购法》和《政府采购报价人投诉处理办法》等规定，我公司认为</w:t>
      </w:r>
      <w:r>
        <w:rPr>
          <w:rFonts w:hint="eastAsia" w:ascii="宋体" w:hAnsi="宋体"/>
          <w:color w:val="auto"/>
          <w:szCs w:val="21"/>
          <w:highlight w:val="none"/>
          <w:u w:val="single"/>
        </w:rPr>
        <w:t>（采购项目名称）（采购项目编号：）</w:t>
      </w:r>
      <w:r>
        <w:rPr>
          <w:rFonts w:hint="eastAsia" w:ascii="宋体" w:hAnsi="宋体"/>
          <w:color w:val="auto"/>
          <w:szCs w:val="21"/>
          <w:highlight w:val="none"/>
        </w:rPr>
        <w:t>项目的采购活动中，</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．质疑内容采购文件页，内容“”损害了我公司权益，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我方请求采购文件做如下修改：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我方对采购文件其他内容无质疑。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．于年月日，在进行的（收取采购文件（样品）、开标、谈判）过程，发生损害了我公司权益的事项，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．于年月日公布的中标（成交）结果，发生损害了我公司权益的事项，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质疑报价人</w:t>
      </w:r>
      <w:r>
        <w:rPr>
          <w:rFonts w:hint="eastAsia" w:ascii="宋体" w:hAnsi="宋体"/>
          <w:color w:val="auto"/>
          <w:szCs w:val="21"/>
          <w:highlight w:val="none"/>
          <w:u w:val="single"/>
        </w:rPr>
        <w:t>：（签章）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报价人质疑、投诉应当有明确的请求和必要的证明材料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报价人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9"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50" w:name="_Toc475104521"/>
      <w:r>
        <w:rPr>
          <w:rFonts w:cs="ZWAdobeF"/>
          <w:b w:val="0"/>
          <w:color w:val="auto"/>
          <w:sz w:val="2"/>
          <w:szCs w:val="2"/>
          <w:highlight w:val="none"/>
        </w:rPr>
        <w:t>2B2B</w:t>
      </w:r>
      <w:r>
        <w:rPr>
          <w:rFonts w:hint="eastAsia"/>
          <w:color w:val="auto"/>
          <w:sz w:val="44"/>
          <w:highlight w:val="none"/>
        </w:rPr>
        <w:t>第三章</w:t>
      </w:r>
      <w:bookmarkStart w:id="251" w:name="_Toc10525517"/>
      <w:r>
        <w:rPr>
          <w:rFonts w:hint="eastAsia"/>
          <w:color w:val="auto"/>
          <w:sz w:val="44"/>
          <w:highlight w:val="none"/>
        </w:rPr>
        <w:t xml:space="preserve"> 采购人需求书</w:t>
      </w:r>
      <w:bookmarkEnd w:id="229"/>
      <w:bookmarkEnd w:id="230"/>
      <w:bookmarkEnd w:id="249"/>
      <w:bookmarkEnd w:id="250"/>
      <w:bookmarkEnd w:id="251"/>
    </w:p>
    <w:p>
      <w:pPr>
        <w:spacing w:line="360" w:lineRule="auto"/>
        <w:rPr>
          <w:rFonts w:ascii="宋体" w:hAnsi="宋体"/>
          <w:color w:val="auto"/>
          <w:highlight w:val="none"/>
        </w:rPr>
      </w:pPr>
      <w:bookmarkStart w:id="252" w:name="_Toc14450822"/>
      <w:bookmarkStart w:id="253" w:name="_Toc28489480"/>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4" w:name="_Toc321815821"/>
      <w:bookmarkEnd w:id="254"/>
      <w:bookmarkStart w:id="255" w:name="_Toc321815819"/>
      <w:bookmarkEnd w:id="255"/>
      <w:bookmarkStart w:id="256" w:name="_Toc321815825"/>
      <w:bookmarkEnd w:id="256"/>
      <w:bookmarkStart w:id="257" w:name="_Toc321815807"/>
      <w:bookmarkEnd w:id="257"/>
      <w:bookmarkStart w:id="258" w:name="_Toc321815820"/>
      <w:bookmarkEnd w:id="258"/>
      <w:bookmarkStart w:id="259" w:name="_Toc321815805"/>
      <w:bookmarkEnd w:id="259"/>
      <w:bookmarkStart w:id="260" w:name="_Toc321815824"/>
      <w:bookmarkEnd w:id="260"/>
      <w:bookmarkStart w:id="261" w:name="_Toc321815826"/>
      <w:bookmarkEnd w:id="261"/>
      <w:bookmarkStart w:id="262" w:name="_Toc321815815"/>
      <w:bookmarkEnd w:id="262"/>
      <w:bookmarkStart w:id="263" w:name="_Toc321815816"/>
      <w:bookmarkEnd w:id="263"/>
      <w:bookmarkStart w:id="264" w:name="_Toc321815810"/>
      <w:bookmarkEnd w:id="264"/>
      <w:bookmarkStart w:id="265" w:name="_Toc321815808"/>
      <w:bookmarkEnd w:id="265"/>
      <w:bookmarkStart w:id="266" w:name="_Toc321815818"/>
      <w:bookmarkEnd w:id="266"/>
      <w:bookmarkStart w:id="267" w:name="_Toc321815822"/>
      <w:bookmarkEnd w:id="267"/>
      <w:bookmarkStart w:id="268" w:name="_Toc321815817"/>
      <w:bookmarkEnd w:id="268"/>
      <w:bookmarkStart w:id="269" w:name="_Toc321815812"/>
      <w:bookmarkEnd w:id="269"/>
      <w:bookmarkStart w:id="270" w:name="_Toc321815814"/>
      <w:bookmarkEnd w:id="270"/>
      <w:bookmarkStart w:id="271" w:name="_Toc321815804"/>
      <w:bookmarkEnd w:id="271"/>
      <w:bookmarkStart w:id="272" w:name="_Toc321815811"/>
      <w:bookmarkEnd w:id="272"/>
      <w:bookmarkStart w:id="273" w:name="_Toc321815806"/>
      <w:bookmarkEnd w:id="273"/>
      <w:bookmarkStart w:id="274" w:name="_Toc321815802"/>
      <w:bookmarkEnd w:id="274"/>
      <w:bookmarkStart w:id="275" w:name="_Toc321815823"/>
      <w:bookmarkEnd w:id="275"/>
      <w:bookmarkStart w:id="276" w:name="_Toc321815801"/>
      <w:bookmarkEnd w:id="276"/>
      <w:bookmarkStart w:id="277" w:name="_Toc321815813"/>
      <w:bookmarkEnd w:id="277"/>
      <w:bookmarkStart w:id="278" w:name="_Toc321815809"/>
      <w:bookmarkEnd w:id="278"/>
      <w:bookmarkStart w:id="279"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说明：</w:t>
      </w: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1. 供应商须对所响应项目进行整体响应，任何只对其中一部分内容进行的响应都被视为无效响应。</w:t>
      </w: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2. 标有“★”的条款为实质性响应条款，供应商如有任何一条未完全响应，则将导致其响应无效。</w:t>
      </w:r>
    </w:p>
    <w:p>
      <w:pPr>
        <w:pStyle w:val="2"/>
        <w:rPr>
          <w:color w:val="auto"/>
          <w:highlight w:val="none"/>
        </w:rPr>
      </w:pPr>
    </w:p>
    <w:bookmarkEnd w:id="252"/>
    <w:bookmarkEnd w:id="253"/>
    <w:bookmarkEnd w:id="279"/>
    <w:p>
      <w:pPr>
        <w:pStyle w:val="46"/>
        <w:tabs>
          <w:tab w:val="left" w:pos="7740"/>
        </w:tabs>
        <w:adjustRightInd w:val="0"/>
        <w:snapToGrid w:val="0"/>
        <w:spacing w:beforeLines="50" w:line="360" w:lineRule="auto"/>
        <w:outlineLvl w:val="1"/>
        <w:rPr>
          <w:rFonts w:hint="eastAsia" w:asciiTheme="minorEastAsia" w:hAnsiTheme="minorEastAsia" w:eastAsiaTheme="minorEastAsia" w:cstheme="minorEastAsia"/>
          <w:b/>
          <w:color w:val="auto"/>
          <w:sz w:val="21"/>
          <w:szCs w:val="21"/>
          <w:highlight w:val="none"/>
          <w:lang w:val="zh-CN"/>
        </w:rPr>
      </w:pPr>
      <w:bookmarkStart w:id="280" w:name="_Toc483158260"/>
      <w:r>
        <w:rPr>
          <w:rFonts w:hint="eastAsia" w:asciiTheme="minorEastAsia" w:hAnsiTheme="minorEastAsia" w:eastAsiaTheme="minorEastAsia" w:cstheme="minorEastAsia"/>
          <w:b/>
          <w:color w:val="auto"/>
          <w:sz w:val="21"/>
          <w:szCs w:val="21"/>
          <w:highlight w:val="none"/>
          <w:lang w:val="zh-CN"/>
        </w:rPr>
        <w:t>一、项目情况介绍</w:t>
      </w:r>
    </w:p>
    <w:p>
      <w:pPr>
        <w:spacing w:line="360" w:lineRule="auto"/>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（一）项目名称：广东省农业科学院领军人才项目微生物实验室通风与洁净系统设备采购及配套服务项目采购</w:t>
      </w:r>
    </w:p>
    <w:p>
      <w:pPr>
        <w:spacing w:line="360" w:lineRule="auto"/>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（二）采购人：广东省农业科学院动物科学研究所</w:t>
      </w:r>
    </w:p>
    <w:p>
      <w:pPr>
        <w:spacing w:line="360" w:lineRule="auto"/>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（三）项目实施地点：天河区大丰一街1号动科所内</w:t>
      </w:r>
    </w:p>
    <w:p>
      <w:pPr>
        <w:spacing w:line="360" w:lineRule="auto"/>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（四）采购预算：人民币462995.16元</w:t>
      </w:r>
    </w:p>
    <w:p>
      <w:pPr>
        <w:pStyle w:val="46"/>
        <w:tabs>
          <w:tab w:val="left" w:pos="7740"/>
        </w:tabs>
        <w:adjustRightInd w:val="0"/>
        <w:snapToGrid w:val="0"/>
        <w:spacing w:beforeLines="50" w:line="360" w:lineRule="auto"/>
        <w:outlineLvl w:val="1"/>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zh-CN"/>
        </w:rPr>
        <w:t>二、商务要求</w:t>
      </w:r>
    </w:p>
    <w:p>
      <w:pPr>
        <w:spacing w:line="360" w:lineRule="auto"/>
        <w:ind w:firstLine="420" w:firstLineChars="200"/>
        <w:rPr>
          <w:rFonts w:hint="eastAsia" w:asciiTheme="minorEastAsia" w:hAnsiTheme="minorEastAsia" w:eastAsiaTheme="minorEastAsia" w:cstheme="minorEastAsia"/>
          <w:color w:val="auto"/>
          <w:sz w:val="21"/>
          <w:szCs w:val="21"/>
          <w:highlight w:val="none"/>
          <w:lang w:val="zh-CN"/>
        </w:rPr>
      </w:pPr>
      <w:bookmarkStart w:id="281" w:name="_Toc317609047"/>
      <w:r>
        <w:rPr>
          <w:rFonts w:hint="eastAsia" w:asciiTheme="minorEastAsia" w:hAnsiTheme="minorEastAsia" w:eastAsiaTheme="minorEastAsia" w:cstheme="minorEastAsia"/>
          <w:color w:val="auto"/>
          <w:sz w:val="21"/>
          <w:szCs w:val="21"/>
          <w:highlight w:val="none"/>
          <w:lang w:val="zh-CN"/>
        </w:rPr>
        <w:t>1</w:t>
      </w:r>
      <w:bookmarkEnd w:id="281"/>
      <w:r>
        <w:rPr>
          <w:rFonts w:hint="eastAsia" w:asciiTheme="minorEastAsia" w:hAnsiTheme="minorEastAsia" w:eastAsiaTheme="minorEastAsia" w:cstheme="minorEastAsia"/>
          <w:color w:val="auto"/>
          <w:sz w:val="21"/>
          <w:szCs w:val="21"/>
          <w:highlight w:val="none"/>
          <w:lang w:val="zh-CN"/>
        </w:rPr>
        <w:t>、合同履行期限：</w:t>
      </w:r>
      <w:r>
        <w:rPr>
          <w:rFonts w:hint="eastAsia" w:asciiTheme="minorEastAsia" w:hAnsiTheme="minorEastAsia" w:eastAsiaTheme="minorEastAsia" w:cstheme="minorEastAsia"/>
          <w:color w:val="auto"/>
          <w:sz w:val="21"/>
          <w:szCs w:val="21"/>
          <w:highlight w:val="none"/>
        </w:rPr>
        <w:t>35</w:t>
      </w:r>
      <w:r>
        <w:rPr>
          <w:rFonts w:hint="eastAsia" w:asciiTheme="minorEastAsia" w:hAnsiTheme="minorEastAsia" w:eastAsiaTheme="minorEastAsia" w:cstheme="minorEastAsia"/>
          <w:color w:val="auto"/>
          <w:sz w:val="21"/>
          <w:szCs w:val="21"/>
          <w:highlight w:val="none"/>
          <w:lang w:val="zh-CN"/>
        </w:rPr>
        <w:t>日历天内。</w:t>
      </w:r>
    </w:p>
    <w:p>
      <w:pPr>
        <w:spacing w:line="360" w:lineRule="auto"/>
        <w:ind w:firstLine="420" w:firstLineChars="200"/>
        <w:rPr>
          <w:rFonts w:hint="eastAsia" w:asciiTheme="minorEastAsia" w:hAnsiTheme="minorEastAsia" w:eastAsiaTheme="minorEastAsia" w:cstheme="minorEastAsia"/>
          <w:color w:val="auto"/>
          <w:sz w:val="21"/>
          <w:szCs w:val="21"/>
          <w:highlight w:val="none"/>
          <w:lang w:val="zh-CN"/>
        </w:rPr>
      </w:pPr>
      <w:bookmarkStart w:id="282" w:name="_Toc317609048"/>
      <w:r>
        <w:rPr>
          <w:rFonts w:hint="eastAsia" w:asciiTheme="minorEastAsia" w:hAnsiTheme="minorEastAsia" w:eastAsiaTheme="minorEastAsia" w:cstheme="minorEastAsia"/>
          <w:color w:val="auto"/>
          <w:sz w:val="21"/>
          <w:szCs w:val="21"/>
          <w:highlight w:val="none"/>
          <w:lang w:val="zh-CN"/>
        </w:rPr>
        <w:t>2、质量要求：按国家相关规范规程一次性验收达到合格标准。</w:t>
      </w:r>
      <w:bookmarkEnd w:id="282"/>
    </w:p>
    <w:p>
      <w:pPr>
        <w:spacing w:line="360" w:lineRule="auto"/>
        <w:ind w:firstLine="420" w:firstLineChars="200"/>
        <w:rPr>
          <w:rFonts w:hint="eastAsia" w:asciiTheme="minorEastAsia" w:hAnsiTheme="minorEastAsia" w:eastAsiaTheme="minorEastAsia" w:cstheme="minorEastAsia"/>
          <w:color w:val="auto"/>
          <w:sz w:val="21"/>
          <w:szCs w:val="21"/>
          <w:highlight w:val="none"/>
          <w:lang w:val="zh-CN"/>
        </w:rPr>
      </w:pPr>
      <w:bookmarkStart w:id="283" w:name="_Toc317609049"/>
      <w:r>
        <w:rPr>
          <w:rFonts w:hint="eastAsia" w:asciiTheme="minorEastAsia" w:hAnsiTheme="minorEastAsia" w:eastAsiaTheme="minorEastAsia" w:cstheme="minorEastAsia"/>
          <w:color w:val="auto"/>
          <w:sz w:val="21"/>
          <w:szCs w:val="21"/>
          <w:highlight w:val="none"/>
        </w:rPr>
        <w:t>3</w:t>
      </w:r>
      <w:r>
        <w:rPr>
          <w:rFonts w:hint="eastAsia" w:asciiTheme="minorEastAsia" w:hAnsiTheme="minorEastAsia" w:eastAsiaTheme="minorEastAsia" w:cstheme="minorEastAsia"/>
          <w:color w:val="auto"/>
          <w:sz w:val="21"/>
          <w:szCs w:val="21"/>
          <w:highlight w:val="none"/>
          <w:lang w:val="zh-CN"/>
        </w:rPr>
        <w:t>、安全文明安装要求：按广州市的相关规定执行。</w:t>
      </w:r>
      <w:bookmarkEnd w:id="283"/>
    </w:p>
    <w:p>
      <w:pPr>
        <w:pStyle w:val="46"/>
        <w:tabs>
          <w:tab w:val="left" w:pos="7740"/>
        </w:tabs>
        <w:adjustRightInd w:val="0"/>
        <w:snapToGrid w:val="0"/>
        <w:spacing w:beforeLines="50" w:line="360" w:lineRule="auto"/>
        <w:outlineLvl w:val="1"/>
        <w:rPr>
          <w:rFonts w:hint="eastAsia" w:asciiTheme="minorEastAsia" w:hAnsiTheme="minorEastAsia" w:eastAsiaTheme="minorEastAsia" w:cstheme="minorEastAsia"/>
          <w:b/>
          <w:color w:val="auto"/>
          <w:sz w:val="21"/>
          <w:szCs w:val="21"/>
          <w:highlight w:val="none"/>
          <w:lang w:val="zh-CN"/>
        </w:rPr>
      </w:pPr>
      <w:bookmarkStart w:id="284" w:name="_Toc399775094"/>
      <w:r>
        <w:rPr>
          <w:rFonts w:hint="eastAsia" w:asciiTheme="minorEastAsia" w:hAnsiTheme="minorEastAsia" w:eastAsiaTheme="minorEastAsia" w:cstheme="minorEastAsia"/>
          <w:b/>
          <w:color w:val="auto"/>
          <w:sz w:val="21"/>
          <w:szCs w:val="21"/>
          <w:highlight w:val="none"/>
          <w:lang w:val="zh-CN"/>
        </w:rPr>
        <w:t>三、项目范围</w:t>
      </w:r>
      <w:bookmarkEnd w:id="284"/>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本次招标实验室建设内容主要包括：实验室排风系统、实验室洁净系统、废气处理系统等设备及安装服务。</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实验室排风系统：含室内换气排风系统、废气处理系统：包含深化设计，风机，风阀、管道，智能控制系统、废气处理系统等设备的采购，安装、施工、调试，验收，维护。</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实验室洁净系统：包含深化设计，洁净设备，管道，洁净照明、风阀、电气、压力表，控制系统等设备的采购，安装、施工、调试，验收，维护。</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本项目是交钥匙工程，包括设备采购及相关运输、设计、安装、调试、培训、售后等服务。</w:t>
      </w:r>
    </w:p>
    <w:p>
      <w:pPr>
        <w:pStyle w:val="46"/>
        <w:numPr>
          <w:ilvl w:val="0"/>
          <w:numId w:val="7"/>
        </w:numPr>
        <w:tabs>
          <w:tab w:val="left" w:pos="7740"/>
        </w:tabs>
        <w:adjustRightInd w:val="0"/>
        <w:snapToGrid w:val="0"/>
        <w:spacing w:beforeLines="50" w:line="360" w:lineRule="auto"/>
        <w:outlineLvl w:val="1"/>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zh-CN"/>
        </w:rPr>
        <w:t>技术范围</w:t>
      </w:r>
    </w:p>
    <w:p>
      <w:pPr>
        <w:tabs>
          <w:tab w:val="left" w:pos="944"/>
        </w:tabs>
        <w:adjustRightInd w:val="0"/>
        <w:spacing w:line="400" w:lineRule="exact"/>
        <w:ind w:firstLine="422" w:firstLineChars="200"/>
        <w:outlineLvl w:val="2"/>
        <w:rPr>
          <w:rFonts w:hint="eastAsia" w:asciiTheme="minorEastAsia" w:hAnsiTheme="minorEastAsia" w:eastAsiaTheme="minorEastAsia" w:cstheme="minorEastAsia"/>
          <w:b/>
          <w:color w:val="auto"/>
          <w:sz w:val="21"/>
          <w:szCs w:val="21"/>
          <w:highlight w:val="none"/>
        </w:rPr>
      </w:pPr>
      <w:bookmarkStart w:id="285" w:name="_Toc399775097"/>
      <w:r>
        <w:rPr>
          <w:rFonts w:hint="eastAsia" w:asciiTheme="minorEastAsia" w:hAnsiTheme="minorEastAsia" w:eastAsiaTheme="minorEastAsia" w:cstheme="minorEastAsia"/>
          <w:b/>
          <w:color w:val="auto"/>
          <w:sz w:val="21"/>
          <w:szCs w:val="21"/>
          <w:highlight w:val="none"/>
        </w:rPr>
        <w:t>1、建设原则</w:t>
      </w:r>
      <w:bookmarkEnd w:id="285"/>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实验室建设整体原则：安全第一、实用性强、节能高效</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1.1安全第一：</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A、实验室外来人员安全保护</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B、实验室办公人员安全保护</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C、实验室人员安全保护</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D、实验室操作仪器安全保护</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E、实验室样品安全保护</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F、实验室系统运行安全保护</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G、环保安全保护—废气、废水</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1.2实用性强：</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A、满足实验操作的要求，针对不同实验室要求提供不同的解决方案。</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B、满足仪器操作的要求，为仪器配备环境要求与使用要求。</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1.3节能高效：</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A、由于实验室是一个高能耗、长期运转的系统，建设过程中一定围绕着电力节能、净化设备节能、排风节能等方面综合考虑，减少实验室的维护成本。</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p>
    <w:p>
      <w:pPr>
        <w:tabs>
          <w:tab w:val="left" w:pos="944"/>
        </w:tabs>
        <w:adjustRightInd w:val="0"/>
        <w:spacing w:line="400" w:lineRule="exact"/>
        <w:ind w:firstLine="422" w:firstLineChars="200"/>
        <w:outlineLvl w:val="2"/>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2、建设要求</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本建设项目的基本要求</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2.1人文建筑与生态环境相结合。</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2.2设计理念的先进性、功能分区的合理性、基础设施的实用性、实验室管理的协调性、与检验流程的合理匹配性及实验室环境设施安全性。</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2.3科技创新，服务一流。</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2.4安全可靠:从授权准入、功能布局、气流控制、安全设施等角度，确保人员、样品、数据和仪器等安全；</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2.5设计规范:实验室设计参照或执行欧美和国家相关实验室建设要求及标准；</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2.6实用美观:装饰设计和家具布置充分体现行业特点和独特风格，选材符合实验室环境要求；</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2.7环境舒适:设计以人为本，各专业相互协调，互为补充，营造一个舒适的实验环境。</w:t>
      </w:r>
    </w:p>
    <w:p>
      <w:pPr>
        <w:tabs>
          <w:tab w:val="left" w:pos="944"/>
        </w:tabs>
        <w:adjustRightInd w:val="0"/>
        <w:spacing w:line="400" w:lineRule="exact"/>
        <w:ind w:firstLine="420" w:firstLineChars="200"/>
        <w:outlineLvl w:val="2"/>
        <w:rPr>
          <w:rFonts w:hint="eastAsia" w:asciiTheme="minorEastAsia" w:hAnsiTheme="minorEastAsia" w:eastAsiaTheme="minorEastAsia" w:cstheme="minorEastAsia"/>
          <w:color w:val="auto"/>
          <w:sz w:val="21"/>
          <w:szCs w:val="21"/>
          <w:highlight w:val="none"/>
        </w:rPr>
      </w:pPr>
      <w:bookmarkStart w:id="286" w:name="_Toc399775099"/>
      <w:r>
        <w:rPr>
          <w:rFonts w:hint="eastAsia" w:asciiTheme="minorEastAsia" w:hAnsiTheme="minorEastAsia" w:eastAsiaTheme="minorEastAsia" w:cstheme="minorEastAsia"/>
          <w:color w:val="auto"/>
          <w:sz w:val="21"/>
          <w:szCs w:val="21"/>
          <w:highlight w:val="none"/>
        </w:rPr>
        <w:t>3、工艺要求</w:t>
      </w:r>
      <w:bookmarkEnd w:id="286"/>
      <w:r>
        <w:rPr>
          <w:rFonts w:hint="eastAsia" w:asciiTheme="minorEastAsia" w:hAnsiTheme="minorEastAsia" w:eastAsiaTheme="minorEastAsia" w:cstheme="minorEastAsia"/>
          <w:color w:val="auto"/>
          <w:sz w:val="21"/>
          <w:szCs w:val="21"/>
          <w:highlight w:val="none"/>
        </w:rPr>
        <w:tab/>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将实验室区域与办公区域分开。实验区域设有准入系统，凭卡入内。不同实验室进行不同级别的准入授权及门禁控制，便于实验室控制与管理。</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实验室与辅助功能间之间相互协调，按照实验室功能流程合理分布。合理的划分实验室工作空间，实现空间利用最大化，使用功能最优化，实验流程一体化，确保各设计指标均符合人体工程学原理，为实验室工作者创造健康、舒适的工作环境，减少实验人员的危险。</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A、办公区域和实验区域分开，主实验区与辅助实验区分开；</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B、清洁区、污染区分开，人流、物流和污物流分开，以保障样品无交叉污染，保证实验数据的正确性；</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C、预处理和仪器分析分开；不同种类的样品处理分开；不同种类可能相互干扰的仪器分开；</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D、根据实验科目和流程，对主实验室和辅助室规范、协调布局。</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F、在用材选择上将要求严格控制，针对不同功能的空间使用符合要求的耐腐蚀材料，对各类产品的结构进行优化设计，使其使用寿命及稳定性均达到国内先进实验室的水平。</w:t>
      </w:r>
    </w:p>
    <w:p>
      <w:pPr>
        <w:adjustRightInd w:val="0"/>
        <w:spacing w:line="360" w:lineRule="auto"/>
        <w:ind w:firstLine="422" w:firstLineChars="200"/>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4 、楼层分布情况如下：</w:t>
      </w:r>
    </w:p>
    <w:tbl>
      <w:tblPr>
        <w:tblStyle w:val="89"/>
        <w:tblW w:w="9260" w:type="dxa"/>
        <w:tblInd w:w="93" w:type="dxa"/>
        <w:tblLayout w:type="fixed"/>
        <w:tblCellMar>
          <w:top w:w="0" w:type="dxa"/>
          <w:left w:w="108" w:type="dxa"/>
          <w:bottom w:w="0" w:type="dxa"/>
          <w:right w:w="108" w:type="dxa"/>
        </w:tblCellMar>
      </w:tblPr>
      <w:tblGrid>
        <w:gridCol w:w="2100"/>
        <w:gridCol w:w="2940"/>
        <w:gridCol w:w="2560"/>
        <w:gridCol w:w="1660"/>
      </w:tblGrid>
      <w:tr>
        <w:tblPrEx>
          <w:tblCellMar>
            <w:top w:w="0" w:type="dxa"/>
            <w:left w:w="108" w:type="dxa"/>
            <w:bottom w:w="0" w:type="dxa"/>
            <w:right w:w="108" w:type="dxa"/>
          </w:tblCellMar>
        </w:tblPrEx>
        <w:trPr>
          <w:trHeight w:val="402" w:hRule="atLeast"/>
        </w:trPr>
        <w:tc>
          <w:tcPr>
            <w:tcW w:w="21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bookmarkStart w:id="287" w:name="_Toc399775100"/>
            <w:r>
              <w:rPr>
                <w:rFonts w:hint="eastAsia" w:asciiTheme="minorEastAsia" w:hAnsiTheme="minorEastAsia" w:eastAsiaTheme="minorEastAsia" w:cstheme="minorEastAsia"/>
                <w:color w:val="auto"/>
                <w:kern w:val="0"/>
                <w:sz w:val="21"/>
                <w:szCs w:val="21"/>
                <w:highlight w:val="none"/>
              </w:rPr>
              <w:t>依托单位</w:t>
            </w:r>
          </w:p>
        </w:tc>
        <w:tc>
          <w:tcPr>
            <w:tcW w:w="29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功能区域</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拟安排建筑面积（M</w:t>
            </w:r>
            <w:r>
              <w:rPr>
                <w:rFonts w:hint="eastAsia" w:asciiTheme="minorEastAsia" w:hAnsiTheme="minorEastAsia" w:eastAsiaTheme="minorEastAsia" w:cstheme="minorEastAsia"/>
                <w:color w:val="auto"/>
                <w:kern w:val="0"/>
                <w:sz w:val="21"/>
                <w:szCs w:val="21"/>
                <w:highlight w:val="none"/>
                <w:vertAlign w:val="superscript"/>
              </w:rPr>
              <w:t>2</w:t>
            </w:r>
            <w:r>
              <w:rPr>
                <w:rFonts w:hint="eastAsia" w:asciiTheme="minorEastAsia" w:hAnsiTheme="minorEastAsia" w:eastAsiaTheme="minorEastAsia" w:cstheme="minorEastAsia"/>
                <w:color w:val="auto"/>
                <w:kern w:val="0"/>
                <w:sz w:val="21"/>
                <w:szCs w:val="21"/>
                <w:highlight w:val="none"/>
              </w:rPr>
              <w:t>）</w:t>
            </w:r>
          </w:p>
        </w:tc>
        <w:tc>
          <w:tcPr>
            <w:tcW w:w="16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拟安排楼层</w:t>
            </w:r>
          </w:p>
        </w:tc>
      </w:tr>
      <w:tr>
        <w:tblPrEx>
          <w:tblCellMar>
            <w:top w:w="0" w:type="dxa"/>
            <w:left w:w="108" w:type="dxa"/>
            <w:bottom w:w="0" w:type="dxa"/>
            <w:right w:w="108" w:type="dxa"/>
          </w:tblCellMar>
        </w:tblPrEx>
        <w:trPr>
          <w:trHeight w:val="402" w:hRule="atLeast"/>
        </w:trPr>
        <w:tc>
          <w:tcPr>
            <w:tcW w:w="2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对应楼层安排面积</w:t>
            </w:r>
          </w:p>
        </w:tc>
        <w:tc>
          <w:tcPr>
            <w:tcW w:w="16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r>
      <w:tr>
        <w:tblPrEx>
          <w:tblCellMar>
            <w:top w:w="0" w:type="dxa"/>
            <w:left w:w="108" w:type="dxa"/>
            <w:bottom w:w="0" w:type="dxa"/>
            <w:right w:w="108" w:type="dxa"/>
          </w:tblCellMar>
        </w:tblPrEx>
        <w:trPr>
          <w:trHeight w:val="402" w:hRule="atLeast"/>
        </w:trPr>
        <w:tc>
          <w:tcPr>
            <w:tcW w:w="21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一层实验室</w:t>
            </w:r>
          </w:p>
        </w:tc>
        <w:tc>
          <w:tcPr>
            <w:tcW w:w="2940" w:type="dxa"/>
            <w:tcBorders>
              <w:top w:val="nil"/>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中心实验室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133.79</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nil"/>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精密仪器室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69.9</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一层</w:t>
            </w:r>
          </w:p>
        </w:tc>
      </w:tr>
      <w:tr>
        <w:tblPrEx>
          <w:tblCellMar>
            <w:top w:w="0" w:type="dxa"/>
            <w:left w:w="108" w:type="dxa"/>
            <w:bottom w:w="0" w:type="dxa"/>
            <w:right w:w="108" w:type="dxa"/>
          </w:tblCellMar>
        </w:tblPrEx>
        <w:trPr>
          <w:trHeight w:val="469"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nil"/>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清洗室/灭菌室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26.5</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nil"/>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细胞实验室（含准备室</w:t>
            </w:r>
          </w:p>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、更衣、缓冲室）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42.5</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nil"/>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菌种库</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36.76</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成果展示厅</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28.10</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nil"/>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服务器室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10.3</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一层</w:t>
            </w:r>
          </w:p>
        </w:tc>
      </w:tr>
      <w:tr>
        <w:tblPrEx>
          <w:tblCellMar>
            <w:top w:w="0" w:type="dxa"/>
            <w:left w:w="108" w:type="dxa"/>
            <w:bottom w:w="0" w:type="dxa"/>
            <w:right w:w="108" w:type="dxa"/>
          </w:tblCellMar>
        </w:tblPrEx>
        <w:trPr>
          <w:trHeight w:val="402" w:hRule="atLeast"/>
        </w:trPr>
        <w:tc>
          <w:tcPr>
            <w:tcW w:w="21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公共区域（走廊、楼梯、洗手间）</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92.38</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二层</w:t>
            </w:r>
          </w:p>
        </w:tc>
      </w:tr>
      <w:tr>
        <w:tblPrEx>
          <w:tblCellMar>
            <w:top w:w="0" w:type="dxa"/>
            <w:left w:w="108" w:type="dxa"/>
            <w:bottom w:w="0" w:type="dxa"/>
            <w:right w:w="108" w:type="dxa"/>
          </w:tblCellMar>
        </w:tblPrEx>
        <w:trPr>
          <w:trHeight w:val="402" w:hRule="atLeast"/>
        </w:trPr>
        <w:tc>
          <w:tcPr>
            <w:tcW w:w="21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小计</w:t>
            </w:r>
          </w:p>
        </w:tc>
        <w:tc>
          <w:tcPr>
            <w:tcW w:w="29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440.23</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w:t>
            </w:r>
          </w:p>
        </w:tc>
      </w:tr>
      <w:tr>
        <w:tblPrEx>
          <w:tblCellMar>
            <w:top w:w="0" w:type="dxa"/>
            <w:left w:w="108" w:type="dxa"/>
            <w:bottom w:w="0" w:type="dxa"/>
            <w:right w:w="108" w:type="dxa"/>
          </w:tblCellMar>
        </w:tblPrEx>
        <w:trPr>
          <w:trHeight w:val="402" w:hRule="atLeast"/>
        </w:trPr>
        <w:tc>
          <w:tcPr>
            <w:tcW w:w="2100"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二层实验室</w:t>
            </w:r>
          </w:p>
        </w:tc>
        <w:tc>
          <w:tcPr>
            <w:tcW w:w="2940" w:type="dxa"/>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资料档案室</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46.8</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二层</w:t>
            </w:r>
          </w:p>
        </w:tc>
      </w:tr>
      <w:tr>
        <w:tblPrEx>
          <w:tblCellMar>
            <w:top w:w="0" w:type="dxa"/>
            <w:left w:w="108" w:type="dxa"/>
            <w:bottom w:w="0" w:type="dxa"/>
            <w:right w:w="108" w:type="dxa"/>
          </w:tblCellMar>
        </w:tblPrEx>
        <w:trPr>
          <w:trHeight w:val="402" w:hRule="atLeast"/>
        </w:trPr>
        <w:tc>
          <w:tcPr>
            <w:tcW w:w="2100" w:type="dxa"/>
            <w:vMerge w:val="continue"/>
            <w:tcBorders>
              <w:left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学生工作室</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121.4</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二层</w:t>
            </w:r>
          </w:p>
        </w:tc>
      </w:tr>
      <w:tr>
        <w:tblPrEx>
          <w:tblCellMar>
            <w:top w:w="0" w:type="dxa"/>
            <w:left w:w="108" w:type="dxa"/>
            <w:bottom w:w="0" w:type="dxa"/>
            <w:right w:w="108" w:type="dxa"/>
          </w:tblCellMar>
        </w:tblPrEx>
        <w:trPr>
          <w:trHeight w:val="402" w:hRule="atLeast"/>
        </w:trPr>
        <w:tc>
          <w:tcPr>
            <w:tcW w:w="2100" w:type="dxa"/>
            <w:vMerge w:val="continue"/>
            <w:tcBorders>
              <w:left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PI办公室</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31.5</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二层</w:t>
            </w:r>
          </w:p>
        </w:tc>
      </w:tr>
      <w:tr>
        <w:tblPrEx>
          <w:tblCellMar>
            <w:top w:w="0" w:type="dxa"/>
            <w:left w:w="108" w:type="dxa"/>
            <w:bottom w:w="0" w:type="dxa"/>
            <w:right w:w="108" w:type="dxa"/>
          </w:tblCellMar>
        </w:tblPrEx>
        <w:trPr>
          <w:trHeight w:val="402" w:hRule="atLeast"/>
        </w:trPr>
        <w:tc>
          <w:tcPr>
            <w:tcW w:w="2100" w:type="dxa"/>
            <w:vMerge w:val="continue"/>
            <w:tcBorders>
              <w:left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老专家办公室</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16.37</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二层</w:t>
            </w:r>
          </w:p>
        </w:tc>
      </w:tr>
      <w:tr>
        <w:tblPrEx>
          <w:tblCellMar>
            <w:top w:w="0" w:type="dxa"/>
            <w:left w:w="108" w:type="dxa"/>
            <w:bottom w:w="0" w:type="dxa"/>
            <w:right w:w="108" w:type="dxa"/>
          </w:tblCellMar>
        </w:tblPrEx>
        <w:trPr>
          <w:trHeight w:val="402" w:hRule="atLeast"/>
        </w:trPr>
        <w:tc>
          <w:tcPr>
            <w:tcW w:w="2100" w:type="dxa"/>
            <w:vMerge w:val="continue"/>
            <w:tcBorders>
              <w:left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分子实验室</w:t>
            </w:r>
          </w:p>
        </w:tc>
        <w:tc>
          <w:tcPr>
            <w:tcW w:w="25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117.73</w:t>
            </w: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二层</w:t>
            </w:r>
          </w:p>
        </w:tc>
      </w:tr>
      <w:tr>
        <w:tblPrEx>
          <w:tblCellMar>
            <w:top w:w="0" w:type="dxa"/>
            <w:left w:w="108" w:type="dxa"/>
            <w:bottom w:w="0" w:type="dxa"/>
            <w:right w:w="108" w:type="dxa"/>
          </w:tblCellMar>
        </w:tblPrEx>
        <w:trPr>
          <w:trHeight w:val="402" w:hRule="atLeast"/>
        </w:trPr>
        <w:tc>
          <w:tcPr>
            <w:tcW w:w="2100" w:type="dxa"/>
            <w:vMerge w:val="continue"/>
            <w:tcBorders>
              <w:left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2940" w:type="dxa"/>
            <w:tcBorders>
              <w:top w:val="nil"/>
              <w:left w:val="nil"/>
              <w:bottom w:val="single" w:color="auto" w:sz="4" w:space="0"/>
              <w:right w:val="single" w:color="auto" w:sz="4" w:space="0"/>
            </w:tcBorders>
            <w:shd w:val="clear" w:color="auto" w:fill="auto"/>
            <w:vAlign w:val="center"/>
          </w:tcPr>
          <w:p>
            <w:pPr>
              <w:autoSpaceDE w:val="0"/>
              <w:autoSpaceDN w:val="0"/>
              <w:adjustRightInd w:val="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储藏室</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16.2</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二层</w:t>
            </w:r>
          </w:p>
        </w:tc>
      </w:tr>
      <w:tr>
        <w:tblPrEx>
          <w:tblCellMar>
            <w:top w:w="0" w:type="dxa"/>
            <w:left w:w="108" w:type="dxa"/>
            <w:bottom w:w="0" w:type="dxa"/>
            <w:right w:w="108" w:type="dxa"/>
          </w:tblCellMar>
        </w:tblPrEx>
        <w:trPr>
          <w:trHeight w:val="402" w:hRule="atLeast"/>
        </w:trPr>
        <w:tc>
          <w:tcPr>
            <w:tcW w:w="2100" w:type="dxa"/>
            <w:vMerge w:val="continue"/>
            <w:tcBorders>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公共区域（走廊、楼梯、洗手间）</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77.58</w:t>
            </w:r>
          </w:p>
        </w:tc>
        <w:tc>
          <w:tcPr>
            <w:tcW w:w="16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二层</w:t>
            </w:r>
          </w:p>
        </w:tc>
      </w:tr>
      <w:tr>
        <w:tblPrEx>
          <w:tblCellMar>
            <w:top w:w="0" w:type="dxa"/>
            <w:left w:w="108" w:type="dxa"/>
            <w:bottom w:w="0" w:type="dxa"/>
            <w:right w:w="108" w:type="dxa"/>
          </w:tblCellMar>
        </w:tblPrEx>
        <w:trPr>
          <w:trHeight w:val="402" w:hRule="atLeast"/>
        </w:trPr>
        <w:tc>
          <w:tcPr>
            <w:tcW w:w="21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小计</w:t>
            </w:r>
          </w:p>
        </w:tc>
        <w:tc>
          <w:tcPr>
            <w:tcW w:w="294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427.58</w:t>
            </w:r>
          </w:p>
        </w:tc>
        <w:tc>
          <w:tcPr>
            <w:tcW w:w="1660"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　</w:t>
            </w:r>
          </w:p>
        </w:tc>
      </w:tr>
      <w:bookmarkEnd w:id="287"/>
    </w:tbl>
    <w:p>
      <w:pPr>
        <w:spacing w:afterLines="50" w:line="320" w:lineRule="exact"/>
        <w:rPr>
          <w:rFonts w:hint="eastAsia" w:asciiTheme="minorEastAsia" w:hAnsiTheme="minorEastAsia" w:eastAsiaTheme="minorEastAsia" w:cstheme="minorEastAsia"/>
          <w:b/>
          <w:color w:val="auto"/>
          <w:sz w:val="21"/>
          <w:szCs w:val="21"/>
          <w:highlight w:val="none"/>
        </w:rPr>
      </w:pPr>
    </w:p>
    <w:p>
      <w:pPr>
        <w:spacing w:afterLines="50" w:line="320" w:lineRule="exac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5、技术要求</w:t>
      </w:r>
    </w:p>
    <w:p>
      <w:pPr>
        <w:spacing w:afterLines="50" w:line="320" w:lineRule="exact"/>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第一部分实验室排风系统技术要求</w:t>
      </w:r>
    </w:p>
    <w:p>
      <w:pPr>
        <w:spacing w:line="400" w:lineRule="exac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（1）技术标准</w:t>
      </w:r>
    </w:p>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1.1国家标准：</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《采暧排风与空气调节设计规范》（GB50019-2003）。</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《排风与空调工程施工质量验收规范》（GB50243-2002）。</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《简明排风设计手册》（GB50194-2002）。</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《压缩机、风机、泵安装工程施工及验收规范》（JBJ29-2002）。</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《电气装置安装工程低压电器施工及验收规范》（GB50254-96）。</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《大气污染物综合排放标准》（GB16297-1996）。</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《环境空气质量标准》（GB3095-1996）。</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《城市区域环境噪声标准》（GB3096-93）。</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《建筑设计防火规范》（GB50016-2006）。</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《公共建筑节能设计标准》（GB50189-2005）。</w:t>
      </w:r>
    </w:p>
    <w:p>
      <w:pPr>
        <w:pStyle w:val="122"/>
        <w:numPr>
          <w:ilvl w:val="0"/>
          <w:numId w:val="8"/>
        </w:numPr>
        <w:spacing w:line="400" w:lineRule="exact"/>
        <w:ind w:firstLineChars="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建设原则</w:t>
      </w:r>
    </w:p>
    <w:p>
      <w:pPr>
        <w:tabs>
          <w:tab w:val="left" w:pos="960"/>
        </w:tabs>
        <w:spacing w:line="400" w:lineRule="exact"/>
        <w:ind w:left="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2.1根据大楼的结构特点，就近开设风井，划分排风和补风系统，管道系统做到“短、平、顺、直”，减小系统阻力，降低系统噪声；</w:t>
      </w:r>
    </w:p>
    <w:p>
      <w:pPr>
        <w:tabs>
          <w:tab w:val="left" w:pos="960"/>
        </w:tabs>
        <w:spacing w:line="400" w:lineRule="exact"/>
        <w:ind w:left="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2.2排风和补风系统达到风量平衡，保持室内-5Pa—-10Pa的负压，防止有害气体的散溢，保证实验人员的身心健康；</w:t>
      </w:r>
    </w:p>
    <w:p>
      <w:pPr>
        <w:tabs>
          <w:tab w:val="left" w:pos="960"/>
        </w:tabs>
        <w:spacing w:line="400" w:lineRule="exact"/>
        <w:ind w:firstLine="525" w:firstLineChars="2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2.3采用智能变频控制系统，达到操作方便、节能降噪的目的；</w:t>
      </w:r>
    </w:p>
    <w:p>
      <w:pPr>
        <w:tabs>
          <w:tab w:val="left" w:pos="960"/>
        </w:tabs>
        <w:spacing w:line="400" w:lineRule="exact"/>
        <w:ind w:left="420" w:leftChars="200" w:firstLine="105" w:firstLineChars="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2.4综合考虑各项因素，采用投资少、运行稳定、运行费用低、运行效果好的成熟工艺；</w:t>
      </w:r>
    </w:p>
    <w:p>
      <w:pPr>
        <w:tabs>
          <w:tab w:val="left" w:pos="960"/>
        </w:tabs>
        <w:spacing w:line="400" w:lineRule="exact"/>
        <w:ind w:firstLine="525" w:firstLineChars="2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2.5所选择的工艺必须满足现场条件，平面布置简洁、紧凑、少占地，并方便生产操作和维护维修；</w:t>
      </w:r>
    </w:p>
    <w:p>
      <w:pPr>
        <w:tabs>
          <w:tab w:val="left" w:pos="960"/>
        </w:tabs>
        <w:spacing w:line="400" w:lineRule="exact"/>
        <w:ind w:firstLine="525" w:firstLineChars="2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2.6非标设备应符合国家或行业相关规范，并保证性能稳定、外表美观；</w:t>
      </w:r>
    </w:p>
    <w:p>
      <w:pPr>
        <w:tabs>
          <w:tab w:val="left" w:pos="960"/>
        </w:tabs>
        <w:spacing w:line="400" w:lineRule="exact"/>
        <w:ind w:firstLine="525" w:firstLineChars="2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2.7在设计中充分考虑噪声、臭味等，防止二次污染的产生，不给周围环境造成新的污染；</w:t>
      </w:r>
    </w:p>
    <w:p>
      <w:pPr>
        <w:tabs>
          <w:tab w:val="left" w:pos="960"/>
        </w:tabs>
        <w:spacing w:line="400" w:lineRule="exact"/>
        <w:ind w:left="420" w:leftChars="200" w:firstLine="105" w:firstLineChars="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2.8处理设施具备冲击负荷能力，确保废气达标排放。</w:t>
      </w:r>
    </w:p>
    <w:p>
      <w:pPr>
        <w:pStyle w:val="122"/>
        <w:numPr>
          <w:ilvl w:val="0"/>
          <w:numId w:val="8"/>
        </w:numPr>
        <w:tabs>
          <w:tab w:val="left" w:pos="690"/>
        </w:tabs>
        <w:spacing w:line="400" w:lineRule="exact"/>
        <w:ind w:firstLineChars="0"/>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技术参数</w:t>
      </w:r>
    </w:p>
    <w:p>
      <w:pPr>
        <w:spacing w:line="400" w:lineRule="exact"/>
        <w:ind w:firstLine="525" w:firstLineChars="2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3.1支管路内风速6～8m/s, 干管路内风速8～14m/s；</w:t>
      </w:r>
    </w:p>
    <w:p>
      <w:pPr>
        <w:spacing w:line="400" w:lineRule="exact"/>
        <w:ind w:firstLine="525" w:firstLineChars="2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3.2排风设备设计风量：</w:t>
      </w:r>
    </w:p>
    <w:p>
      <w:pPr>
        <w:spacing w:line="400" w:lineRule="exact"/>
        <w:ind w:firstLine="525" w:firstLineChars="250"/>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color w:val="auto"/>
          <w:sz w:val="21"/>
          <w:szCs w:val="21"/>
          <w:highlight w:val="none"/>
        </w:rPr>
        <w:t>排风柜面风速</w:t>
      </w:r>
      <w:r>
        <w:rPr>
          <w:rFonts w:hint="eastAsia" w:asciiTheme="minorEastAsia" w:hAnsiTheme="minorEastAsia" w:eastAsiaTheme="minorEastAsia" w:cstheme="minorEastAsia"/>
          <w:bCs/>
          <w:color w:val="auto"/>
          <w:sz w:val="21"/>
          <w:szCs w:val="21"/>
          <w:highlight w:val="none"/>
        </w:rPr>
        <w:t>：0.3</w:t>
      </w:r>
      <w:r>
        <w:rPr>
          <w:rFonts w:hint="eastAsia" w:asciiTheme="minorEastAsia" w:hAnsiTheme="minorEastAsia" w:eastAsiaTheme="minorEastAsia" w:cstheme="minorEastAsia"/>
          <w:color w:val="auto"/>
          <w:sz w:val="21"/>
          <w:szCs w:val="21"/>
          <w:highlight w:val="none"/>
        </w:rPr>
        <w:t>～0.8</w:t>
      </w:r>
      <w:r>
        <w:rPr>
          <w:rFonts w:hint="eastAsia" w:asciiTheme="minorEastAsia" w:hAnsiTheme="minorEastAsia" w:eastAsiaTheme="minorEastAsia" w:cstheme="minorEastAsia"/>
          <w:bCs/>
          <w:color w:val="auto"/>
          <w:sz w:val="21"/>
          <w:szCs w:val="21"/>
          <w:highlight w:val="none"/>
        </w:rPr>
        <w:t xml:space="preserve"> m/s，单台约1200*800*2350排风柜设计风量≥1500m</w:t>
      </w:r>
      <w:r>
        <w:rPr>
          <w:rFonts w:hint="eastAsia" w:asciiTheme="minorEastAsia" w:hAnsiTheme="minorEastAsia" w:eastAsiaTheme="minorEastAsia" w:cstheme="minorEastAsia"/>
          <w:bCs/>
          <w:color w:val="auto"/>
          <w:sz w:val="21"/>
          <w:szCs w:val="21"/>
          <w:highlight w:val="none"/>
          <w:vertAlign w:val="superscript"/>
        </w:rPr>
        <w:t>3</w:t>
      </w:r>
      <w:r>
        <w:rPr>
          <w:rFonts w:hint="eastAsia" w:asciiTheme="minorEastAsia" w:hAnsiTheme="minorEastAsia" w:eastAsiaTheme="minorEastAsia" w:cstheme="minorEastAsia"/>
          <w:bCs/>
          <w:color w:val="auto"/>
          <w:sz w:val="21"/>
          <w:szCs w:val="21"/>
          <w:highlight w:val="none"/>
        </w:rPr>
        <w:t>/h，单台约1500*800*2350排风柜设计风量≥1800m</w:t>
      </w:r>
      <w:r>
        <w:rPr>
          <w:rFonts w:hint="eastAsia" w:asciiTheme="minorEastAsia" w:hAnsiTheme="minorEastAsia" w:eastAsiaTheme="minorEastAsia" w:cstheme="minorEastAsia"/>
          <w:bCs/>
          <w:color w:val="auto"/>
          <w:sz w:val="21"/>
          <w:szCs w:val="21"/>
          <w:highlight w:val="none"/>
          <w:vertAlign w:val="superscript"/>
        </w:rPr>
        <w:t>3</w:t>
      </w:r>
      <w:r>
        <w:rPr>
          <w:rFonts w:hint="eastAsia" w:asciiTheme="minorEastAsia" w:hAnsiTheme="minorEastAsia" w:eastAsiaTheme="minorEastAsia" w:cstheme="minorEastAsia"/>
          <w:bCs/>
          <w:color w:val="auto"/>
          <w:sz w:val="21"/>
          <w:szCs w:val="21"/>
          <w:highlight w:val="none"/>
        </w:rPr>
        <w:t>/h，单台约1800*800*2350排风柜设计风量≥2200m</w:t>
      </w:r>
      <w:r>
        <w:rPr>
          <w:rFonts w:hint="eastAsia" w:asciiTheme="minorEastAsia" w:hAnsiTheme="minorEastAsia" w:eastAsiaTheme="minorEastAsia" w:cstheme="minorEastAsia"/>
          <w:bCs/>
          <w:color w:val="auto"/>
          <w:sz w:val="21"/>
          <w:szCs w:val="21"/>
          <w:highlight w:val="none"/>
          <w:vertAlign w:val="superscript"/>
        </w:rPr>
        <w:t>3</w:t>
      </w:r>
      <w:r>
        <w:rPr>
          <w:rFonts w:hint="eastAsia" w:asciiTheme="minorEastAsia" w:hAnsiTheme="minorEastAsia" w:eastAsiaTheme="minorEastAsia" w:cstheme="minorEastAsia"/>
          <w:bCs/>
          <w:color w:val="auto"/>
          <w:sz w:val="21"/>
          <w:szCs w:val="21"/>
          <w:highlight w:val="none"/>
        </w:rPr>
        <w:t>/h，万向抽气罩面风速：≥0.35 m/s，</w:t>
      </w:r>
      <w:r>
        <w:rPr>
          <w:rFonts w:hint="eastAsia" w:asciiTheme="minorEastAsia" w:hAnsiTheme="minorEastAsia" w:eastAsiaTheme="minorEastAsia" w:cstheme="minorEastAsia"/>
          <w:color w:val="auto"/>
          <w:sz w:val="21"/>
          <w:szCs w:val="21"/>
          <w:highlight w:val="none"/>
        </w:rPr>
        <w:t>万向抽气罩排风量</w:t>
      </w:r>
      <w:r>
        <w:rPr>
          <w:rFonts w:hint="eastAsia" w:asciiTheme="minorEastAsia" w:hAnsiTheme="minorEastAsia" w:eastAsiaTheme="minorEastAsia" w:cstheme="minorEastAsia"/>
          <w:bCs/>
          <w:color w:val="auto"/>
          <w:sz w:val="21"/>
          <w:szCs w:val="21"/>
          <w:highlight w:val="none"/>
        </w:rPr>
        <w:t>150</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bCs/>
          <w:color w:val="auto"/>
          <w:sz w:val="21"/>
          <w:szCs w:val="21"/>
          <w:highlight w:val="none"/>
        </w:rPr>
        <w:t>300 m</w:t>
      </w:r>
      <w:r>
        <w:rPr>
          <w:rFonts w:hint="eastAsia" w:asciiTheme="minorEastAsia" w:hAnsiTheme="minorEastAsia" w:eastAsiaTheme="minorEastAsia" w:cstheme="minorEastAsia"/>
          <w:bCs/>
          <w:color w:val="auto"/>
          <w:sz w:val="21"/>
          <w:szCs w:val="21"/>
          <w:highlight w:val="none"/>
          <w:vertAlign w:val="superscript"/>
        </w:rPr>
        <w:t>3</w:t>
      </w:r>
      <w:r>
        <w:rPr>
          <w:rFonts w:hint="eastAsia" w:asciiTheme="minorEastAsia" w:hAnsiTheme="minorEastAsia" w:eastAsiaTheme="minorEastAsia" w:cstheme="minorEastAsia"/>
          <w:bCs/>
          <w:color w:val="auto"/>
          <w:sz w:val="21"/>
          <w:szCs w:val="21"/>
          <w:highlight w:val="none"/>
        </w:rPr>
        <w:t>/h，原子吸收罩面风速：≥0.35 m/s，排风量400</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bCs/>
          <w:color w:val="auto"/>
          <w:sz w:val="21"/>
          <w:szCs w:val="21"/>
          <w:highlight w:val="none"/>
        </w:rPr>
        <w:t>600 m</w:t>
      </w:r>
      <w:r>
        <w:rPr>
          <w:rFonts w:hint="eastAsia" w:asciiTheme="minorEastAsia" w:hAnsiTheme="minorEastAsia" w:eastAsiaTheme="minorEastAsia" w:cstheme="minorEastAsia"/>
          <w:bCs/>
          <w:color w:val="auto"/>
          <w:sz w:val="21"/>
          <w:szCs w:val="21"/>
          <w:highlight w:val="none"/>
          <w:vertAlign w:val="superscript"/>
        </w:rPr>
        <w:t>3</w:t>
      </w:r>
      <w:r>
        <w:rPr>
          <w:rFonts w:hint="eastAsia" w:asciiTheme="minorEastAsia" w:hAnsiTheme="minorEastAsia" w:eastAsiaTheme="minorEastAsia" w:cstheme="minorEastAsia"/>
          <w:bCs/>
          <w:color w:val="auto"/>
          <w:sz w:val="21"/>
          <w:szCs w:val="21"/>
          <w:highlight w:val="none"/>
        </w:rPr>
        <w:t>/h（特指400*400规格），药品柜、气瓶柜排风量为≥150m</w:t>
      </w:r>
      <w:r>
        <w:rPr>
          <w:rFonts w:hint="eastAsia" w:asciiTheme="minorEastAsia" w:hAnsiTheme="minorEastAsia" w:eastAsiaTheme="minorEastAsia" w:cstheme="minorEastAsia"/>
          <w:bCs/>
          <w:color w:val="auto"/>
          <w:sz w:val="21"/>
          <w:szCs w:val="21"/>
          <w:highlight w:val="none"/>
          <w:vertAlign w:val="superscript"/>
        </w:rPr>
        <w:t>3</w:t>
      </w:r>
      <w:r>
        <w:rPr>
          <w:rFonts w:hint="eastAsia" w:asciiTheme="minorEastAsia" w:hAnsiTheme="minorEastAsia" w:eastAsiaTheme="minorEastAsia" w:cstheme="minorEastAsia"/>
          <w:bCs/>
          <w:color w:val="auto"/>
          <w:sz w:val="21"/>
          <w:szCs w:val="21"/>
          <w:highlight w:val="none"/>
        </w:rPr>
        <w:t>/h。</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3.3排风量</w:t>
      </w:r>
    </w:p>
    <w:p>
      <w:pPr>
        <w:tabs>
          <w:tab w:val="right" w:pos="180"/>
        </w:tabs>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移动门在工作开启高度</w:t>
      </w:r>
      <w:r>
        <w:rPr>
          <w:rFonts w:hint="eastAsia" w:asciiTheme="minorEastAsia" w:hAnsiTheme="minorEastAsia" w:eastAsiaTheme="minorEastAsia" w:cstheme="minorEastAsia"/>
          <w:bCs/>
          <w:color w:val="auto"/>
          <w:sz w:val="21"/>
          <w:szCs w:val="21"/>
          <w:highlight w:val="none"/>
        </w:rPr>
        <w:t>≥</w:t>
      </w:r>
      <w:r>
        <w:rPr>
          <w:rFonts w:hint="eastAsia" w:asciiTheme="minorEastAsia" w:hAnsiTheme="minorEastAsia" w:eastAsiaTheme="minorEastAsia" w:cstheme="minorEastAsia"/>
          <w:color w:val="auto"/>
          <w:sz w:val="21"/>
          <w:szCs w:val="21"/>
          <w:highlight w:val="none"/>
        </w:rPr>
        <w:t>0.5m，面风速保持</w:t>
      </w:r>
      <w:r>
        <w:rPr>
          <w:rFonts w:hint="eastAsia" w:asciiTheme="minorEastAsia" w:hAnsiTheme="minorEastAsia" w:eastAsiaTheme="minorEastAsia" w:cstheme="minorEastAsia"/>
          <w:bCs/>
          <w:color w:val="auto"/>
          <w:sz w:val="21"/>
          <w:szCs w:val="21"/>
          <w:highlight w:val="none"/>
        </w:rPr>
        <w:t>≥</w:t>
      </w:r>
      <w:r>
        <w:rPr>
          <w:rFonts w:hint="eastAsia" w:asciiTheme="minorEastAsia" w:hAnsiTheme="minorEastAsia" w:eastAsiaTheme="minorEastAsia" w:cstheme="minorEastAsia"/>
          <w:color w:val="auto"/>
          <w:sz w:val="21"/>
          <w:szCs w:val="21"/>
          <w:highlight w:val="none"/>
        </w:rPr>
        <w:t>0.5m/s情况下，实际排风量不得大于计算排风量的5％</w:t>
      </w:r>
      <w:r>
        <w:rPr>
          <w:rFonts w:hint="eastAsia" w:asciiTheme="minorEastAsia" w:hAnsiTheme="minorEastAsia" w:eastAsiaTheme="minorEastAsia" w:cstheme="minorEastAsia"/>
          <w:bCs/>
          <w:color w:val="auto"/>
          <w:sz w:val="21"/>
          <w:szCs w:val="21"/>
          <w:highlight w:val="none"/>
        </w:rPr>
        <w:t>（±10%）</w:t>
      </w:r>
      <w:r>
        <w:rPr>
          <w:rFonts w:hint="eastAsia" w:asciiTheme="minorEastAsia" w:hAnsiTheme="minorEastAsia" w:eastAsiaTheme="minorEastAsia" w:cstheme="minorEastAsia"/>
          <w:color w:val="auto"/>
          <w:sz w:val="21"/>
          <w:szCs w:val="21"/>
          <w:highlight w:val="none"/>
        </w:rPr>
        <w:t>（计算排风量＝移门宽度*移门开启高度*0.5m/s*3600s</w:t>
      </w:r>
      <w:r>
        <w:rPr>
          <w:rFonts w:hint="eastAsia" w:asciiTheme="minorEastAsia" w:hAnsiTheme="minorEastAsia" w:eastAsiaTheme="minorEastAsia" w:cstheme="minorEastAsia"/>
          <w:bCs/>
          <w:color w:val="auto"/>
          <w:sz w:val="21"/>
          <w:szCs w:val="21"/>
          <w:highlight w:val="none"/>
        </w:rPr>
        <w:t>（±10%）</w:t>
      </w:r>
      <w:r>
        <w:rPr>
          <w:rFonts w:hint="eastAsia" w:asciiTheme="minorEastAsia" w:hAnsiTheme="minorEastAsia" w:eastAsiaTheme="minorEastAsia" w:cstheme="minorEastAsia"/>
          <w:color w:val="auto"/>
          <w:sz w:val="21"/>
          <w:szCs w:val="21"/>
          <w:highlight w:val="none"/>
        </w:rPr>
        <w:t>）。</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3.4排风组态式</w:t>
      </w:r>
    </w:p>
    <w:p>
      <w:pPr>
        <w:tabs>
          <w:tab w:val="right" w:pos="180"/>
        </w:tabs>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3.4.1在满足移动门位的工作开启任一高度时，面风速保持</w:t>
      </w:r>
      <w:r>
        <w:rPr>
          <w:rFonts w:hint="eastAsia" w:asciiTheme="minorEastAsia" w:hAnsiTheme="minorEastAsia" w:eastAsiaTheme="minorEastAsia" w:cstheme="minorEastAsia"/>
          <w:bCs/>
          <w:color w:val="auto"/>
          <w:sz w:val="21"/>
          <w:szCs w:val="21"/>
          <w:highlight w:val="none"/>
        </w:rPr>
        <w:t>≥</w:t>
      </w:r>
      <w:r>
        <w:rPr>
          <w:rFonts w:hint="eastAsia" w:asciiTheme="minorEastAsia" w:hAnsiTheme="minorEastAsia" w:eastAsiaTheme="minorEastAsia" w:cstheme="minorEastAsia"/>
          <w:color w:val="auto"/>
          <w:sz w:val="21"/>
          <w:szCs w:val="21"/>
          <w:highlight w:val="none"/>
        </w:rPr>
        <w:t>0.5 m/s,排风量随高度的增大而增加，随高度的减小而减小；</w:t>
      </w:r>
    </w:p>
    <w:p>
      <w:pPr>
        <w:tabs>
          <w:tab w:val="right" w:pos="180"/>
        </w:tabs>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3.4.2移动门开启高度发生变化时段内，面风速可满足以下要求：</w:t>
      </w:r>
    </w:p>
    <w:p>
      <w:pPr>
        <w:tabs>
          <w:tab w:val="right" w:pos="180"/>
        </w:tabs>
        <w:spacing w:line="400" w:lineRule="exact"/>
        <w:ind w:firstLine="945" w:firstLineChars="4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A、移动门开启高度在门全开，平均面风速恒定保持在</w:t>
      </w:r>
      <w:r>
        <w:rPr>
          <w:rFonts w:hint="eastAsia" w:asciiTheme="minorEastAsia" w:hAnsiTheme="minorEastAsia" w:eastAsiaTheme="minorEastAsia" w:cstheme="minorEastAsia"/>
          <w:bCs/>
          <w:color w:val="auto"/>
          <w:sz w:val="21"/>
          <w:szCs w:val="21"/>
          <w:highlight w:val="none"/>
        </w:rPr>
        <w:t>≥</w:t>
      </w:r>
      <w:r>
        <w:rPr>
          <w:rFonts w:hint="eastAsia" w:asciiTheme="minorEastAsia" w:hAnsiTheme="minorEastAsia" w:eastAsiaTheme="minorEastAsia" w:cstheme="minorEastAsia"/>
          <w:color w:val="auto"/>
          <w:sz w:val="21"/>
          <w:szCs w:val="21"/>
          <w:highlight w:val="none"/>
        </w:rPr>
        <w:t>0.5m/s；</w:t>
      </w:r>
    </w:p>
    <w:p>
      <w:pPr>
        <w:tabs>
          <w:tab w:val="right" w:pos="180"/>
        </w:tabs>
        <w:spacing w:line="400" w:lineRule="exact"/>
        <w:ind w:firstLine="945" w:firstLineChars="4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B、移动门开启高度在</w:t>
      </w:r>
      <w:r>
        <w:rPr>
          <w:rFonts w:hint="eastAsia" w:asciiTheme="minorEastAsia" w:hAnsiTheme="minorEastAsia" w:eastAsiaTheme="minorEastAsia" w:cstheme="minorEastAsia"/>
          <w:bCs/>
          <w:color w:val="auto"/>
          <w:sz w:val="21"/>
          <w:szCs w:val="21"/>
          <w:highlight w:val="none"/>
        </w:rPr>
        <w:t>≥</w:t>
      </w:r>
      <w:r>
        <w:rPr>
          <w:rFonts w:hint="eastAsia" w:asciiTheme="minorEastAsia" w:hAnsiTheme="minorEastAsia" w:eastAsiaTheme="minorEastAsia" w:cstheme="minorEastAsia"/>
          <w:color w:val="auto"/>
          <w:sz w:val="21"/>
          <w:szCs w:val="21"/>
          <w:highlight w:val="none"/>
        </w:rPr>
        <w:t>0.15m，平均面风速恒定保持在</w:t>
      </w:r>
      <w:r>
        <w:rPr>
          <w:rFonts w:hint="eastAsia" w:asciiTheme="minorEastAsia" w:hAnsiTheme="minorEastAsia" w:eastAsiaTheme="minorEastAsia" w:cstheme="minorEastAsia"/>
          <w:bCs/>
          <w:color w:val="auto"/>
          <w:sz w:val="21"/>
          <w:szCs w:val="21"/>
          <w:highlight w:val="none"/>
        </w:rPr>
        <w:t>≥</w:t>
      </w:r>
      <w:r>
        <w:rPr>
          <w:rFonts w:hint="eastAsia" w:asciiTheme="minorEastAsia" w:hAnsiTheme="minorEastAsia" w:eastAsiaTheme="minorEastAsia" w:cstheme="minorEastAsia"/>
          <w:color w:val="auto"/>
          <w:sz w:val="21"/>
          <w:szCs w:val="21"/>
          <w:highlight w:val="none"/>
        </w:rPr>
        <w:t>0.5m/s；</w:t>
      </w:r>
    </w:p>
    <w:p>
      <w:pPr>
        <w:tabs>
          <w:tab w:val="right" w:pos="180"/>
        </w:tabs>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3.5、排风柜阻力</w:t>
      </w:r>
    </w:p>
    <w:p>
      <w:pPr>
        <w:tabs>
          <w:tab w:val="right" w:pos="180"/>
        </w:tabs>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排风柜移动门开启至最高位置时，在达到《排风柜》JB/T6412-1999技术标准规定的排风量和面风速保持</w:t>
      </w:r>
      <w:r>
        <w:rPr>
          <w:rFonts w:hint="eastAsia" w:asciiTheme="minorEastAsia" w:hAnsiTheme="minorEastAsia" w:eastAsiaTheme="minorEastAsia" w:cstheme="minorEastAsia"/>
          <w:bCs/>
          <w:color w:val="auto"/>
          <w:sz w:val="21"/>
          <w:szCs w:val="21"/>
          <w:highlight w:val="none"/>
        </w:rPr>
        <w:t>≥</w:t>
      </w:r>
      <w:r>
        <w:rPr>
          <w:rFonts w:hint="eastAsia" w:asciiTheme="minorEastAsia" w:hAnsiTheme="minorEastAsia" w:eastAsiaTheme="minorEastAsia" w:cstheme="minorEastAsia"/>
          <w:color w:val="auto"/>
          <w:sz w:val="21"/>
          <w:szCs w:val="21"/>
          <w:highlight w:val="none"/>
        </w:rPr>
        <w:t>0.5m/s的条件下，排风柜阻力应小于或等于70Pa。</w:t>
      </w:r>
      <w:r>
        <w:rPr>
          <w:rFonts w:hint="eastAsia" w:asciiTheme="minorEastAsia" w:hAnsiTheme="minorEastAsia" w:eastAsiaTheme="minorEastAsia" w:cstheme="minorEastAsia"/>
          <w:bCs/>
          <w:color w:val="auto"/>
          <w:sz w:val="21"/>
          <w:szCs w:val="21"/>
          <w:highlight w:val="none"/>
        </w:rPr>
        <w:t>原子吸收罩与万向排气罩的排风量采用定风量控制，原子吸收罩排风量设计为400-600m</w:t>
      </w:r>
      <w:r>
        <w:rPr>
          <w:rFonts w:hint="eastAsia" w:asciiTheme="minorEastAsia" w:hAnsiTheme="minorEastAsia" w:eastAsiaTheme="minorEastAsia" w:cstheme="minorEastAsia"/>
          <w:bCs/>
          <w:color w:val="auto"/>
          <w:sz w:val="21"/>
          <w:szCs w:val="21"/>
          <w:highlight w:val="none"/>
          <w:vertAlign w:val="superscript"/>
        </w:rPr>
        <w:t>3</w:t>
      </w:r>
      <w:r>
        <w:rPr>
          <w:rFonts w:hint="eastAsia" w:asciiTheme="minorEastAsia" w:hAnsiTheme="minorEastAsia" w:eastAsiaTheme="minorEastAsia" w:cstheme="minorEastAsia"/>
          <w:bCs/>
          <w:color w:val="auto"/>
          <w:sz w:val="21"/>
          <w:szCs w:val="21"/>
          <w:highlight w:val="none"/>
        </w:rPr>
        <w:t>/h（特指400mm*400mm），万向排气罩的排风量设计为150-300 m</w:t>
      </w:r>
      <w:r>
        <w:rPr>
          <w:rFonts w:hint="eastAsia" w:asciiTheme="minorEastAsia" w:hAnsiTheme="minorEastAsia" w:eastAsiaTheme="minorEastAsia" w:cstheme="minorEastAsia"/>
          <w:bCs/>
          <w:color w:val="auto"/>
          <w:sz w:val="21"/>
          <w:szCs w:val="21"/>
          <w:highlight w:val="none"/>
          <w:vertAlign w:val="superscript"/>
        </w:rPr>
        <w:t>3</w:t>
      </w:r>
      <w:r>
        <w:rPr>
          <w:rFonts w:hint="eastAsia" w:asciiTheme="minorEastAsia" w:hAnsiTheme="minorEastAsia" w:eastAsiaTheme="minorEastAsia" w:cstheme="minorEastAsia"/>
          <w:bCs/>
          <w:color w:val="auto"/>
          <w:sz w:val="21"/>
          <w:szCs w:val="21"/>
          <w:highlight w:val="none"/>
        </w:rPr>
        <w:t>/h。</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3.6、换气次数：</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一般化学实验室的换气数：8～12次/小时</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3.7、排风系统使用终端噪声≤60db。</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3.8、风机采用耐腐蚀玻璃钢离心风机，系统采用（VAV）静压传感变频控制系统，达到节能和降噪的目的。</w:t>
      </w:r>
    </w:p>
    <w:p>
      <w:pPr>
        <w:tabs>
          <w:tab w:val="left" w:pos="690"/>
        </w:tabs>
        <w:spacing w:line="400" w:lineRule="exac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（4）系统要求</w:t>
      </w:r>
    </w:p>
    <w:p>
      <w:pPr>
        <w:spacing w:line="400" w:lineRule="exact"/>
        <w:ind w:firstLine="420" w:firstLineChars="200"/>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z w:val="21"/>
          <w:szCs w:val="21"/>
          <w:highlight w:val="none"/>
        </w:rPr>
        <w:t>4.1、</w:t>
      </w:r>
      <w:r>
        <w:rPr>
          <w:rFonts w:hint="eastAsia" w:asciiTheme="minorEastAsia" w:hAnsiTheme="minorEastAsia" w:eastAsiaTheme="minorEastAsia" w:cstheme="minorEastAsia"/>
          <w:b/>
          <w:color w:val="auto"/>
          <w:sz w:val="21"/>
          <w:szCs w:val="21"/>
          <w:highlight w:val="none"/>
        </w:rPr>
        <w:t>排风系统</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bookmarkStart w:id="288" w:name="_Toc200223029"/>
      <w:bookmarkStart w:id="289" w:name="_Toc199245737"/>
      <w:r>
        <w:rPr>
          <w:rFonts w:hint="eastAsia" w:asciiTheme="minorEastAsia" w:hAnsiTheme="minorEastAsia" w:eastAsiaTheme="minorEastAsia" w:cstheme="minorEastAsia"/>
          <w:color w:val="auto"/>
          <w:sz w:val="21"/>
          <w:szCs w:val="21"/>
          <w:highlight w:val="none"/>
        </w:rPr>
        <w:t>4.1.1实验室排风设计原则：</w:t>
      </w:r>
    </w:p>
    <w:p>
      <w:pPr>
        <w:spacing w:line="400" w:lineRule="exact"/>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a）、综合考虑各项因素，采用投资少、运行稳定、运行费用低、处理效果好的成熟工艺；</w:t>
      </w:r>
    </w:p>
    <w:p>
      <w:pPr>
        <w:spacing w:line="400" w:lineRule="exact"/>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b）、所选择的工艺必须满足现场条件，平面布置简洁、紧凑、少占地，并方便生产操作和维护维修；</w:t>
      </w:r>
    </w:p>
    <w:p>
      <w:pPr>
        <w:spacing w:line="400" w:lineRule="exact"/>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c）、非标设备应符合国家或行业相关规范，并保证性能稳定、外表美观；</w:t>
      </w:r>
    </w:p>
    <w:p>
      <w:pPr>
        <w:spacing w:line="400" w:lineRule="exact"/>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d）、在设计中充分考虑噪声、臭味等，防止二次污染的产生，不给周围环境造成新的污染；</w:t>
      </w:r>
    </w:p>
    <w:p>
      <w:pPr>
        <w:spacing w:line="400" w:lineRule="exact"/>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e、处理设施具备冲击负荷能力，确保废气达标排放。</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4.2、实验室排风系统规划总体思路：</w:t>
      </w:r>
    </w:p>
    <w:p>
      <w:pPr>
        <w:spacing w:line="400" w:lineRule="exact"/>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4.2.1、在同房间各排风柜或排风设备尽量经同一管路进行排放，为排除实验中产生的有害气体，实验室的排风柜尽可能布置在同一个方向上，并共用一个排风管井排风；</w:t>
      </w:r>
    </w:p>
    <w:p>
      <w:pPr>
        <w:spacing w:line="400" w:lineRule="exact"/>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4.2.2、为了减少系统阻力及减少室内噪声，必需把风管加大，把管道内风速控制在设计的参数范围内；</w:t>
      </w:r>
    </w:p>
    <w:p>
      <w:pPr>
        <w:spacing w:line="400" w:lineRule="exact"/>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4.2.3、为了保证各入口处的风量符合设计要求，各系统的每个排风口均设电动风阀进行风量调节；</w:t>
      </w:r>
    </w:p>
    <w:p>
      <w:pPr>
        <w:spacing w:line="400" w:lineRule="exact"/>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4.2.4、本设计室内采用阻燃性能硬聚氯乙烯（PVC）管材，风管具有防腐等性能，同时具有耐低温和抗老化等性能，且外形美观，支、吊架圆管采用不锈钢条抱箍风管，方管采用经防锈处理的吊杆紧固角钢来支撑风管；</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4.3排风控制系统设计：</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排风系统划分要根据建筑功能、平面分布及实验室的使用要求，综合技术、经济、管理等因素，还应当考虑工艺流程、同时使用情况及有害气体性质及其处理等因素。本项目中每层实验室室内排风末端(排风柜、万向排气罩、原子吸收罩)采用局部排风方式，排风末端局部排风装置均采用静压传感变频控制方式；排风控制方式具有高品质的控制性能、节能效应和安全性能。有排风设备的房间，其房间的补风通过门窗及其缝隙进行自然补风，以使房间有效的排风换气。</w:t>
      </w:r>
    </w:p>
    <w:p>
      <w:pPr>
        <w:spacing w:line="400" w:lineRule="exact"/>
        <w:ind w:firstLine="36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4.4静压传感变频控制系统（VAV）：</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4.4.1. 根据开启排风末端的装置数量的多少，静压传感自动变频控制通过差压传感器在主管道内检测到信号经差压信号变换调制器处理，输出数字信号至变频器调节风机排风量。</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4.4.2. 当排风末端的装置数量增多或减少时变频系统会自动调节风机的频率，改变风机转速，调节管道内风量与流速，从而使开启的排风系统达到一定的节能效果；当所有排风柜关闭时，通排风系统将自动关闭，处于待命状态。每台排风末端的装置采用电动风阀控制开关和变频控制系统及风机联动，每台排风末端的装置与主管连接处均装有电动调节阀，可实现每台排风末端的装置的独立控制。电动调节阀门采用数显可调角度的电动风阀，并且有记忆功能（即可以记住此次调节的角度，下次打开时仍然调到设计的角度）。</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系统控制：采用总线控制方式，由静压传感装置自动控制风机运行频率；达到风速要求、降低噪音、节能的目的。系统风阀和风机整体联锁，实现气流的有序流动，平衡系统风量，防止气流反串、倒流。</w:t>
      </w:r>
    </w:p>
    <w:bookmarkEnd w:id="288"/>
    <w:bookmarkEnd w:id="289"/>
    <w:p>
      <w:pPr>
        <w:tabs>
          <w:tab w:val="right" w:pos="180"/>
        </w:tabs>
        <w:spacing w:line="400" w:lineRule="exact"/>
        <w:ind w:firstLine="210" w:firstLineChars="100"/>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z w:val="21"/>
          <w:szCs w:val="21"/>
          <w:highlight w:val="none"/>
        </w:rPr>
        <w:t>4.5</w:t>
      </w:r>
      <w:r>
        <w:rPr>
          <w:rFonts w:hint="eastAsia" w:asciiTheme="minorEastAsia" w:hAnsiTheme="minorEastAsia" w:eastAsiaTheme="minorEastAsia" w:cstheme="minorEastAsia"/>
          <w:b/>
          <w:color w:val="auto"/>
          <w:sz w:val="21"/>
          <w:szCs w:val="21"/>
          <w:highlight w:val="none"/>
        </w:rPr>
        <w:t>静压传感变频控制工艺流程图</w:t>
      </w:r>
    </w:p>
    <w:p>
      <w:pPr>
        <w:tabs>
          <w:tab w:val="right" w:pos="180"/>
        </w:tabs>
        <w:spacing w:line="400" w:lineRule="exact"/>
        <w:ind w:firstLine="470" w:firstLineChars="224"/>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z w:val="21"/>
          <w:szCs w:val="21"/>
          <w:highlight w:val="none"/>
        </w:rPr>
        <mc:AlternateContent>
          <mc:Choice Requires="wpg">
            <w:drawing>
              <wp:anchor distT="0" distB="0" distL="114300" distR="114300" simplePos="0" relativeHeight="251718656" behindDoc="0" locked="0" layoutInCell="1" allowOverlap="1">
                <wp:simplePos x="0" y="0"/>
                <wp:positionH relativeFrom="column">
                  <wp:posOffset>-1905</wp:posOffset>
                </wp:positionH>
                <wp:positionV relativeFrom="paragraph">
                  <wp:posOffset>90805</wp:posOffset>
                </wp:positionV>
                <wp:extent cx="6057900" cy="1584960"/>
                <wp:effectExtent l="0" t="0" r="38100" b="34290"/>
                <wp:wrapNone/>
                <wp:docPr id="445" name="组合 43"/>
                <wp:cNvGraphicFramePr/>
                <a:graphic xmlns:a="http://schemas.openxmlformats.org/drawingml/2006/main">
                  <a:graphicData uri="http://schemas.microsoft.com/office/word/2010/wordprocessingGroup">
                    <wpg:wgp>
                      <wpg:cNvGrpSpPr/>
                      <wpg:grpSpPr>
                        <a:xfrm>
                          <a:off x="0" y="0"/>
                          <a:ext cx="6057900" cy="1584960"/>
                          <a:chOff x="1365" y="2900"/>
                          <a:chExt cx="9787" cy="2602"/>
                        </a:xfrm>
                        <a:effectLst/>
                      </wpg:grpSpPr>
                      <wps:wsp>
                        <wps:cNvPr id="427" name="文本框 427"/>
                        <wps:cNvSpPr txBox="1"/>
                        <wps:spPr>
                          <a:xfrm>
                            <a:off x="1365" y="2900"/>
                            <a:ext cx="1482" cy="516"/>
                          </a:xfrm>
                          <a:prstGeom prst="rect">
                            <a:avLst/>
                          </a:prstGeom>
                          <a:noFill/>
                          <a:ln>
                            <a:noFill/>
                          </a:ln>
                          <a:effectLst/>
                        </wps:spPr>
                        <wps:txbx>
                          <w:txbxContent>
                            <w:p>
                              <w:pPr>
                                <w:jc w:val="center"/>
                                <w:rPr>
                                  <w:rFonts w:hAnsi="宋体"/>
                                  <w:spacing w:val="12"/>
                                  <w:szCs w:val="21"/>
                                </w:rPr>
                              </w:pPr>
                              <w:r>
                                <w:rPr>
                                  <w:rFonts w:hint="eastAsia" w:hAnsi="宋体"/>
                                  <w:spacing w:val="12"/>
                                  <w:szCs w:val="21"/>
                                </w:rPr>
                                <w:t>实验废气</w:t>
                              </w:r>
                            </w:p>
                          </w:txbxContent>
                        </wps:txbx>
                        <wps:bodyPr upright="1"/>
                      </wps:wsp>
                      <wps:wsp>
                        <wps:cNvPr id="428" name="圆角矩形 428"/>
                        <wps:cNvSpPr/>
                        <wps:spPr>
                          <a:xfrm>
                            <a:off x="4671" y="3014"/>
                            <a:ext cx="1048" cy="492"/>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a:outerShdw dist="35921" dir="2699999" algn="ctr" rotWithShape="0">
                              <a:srgbClr val="808080"/>
                            </a:outerShdw>
                          </a:effectLst>
                        </wps:spPr>
                        <wps:txbx>
                          <w:txbxContent>
                            <w:p>
                              <w:r>
                                <w:rPr>
                                  <w:rFonts w:hint="eastAsia"/>
                                </w:rPr>
                                <w:t>通风管</w:t>
                              </w:r>
                            </w:p>
                          </w:txbxContent>
                        </wps:txbx>
                        <wps:bodyPr upright="1"/>
                      </wps:wsp>
                      <wps:wsp>
                        <wps:cNvPr id="429" name="直接连接符 429"/>
                        <wps:cNvCnPr/>
                        <wps:spPr>
                          <a:xfrm flipV="1">
                            <a:off x="1599" y="3290"/>
                            <a:ext cx="1024" cy="0"/>
                          </a:xfrm>
                          <a:prstGeom prst="line">
                            <a:avLst/>
                          </a:prstGeom>
                          <a:ln w="9525" cap="flat" cmpd="sng">
                            <a:solidFill>
                              <a:srgbClr val="000000"/>
                            </a:solidFill>
                            <a:prstDash val="solid"/>
                            <a:headEnd type="none" w="med" len="med"/>
                            <a:tailEnd type="triangle" w="sm" len="lg"/>
                          </a:ln>
                          <a:effectLst/>
                        </wps:spPr>
                        <wps:bodyPr upright="1"/>
                      </wps:wsp>
                      <wps:wsp>
                        <wps:cNvPr id="430" name="直接连接符 430"/>
                        <wps:cNvCnPr/>
                        <wps:spPr>
                          <a:xfrm>
                            <a:off x="7535" y="3281"/>
                            <a:ext cx="666" cy="0"/>
                          </a:xfrm>
                          <a:prstGeom prst="line">
                            <a:avLst/>
                          </a:prstGeom>
                          <a:ln w="9525" cap="flat" cmpd="sng">
                            <a:solidFill>
                              <a:srgbClr val="000000"/>
                            </a:solidFill>
                            <a:prstDash val="solid"/>
                            <a:headEnd type="none" w="med" len="med"/>
                            <a:tailEnd type="triangle" w="sm" len="lg"/>
                          </a:ln>
                          <a:effectLst/>
                        </wps:spPr>
                        <wps:bodyPr upright="1"/>
                      </wps:wsp>
                      <wps:wsp>
                        <wps:cNvPr id="431" name="圆角矩形 431"/>
                        <wps:cNvSpPr/>
                        <wps:spPr>
                          <a:xfrm>
                            <a:off x="8257" y="3005"/>
                            <a:ext cx="994" cy="540"/>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a:outerShdw dist="35921" dir="2699999" algn="ctr" rotWithShape="0">
                              <a:srgbClr val="808080"/>
                            </a:outerShdw>
                          </a:effectLst>
                        </wps:spPr>
                        <wps:txbx>
                          <w:txbxContent>
                            <w:p>
                              <w:r>
                                <w:rPr>
                                  <w:rFonts w:hint="eastAsia"/>
                                </w:rPr>
                                <w:t>引风机</w:t>
                              </w:r>
                            </w:p>
                          </w:txbxContent>
                        </wps:txbx>
                        <wps:bodyPr upright="1"/>
                      </wps:wsp>
                      <wps:wsp>
                        <wps:cNvPr id="432" name="圆角矩形 432"/>
                        <wps:cNvSpPr/>
                        <wps:spPr>
                          <a:xfrm>
                            <a:off x="2683" y="3020"/>
                            <a:ext cx="1270" cy="506"/>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a:outerShdw dist="35921" dir="2699999" algn="ctr" rotWithShape="0">
                              <a:srgbClr val="808080"/>
                            </a:outerShdw>
                          </a:effectLst>
                        </wps:spPr>
                        <wps:txbx>
                          <w:txbxContent>
                            <w:p>
                              <w:r>
                                <w:rPr>
                                  <w:rFonts w:hint="eastAsia"/>
                                </w:rPr>
                                <w:t>集气设备</w:t>
                              </w:r>
                            </w:p>
                          </w:txbxContent>
                        </wps:txbx>
                        <wps:bodyPr upright="1"/>
                      </wps:wsp>
                      <wps:wsp>
                        <wps:cNvPr id="433" name="直接连接符 433"/>
                        <wps:cNvCnPr/>
                        <wps:spPr>
                          <a:xfrm>
                            <a:off x="4015" y="3275"/>
                            <a:ext cx="586" cy="0"/>
                          </a:xfrm>
                          <a:prstGeom prst="line">
                            <a:avLst/>
                          </a:prstGeom>
                          <a:ln w="9525" cap="flat" cmpd="sng">
                            <a:solidFill>
                              <a:srgbClr val="000000"/>
                            </a:solidFill>
                            <a:prstDash val="solid"/>
                            <a:headEnd type="none" w="med" len="med"/>
                            <a:tailEnd type="triangle" w="sm" len="lg"/>
                          </a:ln>
                          <a:effectLst/>
                        </wps:spPr>
                        <wps:bodyPr upright="1"/>
                      </wps:wsp>
                      <wps:wsp>
                        <wps:cNvPr id="434" name="直接连接符 434"/>
                        <wps:cNvCnPr/>
                        <wps:spPr>
                          <a:xfrm>
                            <a:off x="5777" y="3290"/>
                            <a:ext cx="620" cy="0"/>
                          </a:xfrm>
                          <a:prstGeom prst="line">
                            <a:avLst/>
                          </a:prstGeom>
                          <a:ln w="9525" cap="flat" cmpd="sng">
                            <a:solidFill>
                              <a:srgbClr val="000000"/>
                            </a:solidFill>
                            <a:prstDash val="solid"/>
                            <a:headEnd type="none" w="med" len="med"/>
                            <a:tailEnd type="triangle" w="sm" len="lg"/>
                          </a:ln>
                          <a:effectLst/>
                        </wps:spPr>
                        <wps:bodyPr upright="1"/>
                      </wps:wsp>
                      <wps:wsp>
                        <wps:cNvPr id="435" name="圆角矩形 435"/>
                        <wps:cNvSpPr/>
                        <wps:spPr>
                          <a:xfrm>
                            <a:off x="7293" y="4988"/>
                            <a:ext cx="1020" cy="514"/>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a:outerShdw dist="35921" dir="2699999" algn="ctr" rotWithShape="0">
                              <a:srgbClr val="808080"/>
                            </a:outerShdw>
                          </a:effectLst>
                        </wps:spPr>
                        <wps:txbx>
                          <w:txbxContent>
                            <w:p>
                              <w:r>
                                <w:rPr>
                                  <w:rFonts w:hint="eastAsia"/>
                                </w:rPr>
                                <w:t>变频器</w:t>
                              </w:r>
                            </w:p>
                          </w:txbxContent>
                        </wps:txbx>
                        <wps:bodyPr upright="1"/>
                      </wps:wsp>
                      <wps:wsp>
                        <wps:cNvPr id="436" name="直接连接符 436"/>
                        <wps:cNvCnPr/>
                        <wps:spPr>
                          <a:xfrm flipH="1" flipV="1">
                            <a:off x="5177" y="3557"/>
                            <a:ext cx="0" cy="1354"/>
                          </a:xfrm>
                          <a:prstGeom prst="line">
                            <a:avLst/>
                          </a:prstGeom>
                          <a:ln w="9525" cap="flat" cmpd="sng">
                            <a:solidFill>
                              <a:srgbClr val="000000"/>
                            </a:solidFill>
                            <a:prstDash val="lgDash"/>
                            <a:headEnd type="triangle" w="sm" len="lg"/>
                            <a:tailEnd type="none" w="sm" len="lg"/>
                          </a:ln>
                          <a:effectLst/>
                        </wps:spPr>
                        <wps:bodyPr upright="1"/>
                      </wps:wsp>
                      <wps:wsp>
                        <wps:cNvPr id="437" name="圆角矩形 437"/>
                        <wps:cNvSpPr/>
                        <wps:spPr>
                          <a:xfrm>
                            <a:off x="6491" y="3019"/>
                            <a:ext cx="974" cy="505"/>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a:outerShdw dist="35921" dir="2699999" algn="ctr" rotWithShape="0">
                              <a:srgbClr val="808080"/>
                            </a:outerShdw>
                          </a:effectLst>
                        </wps:spPr>
                        <wps:txbx>
                          <w:txbxContent>
                            <w:p>
                              <w:r>
                                <w:rPr>
                                  <w:rFonts w:hint="eastAsia"/>
                                </w:rPr>
                                <w:t>消声器</w:t>
                              </w:r>
                            </w:p>
                          </w:txbxContent>
                        </wps:txbx>
                        <wps:bodyPr upright="1"/>
                      </wps:wsp>
                      <wps:wsp>
                        <wps:cNvPr id="438" name="圆角矩形 438"/>
                        <wps:cNvSpPr/>
                        <wps:spPr>
                          <a:xfrm>
                            <a:off x="4419" y="4973"/>
                            <a:ext cx="1622" cy="491"/>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a:outerShdw dist="35921" dir="2699999" algn="ctr" rotWithShape="0">
                              <a:srgbClr val="808080"/>
                            </a:outerShdw>
                          </a:effectLst>
                        </wps:spPr>
                        <wps:txbx>
                          <w:txbxContent>
                            <w:p>
                              <w:r>
                                <w:rPr>
                                  <w:rFonts w:hint="eastAsia"/>
                                </w:rPr>
                                <w:t>静压传感装置</w:t>
                              </w:r>
                            </w:p>
                          </w:txbxContent>
                        </wps:txbx>
                        <wps:bodyPr upright="1"/>
                      </wps:wsp>
                      <wps:wsp>
                        <wps:cNvPr id="439" name="直接连接符 439"/>
                        <wps:cNvCnPr/>
                        <wps:spPr>
                          <a:xfrm flipH="1" flipV="1">
                            <a:off x="8379" y="5276"/>
                            <a:ext cx="348" cy="0"/>
                          </a:xfrm>
                          <a:prstGeom prst="line">
                            <a:avLst/>
                          </a:prstGeom>
                          <a:ln w="9525" cap="flat" cmpd="sng">
                            <a:solidFill>
                              <a:srgbClr val="000000"/>
                            </a:solidFill>
                            <a:prstDash val="lgDash"/>
                            <a:headEnd type="none" w="med" len="med"/>
                            <a:tailEnd type="none" w="med" len="med"/>
                          </a:ln>
                          <a:effectLst/>
                        </wps:spPr>
                        <wps:bodyPr upright="1"/>
                      </wps:wsp>
                      <wps:wsp>
                        <wps:cNvPr id="440" name="直接连接符 440"/>
                        <wps:cNvCnPr/>
                        <wps:spPr>
                          <a:xfrm flipV="1">
                            <a:off x="8771" y="3677"/>
                            <a:ext cx="14" cy="1580"/>
                          </a:xfrm>
                          <a:prstGeom prst="line">
                            <a:avLst/>
                          </a:prstGeom>
                          <a:ln w="9525" cap="flat" cmpd="sng">
                            <a:solidFill>
                              <a:srgbClr val="000000"/>
                            </a:solidFill>
                            <a:prstDash val="lgDash"/>
                            <a:headEnd type="none" w="sm" len="lg"/>
                            <a:tailEnd type="triangle" w="sm" len="lg"/>
                          </a:ln>
                          <a:effectLst/>
                        </wps:spPr>
                        <wps:bodyPr upright="1"/>
                      </wps:wsp>
                      <wps:wsp>
                        <wps:cNvPr id="441" name="文本框 441"/>
                        <wps:cNvSpPr txBox="1"/>
                        <wps:spPr>
                          <a:xfrm>
                            <a:off x="5810" y="4353"/>
                            <a:ext cx="2290" cy="758"/>
                          </a:xfrm>
                          <a:prstGeom prst="rect">
                            <a:avLst/>
                          </a:prstGeom>
                          <a:noFill/>
                          <a:ln>
                            <a:noFill/>
                          </a:ln>
                          <a:effectLst/>
                        </wps:spPr>
                        <wps:txbx>
                          <w:txbxContent>
                            <w:p>
                              <w:pPr>
                                <w:jc w:val="center"/>
                                <w:rPr>
                                  <w:rFonts w:hAnsi="宋体"/>
                                  <w:spacing w:val="12"/>
                                  <w:szCs w:val="21"/>
                                </w:rPr>
                              </w:pPr>
                              <w:r>
                                <w:rPr>
                                  <w:rFonts w:hint="eastAsia" w:hAnsi="宋体"/>
                                  <w:spacing w:val="12"/>
                                  <w:szCs w:val="21"/>
                                </w:rPr>
                                <w:t>0-10V控制电信号</w:t>
                              </w:r>
                            </w:p>
                          </w:txbxContent>
                        </wps:txbx>
                        <wps:bodyPr upright="1"/>
                      </wps:wsp>
                      <wps:wsp>
                        <wps:cNvPr id="442" name="圆角矩形 442"/>
                        <wps:cNvSpPr/>
                        <wps:spPr>
                          <a:xfrm>
                            <a:off x="9875" y="2998"/>
                            <a:ext cx="1277" cy="508"/>
                          </a:xfrm>
                          <a:prstGeom prst="roundRect">
                            <a:avLst>
                              <a:gd name="adj" fmla="val 16667"/>
                            </a:avLst>
                          </a:prstGeom>
                          <a:solidFill>
                            <a:srgbClr val="FFFFFF"/>
                          </a:solidFill>
                          <a:ln w="9525" cap="flat" cmpd="sng">
                            <a:solidFill>
                              <a:srgbClr val="000000"/>
                            </a:solidFill>
                            <a:prstDash val="solid"/>
                            <a:headEnd type="none" w="med" len="med"/>
                            <a:tailEnd type="none" w="med" len="med"/>
                          </a:ln>
                          <a:effectLst>
                            <a:outerShdw dist="35921" dir="2699999" algn="ctr" rotWithShape="0">
                              <a:srgbClr val="808080"/>
                            </a:outerShdw>
                          </a:effectLst>
                        </wps:spPr>
                        <wps:txbx>
                          <w:txbxContent>
                            <w:p>
                              <w:r>
                                <w:rPr>
                                  <w:rFonts w:hint="eastAsia"/>
                                </w:rPr>
                                <w:t>净化设备</w:t>
                              </w:r>
                            </w:p>
                          </w:txbxContent>
                        </wps:txbx>
                        <wps:bodyPr upright="1"/>
                      </wps:wsp>
                      <wps:wsp>
                        <wps:cNvPr id="443" name="直接连接符 443"/>
                        <wps:cNvCnPr/>
                        <wps:spPr>
                          <a:xfrm>
                            <a:off x="9331" y="3266"/>
                            <a:ext cx="468" cy="0"/>
                          </a:xfrm>
                          <a:prstGeom prst="line">
                            <a:avLst/>
                          </a:prstGeom>
                          <a:ln w="9525" cap="flat" cmpd="sng">
                            <a:solidFill>
                              <a:srgbClr val="000000"/>
                            </a:solidFill>
                            <a:prstDash val="solid"/>
                            <a:headEnd type="none" w="med" len="med"/>
                            <a:tailEnd type="triangle" w="sm" len="lg"/>
                          </a:ln>
                          <a:effectLst/>
                        </wps:spPr>
                        <wps:bodyPr upright="1"/>
                      </wps:wsp>
                      <wps:wsp>
                        <wps:cNvPr id="444" name="直接连接符 444"/>
                        <wps:cNvCnPr/>
                        <wps:spPr>
                          <a:xfrm flipH="1">
                            <a:off x="6083" y="5246"/>
                            <a:ext cx="1089" cy="0"/>
                          </a:xfrm>
                          <a:prstGeom prst="line">
                            <a:avLst/>
                          </a:prstGeom>
                          <a:ln w="9525" cap="flat" cmpd="sng">
                            <a:solidFill>
                              <a:srgbClr val="000000"/>
                            </a:solidFill>
                            <a:prstDash val="lgDash"/>
                            <a:headEnd type="none" w="med" len="med"/>
                            <a:tailEnd type="none" w="med" len="med"/>
                          </a:ln>
                          <a:effectLst/>
                        </wps:spPr>
                        <wps:bodyPr upright="1"/>
                      </wps:wsp>
                    </wpg:wgp>
                  </a:graphicData>
                </a:graphic>
              </wp:anchor>
            </w:drawing>
          </mc:Choice>
          <mc:Fallback>
            <w:pict>
              <v:group id="组合 43" o:spid="_x0000_s1026" o:spt="203" style="position:absolute;left:0pt;margin-left:-0.15pt;margin-top:7.15pt;height:124.8pt;width:477pt;z-index:251718656;mso-width-relative:page;mso-height-relative:page;" coordorigin="1365,2900" coordsize="9787,2602" o:gfxdata="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">
                <o:lock v:ext="edit" aspectratio="f"/>
                <v:shape id="_x0000_s1026" o:spid="_x0000_s1026" o:spt="202" type="#_x0000_t202" style="position:absolute;left:1365;top:2900;height:516;width:1482;" filled="f" stroked="f" coordsize="21600,21600" o:gfxdata="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zx//b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pPr>
                          <w:jc w:val="center"/>
                          <w:rPr>
                            <w:rFonts w:hAnsi="宋体"/>
                            <w:spacing w:val="12"/>
                            <w:szCs w:val="21"/>
                          </w:rPr>
                        </w:pPr>
                        <w:r>
                          <w:rPr>
                            <w:rFonts w:hint="eastAsia" w:hAnsi="宋体"/>
                            <w:spacing w:val="12"/>
                            <w:szCs w:val="21"/>
                          </w:rPr>
                          <w:t>实验废气</w:t>
                        </w:r>
                      </w:p>
                    </w:txbxContent>
                  </v:textbox>
                </v:shape>
                <v:roundrect id="_x0000_s1026" o:spid="_x0000_s1026" o:spt="2" style="position:absolute;left:4671;top:3014;height:492;width:1048;" fillcolor="#FFFFFF" filled="t" stroked="t" coordsize="21600,21600" arcsize="0.166666666666667" o:gfxdata="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B8l5O8AAAA&#10;3AAAAA8AAAAAAAAAAQAgAAAAIgAAAGRycy9kb3ducmV2LnhtbFBLAQIUABQAAAAIAIdO4kAzLwWe&#10;OwAAADkAAAAQAAAAAAAAAAEAIAAAAAsBAABkcnMvc2hhcGV4bWwueG1sUEsFBgAAAAAGAAYAWwEA&#10;ALUDAAAAAA==&#10;">
                  <v:fill on="t" focussize="0,0"/>
                  <v:stroke color="#000000" joinstyle="round"/>
                  <v:imagedata o:title=""/>
                  <o:lock v:ext="edit" aspectratio="f"/>
                  <v:shadow on="t" color="#808080" offset="2pt,2pt" origin="0f,0f" matrix="65536f,0f,0f,65536f"/>
                  <v:textbox>
                    <w:txbxContent>
                      <w:p>
                        <w:r>
                          <w:rPr>
                            <w:rFonts w:hint="eastAsia"/>
                          </w:rPr>
                          <w:t>通风管</w:t>
                        </w:r>
                      </w:p>
                    </w:txbxContent>
                  </v:textbox>
                </v:roundrect>
                <v:line id="_x0000_s1026" o:spid="_x0000_s1026" o:spt="20" style="position:absolute;left:1599;top:3290;flip:y;height:0;width:1024;" filled="f" stroked="t" coordsize="21600,21600" o:gfxdata="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auEfm8AAAA&#10;3AAAAA8AAAAAAAAAAQAgAAAAIgAAAGRycy9kb3ducmV2LnhtbFBLAQIUABQAAAAIAIdO4kAzLwWe&#10;OwAAADkAAAAQAAAAAAAAAAEAIAAAAAsBAABkcnMvc2hhcGV4bWwueG1sUEsFBgAAAAAGAAYAWwEA&#10;ALUDAAAAAA==&#10;">
                  <v:fill on="f" focussize="0,0"/>
                  <v:stroke color="#000000" joinstyle="round" endarrow="block" endarrowwidth="narrow" endarrowlength="long"/>
                  <v:imagedata o:title=""/>
                  <o:lock v:ext="edit" aspectratio="f"/>
                </v:line>
                <v:line id="_x0000_s1026" o:spid="_x0000_s1026" o:spt="20" style="position:absolute;left:7535;top:3281;height:0;width:666;" filled="f" stroked="t" coordsize="21600,21600" o:gfxdata="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b/bQe8AAAA&#10;3AAAAA8AAAAAAAAAAQAgAAAAIgAAAGRycy9kb3ducmV2LnhtbFBLAQIUABQAAAAIAIdO4kAzLwWe&#10;OwAAADkAAAAQAAAAAAAAAAEAIAAAAAsBAABkcnMvc2hhcGV4bWwueG1sUEsFBgAAAAAGAAYAWwEA&#10;ALUDAAAAAA==&#10;">
                  <v:fill on="f" focussize="0,0"/>
                  <v:stroke color="#000000" joinstyle="round" endarrow="block" endarrowwidth="narrow" endarrowlength="long"/>
                  <v:imagedata o:title=""/>
                  <o:lock v:ext="edit" aspectratio="f"/>
                </v:line>
                <v:roundrect id="_x0000_s1026" o:spid="_x0000_s1026" o:spt="2" style="position:absolute;left:8257;top:3005;height:540;width:994;" fillcolor="#FFFFFF" filled="t" stroked="t" coordsize="21600,21600" arcsize="0.166666666666667" o:gfxdata="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J+o074A&#10;AADcAAAADwAAAAAAAAABACAAAAAiAAAAZHJzL2Rvd25yZXYueG1sUEsBAhQAFAAAAAgAh07iQDMv&#10;BZ47AAAAOQAAABAAAAAAAAAAAQAgAAAADQEAAGRycy9zaGFwZXhtbC54bWxQSwUGAAAAAAYABgBb&#10;AQAAtwMAAAAA&#10;">
                  <v:fill on="t" focussize="0,0"/>
                  <v:stroke color="#000000" joinstyle="round"/>
                  <v:imagedata o:title=""/>
                  <o:lock v:ext="edit" aspectratio="f"/>
                  <v:shadow on="t" color="#808080" offset="2pt,2pt" origin="0f,0f" matrix="65536f,0f,0f,65536f"/>
                  <v:textbox>
                    <w:txbxContent>
                      <w:p>
                        <w:r>
                          <w:rPr>
                            <w:rFonts w:hint="eastAsia"/>
                          </w:rPr>
                          <w:t>引风机</w:t>
                        </w:r>
                      </w:p>
                    </w:txbxContent>
                  </v:textbox>
                </v:roundrect>
                <v:roundrect id="_x0000_s1026" o:spid="_x0000_s1026" o:spt="2" style="position:absolute;left:2683;top:3020;height:506;width:1270;" fillcolor="#FFFFFF" filled="t" stroked="t" coordsize="21600,21600" arcsize="0.166666666666667" o:gfxdata="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02pL4A&#10;AADcAAAADwAAAAAAAAABACAAAAAiAAAAZHJzL2Rvd25yZXYueG1sUEsBAhQAFAAAAAgAh07iQDMv&#10;BZ47AAAAOQAAABAAAAAAAAAAAQAgAAAADQEAAGRycy9zaGFwZXhtbC54bWxQSwUGAAAAAAYABgBb&#10;AQAAtwMAAAAA&#10;">
                  <v:fill on="t" focussize="0,0"/>
                  <v:stroke color="#000000" joinstyle="round"/>
                  <v:imagedata o:title=""/>
                  <o:lock v:ext="edit" aspectratio="f"/>
                  <v:shadow on="t" color="#808080" offset="2pt,2pt" origin="0f,0f" matrix="65536f,0f,0f,65536f"/>
                  <v:textbox>
                    <w:txbxContent>
                      <w:p>
                        <w:r>
                          <w:rPr>
                            <w:rFonts w:hint="eastAsia"/>
                          </w:rPr>
                          <w:t>集气设备</w:t>
                        </w:r>
                      </w:p>
                    </w:txbxContent>
                  </v:textbox>
                </v:roundrect>
                <v:line id="_x0000_s1026" o:spid="_x0000_s1026" o:spt="20" style="position:absolute;left:4015;top:3275;height:0;width:586;" filled="f" stroked="t" coordsize="21600,21600" o:gfxdata="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t83C/&#10;AAAA3AAAAA8AAAAAAAAAAQAgAAAAIgAAAGRycy9kb3ducmV2LnhtbFBLAQIUABQAAAAIAIdO4kAz&#10;LwWeOwAAADkAAAAQAAAAAAAAAAEAIAAAAA4BAABkcnMvc2hhcGV4bWwueG1sUEsFBgAAAAAGAAYA&#10;WwEAALgDAAAAAA==&#10;">
                  <v:fill on="f" focussize="0,0"/>
                  <v:stroke color="#000000" joinstyle="round" endarrow="block" endarrowwidth="narrow" endarrowlength="long"/>
                  <v:imagedata o:title=""/>
                  <o:lock v:ext="edit" aspectratio="f"/>
                </v:line>
                <v:line id="_x0000_s1026" o:spid="_x0000_s1026" o:spt="20" style="position:absolute;left:5777;top:3290;height:0;width:620;" filled="f" stroked="t" coordsize="21600,21600" o:gfxdata="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cRrBL4A&#10;AADcAAAADwAAAAAAAAABACAAAAAiAAAAZHJzL2Rvd25yZXYueG1sUEsBAhQAFAAAAAgAh07iQDMv&#10;BZ47AAAAOQAAABAAAAAAAAAAAQAgAAAADQEAAGRycy9zaGFwZXhtbC54bWxQSwUGAAAAAAYABgBb&#10;AQAAtwMAAAAA&#10;">
                  <v:fill on="f" focussize="0,0"/>
                  <v:stroke color="#000000" joinstyle="round" endarrow="block" endarrowwidth="narrow" endarrowlength="long"/>
                  <v:imagedata o:title=""/>
                  <o:lock v:ext="edit" aspectratio="f"/>
                </v:line>
                <v:roundrect id="_x0000_s1026" o:spid="_x0000_s1026" o:spt="2" style="position:absolute;left:7293;top:4988;height:514;width:1020;" fillcolor="#FFFFFF" filled="t" stroked="t" coordsize="21600,21600" arcsize="0.166666666666667" o:gfxdata="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krtC/&#10;AAAA3AAAAA8AAAAAAAAAAQAgAAAAIgAAAGRycy9kb3ducmV2LnhtbFBLAQIUABQAAAAIAIdO4kAz&#10;LwWeOwAAADkAAAAQAAAAAAAAAAEAIAAAAA4BAABkcnMvc2hhcGV4bWwueG1sUEsFBgAAAAAGAAYA&#10;WwEAALgDAAAAAA==&#10;">
                  <v:fill on="t" focussize="0,0"/>
                  <v:stroke color="#000000" joinstyle="round"/>
                  <v:imagedata o:title=""/>
                  <o:lock v:ext="edit" aspectratio="f"/>
                  <v:shadow on="t" color="#808080" offset="2pt,2pt" origin="0f,0f" matrix="65536f,0f,0f,65536f"/>
                  <v:textbox>
                    <w:txbxContent>
                      <w:p>
                        <w:r>
                          <w:rPr>
                            <w:rFonts w:hint="eastAsia"/>
                          </w:rPr>
                          <w:t>变频器</w:t>
                        </w:r>
                      </w:p>
                    </w:txbxContent>
                  </v:textbox>
                </v:roundrect>
                <v:line id="_x0000_s1026" o:spid="_x0000_s1026" o:spt="20" style="position:absolute;left:5177;top:3557;flip:x y;height:1354;width:0;" filled="f" stroked="t" coordsize="21600,21600" o:gfxdata="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eq/xC/&#10;AAAA3AAAAA8AAAAAAAAAAQAgAAAAIgAAAGRycy9kb3ducmV2LnhtbFBLAQIUABQAAAAIAIdO4kAz&#10;LwWeOwAAADkAAAAQAAAAAAAAAAEAIAAAAA4BAABkcnMvc2hhcGV4bWwueG1sUEsFBgAAAAAGAAYA&#10;WwEAALgDAAAAAA==&#10;">
                  <v:fill on="f" focussize="0,0"/>
                  <v:stroke color="#000000" joinstyle="round" dashstyle="longDash" startarrow="block" startarrowwidth="narrow" startarrowlength="long" endarrowwidth="narrow" endarrowlength="long"/>
                  <v:imagedata o:title=""/>
                  <o:lock v:ext="edit" aspectratio="f"/>
                </v:line>
                <v:roundrect id="_x0000_s1026" o:spid="_x0000_s1026" o:spt="2" style="position:absolute;left:6491;top:3019;height:505;width:974;" fillcolor="#FFFFFF" filled="t" stroked="t" coordsize="21600,21600" arcsize="0.166666666666667" o:gfxdata="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Q6lTy/&#10;AAAA3AAAAA8AAAAAAAAAAQAgAAAAIgAAAGRycy9kb3ducmV2LnhtbFBLAQIUABQAAAAIAIdO4kAz&#10;LwWeOwAAADkAAAAQAAAAAAAAAAEAIAAAAA4BAABkcnMvc2hhcGV4bWwueG1sUEsFBgAAAAAGAAYA&#10;WwEAALgDAAAAAA==&#10;">
                  <v:fill on="t" focussize="0,0"/>
                  <v:stroke color="#000000" joinstyle="round"/>
                  <v:imagedata o:title=""/>
                  <o:lock v:ext="edit" aspectratio="f"/>
                  <v:shadow on="t" color="#808080" offset="2pt,2pt" origin="0f,0f" matrix="65536f,0f,0f,65536f"/>
                  <v:textbox>
                    <w:txbxContent>
                      <w:p>
                        <w:r>
                          <w:rPr>
                            <w:rFonts w:hint="eastAsia"/>
                          </w:rPr>
                          <w:t>消声器</w:t>
                        </w:r>
                      </w:p>
                    </w:txbxContent>
                  </v:textbox>
                </v:roundrect>
                <v:roundrect id="_x0000_s1026" o:spid="_x0000_s1026" o:spt="2" style="position:absolute;left:4419;top:4973;height:491;width:1622;" fillcolor="#FFFFFF" filled="t" stroked="t" coordsize="21600,21600" arcsize="0.166666666666667" o:gfxdata="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aUBTrsAAADc&#10;AAAADwAAAAAAAAABACAAAAAiAAAAZHJzL2Rvd25yZXYueG1sUEsBAhQAFAAAAAgAh07iQDMvBZ47&#10;AAAAOQAAABAAAAAAAAAAAQAgAAAACgEAAGRycy9zaGFwZXhtbC54bWxQSwUGAAAAAAYABgBbAQAA&#10;tAMAAAAA&#10;">
                  <v:fill on="t" focussize="0,0"/>
                  <v:stroke color="#000000" joinstyle="round"/>
                  <v:imagedata o:title=""/>
                  <o:lock v:ext="edit" aspectratio="f"/>
                  <v:shadow on="t" color="#808080" offset="2pt,2pt" origin="0f,0f" matrix="65536f,0f,0f,65536f"/>
                  <v:textbox>
                    <w:txbxContent>
                      <w:p>
                        <w:r>
                          <w:rPr>
                            <w:rFonts w:hint="eastAsia"/>
                          </w:rPr>
                          <w:t>静压传感装置</w:t>
                        </w:r>
                      </w:p>
                    </w:txbxContent>
                  </v:textbox>
                </v:roundrect>
                <v:line id="_x0000_s1026" o:spid="_x0000_s1026" o:spt="20" style="position:absolute;left:8379;top:5276;flip:x y;height:0;width:348;" filled="f" stroked="t" coordsize="21600,21600" o:gfxdata="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izb96/&#10;AAAA3AAAAA8AAAAAAAAAAQAgAAAAIgAAAGRycy9kb3ducmV2LnhtbFBLAQIUABQAAAAIAIdO4kAz&#10;LwWeOwAAADkAAAAQAAAAAAAAAAEAIAAAAA4BAABkcnMvc2hhcGV4bWwueG1sUEsFBgAAAAAGAAYA&#10;WwEAALgDAAAAAA==&#10;">
                  <v:fill on="f" focussize="0,0"/>
                  <v:stroke color="#000000" joinstyle="round" dashstyle="longDash"/>
                  <v:imagedata o:title=""/>
                  <o:lock v:ext="edit" aspectratio="f"/>
                </v:line>
                <v:line id="_x0000_s1026" o:spid="_x0000_s1026" o:spt="20" style="position:absolute;left:8771;top:3677;flip:y;height:1580;width:14;" filled="f" stroked="t" coordsize="21600,21600" o:gfxdata="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4Jdua8AAAA&#10;3AAAAA8AAAAAAAAAAQAgAAAAIgAAAGRycy9kb3ducmV2LnhtbFBLAQIUABQAAAAIAIdO4kAzLwWe&#10;OwAAADkAAAAQAAAAAAAAAAEAIAAAAAsBAABkcnMvc2hhcGV4bWwueG1sUEsFBgAAAAAGAAYAWwEA&#10;ALUDAAAAAA==&#10;">
                  <v:fill on="f" focussize="0,0"/>
                  <v:stroke color="#000000" joinstyle="round" dashstyle="longDash" startarrowwidth="narrow" startarrowlength="long" endarrow="block" endarrowwidth="narrow" endarrowlength="long"/>
                  <v:imagedata o:title=""/>
                  <o:lock v:ext="edit" aspectratio="f"/>
                </v:line>
                <v:shape id="_x0000_s1026" o:spid="_x0000_s1026" o:spt="202" type="#_x0000_t202" style="position:absolute;left:5810;top:4353;height:758;width:2290;" filled="f" stroked="f" coordsize="21600,21600" o:gfxdata="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qey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pPr>
                          <w:jc w:val="center"/>
                          <w:rPr>
                            <w:rFonts w:hAnsi="宋体"/>
                            <w:spacing w:val="12"/>
                            <w:szCs w:val="21"/>
                          </w:rPr>
                        </w:pPr>
                        <w:r>
                          <w:rPr>
                            <w:rFonts w:hint="eastAsia" w:hAnsi="宋体"/>
                            <w:spacing w:val="12"/>
                            <w:szCs w:val="21"/>
                          </w:rPr>
                          <w:t>0-10V控制电信号</w:t>
                        </w:r>
                      </w:p>
                    </w:txbxContent>
                  </v:textbox>
                </v:shape>
                <v:roundrect id="_x0000_s1026" o:spid="_x0000_s1026" o:spt="2" style="position:absolute;left:9875;top:2998;height:508;width:1277;" fillcolor="#FFFFFF" filled="t" stroked="t" coordsize="21600,21600" arcsize="0.166666666666667" o:gfxdata="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EtF2b4A&#10;AADcAAAADwAAAAAAAAABACAAAAAiAAAAZHJzL2Rvd25yZXYueG1sUEsBAhQAFAAAAAgAh07iQDMv&#10;BZ47AAAAOQAAABAAAAAAAAAAAQAgAAAADQEAAGRycy9zaGFwZXhtbC54bWxQSwUGAAAAAAYABgBb&#10;AQAAtwMAAAAA&#10;">
                  <v:fill on="t" focussize="0,0"/>
                  <v:stroke color="#000000" joinstyle="round"/>
                  <v:imagedata o:title=""/>
                  <o:lock v:ext="edit" aspectratio="f"/>
                  <v:shadow on="t" color="#808080" offset="2pt,2pt" origin="0f,0f" matrix="65536f,0f,0f,65536f"/>
                  <v:textbox>
                    <w:txbxContent>
                      <w:p>
                        <w:r>
                          <w:rPr>
                            <w:rFonts w:hint="eastAsia"/>
                          </w:rPr>
                          <w:t>净化设备</w:t>
                        </w:r>
                      </w:p>
                    </w:txbxContent>
                  </v:textbox>
                </v:roundrect>
                <v:line id="_x0000_s1026" o:spid="_x0000_s1026" o:spt="20" style="position:absolute;left:9331;top:3266;height:0;width:468;" filled="f" stroked="t" coordsize="21600,21600" o:gfxdata="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iuADb4A&#10;AADcAAAADwAAAAAAAAABACAAAAAiAAAAZHJzL2Rvd25yZXYueG1sUEsBAhQAFAAAAAgAh07iQDMv&#10;BZ47AAAAOQAAABAAAAAAAAAAAQAgAAAADQEAAGRycy9zaGFwZXhtbC54bWxQSwUGAAAAAAYABgBb&#10;AQAAtwMAAAAA&#10;">
                  <v:fill on="f" focussize="0,0"/>
                  <v:stroke color="#000000" joinstyle="round" endarrow="block" endarrowwidth="narrow" endarrowlength="long"/>
                  <v:imagedata o:title=""/>
                  <o:lock v:ext="edit" aspectratio="f"/>
                </v:line>
                <v:line id="_x0000_s1026" o:spid="_x0000_s1026" o:spt="20" style="position:absolute;left:6083;top:5246;flip:x;height:0;width:1089;" filled="f" stroked="t" coordsize="21600,21600" o:gfxdata="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3g1IvQAA&#10;ANwAAAAPAAAAAAAAAAEAIAAAACIAAABkcnMvZG93bnJldi54bWxQSwECFAAUAAAACACHTuJAMy8F&#10;njsAAAA5AAAAEAAAAAAAAAABACAAAAAMAQAAZHJzL3NoYXBleG1sLnhtbFBLBQYAAAAABgAGAFsB&#10;AAC2AwAAAAA=&#10;">
                  <v:fill on="f" focussize="0,0"/>
                  <v:stroke color="#000000" joinstyle="round" dashstyle="longDash"/>
                  <v:imagedata o:title=""/>
                  <o:lock v:ext="edit" aspectratio="f"/>
                </v:line>
              </v:group>
            </w:pict>
          </mc:Fallback>
        </mc:AlternateContent>
      </w:r>
    </w:p>
    <w:p>
      <w:pPr>
        <w:tabs>
          <w:tab w:val="right" w:pos="180"/>
        </w:tabs>
        <w:spacing w:line="400" w:lineRule="exact"/>
        <w:ind w:firstLine="524" w:firstLineChars="224"/>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pacing w:val="12"/>
          <w:sz w:val="21"/>
          <w:szCs w:val="21"/>
          <w:highlight w:val="none"/>
        </w:rPr>
        <mc:AlternateContent>
          <mc:Choice Requires="wps">
            <w:drawing>
              <wp:anchor distT="0" distB="0" distL="114300" distR="114300" simplePos="0" relativeHeight="251720704" behindDoc="0" locked="0" layoutInCell="1" allowOverlap="1">
                <wp:simplePos x="0" y="0"/>
                <wp:positionH relativeFrom="column">
                  <wp:posOffset>6048375</wp:posOffset>
                </wp:positionH>
                <wp:positionV relativeFrom="paragraph">
                  <wp:posOffset>19050</wp:posOffset>
                </wp:positionV>
                <wp:extent cx="754380" cy="262255"/>
                <wp:effectExtent l="0" t="0" r="0" b="0"/>
                <wp:wrapNone/>
                <wp:docPr id="447" name="文本框 447"/>
                <wp:cNvGraphicFramePr/>
                <a:graphic xmlns:a="http://schemas.openxmlformats.org/drawingml/2006/main">
                  <a:graphicData uri="http://schemas.microsoft.com/office/word/2010/wordprocessingShape">
                    <wps:wsp>
                      <wps:cNvSpPr txBox="1"/>
                      <wps:spPr>
                        <a:xfrm>
                          <a:off x="0" y="0"/>
                          <a:ext cx="754380" cy="262255"/>
                        </a:xfrm>
                        <a:prstGeom prst="rect">
                          <a:avLst/>
                        </a:prstGeom>
                        <a:noFill/>
                        <a:ln>
                          <a:noFill/>
                        </a:ln>
                        <a:effectLst/>
                      </wps:spPr>
                      <wps:txbx>
                        <w:txbxContent>
                          <w:p>
                            <w:r>
                              <w:rPr>
                                <w:rFonts w:hint="eastAsia"/>
                              </w:rPr>
                              <w:t>达标排放</w:t>
                            </w:r>
                          </w:p>
                        </w:txbxContent>
                      </wps:txbx>
                      <wps:bodyPr upright="1"/>
                    </wps:wsp>
                  </a:graphicData>
                </a:graphic>
              </wp:anchor>
            </w:drawing>
          </mc:Choice>
          <mc:Fallback>
            <w:pict>
              <v:shape id="_x0000_s1026" o:spid="_x0000_s1026" o:spt="202" type="#_x0000_t202" style="position:absolute;left:0pt;margin-left:476.25pt;margin-top:1.5pt;height:20.65pt;width:59.4pt;z-index:251720704;mso-width-relative:page;mso-height-relative:page;" filled="f" stroked="f" coordsize="21600,21600" o:gfxdata="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">
                <v:fill on="f" focussize="0,0"/>
                <v:stroke on="f"/>
                <v:imagedata o:title=""/>
                <o:lock v:ext="edit" aspectratio="f"/>
                <v:textbox>
                  <w:txbxContent>
                    <w:p>
                      <w:r>
                        <w:rPr>
                          <w:rFonts w:hint="eastAsia"/>
                        </w:rPr>
                        <w:t>达标排放</w:t>
                      </w:r>
                    </w:p>
                  </w:txbxContent>
                </v:textbox>
              </v:shape>
            </w:pict>
          </mc:Fallback>
        </mc:AlternateContent>
      </w:r>
      <w:r>
        <w:rPr>
          <w:rFonts w:hint="eastAsia" w:asciiTheme="minorEastAsia" w:hAnsiTheme="minorEastAsia" w:eastAsiaTheme="minorEastAsia" w:cstheme="minorEastAsia"/>
          <w:color w:val="auto"/>
          <w:spacing w:val="12"/>
          <w:sz w:val="21"/>
          <w:szCs w:val="21"/>
          <w:highlight w:val="none"/>
        </w:rPr>
        <mc:AlternateContent>
          <mc:Choice Requires="wps">
            <w:drawing>
              <wp:anchor distT="0" distB="0" distL="114300" distR="114300" simplePos="0" relativeHeight="251719680" behindDoc="0" locked="0" layoutInCell="1" allowOverlap="1">
                <wp:simplePos x="0" y="0"/>
                <wp:positionH relativeFrom="column">
                  <wp:posOffset>6086475</wp:posOffset>
                </wp:positionH>
                <wp:positionV relativeFrom="paragraph">
                  <wp:posOffset>34290</wp:posOffset>
                </wp:positionV>
                <wp:extent cx="362585" cy="10160"/>
                <wp:effectExtent l="0" t="19050" r="8890" b="27940"/>
                <wp:wrapNone/>
                <wp:docPr id="448" name="直接连接符 448"/>
                <wp:cNvGraphicFramePr/>
                <a:graphic xmlns:a="http://schemas.openxmlformats.org/drawingml/2006/main">
                  <a:graphicData uri="http://schemas.microsoft.com/office/word/2010/wordprocessingShape">
                    <wps:wsp>
                      <wps:cNvCnPr/>
                      <wps:spPr>
                        <a:xfrm>
                          <a:off x="0" y="0"/>
                          <a:ext cx="1333500" cy="0"/>
                        </a:xfrm>
                        <a:prstGeom prst="line">
                          <a:avLst/>
                        </a:prstGeom>
                        <a:ln w="9525" cap="flat" cmpd="sng">
                          <a:solidFill>
                            <a:srgbClr val="000000"/>
                          </a:solidFill>
                          <a:prstDash val="solid"/>
                          <a:headEnd type="none" w="med" len="med"/>
                          <a:tailEnd type="triangle" w="sm" len="lg"/>
                        </a:ln>
                        <a:effectLst/>
                      </wps:spPr>
                      <wps:bodyPr upright="1"/>
                    </wps:wsp>
                  </a:graphicData>
                </a:graphic>
              </wp:anchor>
            </w:drawing>
          </mc:Choice>
          <mc:Fallback>
            <w:pict>
              <v:line id="_x0000_s1026" o:spid="_x0000_s1026" o:spt="20" style="position:absolute;left:0pt;margin-left:479.25pt;margin-top:2.7pt;height:0.8pt;width:28.55pt;z-index:251719680;mso-width-relative:page;mso-height-relative:page;" filled="f" stroked="t" coordsize="21600,21600" o:gfxdata="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AMtpX9kAAAAIAQAADwAAAAAAAAABACAAAAAiAAAAZHJzL2Rvd25yZXYueG1sUEsBAhQAFAAAAAgA&#10;h07iQOJbb0frAQAAqgMAAA4AAAAAAAAAAQAgAAAAKAEAAGRycy9lMm9Eb2MueG1sUEsFBgAAAAAG&#10;AAYAWQEAAIUFAAAAAA==&#10;">
                <v:fill on="f" focussize="0,0"/>
                <v:stroke color="#000000" joinstyle="round" endarrow="block" endarrowwidth="narrow" endarrowlength="long"/>
                <v:imagedata o:title=""/>
                <o:lock v:ext="edit" aspectratio="f"/>
              </v:line>
            </w:pict>
          </mc:Fallback>
        </mc:AlternateContent>
      </w:r>
    </w:p>
    <w:p>
      <w:pPr>
        <w:tabs>
          <w:tab w:val="right" w:pos="180"/>
          <w:tab w:val="left" w:pos="540"/>
        </w:tabs>
        <w:spacing w:line="400" w:lineRule="exact"/>
        <w:ind w:firstLine="420" w:firstLineChars="200"/>
        <w:rPr>
          <w:rFonts w:hint="eastAsia" w:asciiTheme="minorEastAsia" w:hAnsiTheme="minorEastAsia" w:eastAsiaTheme="minorEastAsia" w:cstheme="minorEastAsia"/>
          <w:color w:val="auto"/>
          <w:sz w:val="21"/>
          <w:szCs w:val="21"/>
          <w:highlight w:val="none"/>
        </w:rPr>
      </w:pPr>
    </w:p>
    <w:p>
      <w:pPr>
        <w:tabs>
          <w:tab w:val="right" w:pos="180"/>
          <w:tab w:val="left" w:pos="540"/>
        </w:tabs>
        <w:spacing w:line="400" w:lineRule="exact"/>
        <w:ind w:firstLine="420" w:firstLineChars="200"/>
        <w:rPr>
          <w:rFonts w:hint="eastAsia" w:asciiTheme="minorEastAsia" w:hAnsiTheme="minorEastAsia" w:eastAsiaTheme="minorEastAsia" w:cstheme="minorEastAsia"/>
          <w:color w:val="auto"/>
          <w:sz w:val="21"/>
          <w:szCs w:val="21"/>
          <w:highlight w:val="none"/>
        </w:rPr>
      </w:pPr>
    </w:p>
    <w:p>
      <w:pPr>
        <w:tabs>
          <w:tab w:val="right" w:pos="180"/>
          <w:tab w:val="left" w:pos="540"/>
        </w:tabs>
        <w:spacing w:line="400" w:lineRule="exact"/>
        <w:ind w:firstLine="420" w:firstLineChars="200"/>
        <w:rPr>
          <w:rFonts w:hint="eastAsia" w:asciiTheme="minorEastAsia" w:hAnsiTheme="minorEastAsia" w:eastAsiaTheme="minorEastAsia" w:cstheme="minorEastAsia"/>
          <w:color w:val="auto"/>
          <w:sz w:val="21"/>
          <w:szCs w:val="21"/>
          <w:highlight w:val="none"/>
        </w:rPr>
      </w:pPr>
    </w:p>
    <w:p>
      <w:pPr>
        <w:tabs>
          <w:tab w:val="right" w:pos="180"/>
        </w:tabs>
        <w:spacing w:before="50" w:line="400" w:lineRule="exac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（5）施工工艺及技术要求</w:t>
      </w:r>
    </w:p>
    <w:p>
      <w:pPr>
        <w:spacing w:line="400" w:lineRule="exact"/>
        <w:ind w:firstLine="207" w:firstLineChars="98"/>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5.1、 风管及部件制作的一般规定</w:t>
      </w:r>
    </w:p>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5.1.1、低压系统非金属风管圆形风管的板材厚度（mm）：</w:t>
      </w:r>
    </w:p>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中、低压系统非金属风管圆形风管板材厚度（mm）</w:t>
      </w:r>
    </w:p>
    <w:tbl>
      <w:tblPr>
        <w:tblStyle w:val="89"/>
        <w:tblW w:w="8042" w:type="dxa"/>
        <w:jc w:val="center"/>
        <w:tblLayout w:type="fixed"/>
        <w:tblCellMar>
          <w:top w:w="0" w:type="dxa"/>
          <w:left w:w="0" w:type="dxa"/>
          <w:bottom w:w="0" w:type="dxa"/>
          <w:right w:w="0" w:type="dxa"/>
        </w:tblCellMar>
      </w:tblPr>
      <w:tblGrid>
        <w:gridCol w:w="3929"/>
        <w:gridCol w:w="4113"/>
      </w:tblGrid>
      <w:tr>
        <w:tblPrEx>
          <w:tblCellMar>
            <w:top w:w="0" w:type="dxa"/>
            <w:left w:w="0" w:type="dxa"/>
            <w:bottom w:w="0" w:type="dxa"/>
            <w:right w:w="0" w:type="dxa"/>
          </w:tblCellMar>
        </w:tblPrEx>
        <w:trPr>
          <w:jc w:val="center"/>
        </w:trPr>
        <w:tc>
          <w:tcPr>
            <w:tcW w:w="392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风管直径Ｄ</w:t>
            </w:r>
          </w:p>
        </w:tc>
        <w:tc>
          <w:tcPr>
            <w:tcW w:w="4113" w:type="dxa"/>
            <w:tcBorders>
              <w:top w:val="single" w:color="auto" w:sz="8" w:space="0"/>
              <w:left w:val="nil"/>
              <w:bottom w:val="single" w:color="auto" w:sz="8" w:space="0"/>
              <w:right w:val="single" w:color="auto" w:sz="8" w:space="0"/>
            </w:tcBorders>
            <w:tcMar>
              <w:top w:w="0" w:type="dxa"/>
              <w:left w:w="108" w:type="dxa"/>
              <w:bottom w:w="0" w:type="dxa"/>
              <w:right w:w="108" w:type="dxa"/>
            </w:tcMa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板 材厚度</w:t>
            </w:r>
          </w:p>
        </w:tc>
      </w:tr>
      <w:tr>
        <w:tblPrEx>
          <w:tblCellMar>
            <w:top w:w="0" w:type="dxa"/>
            <w:left w:w="0" w:type="dxa"/>
            <w:bottom w:w="0" w:type="dxa"/>
            <w:right w:w="0" w:type="dxa"/>
          </w:tblCellMar>
        </w:tblPrEx>
        <w:trPr>
          <w:jc w:val="center"/>
        </w:trPr>
        <w:tc>
          <w:tcPr>
            <w:tcW w:w="3929"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Ｄ≤320</w:t>
            </w:r>
          </w:p>
        </w:tc>
        <w:tc>
          <w:tcPr>
            <w:tcW w:w="4113" w:type="dxa"/>
            <w:tcBorders>
              <w:top w:val="nil"/>
              <w:left w:val="nil"/>
              <w:bottom w:val="single" w:color="auto" w:sz="8" w:space="0"/>
              <w:right w:val="single" w:color="auto" w:sz="8" w:space="0"/>
            </w:tcBorders>
            <w:tcMar>
              <w:top w:w="0" w:type="dxa"/>
              <w:left w:w="108" w:type="dxa"/>
              <w:bottom w:w="0" w:type="dxa"/>
              <w:right w:w="108" w:type="dxa"/>
            </w:tcMa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≥３．０</w:t>
            </w:r>
          </w:p>
        </w:tc>
      </w:tr>
      <w:tr>
        <w:tblPrEx>
          <w:tblCellMar>
            <w:top w:w="0" w:type="dxa"/>
            <w:left w:w="0" w:type="dxa"/>
            <w:bottom w:w="0" w:type="dxa"/>
            <w:right w:w="0" w:type="dxa"/>
          </w:tblCellMar>
        </w:tblPrEx>
        <w:trPr>
          <w:jc w:val="center"/>
        </w:trPr>
        <w:tc>
          <w:tcPr>
            <w:tcW w:w="3929"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320&lt;D≤630</w:t>
            </w:r>
          </w:p>
        </w:tc>
        <w:tc>
          <w:tcPr>
            <w:tcW w:w="4113" w:type="dxa"/>
            <w:tcBorders>
              <w:top w:val="nil"/>
              <w:left w:val="nil"/>
              <w:bottom w:val="single" w:color="auto" w:sz="8" w:space="0"/>
              <w:right w:val="single" w:color="auto" w:sz="8" w:space="0"/>
            </w:tcBorders>
            <w:tcMar>
              <w:top w:w="0" w:type="dxa"/>
              <w:left w:w="108" w:type="dxa"/>
              <w:bottom w:w="0" w:type="dxa"/>
              <w:right w:w="108" w:type="dxa"/>
            </w:tcMa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≥４．０</w:t>
            </w:r>
          </w:p>
        </w:tc>
      </w:tr>
      <w:tr>
        <w:tblPrEx>
          <w:tblCellMar>
            <w:top w:w="0" w:type="dxa"/>
            <w:left w:w="0" w:type="dxa"/>
            <w:bottom w:w="0" w:type="dxa"/>
            <w:right w:w="0" w:type="dxa"/>
          </w:tblCellMar>
        </w:tblPrEx>
        <w:trPr>
          <w:jc w:val="center"/>
        </w:trPr>
        <w:tc>
          <w:tcPr>
            <w:tcW w:w="3929"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630&lt;D≤1000</w:t>
            </w:r>
          </w:p>
        </w:tc>
        <w:tc>
          <w:tcPr>
            <w:tcW w:w="4113" w:type="dxa"/>
            <w:tcBorders>
              <w:top w:val="nil"/>
              <w:left w:val="nil"/>
              <w:bottom w:val="single" w:color="auto" w:sz="8" w:space="0"/>
              <w:right w:val="single" w:color="auto" w:sz="8" w:space="0"/>
            </w:tcBorders>
            <w:tcMar>
              <w:top w:w="0" w:type="dxa"/>
              <w:left w:w="108" w:type="dxa"/>
              <w:bottom w:w="0" w:type="dxa"/>
              <w:right w:w="108" w:type="dxa"/>
            </w:tcMa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≥５．０</w:t>
            </w:r>
          </w:p>
        </w:tc>
      </w:tr>
      <w:tr>
        <w:tblPrEx>
          <w:tblCellMar>
            <w:top w:w="0" w:type="dxa"/>
            <w:left w:w="0" w:type="dxa"/>
            <w:bottom w:w="0" w:type="dxa"/>
            <w:right w:w="0" w:type="dxa"/>
          </w:tblCellMar>
        </w:tblPrEx>
        <w:trPr>
          <w:trHeight w:val="190" w:hRule="atLeast"/>
          <w:jc w:val="center"/>
        </w:trPr>
        <w:tc>
          <w:tcPr>
            <w:tcW w:w="3929"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1000&lt;D≤2000</w:t>
            </w:r>
          </w:p>
        </w:tc>
        <w:tc>
          <w:tcPr>
            <w:tcW w:w="4113" w:type="dxa"/>
            <w:tcBorders>
              <w:top w:val="nil"/>
              <w:left w:val="nil"/>
              <w:bottom w:val="single" w:color="auto" w:sz="8" w:space="0"/>
              <w:right w:val="single" w:color="auto" w:sz="8" w:space="0"/>
            </w:tcBorders>
            <w:tcMar>
              <w:top w:w="0" w:type="dxa"/>
              <w:left w:w="108" w:type="dxa"/>
              <w:bottom w:w="0" w:type="dxa"/>
              <w:right w:w="108" w:type="dxa"/>
            </w:tcMa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≥６．０</w:t>
            </w:r>
          </w:p>
        </w:tc>
      </w:tr>
    </w:tbl>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中、低压系统非金属风管矩形风管板材厚度（mm）</w:t>
      </w:r>
    </w:p>
    <w:tbl>
      <w:tblPr>
        <w:tblStyle w:val="89"/>
        <w:tblW w:w="813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3999"/>
        <w:gridCol w:w="413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4" w:hRule="atLeast"/>
          <w:jc w:val="center"/>
        </w:trPr>
        <w:tc>
          <w:tcPr>
            <w:tcW w:w="3999" w:type="dxa"/>
            <w:tcMar>
              <w:top w:w="0" w:type="dxa"/>
              <w:left w:w="108" w:type="dxa"/>
              <w:bottom w:w="0" w:type="dxa"/>
              <w:right w:w="108" w:type="dxa"/>
            </w:tcMa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风管长边尺寸b</w:t>
            </w:r>
          </w:p>
        </w:tc>
        <w:tc>
          <w:tcPr>
            <w:tcW w:w="4139" w:type="dxa"/>
            <w:tcMar>
              <w:top w:w="0" w:type="dxa"/>
              <w:left w:w="108" w:type="dxa"/>
              <w:bottom w:w="0" w:type="dxa"/>
              <w:right w:w="108" w:type="dxa"/>
            </w:tcMa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板　材　厚　度</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4" w:hRule="atLeast"/>
          <w:jc w:val="center"/>
        </w:trPr>
        <w:tc>
          <w:tcPr>
            <w:tcW w:w="3999" w:type="dxa"/>
            <w:tcMar>
              <w:top w:w="0" w:type="dxa"/>
              <w:left w:w="108" w:type="dxa"/>
              <w:bottom w:w="0" w:type="dxa"/>
              <w:right w:w="108" w:type="dxa"/>
            </w:tcMa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b≤320</w:t>
            </w:r>
          </w:p>
        </w:tc>
        <w:tc>
          <w:tcPr>
            <w:tcW w:w="4139" w:type="dxa"/>
            <w:tcMar>
              <w:top w:w="0" w:type="dxa"/>
              <w:left w:w="108" w:type="dxa"/>
              <w:bottom w:w="0" w:type="dxa"/>
              <w:right w:w="108" w:type="dxa"/>
            </w:tcMa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≥３．０</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4" w:hRule="atLeast"/>
          <w:jc w:val="center"/>
        </w:trPr>
        <w:tc>
          <w:tcPr>
            <w:tcW w:w="3999" w:type="dxa"/>
            <w:tcMar>
              <w:top w:w="0" w:type="dxa"/>
              <w:left w:w="108" w:type="dxa"/>
              <w:bottom w:w="0" w:type="dxa"/>
              <w:right w:w="108" w:type="dxa"/>
            </w:tcMa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320&lt;b≤500</w:t>
            </w:r>
          </w:p>
        </w:tc>
        <w:tc>
          <w:tcPr>
            <w:tcW w:w="4139" w:type="dxa"/>
            <w:tcMar>
              <w:top w:w="0" w:type="dxa"/>
              <w:left w:w="108" w:type="dxa"/>
              <w:bottom w:w="0" w:type="dxa"/>
              <w:right w:w="108" w:type="dxa"/>
            </w:tcMa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≥４．０</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4" w:hRule="atLeast"/>
          <w:jc w:val="center"/>
        </w:trPr>
        <w:tc>
          <w:tcPr>
            <w:tcW w:w="3999" w:type="dxa"/>
            <w:tcMar>
              <w:top w:w="0" w:type="dxa"/>
              <w:left w:w="108" w:type="dxa"/>
              <w:bottom w:w="0" w:type="dxa"/>
              <w:right w:w="108" w:type="dxa"/>
            </w:tcMa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500&lt;b≤800</w:t>
            </w:r>
          </w:p>
        </w:tc>
        <w:tc>
          <w:tcPr>
            <w:tcW w:w="4139" w:type="dxa"/>
            <w:tcMar>
              <w:top w:w="0" w:type="dxa"/>
              <w:left w:w="108" w:type="dxa"/>
              <w:bottom w:w="0" w:type="dxa"/>
              <w:right w:w="108" w:type="dxa"/>
            </w:tcMa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≥５．０</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4" w:hRule="atLeast"/>
          <w:jc w:val="center"/>
        </w:trPr>
        <w:tc>
          <w:tcPr>
            <w:tcW w:w="3999" w:type="dxa"/>
            <w:tcMar>
              <w:top w:w="0" w:type="dxa"/>
              <w:left w:w="108" w:type="dxa"/>
              <w:bottom w:w="0" w:type="dxa"/>
              <w:right w:w="108" w:type="dxa"/>
            </w:tcMa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800&lt;b≤1250</w:t>
            </w:r>
          </w:p>
        </w:tc>
        <w:tc>
          <w:tcPr>
            <w:tcW w:w="4139" w:type="dxa"/>
            <w:tcMar>
              <w:top w:w="0" w:type="dxa"/>
              <w:left w:w="108" w:type="dxa"/>
              <w:bottom w:w="0" w:type="dxa"/>
              <w:right w:w="108" w:type="dxa"/>
            </w:tcMa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≥６．０</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4" w:hRule="atLeast"/>
          <w:jc w:val="center"/>
        </w:trPr>
        <w:tc>
          <w:tcPr>
            <w:tcW w:w="3999" w:type="dxa"/>
            <w:tcMar>
              <w:top w:w="0" w:type="dxa"/>
              <w:left w:w="108" w:type="dxa"/>
              <w:bottom w:w="0" w:type="dxa"/>
              <w:right w:w="108" w:type="dxa"/>
            </w:tcMa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1250&lt;b≤2000</w:t>
            </w:r>
          </w:p>
        </w:tc>
        <w:tc>
          <w:tcPr>
            <w:tcW w:w="4139" w:type="dxa"/>
            <w:tcMar>
              <w:top w:w="0" w:type="dxa"/>
              <w:left w:w="108" w:type="dxa"/>
              <w:bottom w:w="0" w:type="dxa"/>
              <w:right w:w="108" w:type="dxa"/>
            </w:tcMa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≥８．０</w:t>
            </w:r>
          </w:p>
        </w:tc>
      </w:tr>
    </w:tbl>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5.1.2、非金属风管圆形风管的法兰规格（mm）</w:t>
      </w:r>
    </w:p>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非金属风管风管法兰规格（mm）</w:t>
      </w:r>
    </w:p>
    <w:tbl>
      <w:tblPr>
        <w:tblStyle w:val="89"/>
        <w:tblW w:w="960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848"/>
        <w:gridCol w:w="1715"/>
        <w:gridCol w:w="1713"/>
        <w:gridCol w:w="1596"/>
        <w:gridCol w:w="1587"/>
        <w:gridCol w:w="11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340" w:hRule="atLeast"/>
          <w:jc w:val="center"/>
        </w:trPr>
        <w:tc>
          <w:tcPr>
            <w:tcW w:w="1848"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风管边长b</w:t>
            </w:r>
          </w:p>
        </w:tc>
        <w:tc>
          <w:tcPr>
            <w:tcW w:w="1715"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材料规格</w:t>
            </w:r>
          </w:p>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（宽×厚）</w:t>
            </w:r>
          </w:p>
        </w:tc>
        <w:tc>
          <w:tcPr>
            <w:tcW w:w="1713"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连接螺栓</w:t>
            </w:r>
          </w:p>
        </w:tc>
        <w:tc>
          <w:tcPr>
            <w:tcW w:w="1596"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风管边长b</w:t>
            </w:r>
          </w:p>
        </w:tc>
        <w:tc>
          <w:tcPr>
            <w:tcW w:w="1587"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材料规格</w:t>
            </w:r>
          </w:p>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（宽×厚）</w:t>
            </w:r>
          </w:p>
        </w:tc>
        <w:tc>
          <w:tcPr>
            <w:tcW w:w="1143" w:type="dxa"/>
            <w:tcMar>
              <w:top w:w="0" w:type="dxa"/>
              <w:left w:w="108" w:type="dxa"/>
              <w:bottom w:w="0" w:type="dxa"/>
              <w:right w:w="108" w:type="dxa"/>
            </w:tcMa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连接螺栓</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247" w:hRule="atLeast"/>
          <w:jc w:val="center"/>
        </w:trPr>
        <w:tc>
          <w:tcPr>
            <w:tcW w:w="1848"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b≤160</w:t>
            </w:r>
          </w:p>
        </w:tc>
        <w:tc>
          <w:tcPr>
            <w:tcW w:w="1715"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35×6</w:t>
            </w:r>
            <w:r>
              <w:rPr>
                <w:rFonts w:hint="eastAsia" w:asciiTheme="minorEastAsia" w:hAnsiTheme="minorEastAsia" w:eastAsiaTheme="minorEastAsia" w:cstheme="minorEastAsia"/>
                <w:bCs/>
                <w:color w:val="auto"/>
                <w:sz w:val="21"/>
                <w:szCs w:val="21"/>
                <w:highlight w:val="none"/>
              </w:rPr>
              <w:t>（±10%）</w:t>
            </w:r>
          </w:p>
        </w:tc>
        <w:tc>
          <w:tcPr>
            <w:tcW w:w="1713"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M6</w:t>
            </w:r>
          </w:p>
        </w:tc>
        <w:tc>
          <w:tcPr>
            <w:tcW w:w="1596"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800＜b≤1250</w:t>
            </w:r>
          </w:p>
        </w:tc>
        <w:tc>
          <w:tcPr>
            <w:tcW w:w="1587"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45×12</w:t>
            </w:r>
            <w:r>
              <w:rPr>
                <w:rFonts w:hint="eastAsia" w:asciiTheme="minorEastAsia" w:hAnsiTheme="minorEastAsia" w:eastAsiaTheme="minorEastAsia" w:cstheme="minorEastAsia"/>
                <w:bCs/>
                <w:color w:val="auto"/>
                <w:sz w:val="21"/>
                <w:szCs w:val="21"/>
                <w:highlight w:val="none"/>
              </w:rPr>
              <w:t>（±10%）</w:t>
            </w:r>
          </w:p>
        </w:tc>
        <w:tc>
          <w:tcPr>
            <w:tcW w:w="1143" w:type="dxa"/>
            <w:vMerge w:val="restart"/>
            <w:tcMar>
              <w:top w:w="0" w:type="dxa"/>
              <w:left w:w="108" w:type="dxa"/>
              <w:bottom w:w="0" w:type="dxa"/>
              <w:right w:w="108" w:type="dxa"/>
            </w:tcMa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w:t>
            </w:r>
          </w:p>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Ｍ10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247" w:hRule="atLeast"/>
          <w:jc w:val="center"/>
        </w:trPr>
        <w:tc>
          <w:tcPr>
            <w:tcW w:w="1848"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160＜b≤400</w:t>
            </w:r>
          </w:p>
        </w:tc>
        <w:tc>
          <w:tcPr>
            <w:tcW w:w="1715"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35×8</w:t>
            </w:r>
            <w:r>
              <w:rPr>
                <w:rFonts w:hint="eastAsia" w:asciiTheme="minorEastAsia" w:hAnsiTheme="minorEastAsia" w:eastAsiaTheme="minorEastAsia" w:cstheme="minorEastAsia"/>
                <w:bCs/>
                <w:color w:val="auto"/>
                <w:sz w:val="21"/>
                <w:szCs w:val="21"/>
                <w:highlight w:val="none"/>
              </w:rPr>
              <w:t>（±10%）</w:t>
            </w:r>
          </w:p>
        </w:tc>
        <w:tc>
          <w:tcPr>
            <w:tcW w:w="1713" w:type="dxa"/>
            <w:vMerge w:val="restart"/>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M8</w:t>
            </w:r>
          </w:p>
        </w:tc>
        <w:tc>
          <w:tcPr>
            <w:tcW w:w="1596"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1250＜b≤1600</w:t>
            </w:r>
          </w:p>
        </w:tc>
        <w:tc>
          <w:tcPr>
            <w:tcW w:w="1587"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50×15</w:t>
            </w:r>
            <w:r>
              <w:rPr>
                <w:rFonts w:hint="eastAsia" w:asciiTheme="minorEastAsia" w:hAnsiTheme="minorEastAsia" w:eastAsiaTheme="minorEastAsia" w:cstheme="minorEastAsia"/>
                <w:bCs/>
                <w:color w:val="auto"/>
                <w:sz w:val="21"/>
                <w:szCs w:val="21"/>
                <w:highlight w:val="none"/>
              </w:rPr>
              <w:t>（±10%）</w:t>
            </w:r>
          </w:p>
        </w:tc>
        <w:tc>
          <w:tcPr>
            <w:tcW w:w="1143" w:type="dxa"/>
            <w:vMerge w:val="continue"/>
            <w:vAlign w:val="center"/>
          </w:tcPr>
          <w:p>
            <w:pPr>
              <w:spacing w:line="400" w:lineRule="exact"/>
              <w:rPr>
                <w:rFonts w:hint="eastAsia" w:asciiTheme="minorEastAsia" w:hAnsiTheme="minorEastAsia" w:eastAsiaTheme="minorEastAsia" w:cstheme="minorEastAsia"/>
                <w:color w:val="auto"/>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247" w:hRule="atLeast"/>
          <w:jc w:val="center"/>
        </w:trPr>
        <w:tc>
          <w:tcPr>
            <w:tcW w:w="1848"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400＜b≤500</w:t>
            </w:r>
          </w:p>
        </w:tc>
        <w:tc>
          <w:tcPr>
            <w:tcW w:w="1715"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35×10</w:t>
            </w:r>
            <w:r>
              <w:rPr>
                <w:rFonts w:hint="eastAsia" w:asciiTheme="minorEastAsia" w:hAnsiTheme="minorEastAsia" w:eastAsiaTheme="minorEastAsia" w:cstheme="minorEastAsia"/>
                <w:bCs/>
                <w:color w:val="auto"/>
                <w:sz w:val="21"/>
                <w:szCs w:val="21"/>
                <w:highlight w:val="none"/>
              </w:rPr>
              <w:t>（±10%）</w:t>
            </w:r>
          </w:p>
        </w:tc>
        <w:tc>
          <w:tcPr>
            <w:tcW w:w="1713" w:type="dxa"/>
            <w:vMerge w:val="continue"/>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p>
        </w:tc>
        <w:tc>
          <w:tcPr>
            <w:tcW w:w="1596"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1600＜b≤2000</w:t>
            </w:r>
          </w:p>
        </w:tc>
        <w:tc>
          <w:tcPr>
            <w:tcW w:w="1587"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60×18</w:t>
            </w:r>
            <w:r>
              <w:rPr>
                <w:rFonts w:hint="eastAsia" w:asciiTheme="minorEastAsia" w:hAnsiTheme="minorEastAsia" w:eastAsiaTheme="minorEastAsia" w:cstheme="minorEastAsia"/>
                <w:bCs/>
                <w:color w:val="auto"/>
                <w:sz w:val="21"/>
                <w:szCs w:val="21"/>
                <w:highlight w:val="none"/>
              </w:rPr>
              <w:t>（±10%）</w:t>
            </w:r>
          </w:p>
        </w:tc>
        <w:tc>
          <w:tcPr>
            <w:tcW w:w="1143" w:type="dxa"/>
            <w:vMerge w:val="continue"/>
            <w:vAlign w:val="center"/>
          </w:tcPr>
          <w:p>
            <w:pPr>
              <w:spacing w:line="400" w:lineRule="exact"/>
              <w:rPr>
                <w:rFonts w:hint="eastAsia" w:asciiTheme="minorEastAsia" w:hAnsiTheme="minorEastAsia" w:eastAsiaTheme="minorEastAsia" w:cstheme="minorEastAsia"/>
                <w:color w:val="auto"/>
                <w:sz w:val="21"/>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cantSplit/>
          <w:trHeight w:val="247" w:hRule="atLeast"/>
          <w:jc w:val="center"/>
        </w:trPr>
        <w:tc>
          <w:tcPr>
            <w:tcW w:w="1848"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500＜b≤800</w:t>
            </w:r>
          </w:p>
        </w:tc>
        <w:tc>
          <w:tcPr>
            <w:tcW w:w="1715"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40×10</w:t>
            </w:r>
            <w:r>
              <w:rPr>
                <w:rFonts w:hint="eastAsia" w:asciiTheme="minorEastAsia" w:hAnsiTheme="minorEastAsia" w:eastAsiaTheme="minorEastAsia" w:cstheme="minorEastAsia"/>
                <w:bCs/>
                <w:color w:val="auto"/>
                <w:sz w:val="21"/>
                <w:szCs w:val="21"/>
                <w:highlight w:val="none"/>
              </w:rPr>
              <w:t>（±10%）</w:t>
            </w:r>
          </w:p>
        </w:tc>
        <w:tc>
          <w:tcPr>
            <w:tcW w:w="1713"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M10</w:t>
            </w:r>
          </w:p>
        </w:tc>
        <w:tc>
          <w:tcPr>
            <w:tcW w:w="1596" w:type="dxa"/>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b＞2000</w:t>
            </w:r>
          </w:p>
        </w:tc>
        <w:tc>
          <w:tcPr>
            <w:tcW w:w="2730" w:type="dxa"/>
            <w:gridSpan w:val="2"/>
            <w:tcMar>
              <w:top w:w="0" w:type="dxa"/>
              <w:left w:w="108" w:type="dxa"/>
              <w:bottom w:w="0" w:type="dxa"/>
              <w:right w:w="108" w:type="dxa"/>
            </w:tcMar>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按设计</w:t>
            </w:r>
          </w:p>
        </w:tc>
      </w:tr>
    </w:tbl>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5.1.3、风管系统类别划分</w:t>
      </w:r>
    </w:p>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风管系统工程类别划分</w:t>
      </w:r>
    </w:p>
    <w:tbl>
      <w:tblPr>
        <w:tblStyle w:val="89"/>
        <w:tblW w:w="90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2"/>
        <w:gridCol w:w="2441"/>
        <w:gridCol w:w="3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3292"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系统类别</w:t>
            </w:r>
          </w:p>
        </w:tc>
        <w:tc>
          <w:tcPr>
            <w:tcW w:w="2441"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系统工作压力</w:t>
            </w:r>
          </w:p>
        </w:tc>
        <w:tc>
          <w:tcPr>
            <w:tcW w:w="3301"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密封要求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3292"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低压系统</w:t>
            </w:r>
          </w:p>
        </w:tc>
        <w:tc>
          <w:tcPr>
            <w:tcW w:w="2441"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P≤500Pa</w:t>
            </w:r>
          </w:p>
        </w:tc>
        <w:tc>
          <w:tcPr>
            <w:tcW w:w="3301"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接缝和接连管处严密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3292"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中压系统</w:t>
            </w:r>
          </w:p>
        </w:tc>
        <w:tc>
          <w:tcPr>
            <w:tcW w:w="2441"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500＜P≤1500Pa</w:t>
            </w:r>
          </w:p>
        </w:tc>
        <w:tc>
          <w:tcPr>
            <w:tcW w:w="3301"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增加密封装置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3292"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高压系统</w:t>
            </w:r>
          </w:p>
        </w:tc>
        <w:tc>
          <w:tcPr>
            <w:tcW w:w="2441"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P＞1500Pa</w:t>
            </w:r>
          </w:p>
        </w:tc>
        <w:tc>
          <w:tcPr>
            <w:tcW w:w="3301"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全部采取密封措施</w:t>
            </w:r>
          </w:p>
        </w:tc>
      </w:tr>
    </w:tbl>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5.1.4．风管风管支吊架最大间距</w:t>
      </w:r>
    </w:p>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风管支吊架最大间距(m)</w:t>
      </w:r>
    </w:p>
    <w:tbl>
      <w:tblPr>
        <w:tblStyle w:val="89"/>
        <w:tblW w:w="8971"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853"/>
        <w:gridCol w:w="683"/>
        <w:gridCol w:w="810"/>
        <w:gridCol w:w="808"/>
        <w:gridCol w:w="710"/>
        <w:gridCol w:w="641"/>
        <w:gridCol w:w="668"/>
        <w:gridCol w:w="683"/>
        <w:gridCol w:w="716"/>
        <w:gridCol w:w="716"/>
        <w:gridCol w:w="68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18" w:hRule="atLeast"/>
          <w:jc w:val="center"/>
        </w:trPr>
        <w:tc>
          <w:tcPr>
            <w:tcW w:w="1853" w:type="dxa"/>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公称直径(mm)</w:t>
            </w:r>
          </w:p>
        </w:tc>
        <w:tc>
          <w:tcPr>
            <w:tcW w:w="683" w:type="dxa"/>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200</w:t>
            </w:r>
          </w:p>
        </w:tc>
        <w:tc>
          <w:tcPr>
            <w:tcW w:w="810" w:type="dxa"/>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250</w:t>
            </w:r>
          </w:p>
        </w:tc>
        <w:tc>
          <w:tcPr>
            <w:tcW w:w="808" w:type="dxa"/>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320</w:t>
            </w:r>
          </w:p>
        </w:tc>
        <w:tc>
          <w:tcPr>
            <w:tcW w:w="710" w:type="dxa"/>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360</w:t>
            </w:r>
          </w:p>
        </w:tc>
        <w:tc>
          <w:tcPr>
            <w:tcW w:w="641" w:type="dxa"/>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400</w:t>
            </w:r>
          </w:p>
        </w:tc>
        <w:tc>
          <w:tcPr>
            <w:tcW w:w="668" w:type="dxa"/>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450</w:t>
            </w:r>
          </w:p>
        </w:tc>
        <w:tc>
          <w:tcPr>
            <w:tcW w:w="683" w:type="dxa"/>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500</w:t>
            </w:r>
          </w:p>
        </w:tc>
        <w:tc>
          <w:tcPr>
            <w:tcW w:w="716" w:type="dxa"/>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560</w:t>
            </w:r>
          </w:p>
        </w:tc>
        <w:tc>
          <w:tcPr>
            <w:tcW w:w="716" w:type="dxa"/>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630</w:t>
            </w:r>
          </w:p>
        </w:tc>
        <w:tc>
          <w:tcPr>
            <w:tcW w:w="683" w:type="dxa"/>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700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16" w:hRule="atLeast"/>
          <w:jc w:val="center"/>
        </w:trPr>
        <w:tc>
          <w:tcPr>
            <w:tcW w:w="1853" w:type="dxa"/>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支撑距离</w:t>
            </w:r>
          </w:p>
        </w:tc>
        <w:tc>
          <w:tcPr>
            <w:tcW w:w="683" w:type="dxa"/>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w:t>
            </w:r>
          </w:p>
        </w:tc>
        <w:tc>
          <w:tcPr>
            <w:tcW w:w="810" w:type="dxa"/>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w:t>
            </w:r>
          </w:p>
        </w:tc>
        <w:tc>
          <w:tcPr>
            <w:tcW w:w="808" w:type="dxa"/>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w:t>
            </w:r>
          </w:p>
        </w:tc>
        <w:tc>
          <w:tcPr>
            <w:tcW w:w="710" w:type="dxa"/>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w:t>
            </w:r>
          </w:p>
        </w:tc>
        <w:tc>
          <w:tcPr>
            <w:tcW w:w="641" w:type="dxa"/>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w:t>
            </w:r>
          </w:p>
        </w:tc>
        <w:tc>
          <w:tcPr>
            <w:tcW w:w="668" w:type="dxa"/>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w:t>
            </w:r>
          </w:p>
        </w:tc>
        <w:tc>
          <w:tcPr>
            <w:tcW w:w="683" w:type="dxa"/>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2.5</w:t>
            </w:r>
          </w:p>
        </w:tc>
        <w:tc>
          <w:tcPr>
            <w:tcW w:w="716" w:type="dxa"/>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2.5</w:t>
            </w:r>
          </w:p>
        </w:tc>
        <w:tc>
          <w:tcPr>
            <w:tcW w:w="716" w:type="dxa"/>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2.5</w:t>
            </w:r>
          </w:p>
        </w:tc>
        <w:tc>
          <w:tcPr>
            <w:tcW w:w="683" w:type="dxa"/>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2.5</w:t>
            </w:r>
          </w:p>
        </w:tc>
      </w:tr>
    </w:tbl>
    <w:p>
      <w:pPr>
        <w:spacing w:line="400" w:lineRule="exact"/>
        <w:ind w:firstLine="207" w:firstLineChars="98"/>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5.2、风管质量的基本要求</w:t>
      </w:r>
    </w:p>
    <w:p>
      <w:pPr>
        <w:spacing w:line="400" w:lineRule="exact"/>
        <w:ind w:firstLine="525" w:firstLineChars="2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风管必须通过工艺性的检测或验证，其强度和严密性要求应符合设计或下列规定：</w:t>
      </w:r>
    </w:p>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5.2.1 风管的强度应能满足在1.5倍工作压力下接缝处无开裂；</w:t>
      </w:r>
    </w:p>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5.2.2 矩形风管的允许漏风量应符合以下规定：</w:t>
      </w:r>
    </w:p>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a、低压系统风管 ＱL≤0.1056P0.65</w:t>
      </w:r>
    </w:p>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 中压系统风管 QM≤0.0352P0.65</w:t>
      </w:r>
    </w:p>
    <w:p>
      <w:pPr>
        <w:spacing w:line="400" w:lineRule="exact"/>
        <w:ind w:firstLine="207" w:firstLineChars="98"/>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5.3、风管安装的技术要求</w:t>
      </w:r>
    </w:p>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5.3.1.与有振动设备连接时应加装软接（帆布或塑料布）；</w:t>
      </w:r>
    </w:p>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5.3.2.风管穿墙体和楼板时要加金属套管保护，其钢板厚度应小于1．6mm，风管同金属套管之间应有5~10mm的间隙。风管与防护套管之间，应用不燃且对人体无危害的柔性材料封堵；</w:t>
      </w:r>
    </w:p>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5.3.3.风管连接时法兰之间应垫入厚为</w:t>
      </w:r>
      <w:r>
        <w:rPr>
          <w:rFonts w:hint="eastAsia" w:asciiTheme="minorEastAsia" w:hAnsiTheme="minorEastAsia" w:eastAsiaTheme="minorEastAsia" w:cstheme="minorEastAsia"/>
          <w:bCs/>
          <w:color w:val="auto"/>
          <w:sz w:val="21"/>
          <w:szCs w:val="21"/>
          <w:highlight w:val="none"/>
        </w:rPr>
        <w:t>≥</w:t>
      </w:r>
      <w:r>
        <w:rPr>
          <w:rFonts w:hint="eastAsia" w:asciiTheme="minorEastAsia" w:hAnsiTheme="minorEastAsia" w:eastAsiaTheme="minorEastAsia" w:cstheme="minorEastAsia"/>
          <w:color w:val="auto"/>
          <w:sz w:val="21"/>
          <w:szCs w:val="21"/>
          <w:highlight w:val="none"/>
        </w:rPr>
        <w:t>10mm的软PEF棉，并粘贴好；</w:t>
      </w:r>
    </w:p>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5.3.4.风管的连接长度，应按风管的壁厚、法兰与风管的连接方法、安装的结构部位和吊装方法等因素决定。为了安装方便，尽量在地面上进行连接，(直线段)一般可接至10～12 m长左右。在风管连接时，不允许将可拆卸的接口装设在墙内；</w:t>
      </w:r>
    </w:p>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5.3.5.除风管制作保证其平整外，在安装过程仍要保证风管的平整，并防止在交叉施工中受到破坏。明装水平风管安装后的不水平度的允许偏差为每米不应大于5 mm；总偏差不应大于30 mm。明装垂直风管安装后不垂直度的允许偏差为每米不应大于5 mm；总偏差不应大于30 mm。</w:t>
      </w:r>
    </w:p>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5.3.6.风管沿墙敷设时，管壁到墙面至少保留100 mm的距离，以便于拧法兰螺栓；</w:t>
      </w:r>
    </w:p>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5.3.7.风管内不得敷设电线、电缆，风机控制线在风管外沿风管敷设；</w:t>
      </w:r>
    </w:p>
    <w:p>
      <w:pPr>
        <w:spacing w:line="400" w:lineRule="exact"/>
        <w:ind w:left="239" w:leftChars="114"/>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5.3.8.风管与部件吊架的膨胀螺栓位置应正确、牢固可靠，采用膨胀螺栓固定吊架时，必须根据所承受的负荷认真选用膨胀螺栓；</w:t>
      </w:r>
    </w:p>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5.3.9.对于相同管径的吊架应等距离排列，但不能将吊架位置设置在风口、风阀、检视门及测定孔等部位；吊杆不宜直接固定在法兰上。</w:t>
      </w:r>
    </w:p>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5.3．10.风管支撑距离不得低于国标(GB50234－97)；</w:t>
      </w:r>
    </w:p>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5.3．11.支、吊架上的螺孔应采用机械加工，不得用气割开孔；</w:t>
      </w:r>
    </w:p>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5.3．12.靠墙安装的垂直风管应用斜撑支架，不靠墙、柱穿楼板安装的垂直风管采用抱箍支架；</w:t>
      </w:r>
    </w:p>
    <w:p>
      <w:pPr>
        <w:spacing w:line="400" w:lineRule="exact"/>
        <w:ind w:firstLine="210" w:firstLine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5.3．13.水平风管支吊架的吊杆应平直，螺纹应完整、光洁。</w:t>
      </w:r>
    </w:p>
    <w:p>
      <w:pPr>
        <w:spacing w:line="400" w:lineRule="exact"/>
        <w:ind w:firstLine="207" w:firstLineChars="98"/>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5.4、风阀安装的技术要求</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5.4.1.风管与阀门联接直线段采取地面组装，风阀安装前应做动作试验和性能进行检测，联接完毕对表面进行清洁，并关闭阀门，严防尘土杂物入内。</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5.4.2.调节阀（止回阀）安装时，方向位置应正确；安装后再做动作试验，其阀板的启闭应灵活，动作应可靠。</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5.4.3.手动单叶片或多叶片调节风阀的手轮或扳手，应以顺时针方向转动为关闭，其调节范围及开启角度指示应与叶片开启角度相一致。</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5.4.4.电动、气动调节风阀的驱动装置，动作应可靠，在最大工作压力下工作正常。</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5.4.5.防火阀和排烟阀（排烟口）必须符合有关消防产品标准的规定，并具有相应的产品合格证明文件。</w:t>
      </w:r>
    </w:p>
    <w:p>
      <w:pPr>
        <w:spacing w:line="400" w:lineRule="exact"/>
        <w:ind w:firstLine="207" w:firstLineChars="98"/>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5.6、风机安装</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5.6.1．所有排风机要求安装在室内风机房、屋顶或一楼地面。</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5.6.2．风机的砼基础要求水平、坚固，且基础高度≥150mm。</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5.6.3．风机与风管采用帆布软管（柔性材料且不燃烧）连接，长度为150 mm~300mm。为保证帆布软管在系统运转过程中不扭曲，应安装的松紧适度。对于装在风机吸入端的帆布软管，可安装稍紧些，防止风机运转时被吸入；</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5.6.4.风机的钢支架必须固定在混凝土基础上，对功率超过0.75kw的风机其钢支架与基础之间必须增加橡胶减振垫。全部风机及电动机组件都安装在整块的钢支架上，钢架安装在减振垫上，减振垫最好用多孔型橡胶板。减振垫的布置尽量对称于设备的主惯性轴，或布置在设备重心的平面内，以使各减振器受力均匀，变形量相等。</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5.6.5．风机出口的风管管径只能变大、不能变小，出风口要安装杂物网，偏向上出风时须增加风雨帽。</w:t>
      </w:r>
    </w:p>
    <w:p>
      <w:pPr>
        <w:spacing w:line="400" w:lineRule="exact"/>
        <w:ind w:firstLine="207" w:firstLineChars="98"/>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5.7、电气系统施工技术要求</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5.7.1．暗敷线管工艺要求</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①暗敷线管宜沿最近的路线敷设，尽量减少弯曲，与建筑物、构筑物表面的距离不应小于15mm。</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②暗敷线管不宜穿过设备或建筑物、构筑物的基础，当必须穿过时，应采取保护措施。</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③暗敷线管弯曲半径不宜小于外径的6倍，当埋设于地下或混凝土内时，，弯曲半径不应小于管外径的10倍。</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④当线管长超过15m时，采用线盒连接。</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⑤电线管连接采用螺纹连接，管端螺纹长度不应小于管接头长度的1/2；连接后，其螺纹外露2～3扣，螺纹表面应光滑、无缺损；线管与线盒(箱)采用螺纹连接。</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2．明敷线管工艺要求</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①敷设前应按设计图纸、标准图规定的敷设方式，加工好各种支架、吊架等金属支持件。</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②配管前先按设计图纸确定好配电设备、各种箱、盒及用电设备安装位置，并将箱、盒与建筑物固定牢固。</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③明敷管路应横平竖直，顺线路的垂直和水平位置进行弹线定位，并应注意管路与其它管路相互间位置及最小距离。测量出吊架、支架等固定点的具体位置和距离。</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④沿建筑物表面敷设的明管，使用管卡子均匀固定，固定点间距离为1米</w:t>
      </w:r>
      <w:r>
        <w:rPr>
          <w:rFonts w:hint="eastAsia" w:asciiTheme="minorEastAsia" w:hAnsiTheme="minorEastAsia" w:eastAsiaTheme="minorEastAsia" w:cstheme="minorEastAsia"/>
          <w:bCs/>
          <w:color w:val="auto"/>
          <w:sz w:val="21"/>
          <w:szCs w:val="21"/>
          <w:highlight w:val="none"/>
        </w:rPr>
        <w:t>（±10%）</w:t>
      </w:r>
      <w:r>
        <w:rPr>
          <w:rFonts w:hint="eastAsia" w:asciiTheme="minorEastAsia" w:hAnsiTheme="minorEastAsia" w:eastAsiaTheme="minorEastAsia" w:cstheme="minorEastAsia"/>
          <w:color w:val="auto"/>
          <w:sz w:val="21"/>
          <w:szCs w:val="21"/>
          <w:highlight w:val="none"/>
        </w:rPr>
        <w:t>。管卡子的固定采用胀管法。</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明管的支（吊）架安装，对于多根明管或较粗的明管可采用支（吊）架安装，采用支（吊）架安装时应先固定好两端的支（吊）架，再拉通线固定中间支（吊）架。支(吊)架下料和钻孔采用机械法，不允许气割下料。</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⑥明配管的管与管、管与盒（箱）的连接采用丝扣连接，连接处须用螺丝套管索头(杯臣)连接，并在接头两端设置跨接线，严禁采用焊接跨接，应使用专用的跨接线卡固定，跨接线芯不小于2.5mm2。</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⑦明配管在通过建筑物伸缩缝和沉降缝应做补偿措施。用摇表测试相间、相对地的绝缘电阻值并作好记录。</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3．控制箱安装工艺要求</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①安装位置正确、部件齐全，箱体开孔合适、切口整齐。</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②导线一管一孔顺直进入箱内，露出长度应小于5mm；用锁紧螺母固定的管口，管子露出锁紧螺母的螺纹为2～4扣。</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③箱背后建筑物表面无空鼓和裂缝现象；箱体内外清洁。箱、门开启灵活，箱内结线整齐，回路编号齐全、正确。箱体油漆完整。管子与箱体连接用专用锁紧螺母。</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钢管与箱体用锁紧螺母连接，并用跨接线卡连接进度跨接线。</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④盘面上电器控制回路的下方，要设好标志牌，标明所控制的回路名称编号。</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⑤导线与电器必须元件的压接螺丝牢固，压线方向正确。所有二次线必须排列整齐美观、安全可靠，导线两端应带有明显标志和编号的标号头。导线的色别按相序依次为黄、绿、红色，保护接地为黄绿相间色。</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⑥接线位置正确，连接牢固紧密，不伤芯线。压板压接时，压紧无松动；螺栓连接时，在同一端子上导线不超过2根，防松垫圈等配件齐全。零线经汇流排（零线端子）连接，无绞接现象。</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⑦导线在箱内余量适当，进入器具的绝缘保护完好，盘面配线整齐、美观；回路编号齐全、正确。</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⑧配线时根据设计要求及有关规范要求，选好导线的截面和长度，剪断后接线配线。盘前盘后配线应成把成束排列整齐、美观，安全可靠，采用线卡固定。压头时，将导线剥出芯线逐个压牢。</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⑨接地（接零）线截面选用正确，有专用的接地螺栓，连接紧密牢固，走向合理，色标准确，检修方便。</w:t>
      </w:r>
    </w:p>
    <w:p>
      <w:pPr>
        <w:tabs>
          <w:tab w:val="right" w:pos="180"/>
        </w:tabs>
        <w:spacing w:line="400" w:lineRule="exact"/>
        <w:ind w:firstLine="207" w:firstLineChars="98"/>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drawing>
          <wp:anchor distT="0" distB="0" distL="114300" distR="114300" simplePos="0" relativeHeight="251660288" behindDoc="1" locked="1" layoutInCell="1" allowOverlap="1">
            <wp:simplePos x="0" y="0"/>
            <wp:positionH relativeFrom="column">
              <wp:posOffset>520700</wp:posOffset>
            </wp:positionH>
            <wp:positionV relativeFrom="paragraph">
              <wp:posOffset>1320800</wp:posOffset>
            </wp:positionV>
            <wp:extent cx="1117600" cy="355600"/>
            <wp:effectExtent l="0" t="0" r="6350" b="6350"/>
            <wp:wrapNone/>
            <wp:docPr id="412" name="图片 1495" descr="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1495" descr="88"/>
                    <pic:cNvPicPr>
                      <a:picLocks noChangeAspect="1" noChangeArrowheads="1"/>
                    </pic:cNvPicPr>
                  </pic:nvPicPr>
                  <pic:blipFill>
                    <a:blip r:embed="rId15"/>
                    <a:srcRect/>
                    <a:stretch>
                      <a:fillRect/>
                    </a:stretch>
                  </pic:blipFill>
                  <pic:spPr>
                    <a:xfrm>
                      <a:off x="0" y="0"/>
                      <a:ext cx="1117600" cy="355600"/>
                    </a:xfrm>
                    <a:prstGeom prst="rect">
                      <a:avLst/>
                    </a:prstGeom>
                    <a:noFill/>
                    <a:ln w="9525">
                      <a:noFill/>
                      <a:miter lim="800000"/>
                      <a:headEnd/>
                      <a:tailEnd/>
                    </a:ln>
                  </pic:spPr>
                </pic:pic>
              </a:graphicData>
            </a:graphic>
          </wp:anchor>
        </w:drawing>
      </w:r>
      <w:r>
        <w:rPr>
          <w:rFonts w:hint="eastAsia" w:asciiTheme="minorEastAsia" w:hAnsiTheme="minorEastAsia" w:eastAsiaTheme="minorEastAsia" w:cstheme="minorEastAsia"/>
          <w:b/>
          <w:color w:val="auto"/>
          <w:sz w:val="21"/>
          <w:szCs w:val="21"/>
          <w:highlight w:val="none"/>
        </w:rPr>
        <w:t>5.8、排风风管（PP材质风管）制作及安装方案</w:t>
      </w:r>
    </w:p>
    <w:p>
      <w:pPr>
        <w:spacing w:line="400" w:lineRule="exact"/>
        <w:ind w:firstLine="392" w:firstLineChars="187"/>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本工排风风管全部使用PP材质风管。PP材质风管厚度按设计规范要求。</w:t>
      </w:r>
    </w:p>
    <w:p>
      <w:pPr>
        <w:spacing w:line="400" w:lineRule="exact"/>
        <w:ind w:firstLine="392" w:firstLineChars="187"/>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drawing>
          <wp:anchor distT="0" distB="0" distL="114300" distR="114300" simplePos="0" relativeHeight="251671552" behindDoc="1" locked="0" layoutInCell="1" allowOverlap="1">
            <wp:simplePos x="0" y="0"/>
            <wp:positionH relativeFrom="column">
              <wp:posOffset>386715</wp:posOffset>
            </wp:positionH>
            <wp:positionV relativeFrom="paragraph">
              <wp:posOffset>252730</wp:posOffset>
            </wp:positionV>
            <wp:extent cx="5249545" cy="1649730"/>
            <wp:effectExtent l="0" t="0" r="8255" b="7620"/>
            <wp:wrapTight wrapText="bothSides">
              <wp:wrapPolygon>
                <wp:start x="0" y="0"/>
                <wp:lineTo x="0" y="21450"/>
                <wp:lineTo x="21556" y="21450"/>
                <wp:lineTo x="21556" y="0"/>
                <wp:lineTo x="0" y="0"/>
              </wp:wrapPolygon>
            </wp:wrapTight>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6"/>
                    <a:stretch>
                      <a:fillRect/>
                    </a:stretch>
                  </pic:blipFill>
                  <pic:spPr>
                    <a:xfrm>
                      <a:off x="0" y="0"/>
                      <a:ext cx="5249545" cy="1649730"/>
                    </a:xfrm>
                    <a:prstGeom prst="rect">
                      <a:avLst/>
                    </a:prstGeom>
                    <a:noFill/>
                    <a:ln>
                      <a:noFill/>
                    </a:ln>
                  </pic:spPr>
                </pic:pic>
              </a:graphicData>
            </a:graphic>
          </wp:anchor>
        </w:drawing>
      </w:r>
      <w:r>
        <w:rPr>
          <w:rFonts w:hint="eastAsia" w:asciiTheme="minorEastAsia" w:hAnsiTheme="minorEastAsia" w:eastAsiaTheme="minorEastAsia" w:cstheme="minorEastAsia"/>
          <w:b/>
          <w:color w:val="auto"/>
          <w:sz w:val="21"/>
          <w:szCs w:val="21"/>
          <w:highlight w:val="none"/>
        </w:rPr>
        <w:t>5.8.1、PP材质风管制作要求规范：</w:t>
      </w:r>
    </w:p>
    <w:p>
      <w:pPr>
        <w:spacing w:line="400" w:lineRule="exact"/>
        <w:jc w:val="center"/>
        <w:rPr>
          <w:rFonts w:hint="eastAsia" w:asciiTheme="minorEastAsia" w:hAnsiTheme="minorEastAsia" w:eastAsiaTheme="minorEastAsia" w:cstheme="minorEastAsia"/>
          <w:color w:val="auto"/>
          <w:sz w:val="21"/>
          <w:szCs w:val="21"/>
          <w:highlight w:val="none"/>
        </w:rPr>
      </w:pPr>
    </w:p>
    <w:p>
      <w:pPr>
        <w:spacing w:line="400" w:lineRule="exact"/>
        <w:jc w:val="center"/>
        <w:rPr>
          <w:rFonts w:hint="eastAsia" w:asciiTheme="minorEastAsia" w:hAnsiTheme="minorEastAsia" w:eastAsiaTheme="minorEastAsia" w:cstheme="minorEastAsia"/>
          <w:color w:val="auto"/>
          <w:sz w:val="21"/>
          <w:szCs w:val="21"/>
          <w:highlight w:val="none"/>
        </w:rPr>
      </w:pPr>
    </w:p>
    <w:p>
      <w:pPr>
        <w:spacing w:line="400" w:lineRule="exact"/>
        <w:jc w:val="center"/>
        <w:rPr>
          <w:rFonts w:hint="eastAsia" w:asciiTheme="minorEastAsia" w:hAnsiTheme="minorEastAsia" w:eastAsiaTheme="minorEastAsia" w:cstheme="minorEastAsia"/>
          <w:color w:val="auto"/>
          <w:sz w:val="21"/>
          <w:szCs w:val="21"/>
          <w:highlight w:val="none"/>
        </w:rPr>
      </w:pPr>
    </w:p>
    <w:p>
      <w:pPr>
        <w:spacing w:line="400" w:lineRule="exact"/>
        <w:jc w:val="center"/>
        <w:rPr>
          <w:rFonts w:hint="eastAsia" w:asciiTheme="minorEastAsia" w:hAnsiTheme="minorEastAsia" w:eastAsiaTheme="minorEastAsia" w:cstheme="minorEastAsia"/>
          <w:color w:val="auto"/>
          <w:sz w:val="21"/>
          <w:szCs w:val="21"/>
          <w:highlight w:val="none"/>
        </w:rPr>
      </w:pPr>
    </w:p>
    <w:p>
      <w:pPr>
        <w:spacing w:line="400" w:lineRule="exact"/>
        <w:jc w:val="center"/>
        <w:rPr>
          <w:rFonts w:hint="eastAsia" w:asciiTheme="minorEastAsia" w:hAnsiTheme="minorEastAsia" w:eastAsiaTheme="minorEastAsia" w:cstheme="minorEastAsia"/>
          <w:color w:val="auto"/>
          <w:sz w:val="21"/>
          <w:szCs w:val="21"/>
          <w:highlight w:val="none"/>
        </w:rPr>
      </w:pPr>
    </w:p>
    <w:p>
      <w:pPr>
        <w:spacing w:line="400" w:lineRule="exact"/>
        <w:jc w:val="center"/>
        <w:rPr>
          <w:rFonts w:hint="eastAsia" w:asciiTheme="minorEastAsia" w:hAnsiTheme="minorEastAsia" w:eastAsiaTheme="minorEastAsia" w:cstheme="minorEastAsia"/>
          <w:color w:val="auto"/>
          <w:sz w:val="21"/>
          <w:szCs w:val="21"/>
          <w:highlight w:val="none"/>
        </w:rPr>
      </w:pPr>
    </w:p>
    <w:p>
      <w:pPr>
        <w:spacing w:line="400" w:lineRule="exact"/>
        <w:jc w:val="center"/>
        <w:rPr>
          <w:rFonts w:hint="eastAsia" w:asciiTheme="minorEastAsia" w:hAnsiTheme="minorEastAsia" w:eastAsiaTheme="minorEastAsia" w:cstheme="minorEastAsia"/>
          <w:color w:val="auto"/>
          <w:sz w:val="21"/>
          <w:szCs w:val="21"/>
          <w:highlight w:val="none"/>
        </w:rPr>
      </w:pPr>
    </w:p>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表1.1.2-2   PP材质塑料板矩形风管板材厚度及外边长允许偏差（mm）</w:t>
      </w:r>
    </w:p>
    <w:tbl>
      <w:tblPr>
        <w:tblStyle w:val="89"/>
        <w:tblW w:w="77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7"/>
        <w:gridCol w:w="3020"/>
        <w:gridCol w:w="2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风管大边b</w:t>
            </w:r>
          </w:p>
        </w:tc>
        <w:tc>
          <w:tcPr>
            <w:tcW w:w="302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板材厚度</w:t>
            </w:r>
          </w:p>
        </w:tc>
        <w:tc>
          <w:tcPr>
            <w:tcW w:w="2363"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外边长允许偏差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b≤320</w:t>
            </w:r>
          </w:p>
        </w:tc>
        <w:tc>
          <w:tcPr>
            <w:tcW w:w="302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c>
          <w:tcPr>
            <w:tcW w:w="2363"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320＜</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≤500</w:t>
            </w:r>
          </w:p>
        </w:tc>
        <w:tc>
          <w:tcPr>
            <w:tcW w:w="302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p>
        </w:tc>
        <w:tc>
          <w:tcPr>
            <w:tcW w:w="2363"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500＜</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≤800</w:t>
            </w:r>
          </w:p>
        </w:tc>
        <w:tc>
          <w:tcPr>
            <w:tcW w:w="302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p>
        </w:tc>
        <w:tc>
          <w:tcPr>
            <w:tcW w:w="2363"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800＜</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≤1250</w:t>
            </w:r>
          </w:p>
        </w:tc>
        <w:tc>
          <w:tcPr>
            <w:tcW w:w="302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p>
        </w:tc>
        <w:tc>
          <w:tcPr>
            <w:tcW w:w="2363"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7"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1250＜</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≤2000</w:t>
            </w:r>
          </w:p>
        </w:tc>
        <w:tc>
          <w:tcPr>
            <w:tcW w:w="302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w:t>
            </w:r>
          </w:p>
        </w:tc>
        <w:tc>
          <w:tcPr>
            <w:tcW w:w="2363"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r>
    </w:tbl>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 风管板材连接采用焊接时，其焊缝形式、焊缝坡口尺寸及使用范围应符合表1.1.3的规定。焊缝应饱满，焊条排列应整齐，不得出现焦黄、断裂等缺陷；焊缝强度不得低于母材的60％。</w:t>
      </w:r>
    </w:p>
    <w:p>
      <w:pPr>
        <w:spacing w:line="400" w:lineRule="exact"/>
        <w:ind w:firstLine="210" w:firstLineChars="100"/>
        <w:jc w:val="center"/>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 xml:space="preserve">表1.1.3    </w:t>
      </w:r>
      <w:r>
        <w:rPr>
          <w:rFonts w:hint="eastAsia" w:asciiTheme="minorEastAsia" w:hAnsiTheme="minorEastAsia" w:eastAsiaTheme="minorEastAsia" w:cstheme="minorEastAsia"/>
          <w:color w:val="auto"/>
          <w:sz w:val="21"/>
          <w:szCs w:val="21"/>
          <w:highlight w:val="none"/>
        </w:rPr>
        <w:t>PP材质塑料板连接的</w:t>
      </w:r>
      <w:r>
        <w:rPr>
          <w:rFonts w:hint="eastAsia" w:asciiTheme="minorEastAsia" w:hAnsiTheme="minorEastAsia" w:eastAsiaTheme="minorEastAsia" w:cstheme="minorEastAsia"/>
          <w:bCs/>
          <w:color w:val="auto"/>
          <w:sz w:val="21"/>
          <w:szCs w:val="21"/>
          <w:highlight w:val="none"/>
        </w:rPr>
        <w:t>焊缝形式坡口尺寸及使用范围</w:t>
      </w:r>
    </w:p>
    <w:tbl>
      <w:tblPr>
        <w:tblStyle w:val="89"/>
        <w:tblW w:w="93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9"/>
        <w:gridCol w:w="1211"/>
        <w:gridCol w:w="1101"/>
        <w:gridCol w:w="1358"/>
        <w:gridCol w:w="1268"/>
        <w:gridCol w:w="2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09"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焊缝形式</w:t>
            </w:r>
          </w:p>
        </w:tc>
        <w:tc>
          <w:tcPr>
            <w:tcW w:w="1211"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图形</w:t>
            </w:r>
          </w:p>
        </w:tc>
        <w:tc>
          <w:tcPr>
            <w:tcW w:w="1101"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焊缝高度</w:t>
            </w:r>
          </w:p>
        </w:tc>
        <w:tc>
          <w:tcPr>
            <w:tcW w:w="1358"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板材厚度（mm）</w:t>
            </w:r>
          </w:p>
        </w:tc>
        <w:tc>
          <w:tcPr>
            <w:tcW w:w="1268"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焊缝张角（αº）</w:t>
            </w:r>
          </w:p>
        </w:tc>
        <w:tc>
          <w:tcPr>
            <w:tcW w:w="2549"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使用范围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4" w:hRule="atLeast"/>
          <w:jc w:val="center"/>
        </w:trPr>
        <w:tc>
          <w:tcPr>
            <w:tcW w:w="1909" w:type="dxa"/>
            <w:tcBorders>
              <w:bottom w:val="single" w:color="auto" w:sz="4" w:space="0"/>
            </w:tcBorders>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V形对接焊缝</w:t>
            </w:r>
          </w:p>
        </w:tc>
        <w:tc>
          <w:tcPr>
            <w:tcW w:w="1211" w:type="dxa"/>
            <w:tcBorders>
              <w:bottom w:val="single" w:color="auto" w:sz="4" w:space="0"/>
            </w:tcBorders>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drawing>
                <wp:anchor distT="0" distB="0" distL="114300" distR="114300" simplePos="0" relativeHeight="251666432" behindDoc="0" locked="0" layoutInCell="1" allowOverlap="1">
                  <wp:simplePos x="0" y="0"/>
                  <wp:positionH relativeFrom="column">
                    <wp:posOffset>121285</wp:posOffset>
                  </wp:positionH>
                  <wp:positionV relativeFrom="paragraph">
                    <wp:posOffset>13970</wp:posOffset>
                  </wp:positionV>
                  <wp:extent cx="553085" cy="537845"/>
                  <wp:effectExtent l="0" t="0" r="18415" b="14605"/>
                  <wp:wrapNone/>
                  <wp:docPr id="417" name="图片 149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图片 1496" descr="1"/>
                          <pic:cNvPicPr>
                            <a:picLocks noChangeAspect="1" noChangeArrowheads="1"/>
                          </pic:cNvPicPr>
                        </pic:nvPicPr>
                        <pic:blipFill>
                          <a:blip r:embed="rId17"/>
                          <a:srcRect/>
                          <a:stretch>
                            <a:fillRect/>
                          </a:stretch>
                        </pic:blipFill>
                        <pic:spPr>
                          <a:xfrm>
                            <a:off x="0" y="0"/>
                            <a:ext cx="553085" cy="537845"/>
                          </a:xfrm>
                          <a:prstGeom prst="rect">
                            <a:avLst/>
                          </a:prstGeom>
                          <a:noFill/>
                          <a:ln w="9525">
                            <a:noFill/>
                            <a:miter lim="800000"/>
                            <a:headEnd/>
                            <a:tailEnd/>
                          </a:ln>
                        </pic:spPr>
                      </pic:pic>
                    </a:graphicData>
                  </a:graphic>
                </wp:anchor>
              </w:drawing>
            </w:r>
          </w:p>
          <w:p>
            <w:pPr>
              <w:spacing w:line="400" w:lineRule="exact"/>
              <w:jc w:val="center"/>
              <w:rPr>
                <w:rFonts w:hint="eastAsia" w:asciiTheme="minorEastAsia" w:hAnsiTheme="minorEastAsia" w:eastAsiaTheme="minorEastAsia" w:cstheme="minorEastAsia"/>
                <w:color w:val="auto"/>
                <w:sz w:val="21"/>
                <w:szCs w:val="21"/>
                <w:highlight w:val="none"/>
              </w:rPr>
            </w:pPr>
          </w:p>
          <w:p>
            <w:pPr>
              <w:spacing w:line="400" w:lineRule="exact"/>
              <w:jc w:val="center"/>
              <w:rPr>
                <w:rFonts w:hint="eastAsia" w:asciiTheme="minorEastAsia" w:hAnsiTheme="minorEastAsia" w:eastAsiaTheme="minorEastAsia" w:cstheme="minorEastAsia"/>
                <w:color w:val="auto"/>
                <w:sz w:val="21"/>
                <w:szCs w:val="21"/>
                <w:highlight w:val="none"/>
              </w:rPr>
            </w:pPr>
          </w:p>
        </w:tc>
        <w:tc>
          <w:tcPr>
            <w:tcW w:w="1101" w:type="dxa"/>
            <w:tcBorders>
              <w:bottom w:val="single" w:color="auto" w:sz="4" w:space="0"/>
            </w:tcBorders>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w:t>
            </w:r>
          </w:p>
        </w:tc>
        <w:tc>
          <w:tcPr>
            <w:tcW w:w="1358" w:type="dxa"/>
            <w:tcBorders>
              <w:bottom w:val="single" w:color="auto" w:sz="4" w:space="0"/>
            </w:tcBorders>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w:t>
            </w:r>
          </w:p>
        </w:tc>
        <w:tc>
          <w:tcPr>
            <w:tcW w:w="1268" w:type="dxa"/>
            <w:tcBorders>
              <w:bottom w:val="single" w:color="auto" w:sz="4" w:space="0"/>
            </w:tcBorders>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70～90</w:t>
            </w:r>
          </w:p>
        </w:tc>
        <w:tc>
          <w:tcPr>
            <w:tcW w:w="2549" w:type="dxa"/>
            <w:tcBorders>
              <w:bottom w:val="single" w:color="auto" w:sz="4" w:space="0"/>
            </w:tcBorders>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单面焊的小风管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0" w:hRule="atLeast"/>
          <w:jc w:val="center"/>
        </w:trPr>
        <w:tc>
          <w:tcPr>
            <w:tcW w:w="1909"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X形对接焊缝</w:t>
            </w:r>
          </w:p>
        </w:tc>
        <w:tc>
          <w:tcPr>
            <w:tcW w:w="1211"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drawing>
                <wp:anchor distT="0" distB="0" distL="114300" distR="114300" simplePos="0" relativeHeight="251667456" behindDoc="0" locked="0" layoutInCell="1" allowOverlap="1">
                  <wp:simplePos x="0" y="0"/>
                  <wp:positionH relativeFrom="column">
                    <wp:posOffset>120015</wp:posOffset>
                  </wp:positionH>
                  <wp:positionV relativeFrom="paragraph">
                    <wp:posOffset>13970</wp:posOffset>
                  </wp:positionV>
                  <wp:extent cx="560705" cy="545465"/>
                  <wp:effectExtent l="0" t="0" r="10795" b="6985"/>
                  <wp:wrapNone/>
                  <wp:docPr id="418" name="图片 1497"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 name="图片 1497" descr="3"/>
                          <pic:cNvPicPr>
                            <a:picLocks noChangeAspect="1" noChangeArrowheads="1"/>
                          </pic:cNvPicPr>
                        </pic:nvPicPr>
                        <pic:blipFill>
                          <a:blip r:embed="rId18"/>
                          <a:srcRect/>
                          <a:stretch>
                            <a:fillRect/>
                          </a:stretch>
                        </pic:blipFill>
                        <pic:spPr>
                          <a:xfrm>
                            <a:off x="0" y="0"/>
                            <a:ext cx="560705" cy="545465"/>
                          </a:xfrm>
                          <a:prstGeom prst="rect">
                            <a:avLst/>
                          </a:prstGeom>
                          <a:noFill/>
                          <a:ln w="9525">
                            <a:noFill/>
                            <a:miter lim="800000"/>
                            <a:headEnd/>
                            <a:tailEnd/>
                          </a:ln>
                        </pic:spPr>
                      </pic:pic>
                    </a:graphicData>
                  </a:graphic>
                </wp:anchor>
              </w:drawing>
            </w:r>
          </w:p>
          <w:p>
            <w:pPr>
              <w:spacing w:line="400" w:lineRule="exact"/>
              <w:jc w:val="center"/>
              <w:rPr>
                <w:rFonts w:hint="eastAsia" w:asciiTheme="minorEastAsia" w:hAnsiTheme="minorEastAsia" w:eastAsiaTheme="minorEastAsia" w:cstheme="minorEastAsia"/>
                <w:color w:val="auto"/>
                <w:sz w:val="21"/>
                <w:szCs w:val="21"/>
                <w:highlight w:val="none"/>
              </w:rPr>
            </w:pPr>
          </w:p>
        </w:tc>
        <w:tc>
          <w:tcPr>
            <w:tcW w:w="1101"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w:t>
            </w:r>
          </w:p>
        </w:tc>
        <w:tc>
          <w:tcPr>
            <w:tcW w:w="1358"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p>
        </w:tc>
        <w:tc>
          <w:tcPr>
            <w:tcW w:w="1268"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70～90</w:t>
            </w:r>
          </w:p>
        </w:tc>
        <w:tc>
          <w:tcPr>
            <w:tcW w:w="2549"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风管法兰及厚板的拼接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4" w:hRule="atLeast"/>
          <w:jc w:val="center"/>
        </w:trPr>
        <w:tc>
          <w:tcPr>
            <w:tcW w:w="1909"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搭接焊缝</w:t>
            </w:r>
          </w:p>
        </w:tc>
        <w:tc>
          <w:tcPr>
            <w:tcW w:w="1211"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drawing>
                <wp:anchor distT="0" distB="0" distL="114300" distR="114300" simplePos="0" relativeHeight="251668480" behindDoc="0" locked="0" layoutInCell="1" allowOverlap="1">
                  <wp:simplePos x="0" y="0"/>
                  <wp:positionH relativeFrom="column">
                    <wp:posOffset>6985</wp:posOffset>
                  </wp:positionH>
                  <wp:positionV relativeFrom="paragraph">
                    <wp:posOffset>52070</wp:posOffset>
                  </wp:positionV>
                  <wp:extent cx="711835" cy="422910"/>
                  <wp:effectExtent l="0" t="0" r="12065" b="15240"/>
                  <wp:wrapNone/>
                  <wp:docPr id="419" name="图片 1498"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图片 1498" descr="4"/>
                          <pic:cNvPicPr>
                            <a:picLocks noChangeAspect="1" noChangeArrowheads="1"/>
                          </pic:cNvPicPr>
                        </pic:nvPicPr>
                        <pic:blipFill>
                          <a:blip r:embed="rId19"/>
                          <a:srcRect/>
                          <a:stretch>
                            <a:fillRect/>
                          </a:stretch>
                        </pic:blipFill>
                        <pic:spPr>
                          <a:xfrm>
                            <a:off x="0" y="0"/>
                            <a:ext cx="711835" cy="422910"/>
                          </a:xfrm>
                          <a:prstGeom prst="rect">
                            <a:avLst/>
                          </a:prstGeom>
                          <a:noFill/>
                          <a:ln w="9525">
                            <a:noFill/>
                            <a:miter lim="800000"/>
                            <a:headEnd/>
                            <a:tailEnd/>
                          </a:ln>
                        </pic:spPr>
                      </pic:pic>
                    </a:graphicData>
                  </a:graphic>
                </wp:anchor>
              </w:drawing>
            </w:r>
          </w:p>
          <w:p>
            <w:pPr>
              <w:spacing w:line="400" w:lineRule="exact"/>
              <w:jc w:val="center"/>
              <w:rPr>
                <w:rFonts w:hint="eastAsia" w:asciiTheme="minorEastAsia" w:hAnsiTheme="minorEastAsia" w:eastAsiaTheme="minorEastAsia" w:cstheme="minorEastAsia"/>
                <w:color w:val="auto"/>
                <w:sz w:val="21"/>
                <w:szCs w:val="21"/>
                <w:highlight w:val="none"/>
              </w:rPr>
            </w:pPr>
          </w:p>
        </w:tc>
        <w:tc>
          <w:tcPr>
            <w:tcW w:w="1101"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≥最小板厚</w:t>
            </w:r>
          </w:p>
        </w:tc>
        <w:tc>
          <w:tcPr>
            <w:tcW w:w="1358"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3～10</w:t>
            </w:r>
          </w:p>
        </w:tc>
        <w:tc>
          <w:tcPr>
            <w:tcW w:w="1268"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549" w:type="dxa"/>
            <w:vMerge w:val="restart"/>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风管和配件的加固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jc w:val="center"/>
        </w:trPr>
        <w:tc>
          <w:tcPr>
            <w:tcW w:w="1909" w:type="dxa"/>
            <w:vMerge w:val="restart"/>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角焊缝（无坡口）</w:t>
            </w:r>
          </w:p>
        </w:tc>
        <w:tc>
          <w:tcPr>
            <w:tcW w:w="1211"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drawing>
                <wp:anchor distT="0" distB="0" distL="114300" distR="114300" simplePos="0" relativeHeight="251664384" behindDoc="0" locked="0" layoutInCell="1" allowOverlap="1">
                  <wp:simplePos x="0" y="0"/>
                  <wp:positionH relativeFrom="column">
                    <wp:posOffset>160020</wp:posOffset>
                  </wp:positionH>
                  <wp:positionV relativeFrom="paragraph">
                    <wp:posOffset>77470</wp:posOffset>
                  </wp:positionV>
                  <wp:extent cx="452755" cy="337820"/>
                  <wp:effectExtent l="0" t="0" r="4445" b="5080"/>
                  <wp:wrapNone/>
                  <wp:docPr id="420" name="图片 1499"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 name="图片 1499" descr="5"/>
                          <pic:cNvPicPr>
                            <a:picLocks noChangeAspect="1" noChangeArrowheads="1"/>
                          </pic:cNvPicPr>
                        </pic:nvPicPr>
                        <pic:blipFill>
                          <a:blip r:embed="rId20" cstate="print"/>
                          <a:srcRect/>
                          <a:stretch>
                            <a:fillRect/>
                          </a:stretch>
                        </pic:blipFill>
                        <pic:spPr>
                          <a:xfrm>
                            <a:off x="0" y="0"/>
                            <a:ext cx="452755" cy="337820"/>
                          </a:xfrm>
                          <a:prstGeom prst="rect">
                            <a:avLst/>
                          </a:prstGeom>
                          <a:noFill/>
                          <a:ln w="9525">
                            <a:noFill/>
                            <a:miter lim="800000"/>
                            <a:headEnd/>
                            <a:tailEnd/>
                          </a:ln>
                        </pic:spPr>
                      </pic:pic>
                    </a:graphicData>
                  </a:graphic>
                </wp:anchor>
              </w:drawing>
            </w:r>
          </w:p>
          <w:p>
            <w:pPr>
              <w:spacing w:line="400" w:lineRule="exact"/>
              <w:jc w:val="center"/>
              <w:rPr>
                <w:rFonts w:hint="eastAsia" w:asciiTheme="minorEastAsia" w:hAnsiTheme="minorEastAsia" w:eastAsiaTheme="minorEastAsia" w:cstheme="minorEastAsia"/>
                <w:color w:val="auto"/>
                <w:sz w:val="21"/>
                <w:szCs w:val="21"/>
                <w:highlight w:val="none"/>
              </w:rPr>
            </w:pPr>
          </w:p>
        </w:tc>
        <w:tc>
          <w:tcPr>
            <w:tcW w:w="1101"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w:t>
            </w:r>
          </w:p>
        </w:tc>
        <w:tc>
          <w:tcPr>
            <w:tcW w:w="1358"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6～18</w:t>
            </w:r>
          </w:p>
        </w:tc>
        <w:tc>
          <w:tcPr>
            <w:tcW w:w="1268"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549" w:type="dxa"/>
            <w:vMerge w:val="continue"/>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7" w:hRule="atLeast"/>
          <w:jc w:val="center"/>
        </w:trPr>
        <w:tc>
          <w:tcPr>
            <w:tcW w:w="1909" w:type="dxa"/>
            <w:vMerge w:val="continue"/>
          </w:tcPr>
          <w:p>
            <w:pPr>
              <w:spacing w:line="400" w:lineRule="exact"/>
              <w:jc w:val="center"/>
              <w:rPr>
                <w:rFonts w:hint="eastAsia" w:asciiTheme="minorEastAsia" w:hAnsiTheme="minorEastAsia" w:eastAsiaTheme="minorEastAsia" w:cstheme="minorEastAsia"/>
                <w:color w:val="auto"/>
                <w:sz w:val="21"/>
                <w:szCs w:val="21"/>
                <w:highlight w:val="none"/>
              </w:rPr>
            </w:pPr>
          </w:p>
        </w:tc>
        <w:tc>
          <w:tcPr>
            <w:tcW w:w="1211"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drawing>
                <wp:anchor distT="0" distB="0" distL="114300" distR="114300" simplePos="0" relativeHeight="251665408" behindDoc="0" locked="0" layoutInCell="1" allowOverlap="1">
                  <wp:simplePos x="0" y="0"/>
                  <wp:positionH relativeFrom="column">
                    <wp:posOffset>264795</wp:posOffset>
                  </wp:positionH>
                  <wp:positionV relativeFrom="paragraph">
                    <wp:posOffset>10160</wp:posOffset>
                  </wp:positionV>
                  <wp:extent cx="452755" cy="419100"/>
                  <wp:effectExtent l="0" t="0" r="4445" b="0"/>
                  <wp:wrapNone/>
                  <wp:docPr id="421" name="图片 1500"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图片 1500" descr="6"/>
                          <pic:cNvPicPr>
                            <a:picLocks noChangeAspect="1" noChangeArrowheads="1"/>
                          </pic:cNvPicPr>
                        </pic:nvPicPr>
                        <pic:blipFill>
                          <a:blip r:embed="rId21" cstate="print"/>
                          <a:srcRect/>
                          <a:stretch>
                            <a:fillRect/>
                          </a:stretch>
                        </pic:blipFill>
                        <pic:spPr>
                          <a:xfrm>
                            <a:off x="0" y="0"/>
                            <a:ext cx="452755" cy="419100"/>
                          </a:xfrm>
                          <a:prstGeom prst="rect">
                            <a:avLst/>
                          </a:prstGeom>
                          <a:noFill/>
                          <a:ln w="9525">
                            <a:noFill/>
                            <a:miter lim="800000"/>
                            <a:headEnd/>
                            <a:tailEnd/>
                          </a:ln>
                        </pic:spPr>
                      </pic:pic>
                    </a:graphicData>
                  </a:graphic>
                </wp:anchor>
              </w:drawing>
            </w:r>
          </w:p>
          <w:p>
            <w:pPr>
              <w:spacing w:line="400" w:lineRule="exact"/>
              <w:jc w:val="center"/>
              <w:rPr>
                <w:rFonts w:hint="eastAsia" w:asciiTheme="minorEastAsia" w:hAnsiTheme="minorEastAsia" w:eastAsiaTheme="minorEastAsia" w:cstheme="minorEastAsia"/>
                <w:color w:val="auto"/>
                <w:sz w:val="21"/>
                <w:szCs w:val="21"/>
                <w:highlight w:val="none"/>
              </w:rPr>
            </w:pPr>
          </w:p>
        </w:tc>
        <w:tc>
          <w:tcPr>
            <w:tcW w:w="1101"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≥最小板厚</w:t>
            </w:r>
          </w:p>
        </w:tc>
        <w:tc>
          <w:tcPr>
            <w:tcW w:w="1358"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c>
          <w:tcPr>
            <w:tcW w:w="1268"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549"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风管配件的角焊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1909"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V形单面角焊缝</w:t>
            </w:r>
          </w:p>
        </w:tc>
        <w:tc>
          <w:tcPr>
            <w:tcW w:w="1211"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drawing>
                <wp:anchor distT="0" distB="0" distL="114300" distR="114300" simplePos="0" relativeHeight="251669504" behindDoc="0" locked="0" layoutInCell="1" allowOverlap="1">
                  <wp:simplePos x="0" y="0"/>
                  <wp:positionH relativeFrom="column">
                    <wp:posOffset>38735</wp:posOffset>
                  </wp:positionH>
                  <wp:positionV relativeFrom="paragraph">
                    <wp:posOffset>33020</wp:posOffset>
                  </wp:positionV>
                  <wp:extent cx="690880" cy="429895"/>
                  <wp:effectExtent l="0" t="0" r="13970" b="8255"/>
                  <wp:wrapNone/>
                  <wp:docPr id="422" name="图片 1501"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 name="图片 1501" descr="7"/>
                          <pic:cNvPicPr>
                            <a:picLocks noChangeAspect="1" noChangeArrowheads="1"/>
                          </pic:cNvPicPr>
                        </pic:nvPicPr>
                        <pic:blipFill>
                          <a:blip r:embed="rId22"/>
                          <a:srcRect/>
                          <a:stretch>
                            <a:fillRect/>
                          </a:stretch>
                        </pic:blipFill>
                        <pic:spPr>
                          <a:xfrm>
                            <a:off x="0" y="0"/>
                            <a:ext cx="690880" cy="429895"/>
                          </a:xfrm>
                          <a:prstGeom prst="rect">
                            <a:avLst/>
                          </a:prstGeom>
                          <a:noFill/>
                          <a:ln w="9525">
                            <a:noFill/>
                            <a:miter lim="800000"/>
                            <a:headEnd/>
                            <a:tailEnd/>
                          </a:ln>
                        </pic:spPr>
                      </pic:pic>
                    </a:graphicData>
                  </a:graphic>
                </wp:anchor>
              </w:drawing>
            </w:r>
          </w:p>
          <w:p>
            <w:pPr>
              <w:spacing w:line="400" w:lineRule="exact"/>
              <w:jc w:val="center"/>
              <w:rPr>
                <w:rFonts w:hint="eastAsia" w:asciiTheme="minorEastAsia" w:hAnsiTheme="minorEastAsia" w:eastAsiaTheme="minorEastAsia" w:cstheme="minorEastAsia"/>
                <w:color w:val="auto"/>
                <w:sz w:val="21"/>
                <w:szCs w:val="21"/>
                <w:highlight w:val="none"/>
              </w:rPr>
            </w:pPr>
          </w:p>
        </w:tc>
        <w:tc>
          <w:tcPr>
            <w:tcW w:w="1101"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w:t>
            </w:r>
          </w:p>
        </w:tc>
        <w:tc>
          <w:tcPr>
            <w:tcW w:w="1358"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3～8</w:t>
            </w:r>
          </w:p>
        </w:tc>
        <w:tc>
          <w:tcPr>
            <w:tcW w:w="1268"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70～90</w:t>
            </w:r>
          </w:p>
        </w:tc>
        <w:tc>
          <w:tcPr>
            <w:tcW w:w="2549"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风管角部焊接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0" w:hRule="atLeast"/>
          <w:jc w:val="center"/>
        </w:trPr>
        <w:tc>
          <w:tcPr>
            <w:tcW w:w="1909" w:type="dxa"/>
            <w:tcBorders>
              <w:bottom w:val="single" w:color="auto" w:sz="4" w:space="0"/>
            </w:tcBorders>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V形双面角焊缝</w:t>
            </w:r>
          </w:p>
        </w:tc>
        <w:tc>
          <w:tcPr>
            <w:tcW w:w="1211" w:type="dxa"/>
            <w:tcBorders>
              <w:bottom w:val="single" w:color="auto" w:sz="4" w:space="0"/>
            </w:tcBorders>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drawing>
                <wp:anchor distT="0" distB="0" distL="114300" distR="114300" simplePos="0" relativeHeight="251670528" behindDoc="0" locked="0" layoutInCell="1" allowOverlap="1">
                  <wp:simplePos x="0" y="0"/>
                  <wp:positionH relativeFrom="column">
                    <wp:posOffset>148590</wp:posOffset>
                  </wp:positionH>
                  <wp:positionV relativeFrom="paragraph">
                    <wp:posOffset>34925</wp:posOffset>
                  </wp:positionV>
                  <wp:extent cx="532130" cy="508635"/>
                  <wp:effectExtent l="0" t="0" r="1270" b="5715"/>
                  <wp:wrapNone/>
                  <wp:docPr id="423" name="图片 1502"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 name="图片 1502" descr="9"/>
                          <pic:cNvPicPr>
                            <a:picLocks noChangeAspect="1" noChangeArrowheads="1"/>
                          </pic:cNvPicPr>
                        </pic:nvPicPr>
                        <pic:blipFill>
                          <a:blip r:embed="rId23"/>
                          <a:srcRect/>
                          <a:stretch>
                            <a:fillRect/>
                          </a:stretch>
                        </pic:blipFill>
                        <pic:spPr>
                          <a:xfrm>
                            <a:off x="0" y="0"/>
                            <a:ext cx="532130" cy="508635"/>
                          </a:xfrm>
                          <a:prstGeom prst="rect">
                            <a:avLst/>
                          </a:prstGeom>
                          <a:noFill/>
                          <a:ln w="9525">
                            <a:noFill/>
                            <a:miter lim="800000"/>
                            <a:headEnd/>
                            <a:tailEnd/>
                          </a:ln>
                        </pic:spPr>
                      </pic:pic>
                    </a:graphicData>
                  </a:graphic>
                </wp:anchor>
              </w:drawing>
            </w:r>
          </w:p>
          <w:p>
            <w:pPr>
              <w:spacing w:line="400" w:lineRule="exact"/>
              <w:jc w:val="center"/>
              <w:rPr>
                <w:rFonts w:hint="eastAsia" w:asciiTheme="minorEastAsia" w:hAnsiTheme="minorEastAsia" w:eastAsiaTheme="minorEastAsia" w:cstheme="minorEastAsia"/>
                <w:color w:val="auto"/>
                <w:sz w:val="21"/>
                <w:szCs w:val="21"/>
                <w:highlight w:val="none"/>
              </w:rPr>
            </w:pPr>
          </w:p>
        </w:tc>
        <w:tc>
          <w:tcPr>
            <w:tcW w:w="1101" w:type="dxa"/>
            <w:tcBorders>
              <w:bottom w:val="single" w:color="auto" w:sz="4" w:space="0"/>
            </w:tcBorders>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w:t>
            </w:r>
          </w:p>
        </w:tc>
        <w:tc>
          <w:tcPr>
            <w:tcW w:w="1358" w:type="dxa"/>
            <w:tcBorders>
              <w:bottom w:val="single" w:color="auto" w:sz="4" w:space="0"/>
            </w:tcBorders>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6～15</w:t>
            </w:r>
          </w:p>
        </w:tc>
        <w:tc>
          <w:tcPr>
            <w:tcW w:w="1268" w:type="dxa"/>
            <w:tcBorders>
              <w:bottom w:val="single" w:color="auto" w:sz="4" w:space="0"/>
            </w:tcBorders>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70～90</w:t>
            </w:r>
          </w:p>
        </w:tc>
        <w:tc>
          <w:tcPr>
            <w:tcW w:w="2549" w:type="dxa"/>
            <w:tcBorders>
              <w:bottom w:val="single" w:color="auto" w:sz="4" w:space="0"/>
            </w:tcBorders>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厚壁风管角部焊接</w:t>
            </w:r>
          </w:p>
        </w:tc>
      </w:tr>
    </w:tbl>
    <w:p>
      <w:pPr>
        <w:spacing w:line="400" w:lineRule="exact"/>
        <w:ind w:firstLine="105" w:firstLineChars="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 ）矩形风管的四角可采用煨角或焊接连接的方法。当采用煨角时，纵向焊缝距煨角处宜大于80mm。</w:t>
      </w:r>
    </w:p>
    <w:p>
      <w:pPr>
        <w:spacing w:line="400" w:lineRule="exact"/>
        <w:ind w:firstLine="105" w:firstLineChars="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5）圆形、矩形风管的法兰规格应符合表1.1.5-1表1.1.5-2的规定。</w:t>
      </w:r>
    </w:p>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表1.1.5-1   PP材质塑料板圆形风管法兰规格</w:t>
      </w:r>
    </w:p>
    <w:tbl>
      <w:tblPr>
        <w:tblStyle w:val="89"/>
        <w:tblW w:w="83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800"/>
        <w:gridCol w:w="1620"/>
        <w:gridCol w:w="1080"/>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风管直径D（mm）</w:t>
            </w:r>
          </w:p>
        </w:tc>
        <w:tc>
          <w:tcPr>
            <w:tcW w:w="180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法兰宽×厚（mm）</w:t>
            </w:r>
          </w:p>
        </w:tc>
        <w:tc>
          <w:tcPr>
            <w:tcW w:w="162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法兰孔径（mm）</w:t>
            </w:r>
          </w:p>
        </w:tc>
        <w:tc>
          <w:tcPr>
            <w:tcW w:w="108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螺孔数</w:t>
            </w:r>
          </w:p>
        </w:tc>
        <w:tc>
          <w:tcPr>
            <w:tcW w:w="186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连接螺栓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D≤180</w:t>
            </w:r>
          </w:p>
        </w:tc>
        <w:tc>
          <w:tcPr>
            <w:tcW w:w="180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35×6</w:t>
            </w:r>
            <w:r>
              <w:rPr>
                <w:rFonts w:hint="eastAsia" w:asciiTheme="minorEastAsia" w:hAnsiTheme="minorEastAsia" w:eastAsiaTheme="minorEastAsia" w:cstheme="minorEastAsia"/>
                <w:bCs/>
                <w:color w:val="auto"/>
                <w:sz w:val="21"/>
                <w:szCs w:val="21"/>
                <w:highlight w:val="none"/>
              </w:rPr>
              <w:t>（±10%）</w:t>
            </w:r>
          </w:p>
        </w:tc>
        <w:tc>
          <w:tcPr>
            <w:tcW w:w="162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7.5</w:t>
            </w:r>
            <w:r>
              <w:rPr>
                <w:rFonts w:hint="eastAsia" w:asciiTheme="minorEastAsia" w:hAnsiTheme="minorEastAsia" w:eastAsiaTheme="minorEastAsia" w:cstheme="minorEastAsia"/>
                <w:bCs/>
                <w:color w:val="auto"/>
                <w:sz w:val="21"/>
                <w:szCs w:val="21"/>
                <w:highlight w:val="none"/>
              </w:rPr>
              <w:t>（±10%）</w:t>
            </w:r>
          </w:p>
        </w:tc>
        <w:tc>
          <w:tcPr>
            <w:tcW w:w="1080" w:type="dxa"/>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p>
        </w:tc>
        <w:tc>
          <w:tcPr>
            <w:tcW w:w="186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180＜D≤400</w:t>
            </w:r>
          </w:p>
        </w:tc>
        <w:tc>
          <w:tcPr>
            <w:tcW w:w="180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35×8</w:t>
            </w:r>
            <w:r>
              <w:rPr>
                <w:rFonts w:hint="eastAsia" w:asciiTheme="minorEastAsia" w:hAnsiTheme="minorEastAsia" w:eastAsiaTheme="minorEastAsia" w:cstheme="minorEastAsia"/>
                <w:bCs/>
                <w:color w:val="auto"/>
                <w:sz w:val="21"/>
                <w:szCs w:val="21"/>
                <w:highlight w:val="none"/>
              </w:rPr>
              <w:t>（±10%）</w:t>
            </w:r>
          </w:p>
        </w:tc>
        <w:tc>
          <w:tcPr>
            <w:tcW w:w="162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9.5</w:t>
            </w:r>
            <w:r>
              <w:rPr>
                <w:rFonts w:hint="eastAsia" w:asciiTheme="minorEastAsia" w:hAnsiTheme="minorEastAsia" w:eastAsiaTheme="minorEastAsia" w:cstheme="minorEastAsia"/>
                <w:bCs/>
                <w:color w:val="auto"/>
                <w:sz w:val="21"/>
                <w:szCs w:val="21"/>
                <w:highlight w:val="none"/>
              </w:rPr>
              <w:t>（±10%）</w:t>
            </w:r>
          </w:p>
        </w:tc>
        <w:tc>
          <w:tcPr>
            <w:tcW w:w="108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8～12</w:t>
            </w:r>
          </w:p>
        </w:tc>
        <w:tc>
          <w:tcPr>
            <w:tcW w:w="186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400＜D≤500</w:t>
            </w:r>
          </w:p>
        </w:tc>
        <w:tc>
          <w:tcPr>
            <w:tcW w:w="180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35×10</w:t>
            </w:r>
            <w:r>
              <w:rPr>
                <w:rFonts w:hint="eastAsia" w:asciiTheme="minorEastAsia" w:hAnsiTheme="minorEastAsia" w:eastAsiaTheme="minorEastAsia" w:cstheme="minorEastAsia"/>
                <w:bCs/>
                <w:color w:val="auto"/>
                <w:sz w:val="21"/>
                <w:szCs w:val="21"/>
                <w:highlight w:val="none"/>
              </w:rPr>
              <w:t>（±10%）</w:t>
            </w:r>
          </w:p>
        </w:tc>
        <w:tc>
          <w:tcPr>
            <w:tcW w:w="162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9.5</w:t>
            </w:r>
            <w:r>
              <w:rPr>
                <w:rFonts w:hint="eastAsia" w:asciiTheme="minorEastAsia" w:hAnsiTheme="minorEastAsia" w:eastAsiaTheme="minorEastAsia" w:cstheme="minorEastAsia"/>
                <w:bCs/>
                <w:color w:val="auto"/>
                <w:sz w:val="21"/>
                <w:szCs w:val="21"/>
                <w:highlight w:val="none"/>
              </w:rPr>
              <w:t>（±10%）</w:t>
            </w:r>
          </w:p>
        </w:tc>
        <w:tc>
          <w:tcPr>
            <w:tcW w:w="108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12～14</w:t>
            </w:r>
          </w:p>
        </w:tc>
        <w:tc>
          <w:tcPr>
            <w:tcW w:w="186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500＜D≤800 </w:t>
            </w:r>
          </w:p>
        </w:tc>
        <w:tc>
          <w:tcPr>
            <w:tcW w:w="180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40×10</w:t>
            </w:r>
            <w:r>
              <w:rPr>
                <w:rFonts w:hint="eastAsia" w:asciiTheme="minorEastAsia" w:hAnsiTheme="minorEastAsia" w:eastAsiaTheme="minorEastAsia" w:cstheme="minorEastAsia"/>
                <w:bCs/>
                <w:color w:val="auto"/>
                <w:sz w:val="21"/>
                <w:szCs w:val="21"/>
                <w:highlight w:val="none"/>
              </w:rPr>
              <w:t>（±10%）</w:t>
            </w:r>
          </w:p>
        </w:tc>
        <w:tc>
          <w:tcPr>
            <w:tcW w:w="162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9.5</w:t>
            </w:r>
            <w:r>
              <w:rPr>
                <w:rFonts w:hint="eastAsia" w:asciiTheme="minorEastAsia" w:hAnsiTheme="minorEastAsia" w:eastAsiaTheme="minorEastAsia" w:cstheme="minorEastAsia"/>
                <w:bCs/>
                <w:color w:val="auto"/>
                <w:sz w:val="21"/>
                <w:szCs w:val="21"/>
                <w:highlight w:val="none"/>
              </w:rPr>
              <w:t>（±10%）</w:t>
            </w:r>
          </w:p>
        </w:tc>
        <w:tc>
          <w:tcPr>
            <w:tcW w:w="108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16～22</w:t>
            </w:r>
          </w:p>
        </w:tc>
        <w:tc>
          <w:tcPr>
            <w:tcW w:w="186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800＜D≤1400</w:t>
            </w:r>
          </w:p>
        </w:tc>
        <w:tc>
          <w:tcPr>
            <w:tcW w:w="180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45×12</w:t>
            </w:r>
            <w:r>
              <w:rPr>
                <w:rFonts w:hint="eastAsia" w:asciiTheme="minorEastAsia" w:hAnsiTheme="minorEastAsia" w:eastAsiaTheme="minorEastAsia" w:cstheme="minorEastAsia"/>
                <w:bCs/>
                <w:color w:val="auto"/>
                <w:sz w:val="21"/>
                <w:szCs w:val="21"/>
                <w:highlight w:val="none"/>
              </w:rPr>
              <w:t>（±10%）</w:t>
            </w:r>
          </w:p>
        </w:tc>
        <w:tc>
          <w:tcPr>
            <w:tcW w:w="162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11.5</w:t>
            </w:r>
            <w:r>
              <w:rPr>
                <w:rFonts w:hint="eastAsia" w:asciiTheme="minorEastAsia" w:hAnsiTheme="minorEastAsia" w:eastAsiaTheme="minorEastAsia" w:cstheme="minorEastAsia"/>
                <w:bCs/>
                <w:color w:val="auto"/>
                <w:sz w:val="21"/>
                <w:szCs w:val="21"/>
                <w:highlight w:val="none"/>
              </w:rPr>
              <w:t>（±10%）</w:t>
            </w:r>
          </w:p>
        </w:tc>
        <w:tc>
          <w:tcPr>
            <w:tcW w:w="108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24～38</w:t>
            </w:r>
          </w:p>
        </w:tc>
        <w:tc>
          <w:tcPr>
            <w:tcW w:w="186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1400＜D≤1600</w:t>
            </w:r>
          </w:p>
        </w:tc>
        <w:tc>
          <w:tcPr>
            <w:tcW w:w="180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50×15</w:t>
            </w:r>
            <w:r>
              <w:rPr>
                <w:rFonts w:hint="eastAsia" w:asciiTheme="minorEastAsia" w:hAnsiTheme="minorEastAsia" w:eastAsiaTheme="minorEastAsia" w:cstheme="minorEastAsia"/>
                <w:bCs/>
                <w:color w:val="auto"/>
                <w:sz w:val="21"/>
                <w:szCs w:val="21"/>
                <w:highlight w:val="none"/>
              </w:rPr>
              <w:t>（±10%）</w:t>
            </w:r>
          </w:p>
        </w:tc>
        <w:tc>
          <w:tcPr>
            <w:tcW w:w="162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11.5</w:t>
            </w:r>
            <w:r>
              <w:rPr>
                <w:rFonts w:hint="eastAsia" w:asciiTheme="minorEastAsia" w:hAnsiTheme="minorEastAsia" w:eastAsiaTheme="minorEastAsia" w:cstheme="minorEastAsia"/>
                <w:bCs/>
                <w:color w:val="auto"/>
                <w:sz w:val="21"/>
                <w:szCs w:val="21"/>
                <w:highlight w:val="none"/>
              </w:rPr>
              <w:t>（±10%）</w:t>
            </w:r>
          </w:p>
        </w:tc>
        <w:tc>
          <w:tcPr>
            <w:tcW w:w="108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40～44</w:t>
            </w:r>
          </w:p>
        </w:tc>
        <w:tc>
          <w:tcPr>
            <w:tcW w:w="186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1600＜D≤2000</w:t>
            </w:r>
          </w:p>
        </w:tc>
        <w:tc>
          <w:tcPr>
            <w:tcW w:w="180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60×15</w:t>
            </w:r>
            <w:r>
              <w:rPr>
                <w:rFonts w:hint="eastAsia" w:asciiTheme="minorEastAsia" w:hAnsiTheme="minorEastAsia" w:eastAsiaTheme="minorEastAsia" w:cstheme="minorEastAsia"/>
                <w:bCs/>
                <w:color w:val="auto"/>
                <w:sz w:val="21"/>
                <w:szCs w:val="21"/>
                <w:highlight w:val="none"/>
              </w:rPr>
              <w:t>（±10%）</w:t>
            </w:r>
          </w:p>
        </w:tc>
        <w:tc>
          <w:tcPr>
            <w:tcW w:w="162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11.5</w:t>
            </w:r>
            <w:r>
              <w:rPr>
                <w:rFonts w:hint="eastAsia" w:asciiTheme="minorEastAsia" w:hAnsiTheme="minorEastAsia" w:eastAsiaTheme="minorEastAsia" w:cstheme="minorEastAsia"/>
                <w:bCs/>
                <w:color w:val="auto"/>
                <w:sz w:val="21"/>
                <w:szCs w:val="21"/>
                <w:highlight w:val="none"/>
              </w:rPr>
              <w:t>（±10%）</w:t>
            </w:r>
          </w:p>
        </w:tc>
        <w:tc>
          <w:tcPr>
            <w:tcW w:w="108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46～48</w:t>
            </w:r>
          </w:p>
        </w:tc>
        <w:tc>
          <w:tcPr>
            <w:tcW w:w="186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8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D＞2000</w:t>
            </w:r>
          </w:p>
        </w:tc>
        <w:tc>
          <w:tcPr>
            <w:tcW w:w="6360" w:type="dxa"/>
            <w:gridSpan w:val="4"/>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按设计</w:t>
            </w:r>
          </w:p>
        </w:tc>
      </w:tr>
    </w:tbl>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表1.1.5-2  PP材质塑料板矩形风管法兰规格（mm）</w:t>
      </w:r>
    </w:p>
    <w:tbl>
      <w:tblPr>
        <w:tblStyle w:val="89"/>
        <w:tblW w:w="8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0"/>
        <w:gridCol w:w="1800"/>
        <w:gridCol w:w="1452"/>
        <w:gridCol w:w="1248"/>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4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风管直径</w:t>
            </w:r>
          </w:p>
        </w:tc>
        <w:tc>
          <w:tcPr>
            <w:tcW w:w="180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法兰宽厚</w:t>
            </w:r>
          </w:p>
        </w:tc>
        <w:tc>
          <w:tcPr>
            <w:tcW w:w="1452"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法兰孔径</w:t>
            </w:r>
          </w:p>
        </w:tc>
        <w:tc>
          <w:tcPr>
            <w:tcW w:w="1248"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螺孔间距</w:t>
            </w:r>
          </w:p>
        </w:tc>
        <w:tc>
          <w:tcPr>
            <w:tcW w:w="186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连接螺栓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4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≤160</w:t>
            </w:r>
          </w:p>
        </w:tc>
        <w:tc>
          <w:tcPr>
            <w:tcW w:w="180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35×6</w:t>
            </w:r>
            <w:r>
              <w:rPr>
                <w:rFonts w:hint="eastAsia" w:asciiTheme="minorEastAsia" w:hAnsiTheme="minorEastAsia" w:eastAsiaTheme="minorEastAsia" w:cstheme="minorEastAsia"/>
                <w:bCs/>
                <w:color w:val="auto"/>
                <w:sz w:val="21"/>
                <w:szCs w:val="21"/>
                <w:highlight w:val="none"/>
              </w:rPr>
              <w:t>（±10%）</w:t>
            </w:r>
          </w:p>
        </w:tc>
        <w:tc>
          <w:tcPr>
            <w:tcW w:w="1452"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7.5</w:t>
            </w:r>
            <w:r>
              <w:rPr>
                <w:rFonts w:hint="eastAsia" w:asciiTheme="minorEastAsia" w:hAnsiTheme="minorEastAsia" w:eastAsiaTheme="minorEastAsia" w:cstheme="minorEastAsia"/>
                <w:bCs/>
                <w:color w:val="auto"/>
                <w:sz w:val="21"/>
                <w:szCs w:val="21"/>
                <w:highlight w:val="none"/>
              </w:rPr>
              <w:t>（±10%）</w:t>
            </w:r>
          </w:p>
        </w:tc>
        <w:tc>
          <w:tcPr>
            <w:tcW w:w="1248" w:type="dxa"/>
            <w:vMerge w:val="restart"/>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≤120</w:t>
            </w:r>
          </w:p>
        </w:tc>
        <w:tc>
          <w:tcPr>
            <w:tcW w:w="186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4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161＜</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≤400</w:t>
            </w:r>
          </w:p>
        </w:tc>
        <w:tc>
          <w:tcPr>
            <w:tcW w:w="180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35×8</w:t>
            </w:r>
            <w:r>
              <w:rPr>
                <w:rFonts w:hint="eastAsia" w:asciiTheme="minorEastAsia" w:hAnsiTheme="minorEastAsia" w:eastAsiaTheme="minorEastAsia" w:cstheme="minorEastAsia"/>
                <w:bCs/>
                <w:color w:val="auto"/>
                <w:sz w:val="21"/>
                <w:szCs w:val="21"/>
                <w:highlight w:val="none"/>
              </w:rPr>
              <w:t>（±10%）</w:t>
            </w:r>
          </w:p>
        </w:tc>
        <w:tc>
          <w:tcPr>
            <w:tcW w:w="1452" w:type="dxa"/>
            <w:tcBorders>
              <w:bottom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9.5</w:t>
            </w:r>
            <w:r>
              <w:rPr>
                <w:rFonts w:hint="eastAsia" w:asciiTheme="minorEastAsia" w:hAnsiTheme="minorEastAsia" w:eastAsiaTheme="minorEastAsia" w:cstheme="minorEastAsia"/>
                <w:bCs/>
                <w:color w:val="auto"/>
                <w:sz w:val="21"/>
                <w:szCs w:val="21"/>
                <w:highlight w:val="none"/>
              </w:rPr>
              <w:t>（±10%）</w:t>
            </w:r>
          </w:p>
        </w:tc>
        <w:tc>
          <w:tcPr>
            <w:tcW w:w="1248" w:type="dxa"/>
            <w:vMerge w:val="continue"/>
            <w:tcBorders>
              <w:bottom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p>
        </w:tc>
        <w:tc>
          <w:tcPr>
            <w:tcW w:w="1860" w:type="dxa"/>
            <w:tcBorders>
              <w:bottom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40" w:type="dxa"/>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401＜</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≤500</w:t>
            </w:r>
          </w:p>
        </w:tc>
        <w:tc>
          <w:tcPr>
            <w:tcW w:w="1800" w:type="dxa"/>
            <w:tcBorders>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35×10</w:t>
            </w:r>
            <w:r>
              <w:rPr>
                <w:rFonts w:hint="eastAsia" w:asciiTheme="minorEastAsia" w:hAnsiTheme="minorEastAsia" w:eastAsiaTheme="minorEastAsia" w:cstheme="minorEastAsia"/>
                <w:bCs/>
                <w:color w:val="auto"/>
                <w:sz w:val="21"/>
                <w:szCs w:val="21"/>
                <w:highlight w:val="none"/>
              </w:rPr>
              <w:t>（±10%）</w:t>
            </w:r>
          </w:p>
        </w:tc>
        <w:tc>
          <w:tcPr>
            <w:tcW w:w="1452" w:type="dxa"/>
            <w:tcBorders>
              <w:top w:val="single" w:color="auto" w:sz="4" w:space="0"/>
              <w:left w:val="single" w:color="auto" w:sz="4" w:space="0"/>
              <w:bottom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9.5</w:t>
            </w:r>
            <w:r>
              <w:rPr>
                <w:rFonts w:hint="eastAsia" w:asciiTheme="minorEastAsia" w:hAnsiTheme="minorEastAsia" w:eastAsiaTheme="minorEastAsia" w:cstheme="minorEastAsia"/>
                <w:bCs/>
                <w:color w:val="auto"/>
                <w:sz w:val="21"/>
                <w:szCs w:val="21"/>
                <w:highlight w:val="none"/>
              </w:rPr>
              <w:t>（±10%）</w:t>
            </w:r>
          </w:p>
        </w:tc>
        <w:tc>
          <w:tcPr>
            <w:tcW w:w="1248" w:type="dxa"/>
            <w:vMerge w:val="restart"/>
            <w:tcBorders>
              <w:top w:val="single" w:color="auto" w:sz="4" w:space="0"/>
              <w:left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p>
          <w:p>
            <w:pPr>
              <w:spacing w:line="400" w:lineRule="exact"/>
              <w:jc w:val="center"/>
              <w:rPr>
                <w:rFonts w:hint="eastAsia" w:asciiTheme="minorEastAsia" w:hAnsiTheme="minorEastAsia" w:eastAsiaTheme="minorEastAsia" w:cstheme="minorEastAsia"/>
                <w:color w:val="auto"/>
                <w:sz w:val="21"/>
                <w:szCs w:val="21"/>
                <w:highlight w:val="none"/>
              </w:rPr>
            </w:pPr>
          </w:p>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≤120</w:t>
            </w:r>
          </w:p>
        </w:tc>
        <w:tc>
          <w:tcPr>
            <w:tcW w:w="1860" w:type="dxa"/>
            <w:tcBorders>
              <w:top w:val="single" w:color="auto" w:sz="4" w:space="0"/>
              <w:left w:val="single" w:color="auto" w:sz="4" w:space="0"/>
              <w:bottom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40" w:type="dxa"/>
            <w:tcBorders>
              <w:bottom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501＜</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≤800</w:t>
            </w:r>
          </w:p>
        </w:tc>
        <w:tc>
          <w:tcPr>
            <w:tcW w:w="1800" w:type="dxa"/>
            <w:tcBorders>
              <w:bottom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40×10</w:t>
            </w:r>
            <w:r>
              <w:rPr>
                <w:rFonts w:hint="eastAsia" w:asciiTheme="minorEastAsia" w:hAnsiTheme="minorEastAsia" w:eastAsiaTheme="minorEastAsia" w:cstheme="minorEastAsia"/>
                <w:bCs/>
                <w:color w:val="auto"/>
                <w:sz w:val="21"/>
                <w:szCs w:val="21"/>
                <w:highlight w:val="none"/>
              </w:rPr>
              <w:t>（±10%）</w:t>
            </w:r>
          </w:p>
        </w:tc>
        <w:tc>
          <w:tcPr>
            <w:tcW w:w="1452" w:type="dxa"/>
            <w:tcBorders>
              <w:top w:val="single" w:color="auto" w:sz="4" w:space="0"/>
              <w:left w:val="single" w:color="auto" w:sz="4" w:space="0"/>
              <w:bottom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11.5</w:t>
            </w:r>
            <w:r>
              <w:rPr>
                <w:rFonts w:hint="eastAsia" w:asciiTheme="minorEastAsia" w:hAnsiTheme="minorEastAsia" w:eastAsiaTheme="minorEastAsia" w:cstheme="minorEastAsia"/>
                <w:bCs/>
                <w:color w:val="auto"/>
                <w:sz w:val="21"/>
                <w:szCs w:val="21"/>
                <w:highlight w:val="none"/>
              </w:rPr>
              <w:t>（±10%）</w:t>
            </w:r>
          </w:p>
        </w:tc>
        <w:tc>
          <w:tcPr>
            <w:tcW w:w="1248" w:type="dxa"/>
            <w:vMerge w:val="continue"/>
            <w:tcBorders>
              <w:left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p>
        </w:tc>
        <w:tc>
          <w:tcPr>
            <w:tcW w:w="1860" w:type="dxa"/>
            <w:tcBorders>
              <w:top w:val="single" w:color="auto" w:sz="4" w:space="0"/>
              <w:left w:val="single" w:color="auto" w:sz="4" w:space="0"/>
              <w:bottom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40" w:type="dxa"/>
            <w:tcBorders>
              <w:top w:val="single" w:color="auto" w:sz="4" w:space="0"/>
              <w:left w:val="single" w:color="auto" w:sz="4" w:space="0"/>
              <w:bottom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801＜</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≤1250</w:t>
            </w:r>
          </w:p>
        </w:tc>
        <w:tc>
          <w:tcPr>
            <w:tcW w:w="1800" w:type="dxa"/>
            <w:tcBorders>
              <w:top w:val="single" w:color="auto" w:sz="4" w:space="0"/>
              <w:left w:val="single" w:color="auto" w:sz="4" w:space="0"/>
              <w:bottom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45×12</w:t>
            </w:r>
            <w:r>
              <w:rPr>
                <w:rFonts w:hint="eastAsia" w:asciiTheme="minorEastAsia" w:hAnsiTheme="minorEastAsia" w:eastAsiaTheme="minorEastAsia" w:cstheme="minorEastAsia"/>
                <w:bCs/>
                <w:color w:val="auto"/>
                <w:sz w:val="21"/>
                <w:szCs w:val="21"/>
                <w:highlight w:val="none"/>
              </w:rPr>
              <w:t>（±10%）</w:t>
            </w:r>
          </w:p>
        </w:tc>
        <w:tc>
          <w:tcPr>
            <w:tcW w:w="1452" w:type="dxa"/>
            <w:tcBorders>
              <w:top w:val="single" w:color="auto" w:sz="4" w:space="0"/>
              <w:left w:val="single" w:color="auto" w:sz="4" w:space="0"/>
              <w:bottom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11.5</w:t>
            </w:r>
            <w:r>
              <w:rPr>
                <w:rFonts w:hint="eastAsia" w:asciiTheme="minorEastAsia" w:hAnsiTheme="minorEastAsia" w:eastAsiaTheme="minorEastAsia" w:cstheme="minorEastAsia"/>
                <w:bCs/>
                <w:color w:val="auto"/>
                <w:sz w:val="21"/>
                <w:szCs w:val="21"/>
                <w:highlight w:val="none"/>
              </w:rPr>
              <w:t>（±10%）</w:t>
            </w:r>
          </w:p>
        </w:tc>
        <w:tc>
          <w:tcPr>
            <w:tcW w:w="1248" w:type="dxa"/>
            <w:vMerge w:val="continue"/>
            <w:tcBorders>
              <w:left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p>
        </w:tc>
        <w:tc>
          <w:tcPr>
            <w:tcW w:w="1860" w:type="dxa"/>
            <w:tcBorders>
              <w:top w:val="single" w:color="auto" w:sz="4" w:space="0"/>
              <w:left w:val="single" w:color="auto" w:sz="4" w:space="0"/>
              <w:bottom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40" w:type="dxa"/>
            <w:tcBorders>
              <w:top w:val="single" w:color="auto" w:sz="4" w:space="0"/>
              <w:left w:val="single" w:color="auto" w:sz="4" w:space="0"/>
              <w:bottom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1251＜</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≤1600</w:t>
            </w:r>
          </w:p>
        </w:tc>
        <w:tc>
          <w:tcPr>
            <w:tcW w:w="1800" w:type="dxa"/>
            <w:tcBorders>
              <w:top w:val="single" w:color="auto" w:sz="4" w:space="0"/>
              <w:left w:val="single" w:color="auto" w:sz="4" w:space="0"/>
              <w:bottom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50×15</w:t>
            </w:r>
            <w:r>
              <w:rPr>
                <w:rFonts w:hint="eastAsia" w:asciiTheme="minorEastAsia" w:hAnsiTheme="minorEastAsia" w:eastAsiaTheme="minorEastAsia" w:cstheme="minorEastAsia"/>
                <w:bCs/>
                <w:color w:val="auto"/>
                <w:sz w:val="21"/>
                <w:szCs w:val="21"/>
                <w:highlight w:val="none"/>
              </w:rPr>
              <w:t>（±10%）</w:t>
            </w:r>
          </w:p>
        </w:tc>
        <w:tc>
          <w:tcPr>
            <w:tcW w:w="1452" w:type="dxa"/>
            <w:tcBorders>
              <w:top w:val="single" w:color="auto" w:sz="4" w:space="0"/>
              <w:left w:val="single" w:color="auto" w:sz="4" w:space="0"/>
              <w:bottom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11.5</w:t>
            </w:r>
            <w:r>
              <w:rPr>
                <w:rFonts w:hint="eastAsia" w:asciiTheme="minorEastAsia" w:hAnsiTheme="minorEastAsia" w:eastAsiaTheme="minorEastAsia" w:cstheme="minorEastAsia"/>
                <w:bCs/>
                <w:color w:val="auto"/>
                <w:sz w:val="21"/>
                <w:szCs w:val="21"/>
                <w:highlight w:val="none"/>
              </w:rPr>
              <w:t>（±10%）</w:t>
            </w:r>
          </w:p>
        </w:tc>
        <w:tc>
          <w:tcPr>
            <w:tcW w:w="1248" w:type="dxa"/>
            <w:vMerge w:val="continue"/>
            <w:tcBorders>
              <w:left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p>
        </w:tc>
        <w:tc>
          <w:tcPr>
            <w:tcW w:w="1860" w:type="dxa"/>
            <w:tcBorders>
              <w:top w:val="single" w:color="auto" w:sz="4" w:space="0"/>
              <w:left w:val="single" w:color="auto" w:sz="4" w:space="0"/>
              <w:bottom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040" w:type="dxa"/>
            <w:tcBorders>
              <w:top w:val="single" w:color="auto" w:sz="4" w:space="0"/>
              <w:left w:val="single" w:color="auto" w:sz="4" w:space="0"/>
              <w:bottom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1601＜</w:t>
            </w:r>
            <w:r>
              <w:rPr>
                <w:rFonts w:hint="eastAsia" w:asciiTheme="minorEastAsia" w:hAnsiTheme="minorEastAsia" w:eastAsiaTheme="minorEastAsia" w:cstheme="minorEastAsia"/>
                <w:color w:val="auto"/>
                <w:spacing w:val="-12"/>
                <w:sz w:val="21"/>
                <w:szCs w:val="21"/>
                <w:highlight w:val="none"/>
              </w:rPr>
              <w:t>b</w:t>
            </w:r>
            <w:r>
              <w:rPr>
                <w:rFonts w:hint="eastAsia" w:asciiTheme="minorEastAsia" w:hAnsiTheme="minorEastAsia" w:eastAsiaTheme="minorEastAsia" w:cstheme="minorEastAsia"/>
                <w:color w:val="auto"/>
                <w:sz w:val="21"/>
                <w:szCs w:val="21"/>
                <w:highlight w:val="none"/>
              </w:rPr>
              <w:t>≤2000</w:t>
            </w:r>
          </w:p>
        </w:tc>
        <w:tc>
          <w:tcPr>
            <w:tcW w:w="1800" w:type="dxa"/>
            <w:tcBorders>
              <w:top w:val="single" w:color="auto" w:sz="4" w:space="0"/>
              <w:left w:val="single" w:color="auto" w:sz="4" w:space="0"/>
              <w:bottom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60×18</w:t>
            </w:r>
            <w:r>
              <w:rPr>
                <w:rFonts w:hint="eastAsia" w:asciiTheme="minorEastAsia" w:hAnsiTheme="minorEastAsia" w:eastAsiaTheme="minorEastAsia" w:cstheme="minorEastAsia"/>
                <w:bCs/>
                <w:color w:val="auto"/>
                <w:sz w:val="21"/>
                <w:szCs w:val="21"/>
                <w:highlight w:val="none"/>
              </w:rPr>
              <w:t>（±10%）</w:t>
            </w:r>
          </w:p>
        </w:tc>
        <w:tc>
          <w:tcPr>
            <w:tcW w:w="1452" w:type="dxa"/>
            <w:tcBorders>
              <w:top w:val="single" w:color="auto" w:sz="4" w:space="0"/>
              <w:left w:val="single" w:color="auto" w:sz="4" w:space="0"/>
              <w:bottom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11.5</w:t>
            </w:r>
            <w:r>
              <w:rPr>
                <w:rFonts w:hint="eastAsia" w:asciiTheme="minorEastAsia" w:hAnsiTheme="minorEastAsia" w:eastAsiaTheme="minorEastAsia" w:cstheme="minorEastAsia"/>
                <w:bCs/>
                <w:color w:val="auto"/>
                <w:sz w:val="21"/>
                <w:szCs w:val="21"/>
                <w:highlight w:val="none"/>
              </w:rPr>
              <w:t>（±10%）</w:t>
            </w:r>
          </w:p>
        </w:tc>
        <w:tc>
          <w:tcPr>
            <w:tcW w:w="1248" w:type="dxa"/>
            <w:vMerge w:val="continue"/>
            <w:tcBorders>
              <w:left w:val="single" w:color="auto" w:sz="4" w:space="0"/>
              <w:bottom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p>
        </w:tc>
        <w:tc>
          <w:tcPr>
            <w:tcW w:w="1860" w:type="dxa"/>
            <w:tcBorders>
              <w:top w:val="single" w:color="auto" w:sz="4" w:space="0"/>
              <w:left w:val="single" w:color="auto" w:sz="4" w:space="0"/>
              <w:bottom w:val="single" w:color="auto" w:sz="4" w:space="0"/>
              <w:right w:val="single" w:color="auto" w:sz="4" w:space="0"/>
            </w:tcBorders>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M10</w:t>
            </w:r>
          </w:p>
        </w:tc>
      </w:tr>
    </w:tbl>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6）风管与法兰的连接应采用焊接，法兰端面应应垂直于风管轴线。风管直径或边长大于500mm时，风管与法兰的连接处宜加三角支撑加强板，加强板间距不得大于450mm，且应均匀设置。</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7）风管长边大于或等于630mm、煨角成形边长大于或等于800mm或管段长度大于1200mm时，均应采取加固框或加固筋等加固措施，并以焊接固定。加固框的规格宜与法兰相同。</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 ）风管两端面应平行，无明显扭曲；表面应平整、圆弧均匀、凸凹不应大于5mm。</w:t>
      </w:r>
    </w:p>
    <w:p>
      <w:pPr>
        <w:spacing w:line="400" w:lineRule="exact"/>
        <w:ind w:firstLine="413" w:firstLineChars="196"/>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5.8.2、</w:t>
      </w:r>
      <w:r>
        <w:rPr>
          <w:rFonts w:hint="eastAsia" w:asciiTheme="minorEastAsia" w:hAnsiTheme="minorEastAsia" w:eastAsiaTheme="minorEastAsia" w:cstheme="minorEastAsia"/>
          <w:color w:val="auto"/>
          <w:sz w:val="21"/>
          <w:szCs w:val="21"/>
          <w:highlight w:val="none"/>
        </w:rPr>
        <w:t>P</w:t>
      </w:r>
      <w:r>
        <w:rPr>
          <w:rFonts w:hint="eastAsia" w:asciiTheme="minorEastAsia" w:hAnsiTheme="minorEastAsia" w:eastAsiaTheme="minorEastAsia" w:cstheme="minorEastAsia"/>
          <w:b/>
          <w:color w:val="auto"/>
          <w:sz w:val="21"/>
          <w:szCs w:val="21"/>
          <w:highlight w:val="none"/>
        </w:rPr>
        <w:t>P材质塑料板风管施工工艺</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  范围</w:t>
      </w:r>
    </w:p>
    <w:p>
      <w:pPr>
        <w:adjustRightInd w:val="0"/>
        <w:spacing w:line="400" w:lineRule="exact"/>
        <w:ind w:right="2" w:rightChars="1"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本节内容适用于PP材质塑料板风管、管件的制作与安装。</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 ） 施工准备</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 xml:space="preserve">2.1 </w:t>
      </w:r>
      <w:r>
        <w:rPr>
          <w:rFonts w:hint="eastAsia" w:asciiTheme="minorEastAsia" w:hAnsiTheme="minorEastAsia" w:eastAsiaTheme="minorEastAsia" w:cstheme="minorEastAsia"/>
          <w:color w:val="auto"/>
          <w:sz w:val="21"/>
          <w:szCs w:val="21"/>
          <w:highlight w:val="none"/>
        </w:rPr>
        <w:t xml:space="preserve"> 材料要求</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2.1.1  制作风管、部件及法兰的PP材质塑料板具有出厂合格证书或质量鉴定文件。</w:t>
      </w:r>
      <w:r>
        <w:rPr>
          <w:rFonts w:hint="eastAsia" w:asciiTheme="minorEastAsia" w:hAnsiTheme="minorEastAsia" w:eastAsiaTheme="minorEastAsia" w:cstheme="minorEastAsia"/>
          <w:snapToGrid w:val="0"/>
          <w:color w:val="auto"/>
          <w:sz w:val="21"/>
          <w:szCs w:val="21"/>
          <w:highlight w:val="none"/>
        </w:rPr>
        <w:t>进场时应对品种、规格、外观等进行验收，并经监理工程师签认。</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2.1.2  塑料板材的表面应平整，不得含有气泡、裂缝；板材的厚薄应均匀，无离层等现象。</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2.1.3  设计没有明确要求时，制作风管及配件的塑料板厚度应符合表2.1.3的规定。</w:t>
      </w:r>
    </w:p>
    <w:p>
      <w:pPr>
        <w:adjustRightInd w:val="0"/>
        <w:spacing w:line="400" w:lineRule="exact"/>
        <w:ind w:right="2" w:rightChars="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表2.1.3      风管和配件板材厚度（mm）</w:t>
      </w:r>
    </w:p>
    <w:tbl>
      <w:tblPr>
        <w:tblStyle w:val="89"/>
        <w:tblW w:w="86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2234"/>
        <w:gridCol w:w="2229"/>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394" w:type="dxa"/>
            <w:gridSpan w:val="2"/>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圆  形  风  管</w:t>
            </w:r>
          </w:p>
        </w:tc>
        <w:tc>
          <w:tcPr>
            <w:tcW w:w="4209" w:type="dxa"/>
            <w:gridSpan w:val="2"/>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矩  形  风  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风管直径D（mm）</w:t>
            </w:r>
          </w:p>
        </w:tc>
        <w:tc>
          <w:tcPr>
            <w:tcW w:w="2234"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板材厚度（mm）</w:t>
            </w:r>
          </w:p>
        </w:tc>
        <w:tc>
          <w:tcPr>
            <w:tcW w:w="2229"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风管大边b（mm）</w:t>
            </w:r>
          </w:p>
        </w:tc>
        <w:tc>
          <w:tcPr>
            <w:tcW w:w="198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板材厚度（mm）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D≤320</w:t>
            </w:r>
          </w:p>
        </w:tc>
        <w:tc>
          <w:tcPr>
            <w:tcW w:w="2234"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w:t>
            </w:r>
          </w:p>
        </w:tc>
        <w:tc>
          <w:tcPr>
            <w:tcW w:w="2229"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b≤320</w:t>
            </w:r>
          </w:p>
        </w:tc>
        <w:tc>
          <w:tcPr>
            <w:tcW w:w="198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320＜D≤630</w:t>
            </w:r>
          </w:p>
        </w:tc>
        <w:tc>
          <w:tcPr>
            <w:tcW w:w="2234"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w:t>
            </w:r>
          </w:p>
        </w:tc>
        <w:tc>
          <w:tcPr>
            <w:tcW w:w="2229"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320＜b≤500</w:t>
            </w:r>
          </w:p>
        </w:tc>
        <w:tc>
          <w:tcPr>
            <w:tcW w:w="198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630＜D≤1000</w:t>
            </w:r>
          </w:p>
        </w:tc>
        <w:tc>
          <w:tcPr>
            <w:tcW w:w="2234"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w:t>
            </w:r>
          </w:p>
        </w:tc>
        <w:tc>
          <w:tcPr>
            <w:tcW w:w="2229"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500＜b≤800</w:t>
            </w:r>
          </w:p>
        </w:tc>
        <w:tc>
          <w:tcPr>
            <w:tcW w:w="198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1000＜D≤2000</w:t>
            </w:r>
          </w:p>
        </w:tc>
        <w:tc>
          <w:tcPr>
            <w:tcW w:w="2234"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≥6.0</w:t>
            </w:r>
          </w:p>
        </w:tc>
        <w:tc>
          <w:tcPr>
            <w:tcW w:w="2229"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800＜b≤1250</w:t>
            </w:r>
          </w:p>
        </w:tc>
        <w:tc>
          <w:tcPr>
            <w:tcW w:w="198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234"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229"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1250＜b≤2000</w:t>
            </w:r>
          </w:p>
        </w:tc>
        <w:tc>
          <w:tcPr>
            <w:tcW w:w="198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≥8.0</w:t>
            </w:r>
          </w:p>
        </w:tc>
      </w:tr>
    </w:tbl>
    <w:p>
      <w:pPr>
        <w:adjustRightInd w:val="0"/>
        <w:spacing w:line="400" w:lineRule="exact"/>
        <w:ind w:right="2" w:rightChars="1" w:firstLine="420"/>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z w:val="21"/>
          <w:szCs w:val="21"/>
          <w:highlight w:val="none"/>
          <w:lang w:val="zh-CN"/>
        </w:rPr>
        <w:t>2.1.4  其它辅助材料如卡架、螺栓等应符合相关质量要求，并满足使用要求。</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2.2</w:t>
      </w:r>
      <w:r>
        <w:rPr>
          <w:rFonts w:hint="eastAsia" w:asciiTheme="minorEastAsia" w:hAnsiTheme="minorEastAsia" w:eastAsiaTheme="minorEastAsia" w:cstheme="minorEastAsia"/>
          <w:color w:val="auto"/>
          <w:sz w:val="21"/>
          <w:szCs w:val="21"/>
          <w:highlight w:val="none"/>
        </w:rPr>
        <w:t xml:space="preserve">  主要施工机具</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2.2.1  机械：割板机、锯床、圆盘锯、电热烘箱、管式电热器、空气压缩机、砂轮机、坡口机等。</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2.2.2  工具：木工锯、钢丝锯、鸡尾锯、手用电动曲线锯、木工刨、电热焊枪、各类胎模等。</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2.2.3  量具及其他：钢板尺、钢卷尺、角尺、量角器、划规、划线笔等。</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 xml:space="preserve">2.3 </w:t>
      </w:r>
      <w:r>
        <w:rPr>
          <w:rFonts w:hint="eastAsia" w:asciiTheme="minorEastAsia" w:hAnsiTheme="minorEastAsia" w:eastAsiaTheme="minorEastAsia" w:cstheme="minorEastAsia"/>
          <w:color w:val="auto"/>
          <w:sz w:val="21"/>
          <w:szCs w:val="21"/>
          <w:highlight w:val="none"/>
        </w:rPr>
        <w:t xml:space="preserve"> 作业条件</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2.3.1  加工现场应宽敞、明亮、洁净、地面平整、不潮湿，且有可靠的防风、雨、雪的设施。</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2.3.2  作业地点要有相应加工工艺的机具、设施、电源、安全防护装置和消防器材等。</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2.3.3  风管制作应具有批准的设计图纸，经审查的大样图、系统图，并有施工员书面的技术、质量、安全交底材料。</w:t>
      </w:r>
    </w:p>
    <w:p>
      <w:pPr>
        <w:topLinePunct/>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2.3.4  建筑结构施工完毕，风管预留埋件、孔洞尺寸位置正确。</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  操作工艺</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drawing>
          <wp:anchor distT="0" distB="0" distL="114300" distR="114300" simplePos="0" relativeHeight="251662336" behindDoc="1" locked="1" layoutInCell="1" allowOverlap="1">
            <wp:simplePos x="0" y="0"/>
            <wp:positionH relativeFrom="column">
              <wp:posOffset>4889500</wp:posOffset>
            </wp:positionH>
            <wp:positionV relativeFrom="paragraph">
              <wp:posOffset>9461500</wp:posOffset>
            </wp:positionV>
            <wp:extent cx="520700" cy="495300"/>
            <wp:effectExtent l="0" t="0" r="12700" b="0"/>
            <wp:wrapNone/>
            <wp:docPr id="424" name="图片 1503"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 name="图片 1503" descr="38"/>
                    <pic:cNvPicPr>
                      <a:picLocks noChangeAspect="1" noChangeArrowheads="1"/>
                    </pic:cNvPicPr>
                  </pic:nvPicPr>
                  <pic:blipFill>
                    <a:blip r:embed="rId24"/>
                    <a:srcRect/>
                    <a:stretch>
                      <a:fillRect/>
                    </a:stretch>
                  </pic:blipFill>
                  <pic:spPr>
                    <a:xfrm>
                      <a:off x="0" y="0"/>
                      <a:ext cx="520700" cy="495300"/>
                    </a:xfrm>
                    <a:prstGeom prst="rect">
                      <a:avLst/>
                    </a:prstGeom>
                    <a:noFill/>
                    <a:ln w="9525">
                      <a:noFill/>
                      <a:miter lim="800000"/>
                      <a:headEnd/>
                      <a:tailEnd/>
                    </a:ln>
                  </pic:spPr>
                </pic:pic>
              </a:graphicData>
            </a:graphic>
          </wp:anchor>
        </w:drawing>
      </w:r>
      <w:r>
        <w:rPr>
          <w:rFonts w:hint="eastAsia" w:asciiTheme="minorEastAsia" w:hAnsiTheme="minorEastAsia" w:eastAsiaTheme="minorEastAsia" w:cstheme="minorEastAsia"/>
          <w:b/>
          <w:color w:val="auto"/>
          <w:sz w:val="21"/>
          <w:szCs w:val="21"/>
          <w:highlight w:val="none"/>
        </w:rPr>
        <w:t>3.1</w:t>
      </w:r>
      <w:r>
        <w:rPr>
          <w:rFonts w:hint="eastAsia" w:asciiTheme="minorEastAsia" w:hAnsiTheme="minorEastAsia" w:eastAsiaTheme="minorEastAsia" w:cstheme="minorEastAsia"/>
          <w:color w:val="auto"/>
          <w:sz w:val="21"/>
          <w:szCs w:val="21"/>
          <w:highlight w:val="none"/>
        </w:rPr>
        <w:t xml:space="preserve">  工艺流程</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3.1.1风管制作</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mc:AlternateContent>
          <mc:Choice Requires="wpg">
            <w:drawing>
              <wp:anchor distT="0" distB="0" distL="114300" distR="114300" simplePos="0" relativeHeight="251767808" behindDoc="0" locked="0" layoutInCell="1" allowOverlap="1">
                <wp:simplePos x="0" y="0"/>
                <wp:positionH relativeFrom="column">
                  <wp:posOffset>76200</wp:posOffset>
                </wp:positionH>
                <wp:positionV relativeFrom="paragraph">
                  <wp:posOffset>32385</wp:posOffset>
                </wp:positionV>
                <wp:extent cx="5809615" cy="297815"/>
                <wp:effectExtent l="4445" t="5080" r="5715" b="11430"/>
                <wp:wrapNone/>
                <wp:docPr id="24" name="组合 64"/>
                <wp:cNvGraphicFramePr/>
                <a:graphic xmlns:a="http://schemas.openxmlformats.org/drawingml/2006/main">
                  <a:graphicData uri="http://schemas.microsoft.com/office/word/2010/wordprocessingGroup">
                    <wpg:wgp>
                      <wpg:cNvGrpSpPr/>
                      <wpg:grpSpPr>
                        <a:xfrm>
                          <a:off x="0" y="0"/>
                          <a:ext cx="5809615" cy="297815"/>
                          <a:chOff x="1538" y="2785"/>
                          <a:chExt cx="9149" cy="469"/>
                        </a:xfrm>
                      </wpg:grpSpPr>
                      <wps:wsp>
                        <wps:cNvPr id="11" name="直线 65"/>
                        <wps:cNvCnPr/>
                        <wps:spPr>
                          <a:xfrm flipV="1">
                            <a:off x="2331" y="2989"/>
                            <a:ext cx="375" cy="0"/>
                          </a:xfrm>
                          <a:prstGeom prst="line">
                            <a:avLst/>
                          </a:prstGeom>
                          <a:ln w="9525" cap="flat" cmpd="sng">
                            <a:solidFill>
                              <a:srgbClr val="000000"/>
                            </a:solidFill>
                            <a:prstDash val="solid"/>
                            <a:headEnd type="none" w="med" len="med"/>
                            <a:tailEnd type="triangle" w="med" len="med"/>
                          </a:ln>
                        </wps:spPr>
                        <wps:bodyPr upright="1"/>
                      </wps:wsp>
                      <wps:wsp>
                        <wps:cNvPr id="12" name="文本框 66"/>
                        <wps:cNvSpPr txBox="1"/>
                        <wps:spPr>
                          <a:xfrm>
                            <a:off x="9817" y="2813"/>
                            <a:ext cx="870" cy="43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检验</w:t>
                              </w:r>
                            </w:p>
                          </w:txbxContent>
                        </wps:txbx>
                        <wps:bodyPr upright="1"/>
                      </wps:wsp>
                      <wps:wsp>
                        <wps:cNvPr id="13" name="文本框 67"/>
                        <wps:cNvSpPr txBox="1"/>
                        <wps:spPr>
                          <a:xfrm>
                            <a:off x="8365" y="2812"/>
                            <a:ext cx="1060" cy="43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Ansi="宋体"/>
                                </w:rPr>
                                <w:t>法兰制作</w:t>
                              </w:r>
                            </w:p>
                          </w:txbxContent>
                        </wps:txbx>
                        <wps:bodyPr upright="1"/>
                      </wps:wsp>
                      <wps:wsp>
                        <wps:cNvPr id="14" name="文本框 68"/>
                        <wps:cNvSpPr txBox="1"/>
                        <wps:spPr>
                          <a:xfrm>
                            <a:off x="1538" y="2819"/>
                            <a:ext cx="807" cy="43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领料</w:t>
                              </w:r>
                            </w:p>
                            <w:p/>
                          </w:txbxContent>
                        </wps:txbx>
                        <wps:bodyPr upright="1"/>
                      </wps:wsp>
                      <wps:wsp>
                        <wps:cNvPr id="15" name="文本框 69"/>
                        <wps:cNvSpPr txBox="1"/>
                        <wps:spPr>
                          <a:xfrm>
                            <a:off x="6198" y="2786"/>
                            <a:ext cx="1742" cy="462"/>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加热、焊接成形</w:t>
                              </w:r>
                            </w:p>
                          </w:txbxContent>
                        </wps:txbx>
                        <wps:bodyPr upright="1"/>
                      </wps:wsp>
                      <wps:wsp>
                        <wps:cNvPr id="16" name="文本框 70"/>
                        <wps:cNvSpPr txBox="1"/>
                        <wps:spPr>
                          <a:xfrm>
                            <a:off x="4446" y="2785"/>
                            <a:ext cx="1359" cy="462"/>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下料、切割</w:t>
                              </w:r>
                            </w:p>
                          </w:txbxContent>
                        </wps:txbx>
                        <wps:bodyPr upright="1"/>
                      </wps:wsp>
                      <wps:wsp>
                        <wps:cNvPr id="17" name="文本框 71"/>
                        <wps:cNvSpPr txBox="1"/>
                        <wps:spPr>
                          <a:xfrm>
                            <a:off x="2764" y="2786"/>
                            <a:ext cx="1220" cy="43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板材划线</w:t>
                              </w:r>
                            </w:p>
                          </w:txbxContent>
                        </wps:txbx>
                        <wps:bodyPr upright="1"/>
                      </wps:wsp>
                      <wps:wsp>
                        <wps:cNvPr id="18" name="直线 72"/>
                        <wps:cNvCnPr/>
                        <wps:spPr>
                          <a:xfrm flipV="1">
                            <a:off x="4028" y="2989"/>
                            <a:ext cx="375" cy="0"/>
                          </a:xfrm>
                          <a:prstGeom prst="line">
                            <a:avLst/>
                          </a:prstGeom>
                          <a:ln w="9525" cap="flat" cmpd="sng">
                            <a:solidFill>
                              <a:srgbClr val="000000"/>
                            </a:solidFill>
                            <a:prstDash val="solid"/>
                            <a:headEnd type="none" w="med" len="med"/>
                            <a:tailEnd type="triangle" w="med" len="med"/>
                          </a:ln>
                        </wps:spPr>
                        <wps:bodyPr upright="1"/>
                      </wps:wsp>
                      <wps:wsp>
                        <wps:cNvPr id="19" name="直线 73"/>
                        <wps:cNvCnPr/>
                        <wps:spPr>
                          <a:xfrm flipV="1">
                            <a:off x="5805" y="2989"/>
                            <a:ext cx="375" cy="0"/>
                          </a:xfrm>
                          <a:prstGeom prst="line">
                            <a:avLst/>
                          </a:prstGeom>
                          <a:ln w="9525" cap="flat" cmpd="sng">
                            <a:solidFill>
                              <a:srgbClr val="000000"/>
                            </a:solidFill>
                            <a:prstDash val="solid"/>
                            <a:headEnd type="none" w="med" len="med"/>
                            <a:tailEnd type="triangle" w="med" len="med"/>
                          </a:ln>
                        </wps:spPr>
                        <wps:bodyPr upright="1"/>
                      </wps:wsp>
                      <wps:wsp>
                        <wps:cNvPr id="20" name="直线 74"/>
                        <wps:cNvCnPr/>
                        <wps:spPr>
                          <a:xfrm flipV="1">
                            <a:off x="7940" y="2989"/>
                            <a:ext cx="375" cy="0"/>
                          </a:xfrm>
                          <a:prstGeom prst="line">
                            <a:avLst/>
                          </a:prstGeom>
                          <a:ln w="9525" cap="flat" cmpd="sng">
                            <a:solidFill>
                              <a:srgbClr val="000000"/>
                            </a:solidFill>
                            <a:prstDash val="solid"/>
                            <a:headEnd type="none" w="med" len="med"/>
                            <a:tailEnd type="triangle" w="med" len="med"/>
                          </a:ln>
                        </wps:spPr>
                        <wps:bodyPr upright="1"/>
                      </wps:wsp>
                      <wps:wsp>
                        <wps:cNvPr id="23" name="直线 75"/>
                        <wps:cNvCnPr/>
                        <wps:spPr>
                          <a:xfrm flipV="1">
                            <a:off x="9425" y="2989"/>
                            <a:ext cx="375" cy="0"/>
                          </a:xfrm>
                          <a:prstGeom prst="line">
                            <a:avLst/>
                          </a:prstGeom>
                          <a:ln w="9525" cap="flat" cmpd="sng">
                            <a:solidFill>
                              <a:srgbClr val="000000"/>
                            </a:solidFill>
                            <a:prstDash val="solid"/>
                            <a:headEnd type="none" w="med" len="med"/>
                            <a:tailEnd type="triangle" w="med" len="med"/>
                          </a:ln>
                        </wps:spPr>
                        <wps:bodyPr upright="1"/>
                      </wps:wsp>
                    </wpg:wgp>
                  </a:graphicData>
                </a:graphic>
              </wp:anchor>
            </w:drawing>
          </mc:Choice>
          <mc:Fallback>
            <w:pict>
              <v:group id="组合 64" o:spid="_x0000_s1026" o:spt="203" style="position:absolute;left:0pt;margin-left:6pt;margin-top:2.55pt;height:23.45pt;width:457.45pt;z-index:251767808;mso-width-relative:page;mso-height-relative:page;" coordorigin="1538,2785" coordsize="9149,469" o:gfxdata="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">
                <o:lock v:ext="edit" aspectratio="f"/>
                <v:line id="直线 65" o:spid="_x0000_s1026" o:spt="20" style="position:absolute;left:2331;top:2989;flip:y;height:0;width:375;" filled="f" stroked="t" coordsize="21600,21600" o:gfxdata="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w+f+y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shape id="文本框 66" o:spid="_x0000_s1026" o:spt="202" type="#_x0000_t202" style="position:absolute;left:9817;top:2813;height:435;width:870;" fillcolor="#FFFFFF" filled="t" stroked="t" coordsize="21600,21600" o:gfxdata="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2uQ1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r>
                          <w:rPr>
                            <w:rFonts w:hint="eastAsia"/>
                          </w:rPr>
                          <w:t>检验</w:t>
                        </w:r>
                      </w:p>
                    </w:txbxContent>
                  </v:textbox>
                </v:shape>
                <v:shape id="文本框 67" o:spid="_x0000_s1026" o:spt="202" type="#_x0000_t202" style="position:absolute;left:8365;top:2812;height:435;width:1060;" fillcolor="#FFFFFF" filled="t" stroked="t" coordsize="21600,21600" o:gfxdata="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ZZBrr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r>
                          <w:rPr>
                            <w:rFonts w:hAnsi="宋体"/>
                          </w:rPr>
                          <w:t>法兰制作</w:t>
                        </w:r>
                      </w:p>
                    </w:txbxContent>
                  </v:textbox>
                </v:shape>
                <v:shape id="文本框 68" o:spid="_x0000_s1026" o:spt="202" type="#_x0000_t202" style="position:absolute;left:1538;top:2819;height:435;width:807;" fillcolor="#FFFFFF" filled="t" stroked="t" coordsize="21600,21600" o:gfxdata="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n/Z2r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r>
                          <w:rPr>
                            <w:rFonts w:hint="eastAsia"/>
                          </w:rPr>
                          <w:t>领料</w:t>
                        </w:r>
                      </w:p>
                      <w:p/>
                    </w:txbxContent>
                  </v:textbox>
                </v:shape>
                <v:shape id="文本框 69" o:spid="_x0000_s1026" o:spt="202" type="#_x0000_t202" style="position:absolute;left:6198;top:2786;height:462;width:1742;" fillcolor="#FFFFFF" filled="t" stroked="t" coordsize="21600,21600" o:gfxdata="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TN8Qb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r>
                          <w:rPr>
                            <w:rFonts w:hint="eastAsia"/>
                          </w:rPr>
                          <w:t>加热、焊接成形</w:t>
                        </w:r>
                      </w:p>
                    </w:txbxContent>
                  </v:textbox>
                </v:shape>
                <v:shape id="文本框 70" o:spid="_x0000_s1026" o:spt="202" type="#_x0000_t202" style="position:absolute;left:4446;top:2785;height:462;width:1359;" fillcolor="#FFFFFF" filled="t" stroked="t" coordsize="21600,21600" o:gfxdata="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nh4ja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r>
                          <w:rPr>
                            <w:rFonts w:hint="eastAsia"/>
                          </w:rPr>
                          <w:t>下料、切割</w:t>
                        </w:r>
                      </w:p>
                    </w:txbxContent>
                  </v:textbox>
                </v:shape>
                <v:shape id="文本框 71" o:spid="_x0000_s1026" o:spt="202" type="#_x0000_t202" style="position:absolute;left:2764;top:2786;height:435;width:1220;" fillcolor="#FFFFFF" filled="t" stroked="t" coordsize="21600,21600" o:gfxdata="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atR62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r>
                          <w:rPr>
                            <w:rFonts w:hint="eastAsia"/>
                          </w:rPr>
                          <w:t>板材划线</w:t>
                        </w:r>
                      </w:p>
                    </w:txbxContent>
                  </v:textbox>
                </v:shape>
                <v:line id="直线 72" o:spid="_x0000_s1026" o:spt="20" style="position:absolute;left:4028;top:2989;flip:y;height:0;width:375;" filled="f" stroked="t" coordsize="21600,21600" o:gfxdata="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QTWc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线 73" o:spid="_x0000_s1026" o:spt="20" style="position:absolute;left:5805;top:2989;flip:y;height:0;width:375;" filled="f" stroked="t" coordsize="21600,21600" o:gfxdata="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JIc+q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line id="直线 74" o:spid="_x0000_s1026" o:spt="20" style="position:absolute;left:7940;top:2989;flip:y;height:0;width:375;" filled="f" stroked="t" coordsize="21600,21600" o:gfxdata="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R4Qy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直线 75" o:spid="_x0000_s1026" o:spt="20" style="position:absolute;left:9425;top:2989;flip:y;height:0;width:375;" filled="f" stroked="t" coordsize="21600,21600" o:gfxdata="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3Mjr2/&#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group>
            </w:pict>
          </mc:Fallback>
        </mc:AlternateConten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3.1.2 风管安装</w:t>
      </w:r>
    </w:p>
    <w:p>
      <w:pPr>
        <w:adjustRightInd w:val="0"/>
        <w:spacing w:line="400" w:lineRule="exact"/>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mc:AlternateContent>
          <mc:Choice Requires="wpg">
            <w:drawing>
              <wp:anchor distT="0" distB="0" distL="114300" distR="114300" simplePos="0" relativeHeight="251752448" behindDoc="0" locked="0" layoutInCell="1" allowOverlap="1">
                <wp:simplePos x="0" y="0"/>
                <wp:positionH relativeFrom="column">
                  <wp:posOffset>865505</wp:posOffset>
                </wp:positionH>
                <wp:positionV relativeFrom="paragraph">
                  <wp:posOffset>70485</wp:posOffset>
                </wp:positionV>
                <wp:extent cx="4648200" cy="316230"/>
                <wp:effectExtent l="4445" t="4445" r="5080" b="12700"/>
                <wp:wrapNone/>
                <wp:docPr id="10" name="组合 76"/>
                <wp:cNvGraphicFramePr/>
                <a:graphic xmlns:a="http://schemas.openxmlformats.org/drawingml/2006/main">
                  <a:graphicData uri="http://schemas.microsoft.com/office/word/2010/wordprocessingGroup">
                    <wpg:wgp>
                      <wpg:cNvGrpSpPr/>
                      <wpg:grpSpPr>
                        <a:xfrm>
                          <a:off x="0" y="0"/>
                          <a:ext cx="4648200" cy="316230"/>
                          <a:chOff x="2781" y="3645"/>
                          <a:chExt cx="7320" cy="498"/>
                        </a:xfrm>
                      </wpg:grpSpPr>
                      <wps:wsp>
                        <wps:cNvPr id="3" name="文本框 77"/>
                        <wps:cNvSpPr txBox="1"/>
                        <wps:spPr>
                          <a:xfrm>
                            <a:off x="8946" y="3656"/>
                            <a:ext cx="1155"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检验</w:t>
                              </w:r>
                            </w:p>
                          </w:txbxContent>
                        </wps:txbx>
                        <wps:bodyPr upright="1"/>
                      </wps:wsp>
                      <wps:wsp>
                        <wps:cNvPr id="4" name="直线 78"/>
                        <wps:cNvCnPr/>
                        <wps:spPr>
                          <a:xfrm flipV="1">
                            <a:off x="8406" y="3937"/>
                            <a:ext cx="375" cy="0"/>
                          </a:xfrm>
                          <a:prstGeom prst="line">
                            <a:avLst/>
                          </a:prstGeom>
                          <a:ln w="9525" cap="flat" cmpd="sng">
                            <a:solidFill>
                              <a:srgbClr val="000000"/>
                            </a:solidFill>
                            <a:prstDash val="solid"/>
                            <a:headEnd type="none" w="med" len="med"/>
                            <a:tailEnd type="triangle" w="med" len="med"/>
                          </a:ln>
                        </wps:spPr>
                        <wps:bodyPr upright="1"/>
                      </wps:wsp>
                      <wps:wsp>
                        <wps:cNvPr id="5" name="直线 79"/>
                        <wps:cNvCnPr/>
                        <wps:spPr>
                          <a:xfrm flipV="1">
                            <a:off x="6606" y="3945"/>
                            <a:ext cx="375" cy="0"/>
                          </a:xfrm>
                          <a:prstGeom prst="line">
                            <a:avLst/>
                          </a:prstGeom>
                          <a:ln w="9525" cap="flat" cmpd="sng">
                            <a:solidFill>
                              <a:srgbClr val="000000"/>
                            </a:solidFill>
                            <a:prstDash val="solid"/>
                            <a:headEnd type="none" w="med" len="med"/>
                            <a:tailEnd type="triangle" w="med" len="med"/>
                          </a:ln>
                        </wps:spPr>
                        <wps:bodyPr upright="1"/>
                      </wps:wsp>
                      <wps:wsp>
                        <wps:cNvPr id="6" name="文本框 80"/>
                        <wps:cNvSpPr txBox="1"/>
                        <wps:spPr>
                          <a:xfrm>
                            <a:off x="4941" y="3645"/>
                            <a:ext cx="1515"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设置支、吊点</w:t>
                              </w:r>
                            </w:p>
                          </w:txbxContent>
                        </wps:txbx>
                        <wps:bodyPr upright="1"/>
                      </wps:wsp>
                      <wps:wsp>
                        <wps:cNvPr id="7" name="直线 81"/>
                        <wps:cNvCnPr/>
                        <wps:spPr>
                          <a:xfrm flipV="1">
                            <a:off x="4446" y="3915"/>
                            <a:ext cx="375" cy="0"/>
                          </a:xfrm>
                          <a:prstGeom prst="line">
                            <a:avLst/>
                          </a:prstGeom>
                          <a:ln w="9525" cap="flat" cmpd="sng">
                            <a:solidFill>
                              <a:srgbClr val="000000"/>
                            </a:solidFill>
                            <a:prstDash val="solid"/>
                            <a:headEnd type="none" w="med" len="med"/>
                            <a:tailEnd type="triangle" w="med" len="med"/>
                          </a:ln>
                        </wps:spPr>
                        <wps:bodyPr upright="1"/>
                      </wps:wsp>
                      <wps:wsp>
                        <wps:cNvPr id="8" name="文本框 82"/>
                        <wps:cNvSpPr txBox="1"/>
                        <wps:spPr>
                          <a:xfrm>
                            <a:off x="2781" y="3675"/>
                            <a:ext cx="1515"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支、吊架制作</w:t>
                              </w:r>
                            </w:p>
                          </w:txbxContent>
                        </wps:txbx>
                        <wps:bodyPr upright="1"/>
                      </wps:wsp>
                      <wps:wsp>
                        <wps:cNvPr id="9" name="文本框 83"/>
                        <wps:cNvSpPr txBox="1"/>
                        <wps:spPr>
                          <a:xfrm>
                            <a:off x="7133" y="3660"/>
                            <a:ext cx="1155" cy="468"/>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风管连接</w:t>
                              </w:r>
                            </w:p>
                          </w:txbxContent>
                        </wps:txbx>
                        <wps:bodyPr upright="1"/>
                      </wps:wsp>
                    </wpg:wgp>
                  </a:graphicData>
                </a:graphic>
              </wp:anchor>
            </w:drawing>
          </mc:Choice>
          <mc:Fallback>
            <w:pict>
              <v:group id="组合 76" o:spid="_x0000_s1026" o:spt="203" style="position:absolute;left:0pt;margin-left:68.15pt;margin-top:5.55pt;height:24.9pt;width:366pt;z-index:251752448;mso-width-relative:page;mso-height-relative:page;" coordorigin="2781,3645" coordsize="7320,498" o:gfxdata="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">
                <o:lock v:ext="edit" aspectratio="f"/>
                <v:shape id="文本框 77" o:spid="_x0000_s1026" o:spt="202" type="#_x0000_t202" style="position:absolute;left:8946;top:3656;height:468;width:1155;" fillcolor="#FFFFFF" filled="t" stroked="t" coordsize="21600,21600" o:gfxdata="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SUnW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pPr>
                        <w:r>
                          <w:rPr>
                            <w:rFonts w:hint="eastAsia"/>
                          </w:rPr>
                          <w:t>检验</w:t>
                        </w:r>
                      </w:p>
                    </w:txbxContent>
                  </v:textbox>
                </v:shape>
                <v:line id="直线 78" o:spid="_x0000_s1026" o:spt="20" style="position:absolute;left:8406;top:3937;flip:y;height:0;width:375;" filled="f" stroked="t" coordsize="21600,21600" o:gfxdata="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4CNdr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line id="直线 79" o:spid="_x0000_s1026" o:spt="20" style="position:absolute;left:6606;top:3945;flip:y;height:0;width:375;" filled="f" stroked="t" coordsize="21600,21600" o:gfxdata="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Mwo7b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shape id="文本框 80" o:spid="_x0000_s1026" o:spt="202" type="#_x0000_t202" style="position:absolute;left:4941;top:3645;height:468;width:1515;" fillcolor="#FFFFFF" filled="t" stroked="t" coordsize="21600,21600" o:gfxdata="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PupO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r>
                          <w:rPr>
                            <w:rFonts w:hint="eastAsia"/>
                          </w:rPr>
                          <w:t>设置支、吊点</w:t>
                        </w:r>
                      </w:p>
                    </w:txbxContent>
                  </v:textbox>
                </v:shape>
                <v:line id="直线 81" o:spid="_x0000_s1026" o:spt="20" style="position:absolute;left:4446;top:3915;flip:y;height:0;width:375;" filled="f" stroked="t" coordsize="21600,21600" o:gfxdata="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1ITAb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shape id="文本框 82" o:spid="_x0000_s1026" o:spt="202" type="#_x0000_t202" style="position:absolute;left:2781;top:3675;height:468;width:1515;" fillcolor="#FFFFFF" filled="t" stroked="t" coordsize="21600,21600" o:gfxdata="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7t26e8AAAA&#10;2g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r>
                          <w:rPr>
                            <w:rFonts w:hint="eastAsia"/>
                          </w:rPr>
                          <w:t>支、吊架制作</w:t>
                        </w:r>
                      </w:p>
                    </w:txbxContent>
                  </v:textbox>
                </v:shape>
                <v:shape id="文本框 83" o:spid="_x0000_s1026" o:spt="202" type="#_x0000_t202" style="position:absolute;left:7133;top:3660;height:468;width:1155;" fillcolor="#FFFFFF" filled="t" stroked="t" coordsize="21600,21600" o:gfxdata="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oX48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r>
                          <w:rPr>
                            <w:rFonts w:hint="eastAsia"/>
                          </w:rPr>
                          <w:t>风管连接</w:t>
                        </w:r>
                      </w:p>
                    </w:txbxContent>
                  </v:textbox>
                </v:shape>
              </v:group>
            </w:pict>
          </mc:Fallback>
        </mc:AlternateContent>
      </w:r>
    </w:p>
    <w:p>
      <w:pPr>
        <w:adjustRightInd w:val="0"/>
        <w:spacing w:line="400" w:lineRule="exact"/>
        <w:ind w:right="2" w:rightChars="1"/>
        <w:rPr>
          <w:rFonts w:hint="eastAsia" w:asciiTheme="minorEastAsia" w:hAnsiTheme="minorEastAsia" w:eastAsiaTheme="minorEastAsia" w:cstheme="minorEastAsia"/>
          <w:color w:val="auto"/>
          <w:sz w:val="21"/>
          <w:szCs w:val="21"/>
          <w:highlight w:val="none"/>
        </w:rPr>
      </w:pPr>
    </w:p>
    <w:p>
      <w:pPr>
        <w:adjustRightInd w:val="0"/>
        <w:spacing w:line="400" w:lineRule="exact"/>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PP材质风管的安装与金属风管安装基本相同，在安装时还应符合以下各项要求。</w:t>
      </w:r>
    </w:p>
    <w:p>
      <w:pPr>
        <w:adjustRightInd w:val="0"/>
        <w:spacing w:line="400" w:lineRule="exact"/>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3.1.3  风管支吊架制作、设置、安装</w:t>
      </w:r>
    </w:p>
    <w:p>
      <w:pPr>
        <w:adjustRightInd w:val="0"/>
        <w:spacing w:line="400" w:lineRule="exact"/>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( 1 ) PP材质风管支、吊架要求应符合表3.9.1的规定。</w:t>
      </w:r>
    </w:p>
    <w:p>
      <w:pPr>
        <w:adjustRightInd w:val="0"/>
        <w:spacing w:line="400" w:lineRule="exact"/>
        <w:ind w:right="2" w:rightChars="1" w:firstLine="420" w:firstLineChars="20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表3.9.1    风管支吊架要求</w:t>
      </w:r>
    </w:p>
    <w:tbl>
      <w:tblPr>
        <w:tblStyle w:val="89"/>
        <w:tblW w:w="90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0"/>
        <w:gridCol w:w="2100"/>
        <w:gridCol w:w="2100"/>
        <w:gridCol w:w="2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3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圆形风管直径或</w:t>
            </w:r>
          </w:p>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矩形风管长边尺寸(mm)</w:t>
            </w:r>
          </w:p>
        </w:tc>
        <w:tc>
          <w:tcPr>
            <w:tcW w:w="21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承托角钢</w:t>
            </w:r>
          </w:p>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(mm)</w:t>
            </w:r>
          </w:p>
        </w:tc>
        <w:tc>
          <w:tcPr>
            <w:tcW w:w="21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吊杆直径</w:t>
            </w:r>
          </w:p>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(mm)</w:t>
            </w:r>
          </w:p>
        </w:tc>
        <w:tc>
          <w:tcPr>
            <w:tcW w:w="21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支架最大间距</w:t>
            </w:r>
          </w:p>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3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≤500</w:t>
            </w:r>
          </w:p>
        </w:tc>
        <w:tc>
          <w:tcPr>
            <w:tcW w:w="21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30×30×4</w:t>
            </w:r>
          </w:p>
        </w:tc>
        <w:tc>
          <w:tcPr>
            <w:tcW w:w="21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ф8</w:t>
            </w:r>
          </w:p>
        </w:tc>
        <w:tc>
          <w:tcPr>
            <w:tcW w:w="21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3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510—1000</w:t>
            </w:r>
          </w:p>
        </w:tc>
        <w:tc>
          <w:tcPr>
            <w:tcW w:w="21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40×40×5</w:t>
            </w:r>
          </w:p>
        </w:tc>
        <w:tc>
          <w:tcPr>
            <w:tcW w:w="21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ф8</w:t>
            </w:r>
          </w:p>
        </w:tc>
        <w:tc>
          <w:tcPr>
            <w:tcW w:w="21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3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1010—1500</w:t>
            </w:r>
          </w:p>
        </w:tc>
        <w:tc>
          <w:tcPr>
            <w:tcW w:w="21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50×50×6</w:t>
            </w:r>
          </w:p>
        </w:tc>
        <w:tc>
          <w:tcPr>
            <w:tcW w:w="21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ф10</w:t>
            </w:r>
          </w:p>
        </w:tc>
        <w:tc>
          <w:tcPr>
            <w:tcW w:w="21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3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1510—2000</w:t>
            </w:r>
          </w:p>
        </w:tc>
        <w:tc>
          <w:tcPr>
            <w:tcW w:w="21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50×50×6</w:t>
            </w:r>
          </w:p>
        </w:tc>
        <w:tc>
          <w:tcPr>
            <w:tcW w:w="21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ф10</w:t>
            </w:r>
          </w:p>
        </w:tc>
        <w:tc>
          <w:tcPr>
            <w:tcW w:w="21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3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2010—3000</w:t>
            </w:r>
          </w:p>
        </w:tc>
        <w:tc>
          <w:tcPr>
            <w:tcW w:w="21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60×60×7</w:t>
            </w:r>
          </w:p>
        </w:tc>
        <w:tc>
          <w:tcPr>
            <w:tcW w:w="21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ф10</w:t>
            </w:r>
          </w:p>
        </w:tc>
        <w:tc>
          <w:tcPr>
            <w:tcW w:w="21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w:t>
            </w:r>
          </w:p>
        </w:tc>
      </w:tr>
    </w:tbl>
    <w:p>
      <w:pPr>
        <w:adjustRightInd w:val="0"/>
        <w:spacing w:line="400" w:lineRule="exact"/>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( 2 ) PP材质风管安装以吊架为主，辅以托架，支、吊架制作参考金属风管支、吊架形式。风管与支吊架间应垫入厚3~5mm厚的塑料垫片，并用万能胶粘接牢固。</w:t>
      </w:r>
    </w:p>
    <w:p>
      <w:pPr>
        <w:adjustRightInd w:val="0"/>
        <w:spacing w:line="400" w:lineRule="exact"/>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( 3 ) 支吊架的抱箍与风管间应留有一定间隙，便于风管伸缩。</w:t>
      </w:r>
    </w:p>
    <w:p>
      <w:pPr>
        <w:adjustRightInd w:val="0"/>
        <w:spacing w:line="400" w:lineRule="exact"/>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( 4 ) PP材质塑料板，搬运风管要轻拿轻放，避免摔碰；堆放要放平，不得堆放过高。吊装时防止风管摆动，发生碰撞。</w:t>
      </w:r>
    </w:p>
    <w:p>
      <w:pPr>
        <w:adjustRightInd w:val="0"/>
        <w:spacing w:line="400" w:lineRule="exact"/>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( 5 )法兰连接时，法兰间垫3~6mm的软PP材质塑料板垫片做衬垫，螺栓处应加PP材质塑料板制成的垫圈，拧紧螺栓时应注意塑料的脆性，并应十字交叉均匀拧紧。</w:t>
      </w:r>
    </w:p>
    <w:p>
      <w:pPr>
        <w:adjustRightInd w:val="0"/>
        <w:spacing w:line="400" w:lineRule="exact"/>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( 6 )风管与辐射热较强的设备和管道保持一定距离，防止风管受热变形。</w:t>
      </w:r>
    </w:p>
    <w:p>
      <w:pPr>
        <w:adjustRightInd w:val="0"/>
        <w:spacing w:line="400" w:lineRule="exact"/>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( 7 )室外敷设的风管与风帽等，应刷白色油漆或铝粉漆，以防太阳照射。</w:t>
      </w:r>
    </w:p>
    <w:p>
      <w:pPr>
        <w:adjustRightInd w:val="0"/>
        <w:spacing w:line="400" w:lineRule="exact"/>
        <w:ind w:right="2" w:rightChars="1" w:hanging="1"/>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( 8 )管道上所有金属附件，应按设计刷防腐涂料。</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 ） 质量标准</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 xml:space="preserve">4.1 </w:t>
      </w:r>
      <w:r>
        <w:rPr>
          <w:rFonts w:hint="eastAsia" w:asciiTheme="minorEastAsia" w:hAnsiTheme="minorEastAsia" w:eastAsiaTheme="minorEastAsia" w:cstheme="minorEastAsia"/>
          <w:color w:val="auto"/>
          <w:sz w:val="21"/>
          <w:szCs w:val="21"/>
          <w:highlight w:val="none"/>
        </w:rPr>
        <w:t xml:space="preserve"> 主控项目</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4.1.1  风管的规格、尺寸必须符合设计要求。</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4.1.2  焊缝的坡口形式和焊接质量必须符合施工规范规定，焊缝无裂纹、焦黄、断裂等缺陷，纵向焊缝错开。</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4.1.3  板材厚度符合设计、规范规定。</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4.1.4  风管连接方法、法兰规格符合规范规定。</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 xml:space="preserve">4.2 </w:t>
      </w:r>
      <w:r>
        <w:rPr>
          <w:rFonts w:hint="eastAsia" w:asciiTheme="minorEastAsia" w:hAnsiTheme="minorEastAsia" w:eastAsiaTheme="minorEastAsia" w:cstheme="minorEastAsia"/>
          <w:color w:val="auto"/>
          <w:sz w:val="21"/>
          <w:szCs w:val="21"/>
          <w:highlight w:val="none"/>
        </w:rPr>
        <w:t xml:space="preserve"> 一般项目</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4.2.1  风管的外观质量应表面平整，凹凸不大于5mm，圆弧均匀，拼缝处无凹凸，两端平行，无扭曲和翘角，焊缝饱满，焊条排列整齐。</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4.2.2  风管加固应牢固可靠，整齐美观，风管与法兰连接处的三角支撑间距适宜，均匀对称。</w:t>
      </w:r>
    </w:p>
    <w:p>
      <w:pPr>
        <w:adjustRightInd w:val="0"/>
        <w:spacing w:line="400" w:lineRule="exact"/>
        <w:ind w:right="2" w:rightChars="1"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4.2.3  允许偏差</w:t>
      </w:r>
    </w:p>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表4.2.3                 风管制作允许偏差</w:t>
      </w:r>
    </w:p>
    <w:tbl>
      <w:tblPr>
        <w:tblStyle w:val="89"/>
        <w:tblW w:w="82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965"/>
        <w:gridCol w:w="2880"/>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5"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项次</w:t>
            </w:r>
          </w:p>
        </w:tc>
        <w:tc>
          <w:tcPr>
            <w:tcW w:w="4845" w:type="dxa"/>
            <w:gridSpan w:val="2"/>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          目</w:t>
            </w:r>
          </w:p>
        </w:tc>
        <w:tc>
          <w:tcPr>
            <w:tcW w:w="27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允许偏差（mm）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5" w:type="dxa"/>
            <w:vMerge w:val="restart"/>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1965" w:type="dxa"/>
            <w:vMerge w:val="restart"/>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圆形风管外径</w:t>
            </w:r>
          </w:p>
        </w:tc>
        <w:tc>
          <w:tcPr>
            <w:tcW w:w="288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φ≤630mm</w:t>
            </w:r>
          </w:p>
        </w:tc>
        <w:tc>
          <w:tcPr>
            <w:tcW w:w="27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735" w:type="dxa"/>
            <w:vMerge w:val="continue"/>
            <w:vAlign w:val="center"/>
          </w:tcPr>
          <w:p>
            <w:pPr>
              <w:adjustRightInd w:val="0"/>
              <w:spacing w:line="400" w:lineRule="exact"/>
              <w:ind w:right="2" w:rightChars="1" w:hanging="1"/>
              <w:jc w:val="left"/>
              <w:rPr>
                <w:rFonts w:hint="eastAsia" w:asciiTheme="minorEastAsia" w:hAnsiTheme="minorEastAsia" w:eastAsiaTheme="minorEastAsia" w:cstheme="minorEastAsia"/>
                <w:color w:val="auto"/>
                <w:sz w:val="21"/>
                <w:szCs w:val="21"/>
                <w:highlight w:val="none"/>
              </w:rPr>
            </w:pPr>
          </w:p>
        </w:tc>
        <w:tc>
          <w:tcPr>
            <w:tcW w:w="1965" w:type="dxa"/>
            <w:vMerge w:val="continue"/>
            <w:vAlign w:val="center"/>
          </w:tcPr>
          <w:p>
            <w:pPr>
              <w:adjustRightInd w:val="0"/>
              <w:spacing w:line="400" w:lineRule="exact"/>
              <w:ind w:right="2" w:rightChars="1" w:hanging="1"/>
              <w:jc w:val="left"/>
              <w:rPr>
                <w:rFonts w:hint="eastAsia" w:asciiTheme="minorEastAsia" w:hAnsiTheme="minorEastAsia" w:eastAsiaTheme="minorEastAsia" w:cstheme="minorEastAsia"/>
                <w:color w:val="auto"/>
                <w:sz w:val="21"/>
                <w:szCs w:val="21"/>
                <w:highlight w:val="none"/>
              </w:rPr>
            </w:pPr>
          </w:p>
        </w:tc>
        <w:tc>
          <w:tcPr>
            <w:tcW w:w="288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φ＞630mm</w:t>
            </w:r>
          </w:p>
        </w:tc>
        <w:tc>
          <w:tcPr>
            <w:tcW w:w="27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5" w:type="dxa"/>
            <w:vMerge w:val="restart"/>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1965" w:type="dxa"/>
            <w:vMerge w:val="restart"/>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矩形风管大边</w:t>
            </w:r>
          </w:p>
        </w:tc>
        <w:tc>
          <w:tcPr>
            <w:tcW w:w="288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＜630mm</w:t>
            </w:r>
          </w:p>
        </w:tc>
        <w:tc>
          <w:tcPr>
            <w:tcW w:w="27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35" w:type="dxa"/>
            <w:vMerge w:val="continue"/>
            <w:vAlign w:val="center"/>
          </w:tcPr>
          <w:p>
            <w:pPr>
              <w:adjustRightInd w:val="0"/>
              <w:spacing w:line="400" w:lineRule="exact"/>
              <w:ind w:right="2" w:rightChars="1" w:hanging="1"/>
              <w:jc w:val="left"/>
              <w:rPr>
                <w:rFonts w:hint="eastAsia" w:asciiTheme="minorEastAsia" w:hAnsiTheme="minorEastAsia" w:eastAsiaTheme="minorEastAsia" w:cstheme="minorEastAsia"/>
                <w:color w:val="auto"/>
                <w:sz w:val="21"/>
                <w:szCs w:val="21"/>
                <w:highlight w:val="none"/>
              </w:rPr>
            </w:pPr>
          </w:p>
        </w:tc>
        <w:tc>
          <w:tcPr>
            <w:tcW w:w="1965" w:type="dxa"/>
            <w:vMerge w:val="continue"/>
            <w:vAlign w:val="center"/>
          </w:tcPr>
          <w:p>
            <w:pPr>
              <w:adjustRightInd w:val="0"/>
              <w:spacing w:line="400" w:lineRule="exact"/>
              <w:ind w:right="2" w:rightChars="1" w:hanging="1"/>
              <w:jc w:val="left"/>
              <w:rPr>
                <w:rFonts w:hint="eastAsia" w:asciiTheme="minorEastAsia" w:hAnsiTheme="minorEastAsia" w:eastAsiaTheme="minorEastAsia" w:cstheme="minorEastAsia"/>
                <w:color w:val="auto"/>
                <w:sz w:val="21"/>
                <w:szCs w:val="21"/>
                <w:highlight w:val="none"/>
              </w:rPr>
            </w:pPr>
          </w:p>
        </w:tc>
        <w:tc>
          <w:tcPr>
            <w:tcW w:w="288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≥630mm</w:t>
            </w:r>
          </w:p>
        </w:tc>
        <w:tc>
          <w:tcPr>
            <w:tcW w:w="2700" w:type="dxa"/>
            <w:vAlign w:val="center"/>
          </w:tcPr>
          <w:p>
            <w:pPr>
              <w:adjustRightInd w:val="0"/>
              <w:spacing w:line="400" w:lineRule="exact"/>
              <w:ind w:right="2" w:rightChars="1" w:hanging="1"/>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0-2</w:t>
            </w:r>
          </w:p>
        </w:tc>
      </w:tr>
    </w:tbl>
    <w:p>
      <w:pPr>
        <w:adjustRightInd w:val="0"/>
        <w:spacing w:line="400" w:lineRule="exact"/>
        <w:ind w:right="2" w:rightChars="1"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 ） 成品保护</w:t>
      </w:r>
    </w:p>
    <w:p>
      <w:pPr>
        <w:adjustRightInd w:val="0"/>
        <w:spacing w:line="400" w:lineRule="exact"/>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5.1</w:t>
      </w:r>
      <w:r>
        <w:rPr>
          <w:rFonts w:hint="eastAsia" w:asciiTheme="minorEastAsia" w:hAnsiTheme="minorEastAsia" w:eastAsiaTheme="minorEastAsia" w:cstheme="minorEastAsia"/>
          <w:color w:val="auto"/>
          <w:sz w:val="21"/>
          <w:szCs w:val="21"/>
          <w:highlight w:val="none"/>
        </w:rPr>
        <w:t>要保持PP材质塑料板表面光滑洁净，划线放样要用红铅笔，不应用划针。</w:t>
      </w:r>
    </w:p>
    <w:p>
      <w:pPr>
        <w:adjustRightInd w:val="0"/>
        <w:spacing w:line="400" w:lineRule="exact"/>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5.2</w:t>
      </w:r>
      <w:r>
        <w:rPr>
          <w:rFonts w:hint="eastAsia" w:asciiTheme="minorEastAsia" w:hAnsiTheme="minorEastAsia" w:eastAsiaTheme="minorEastAsia" w:cstheme="minorEastAsia"/>
          <w:color w:val="auto"/>
          <w:sz w:val="21"/>
          <w:szCs w:val="21"/>
          <w:highlight w:val="none"/>
        </w:rPr>
        <w:t>塑料风管及部件成品</w:t>
      </w:r>
      <w:r>
        <w:rPr>
          <w:rFonts w:hint="eastAsia" w:asciiTheme="minorEastAsia" w:hAnsiTheme="minorEastAsia" w:eastAsiaTheme="minorEastAsia" w:cstheme="minorEastAsia"/>
          <w:color w:val="auto"/>
          <w:kern w:val="0"/>
          <w:sz w:val="21"/>
          <w:szCs w:val="21"/>
          <w:highlight w:val="none"/>
          <w:lang w:val="zh-CN"/>
        </w:rPr>
        <w:t>应码放在平整，无积水，宽敞的场地，不与其它材料，设备等混放在一起，并有防雨、雪措施。码放时应按系统编号，整齐、合理，便于装运。</w:t>
      </w:r>
    </w:p>
    <w:p>
      <w:pPr>
        <w:adjustRightInd w:val="0"/>
        <w:spacing w:line="400" w:lineRule="exact"/>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5.3</w:t>
      </w:r>
      <w:r>
        <w:rPr>
          <w:rFonts w:hint="eastAsia" w:asciiTheme="minorEastAsia" w:hAnsiTheme="minorEastAsia" w:eastAsiaTheme="minorEastAsia" w:cstheme="minorEastAsia"/>
          <w:color w:val="auto"/>
          <w:sz w:val="21"/>
          <w:szCs w:val="21"/>
          <w:highlight w:val="none"/>
        </w:rPr>
        <w:t>装卸、搬运风管时应轻拿轻放，防止损坏风管及部件成品。</w:t>
      </w:r>
    </w:p>
    <w:p>
      <w:pPr>
        <w:adjustRightInd w:val="0"/>
        <w:spacing w:line="400" w:lineRule="exact"/>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5.4</w:t>
      </w:r>
      <w:r>
        <w:rPr>
          <w:rFonts w:hint="eastAsia" w:asciiTheme="minorEastAsia" w:hAnsiTheme="minorEastAsia" w:eastAsiaTheme="minorEastAsia" w:cstheme="minorEastAsia"/>
          <w:color w:val="auto"/>
          <w:sz w:val="21"/>
          <w:szCs w:val="21"/>
          <w:highlight w:val="none"/>
        </w:rPr>
        <w:t>风管安装过程中应轻拿轻放，不得用力操作，不得用坚硬物品划、撞风管，安装完毕应采取一定的措施避免工种间交叉作业而带来损伤和污染。</w:t>
      </w:r>
    </w:p>
    <w:p>
      <w:pPr>
        <w:adjustRightInd w:val="0"/>
        <w:spacing w:line="400" w:lineRule="exact"/>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5.5</w:t>
      </w:r>
      <w:r>
        <w:rPr>
          <w:rFonts w:hint="eastAsia" w:asciiTheme="minorEastAsia" w:hAnsiTheme="minorEastAsia" w:eastAsiaTheme="minorEastAsia" w:cstheme="minorEastAsia"/>
          <w:color w:val="auto"/>
          <w:sz w:val="21"/>
          <w:szCs w:val="21"/>
          <w:highlight w:val="none"/>
        </w:rPr>
        <w:t>安装好的风管以及安装告一段落的，应及时对各个敞口部位进行封闭，以防杂物、水等</w:t>
      </w:r>
      <w:r>
        <w:rPr>
          <w:rFonts w:hint="eastAsia" w:asciiTheme="minorEastAsia" w:hAnsiTheme="minorEastAsia" w:eastAsiaTheme="minorEastAsia" w:cstheme="minorEastAsia"/>
          <w:color w:val="auto"/>
          <w:sz w:val="21"/>
          <w:szCs w:val="21"/>
          <w:highlight w:val="none"/>
        </w:rPr>
        <w:drawing>
          <wp:anchor distT="0" distB="0" distL="114300" distR="114300" simplePos="0" relativeHeight="251663360" behindDoc="1" locked="1" layoutInCell="1" allowOverlap="1">
            <wp:simplePos x="0" y="0"/>
            <wp:positionH relativeFrom="column">
              <wp:posOffset>4762500</wp:posOffset>
            </wp:positionH>
            <wp:positionV relativeFrom="paragraph">
              <wp:posOffset>8966200</wp:posOffset>
            </wp:positionV>
            <wp:extent cx="1447800" cy="203200"/>
            <wp:effectExtent l="0" t="0" r="0" b="6350"/>
            <wp:wrapNone/>
            <wp:docPr id="426" name="图片 1523" descr="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 name="图片 1523" descr="108"/>
                    <pic:cNvPicPr>
                      <a:picLocks noChangeAspect="1" noChangeArrowheads="1"/>
                    </pic:cNvPicPr>
                  </pic:nvPicPr>
                  <pic:blipFill>
                    <a:blip r:embed="rId25"/>
                    <a:srcRect/>
                    <a:stretch>
                      <a:fillRect/>
                    </a:stretch>
                  </pic:blipFill>
                  <pic:spPr>
                    <a:xfrm>
                      <a:off x="0" y="0"/>
                      <a:ext cx="1447800" cy="203200"/>
                    </a:xfrm>
                    <a:prstGeom prst="rect">
                      <a:avLst/>
                    </a:prstGeom>
                    <a:noFill/>
                    <a:ln w="9525">
                      <a:noFill/>
                      <a:miter lim="800000"/>
                      <a:headEnd/>
                      <a:tailEnd/>
                    </a:ln>
                  </pic:spPr>
                </pic:pic>
              </a:graphicData>
            </a:graphic>
          </wp:anchor>
        </w:drawing>
      </w:r>
      <w:r>
        <w:rPr>
          <w:rFonts w:hint="eastAsia" w:asciiTheme="minorEastAsia" w:hAnsiTheme="minorEastAsia" w:eastAsiaTheme="minorEastAsia" w:cstheme="minorEastAsia"/>
          <w:color w:val="auto"/>
          <w:sz w:val="21"/>
          <w:szCs w:val="21"/>
          <w:highlight w:val="none"/>
        </w:rPr>
        <w:t>对进入风管内部，影响整个系统。</w:t>
      </w:r>
    </w:p>
    <w:p>
      <w:pPr>
        <w:adjustRightInd w:val="0"/>
        <w:spacing w:line="400" w:lineRule="exact"/>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  应注意的问题</w:t>
      </w:r>
    </w:p>
    <w:p>
      <w:pPr>
        <w:adjustRightInd w:val="0"/>
        <w:spacing w:line="400" w:lineRule="exact"/>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6.1</w:t>
      </w:r>
      <w:r>
        <w:rPr>
          <w:rFonts w:hint="eastAsia" w:asciiTheme="minorEastAsia" w:hAnsiTheme="minorEastAsia" w:eastAsiaTheme="minorEastAsia" w:cstheme="minorEastAsia"/>
          <w:color w:val="auto"/>
          <w:sz w:val="21"/>
          <w:szCs w:val="21"/>
          <w:highlight w:val="none"/>
        </w:rPr>
        <w:t xml:space="preserve">  由于下料时不注意留收缩余量，造成管径不合适。</w:t>
      </w:r>
    </w:p>
    <w:p>
      <w:pPr>
        <w:adjustRightInd w:val="0"/>
        <w:spacing w:line="400" w:lineRule="exact"/>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防治措施：由于收缩量随加热时间而变化，所以每批板材下料前先做试验，定出收缩量。</w:t>
      </w:r>
    </w:p>
    <w:p>
      <w:pPr>
        <w:adjustRightInd w:val="0"/>
        <w:spacing w:line="400" w:lineRule="exact"/>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 xml:space="preserve">6.2 </w:t>
      </w:r>
      <w:r>
        <w:rPr>
          <w:rFonts w:hint="eastAsia" w:asciiTheme="minorEastAsia" w:hAnsiTheme="minorEastAsia" w:eastAsiaTheme="minorEastAsia" w:cstheme="minorEastAsia"/>
          <w:color w:val="auto"/>
          <w:sz w:val="21"/>
          <w:szCs w:val="21"/>
          <w:highlight w:val="none"/>
        </w:rPr>
        <w:t xml:space="preserve"> 风管纵缝在同一条线上。</w:t>
      </w:r>
    </w:p>
    <w:p>
      <w:pPr>
        <w:adjustRightInd w:val="0"/>
        <w:spacing w:line="400" w:lineRule="exact"/>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防治措施：下料或焊接时，应将相邻纵缝交错。</w:t>
      </w:r>
    </w:p>
    <w:p>
      <w:pPr>
        <w:numPr>
          <w:ilvl w:val="1"/>
          <w:numId w:val="9"/>
        </w:numPr>
        <w:tabs>
          <w:tab w:val="left" w:pos="614"/>
          <w:tab w:val="left" w:pos="709"/>
          <w:tab w:val="clear" w:pos="1425"/>
        </w:tabs>
        <w:adjustRightInd w:val="0"/>
        <w:spacing w:line="400" w:lineRule="exact"/>
        <w:ind w:left="614" w:right="2" w:rightChars="1" w:hanging="29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焊缝开裂，焊条与焊缝未粘接牢。</w:t>
      </w:r>
    </w:p>
    <w:p>
      <w:pPr>
        <w:numPr>
          <w:ilvl w:val="1"/>
          <w:numId w:val="9"/>
        </w:numPr>
        <w:tabs>
          <w:tab w:val="left" w:pos="614"/>
          <w:tab w:val="left" w:pos="709"/>
          <w:tab w:val="clear" w:pos="1425"/>
        </w:tabs>
        <w:adjustRightInd w:val="0"/>
        <w:spacing w:line="400" w:lineRule="exact"/>
        <w:ind w:left="614" w:right="2" w:rightChars="1" w:hanging="29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防治措施：正确选用焊缝形式；控制好压缩空气温度；掌握好焊枪嘴的角度。</w:t>
      </w:r>
    </w:p>
    <w:p>
      <w:pPr>
        <w:adjustRightInd w:val="0"/>
        <w:spacing w:line="400" w:lineRule="exact"/>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6.5</w:t>
      </w:r>
      <w:r>
        <w:rPr>
          <w:rFonts w:hint="eastAsia" w:asciiTheme="minorEastAsia" w:hAnsiTheme="minorEastAsia" w:eastAsiaTheme="minorEastAsia" w:cstheme="minorEastAsia"/>
          <w:color w:val="auto"/>
          <w:sz w:val="21"/>
          <w:szCs w:val="21"/>
          <w:highlight w:val="none"/>
        </w:rPr>
        <w:t xml:space="preserve">  焊缝不平，外观差。</w:t>
      </w:r>
    </w:p>
    <w:p>
      <w:pPr>
        <w:adjustRightInd w:val="0"/>
        <w:spacing w:line="400" w:lineRule="exact"/>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防治措施：焊条断处接头要修成坡面；焊缝要自然冷却。</w:t>
      </w:r>
    </w:p>
    <w:p>
      <w:pPr>
        <w:adjustRightInd w:val="0"/>
        <w:spacing w:line="400" w:lineRule="exact"/>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color w:val="auto"/>
          <w:sz w:val="21"/>
          <w:szCs w:val="21"/>
          <w:highlight w:val="none"/>
        </w:rPr>
        <w:t xml:space="preserve">6.6 </w:t>
      </w:r>
      <w:r>
        <w:rPr>
          <w:rFonts w:hint="eastAsia" w:asciiTheme="minorEastAsia" w:hAnsiTheme="minorEastAsia" w:eastAsiaTheme="minorEastAsia" w:cstheme="minorEastAsia"/>
          <w:color w:val="auto"/>
          <w:sz w:val="21"/>
          <w:szCs w:val="21"/>
          <w:highlight w:val="none"/>
        </w:rPr>
        <w:t xml:space="preserve"> 使用圆盘锯操作前应进行检查，锯片不得有裂口，螺丝应上紧，操作时应戴防护眼镜，站在锯片一侧，禁止站在与锯片同一直</w:t>
      </w:r>
    </w:p>
    <w:p>
      <w:pPr>
        <w:adjustRightInd w:val="0"/>
        <w:spacing w:line="400" w:lineRule="exact"/>
        <w:ind w:right="2" w:rightChars="1" w:firstLine="315"/>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线上，手臂不得跨越锯片。</w:t>
      </w:r>
    </w:p>
    <w:p>
      <w:pPr>
        <w:adjustRightInd w:val="0"/>
        <w:spacing w:line="400" w:lineRule="exact"/>
        <w:ind w:right="2" w:rightChars="1" w:firstLine="315"/>
        <w:rPr>
          <w:rFonts w:hint="eastAsia" w:asciiTheme="minorEastAsia" w:hAnsiTheme="minorEastAsia" w:eastAsiaTheme="minorEastAsia" w:cstheme="minorEastAsia"/>
          <w:bCs/>
          <w:color w:val="auto"/>
          <w:kern w:val="0"/>
          <w:sz w:val="21"/>
          <w:szCs w:val="21"/>
          <w:highlight w:val="none"/>
          <w:lang w:val="zh-CN"/>
        </w:rPr>
      </w:pPr>
      <w:r>
        <w:rPr>
          <w:rFonts w:hint="eastAsia" w:asciiTheme="minorEastAsia" w:hAnsiTheme="minorEastAsia" w:eastAsiaTheme="minorEastAsia" w:cstheme="minorEastAsia"/>
          <w:b/>
          <w:color w:val="auto"/>
          <w:sz w:val="21"/>
          <w:szCs w:val="21"/>
          <w:highlight w:val="none"/>
        </w:rPr>
        <w:t xml:space="preserve">6.7 </w:t>
      </w:r>
      <w:r>
        <w:rPr>
          <w:rFonts w:hint="eastAsia" w:asciiTheme="minorEastAsia" w:hAnsiTheme="minorEastAsia" w:eastAsiaTheme="minorEastAsia" w:cstheme="minorEastAsia"/>
          <w:color w:val="auto"/>
          <w:sz w:val="21"/>
          <w:szCs w:val="21"/>
          <w:highlight w:val="none"/>
        </w:rPr>
        <w:t xml:space="preserve"> 进料必须紧贴固定装置，不得用力过猛，接料要待料出锯片150mm，不得硬拉；遇短窄料应用推棍，接料用刨钩；超越锯片有效半径的料禁止上锯。</w:t>
      </w:r>
    </w:p>
    <w:p>
      <w:pPr>
        <w:autoSpaceDE w:val="0"/>
        <w:autoSpaceDN w:val="0"/>
        <w:adjustRightInd w:val="0"/>
        <w:spacing w:line="400" w:lineRule="exact"/>
        <w:ind w:firstLine="315"/>
        <w:jc w:val="left"/>
        <w:rPr>
          <w:rFonts w:hint="eastAsia" w:asciiTheme="minorEastAsia" w:hAnsiTheme="minorEastAsia" w:eastAsiaTheme="minorEastAsia" w:cstheme="minorEastAsia"/>
          <w:bCs/>
          <w:color w:val="auto"/>
          <w:kern w:val="0"/>
          <w:sz w:val="21"/>
          <w:szCs w:val="21"/>
          <w:highlight w:val="none"/>
          <w:lang w:val="zh-CN"/>
        </w:rPr>
      </w:pPr>
      <w:r>
        <w:rPr>
          <w:rFonts w:hint="eastAsia" w:asciiTheme="minorEastAsia" w:hAnsiTheme="minorEastAsia" w:eastAsiaTheme="minorEastAsia" w:cstheme="minorEastAsia"/>
          <w:bCs/>
          <w:color w:val="auto"/>
          <w:kern w:val="0"/>
          <w:sz w:val="21"/>
          <w:szCs w:val="21"/>
          <w:highlight w:val="none"/>
          <w:lang w:val="zh-CN"/>
        </w:rPr>
        <w:t>7  应具备的质量记录</w:t>
      </w:r>
    </w:p>
    <w:p>
      <w:pPr>
        <w:autoSpaceDE w:val="0"/>
        <w:autoSpaceDN w:val="0"/>
        <w:adjustRightInd w:val="0"/>
        <w:spacing w:line="400" w:lineRule="exact"/>
        <w:ind w:firstLine="315"/>
        <w:jc w:val="left"/>
        <w:rPr>
          <w:rFonts w:hint="eastAsia" w:asciiTheme="minorEastAsia" w:hAnsiTheme="minorEastAsia" w:eastAsiaTheme="minorEastAsia" w:cstheme="minorEastAsia"/>
          <w:color w:val="auto"/>
          <w:kern w:val="0"/>
          <w:sz w:val="21"/>
          <w:szCs w:val="21"/>
          <w:highlight w:val="none"/>
          <w:lang w:val="zh-CN"/>
        </w:rPr>
      </w:pPr>
      <w:r>
        <w:rPr>
          <w:rFonts w:hint="eastAsia" w:asciiTheme="minorEastAsia" w:hAnsiTheme="minorEastAsia" w:eastAsiaTheme="minorEastAsia" w:cstheme="minorEastAsia"/>
          <w:b/>
          <w:color w:val="auto"/>
          <w:kern w:val="0"/>
          <w:sz w:val="21"/>
          <w:szCs w:val="21"/>
          <w:highlight w:val="none"/>
          <w:lang w:val="zh-CN"/>
        </w:rPr>
        <w:t>7.1</w:t>
      </w:r>
      <w:r>
        <w:rPr>
          <w:rFonts w:hint="eastAsia" w:asciiTheme="minorEastAsia" w:hAnsiTheme="minorEastAsia" w:eastAsiaTheme="minorEastAsia" w:cstheme="minorEastAsia"/>
          <w:color w:val="auto"/>
          <w:kern w:val="0"/>
          <w:sz w:val="21"/>
          <w:szCs w:val="21"/>
          <w:highlight w:val="none"/>
          <w:lang w:val="zh-CN"/>
        </w:rPr>
        <w:t xml:space="preserve">  材料、成品、半成品、配件的中文质量合格证明文件及进场验收记录，设备开箱检查记录。</w:t>
      </w:r>
    </w:p>
    <w:p>
      <w:pPr>
        <w:autoSpaceDE w:val="0"/>
        <w:autoSpaceDN w:val="0"/>
        <w:adjustRightInd w:val="0"/>
        <w:spacing w:line="400" w:lineRule="exact"/>
        <w:ind w:firstLine="315"/>
        <w:jc w:val="left"/>
        <w:rPr>
          <w:rFonts w:hint="eastAsia" w:asciiTheme="minorEastAsia" w:hAnsiTheme="minorEastAsia" w:eastAsiaTheme="minorEastAsia" w:cstheme="minorEastAsia"/>
          <w:color w:val="auto"/>
          <w:kern w:val="0"/>
          <w:sz w:val="21"/>
          <w:szCs w:val="21"/>
          <w:highlight w:val="none"/>
          <w:lang w:val="zh-CN"/>
        </w:rPr>
      </w:pPr>
      <w:r>
        <w:rPr>
          <w:rFonts w:hint="eastAsia" w:asciiTheme="minorEastAsia" w:hAnsiTheme="minorEastAsia" w:eastAsiaTheme="minorEastAsia" w:cstheme="minorEastAsia"/>
          <w:b/>
          <w:color w:val="auto"/>
          <w:kern w:val="0"/>
          <w:sz w:val="21"/>
          <w:szCs w:val="21"/>
          <w:highlight w:val="none"/>
          <w:lang w:val="zh-CN"/>
        </w:rPr>
        <w:t>7.2</w:t>
      </w:r>
      <w:r>
        <w:rPr>
          <w:rFonts w:hint="eastAsia" w:asciiTheme="minorEastAsia" w:hAnsiTheme="minorEastAsia" w:eastAsiaTheme="minorEastAsia" w:cstheme="minorEastAsia"/>
          <w:color w:val="auto"/>
          <w:kern w:val="0"/>
          <w:sz w:val="21"/>
          <w:szCs w:val="21"/>
          <w:highlight w:val="none"/>
          <w:lang w:val="zh-CN"/>
        </w:rPr>
        <w:t>自检、互检记录。</w:t>
      </w:r>
    </w:p>
    <w:p>
      <w:pPr>
        <w:autoSpaceDE w:val="0"/>
        <w:autoSpaceDN w:val="0"/>
        <w:adjustRightInd w:val="0"/>
        <w:spacing w:line="400" w:lineRule="exact"/>
        <w:ind w:firstLine="315"/>
        <w:jc w:val="left"/>
        <w:rPr>
          <w:rFonts w:hint="eastAsia" w:asciiTheme="minorEastAsia" w:hAnsiTheme="minorEastAsia" w:eastAsiaTheme="minorEastAsia" w:cstheme="minorEastAsia"/>
          <w:color w:val="auto"/>
          <w:kern w:val="0"/>
          <w:sz w:val="21"/>
          <w:szCs w:val="21"/>
          <w:highlight w:val="none"/>
          <w:lang w:val="zh-CN"/>
        </w:rPr>
      </w:pPr>
      <w:r>
        <w:rPr>
          <w:rFonts w:hint="eastAsia" w:asciiTheme="minorEastAsia" w:hAnsiTheme="minorEastAsia" w:eastAsiaTheme="minorEastAsia" w:cstheme="minorEastAsia"/>
          <w:b/>
          <w:color w:val="auto"/>
          <w:kern w:val="0"/>
          <w:sz w:val="21"/>
          <w:szCs w:val="21"/>
          <w:highlight w:val="none"/>
          <w:lang w:val="zh-CN"/>
        </w:rPr>
        <w:t>7.3</w:t>
      </w:r>
      <w:r>
        <w:rPr>
          <w:rFonts w:hint="eastAsia" w:asciiTheme="minorEastAsia" w:hAnsiTheme="minorEastAsia" w:eastAsiaTheme="minorEastAsia" w:cstheme="minorEastAsia"/>
          <w:color w:val="auto"/>
          <w:kern w:val="0"/>
          <w:sz w:val="21"/>
          <w:szCs w:val="21"/>
          <w:highlight w:val="none"/>
          <w:lang w:val="zh-CN"/>
        </w:rPr>
        <w:t>中间验收记录。</w:t>
      </w:r>
    </w:p>
    <w:p>
      <w:pPr>
        <w:autoSpaceDE w:val="0"/>
        <w:autoSpaceDN w:val="0"/>
        <w:adjustRightInd w:val="0"/>
        <w:spacing w:line="400" w:lineRule="exact"/>
        <w:ind w:firstLine="315"/>
        <w:jc w:val="left"/>
        <w:rPr>
          <w:rFonts w:hint="eastAsia" w:asciiTheme="minorEastAsia" w:hAnsiTheme="minorEastAsia" w:eastAsiaTheme="minorEastAsia" w:cstheme="minorEastAsia"/>
          <w:color w:val="auto"/>
          <w:kern w:val="0"/>
          <w:sz w:val="21"/>
          <w:szCs w:val="21"/>
          <w:highlight w:val="none"/>
          <w:lang w:val="zh-CN"/>
        </w:rPr>
      </w:pPr>
      <w:r>
        <w:rPr>
          <w:rFonts w:hint="eastAsia" w:asciiTheme="minorEastAsia" w:hAnsiTheme="minorEastAsia" w:eastAsiaTheme="minorEastAsia" w:cstheme="minorEastAsia"/>
          <w:b/>
          <w:color w:val="auto"/>
          <w:kern w:val="0"/>
          <w:sz w:val="21"/>
          <w:szCs w:val="21"/>
          <w:highlight w:val="none"/>
          <w:lang w:val="zh-CN"/>
        </w:rPr>
        <w:t>7.4</w:t>
      </w:r>
      <w:r>
        <w:rPr>
          <w:rFonts w:hint="eastAsia" w:asciiTheme="minorEastAsia" w:hAnsiTheme="minorEastAsia" w:eastAsiaTheme="minorEastAsia" w:cstheme="minorEastAsia"/>
          <w:color w:val="auto"/>
          <w:kern w:val="0"/>
          <w:sz w:val="21"/>
          <w:szCs w:val="21"/>
          <w:highlight w:val="none"/>
          <w:lang w:val="zh-CN"/>
        </w:rPr>
        <w:t>非金属</w:t>
      </w:r>
      <w:r>
        <w:rPr>
          <w:rFonts w:hint="eastAsia" w:asciiTheme="minorEastAsia" w:hAnsiTheme="minorEastAsia" w:eastAsiaTheme="minorEastAsia" w:cstheme="minorEastAsia"/>
          <w:color w:val="auto"/>
          <w:sz w:val="21"/>
          <w:szCs w:val="21"/>
          <w:highlight w:val="none"/>
        </w:rPr>
        <w:t>风管及部件</w:t>
      </w:r>
      <w:r>
        <w:rPr>
          <w:rFonts w:hint="eastAsia" w:asciiTheme="minorEastAsia" w:hAnsiTheme="minorEastAsia" w:eastAsiaTheme="minorEastAsia" w:cstheme="minorEastAsia"/>
          <w:color w:val="auto"/>
          <w:kern w:val="0"/>
          <w:sz w:val="21"/>
          <w:szCs w:val="21"/>
          <w:highlight w:val="none"/>
          <w:lang w:val="zh-CN"/>
        </w:rPr>
        <w:t>安装预检记录、隐蔽工程检查记录。</w:t>
      </w:r>
    </w:p>
    <w:p>
      <w:pPr>
        <w:numPr>
          <w:ilvl w:val="1"/>
          <w:numId w:val="10"/>
        </w:numPr>
        <w:autoSpaceDE w:val="0"/>
        <w:autoSpaceDN w:val="0"/>
        <w:adjustRightInd w:val="0"/>
        <w:spacing w:line="400" w:lineRule="exact"/>
        <w:rPr>
          <w:rFonts w:hint="eastAsia" w:asciiTheme="minorEastAsia" w:hAnsiTheme="minorEastAsia" w:eastAsiaTheme="minorEastAsia" w:cstheme="minorEastAsia"/>
          <w:color w:val="auto"/>
          <w:kern w:val="0"/>
          <w:sz w:val="21"/>
          <w:szCs w:val="21"/>
          <w:highlight w:val="none"/>
          <w:lang w:val="zh-CN"/>
        </w:rPr>
      </w:pPr>
      <w:r>
        <w:rPr>
          <w:rFonts w:hint="eastAsia" w:asciiTheme="minorEastAsia" w:hAnsiTheme="minorEastAsia" w:eastAsiaTheme="minorEastAsia" w:cstheme="minorEastAsia"/>
          <w:color w:val="auto"/>
          <w:kern w:val="0"/>
          <w:sz w:val="21"/>
          <w:szCs w:val="21"/>
          <w:highlight w:val="none"/>
          <w:lang w:val="zh-CN"/>
        </w:rPr>
        <w:t>批质量验收记录、分项工程质量验收记录。</w:t>
      </w:r>
    </w:p>
    <w:p>
      <w:pPr>
        <w:tabs>
          <w:tab w:val="left" w:pos="690"/>
        </w:tabs>
        <w:spacing w:line="400" w:lineRule="exac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（6）主要材料设备要求</w:t>
      </w:r>
    </w:p>
    <w:p>
      <w:pPr>
        <w:spacing w:line="400" w:lineRule="exact"/>
        <w:ind w:left="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zh-CN"/>
        </w:rPr>
        <w:t>▲6.</w:t>
      </w:r>
      <w:r>
        <w:rPr>
          <w:rFonts w:hint="eastAsia" w:asciiTheme="minorEastAsia" w:hAnsiTheme="minorEastAsia" w:eastAsiaTheme="minorEastAsia" w:cstheme="minorEastAsia"/>
          <w:color w:val="auto"/>
          <w:sz w:val="21"/>
          <w:szCs w:val="21"/>
          <w:highlight w:val="none"/>
        </w:rPr>
        <w:t>1.风管：采用PP材质塑料管材，风管具有防腐等性能，且内壁光滑，外形美观，支、吊架圆管采用A3钢抱箍风管，方管采用经防锈处理的吊杆紧固角钢来支撑风管；圆管厚度≥4mm, 方管厚度≥5mm。</w:t>
      </w:r>
    </w:p>
    <w:p>
      <w:pPr>
        <w:spacing w:line="400" w:lineRule="exact"/>
        <w:ind w:left="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6.2．防火阀：所有风管穿竖井时，均安装钢制防火阀，平时常开，当火灾报警动作后，风管内的温度升到至70℃时，防火阀易熔片熔断，防火阀关闭，防止火灾蔓延。</w:t>
      </w:r>
    </w:p>
    <w:p>
      <w:pPr>
        <w:spacing w:line="400" w:lineRule="exact"/>
        <w:ind w:left="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电子调节阀：电子调节阀为防腐PP材质标准模具制作，采用数显可调角度的电动风阀，阀体采用防腐PVC管制作并且有记忆功能（即可以记住此次调节的角度，下次打开时仍然调到设计的角度）,可调节每个排风末端的压阻平衡。</w:t>
      </w:r>
    </w:p>
    <w:p>
      <w:pPr>
        <w:spacing w:line="400" w:lineRule="exact"/>
        <w:ind w:left="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▲6.4.防腐离心风机：采用防腐玻璃钢材质蜗壳离心风机。风机选型与技术参数：F4-72- 7A,N=7.5Kw,Q= 11300-19400m3/h ,P= 1570-1045Pa,r= 1450r/m；</w:t>
      </w:r>
    </w:p>
    <w:p>
      <w:pPr>
        <w:spacing w:line="400" w:lineRule="exact"/>
        <w:ind w:left="420" w:leftChars="200"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产品特性：</w:t>
      </w:r>
    </w:p>
    <w:p>
      <w:pPr>
        <w:spacing w:line="400" w:lineRule="exact"/>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①适用一定浓度的腐蚀性气体技；</w:t>
      </w:r>
    </w:p>
    <w:p>
      <w:pPr>
        <w:spacing w:line="400" w:lineRule="exact"/>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②耐温、防腐、防爆；</w:t>
      </w:r>
    </w:p>
    <w:p>
      <w:pPr>
        <w:spacing w:line="400" w:lineRule="exact"/>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③风机型号具体根据风量，风压选型，详见清单；</w:t>
      </w:r>
    </w:p>
    <w:p>
      <w:pPr>
        <w:spacing w:line="400" w:lineRule="exact"/>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④为了消除风机运行过程中产生的震动须在楼板设风机固定座及橡胶减震片；</w:t>
      </w:r>
    </w:p>
    <w:p>
      <w:pPr>
        <w:spacing w:line="400" w:lineRule="exact"/>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⑤风机出口应设有防雨帽和防昆虫及啮齿动物的网。</w:t>
      </w:r>
    </w:p>
    <w:p>
      <w:pPr>
        <w:spacing w:line="400" w:lineRule="exact"/>
        <w:ind w:left="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6.5．消声器</w:t>
      </w:r>
    </w:p>
    <w:p>
      <w:pPr>
        <w:spacing w:line="400" w:lineRule="exact"/>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①阻抗复合性消声器；</w:t>
      </w:r>
    </w:p>
    <w:p>
      <w:pPr>
        <w:spacing w:line="400" w:lineRule="exact"/>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②外壳采用有机玻璃钢制作，内衬消音纤维片。</w:t>
      </w:r>
    </w:p>
    <w:p>
      <w:pPr>
        <w:spacing w:line="400" w:lineRule="exact"/>
        <w:ind w:left="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zh-CN"/>
        </w:rPr>
        <w:t>▲6.</w:t>
      </w:r>
      <w:r>
        <w:rPr>
          <w:rFonts w:hint="eastAsia" w:asciiTheme="minorEastAsia" w:hAnsiTheme="minorEastAsia" w:eastAsiaTheme="minorEastAsia" w:cstheme="minorEastAsia"/>
          <w:color w:val="auto"/>
          <w:sz w:val="21"/>
          <w:szCs w:val="21"/>
          <w:highlight w:val="none"/>
        </w:rPr>
        <w:t>6.变频器:采用中外合资品牌，性能要求稳定</w:t>
      </w:r>
    </w:p>
    <w:p>
      <w:pPr>
        <w:spacing w:line="400" w:lineRule="exact"/>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①风机水泵应用；</w:t>
      </w:r>
    </w:p>
    <w:p>
      <w:pPr>
        <w:spacing w:line="400" w:lineRule="exact"/>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②循环软起；</w:t>
      </w:r>
    </w:p>
    <w:p>
      <w:pPr>
        <w:spacing w:line="400" w:lineRule="exact"/>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③用户自定义U/F曲线；</w:t>
      </w:r>
    </w:p>
    <w:p>
      <w:pPr>
        <w:spacing w:line="400" w:lineRule="exact"/>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④内置RFI滤波器作为标准配置，适用于第一和第二环境；</w:t>
      </w:r>
    </w:p>
    <w:p>
      <w:pPr>
        <w:spacing w:line="400" w:lineRule="exact"/>
        <w:ind w:left="420" w:firstLine="42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⑤CE认证。</w:t>
      </w:r>
    </w:p>
    <w:p>
      <w:pPr>
        <w:tabs>
          <w:tab w:val="left" w:pos="690"/>
        </w:tabs>
        <w:spacing w:line="400" w:lineRule="exac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（7）废气处理</w:t>
      </w:r>
    </w:p>
    <w:p>
      <w:pPr>
        <w:spacing w:line="400" w:lineRule="exact"/>
        <w:ind w:left="420" w:leftChars="200"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鉴于大楼实验室在运行使用过程中所产生的废气成分复杂，有机无机废气成分均有，所以本次废气环保处理的主要措施是采用活性碳吸附器分别对不同种类废气进行相应处理。</w:t>
      </w:r>
    </w:p>
    <w:p>
      <w:pPr>
        <w:spacing w:line="400" w:lineRule="exact"/>
        <w:ind w:firstLine="411" w:firstLineChars="196"/>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z w:val="21"/>
          <w:szCs w:val="21"/>
          <w:highlight w:val="none"/>
          <w:lang w:val="zh-CN"/>
        </w:rPr>
        <w:t>▲ 7.1.</w:t>
      </w:r>
      <w:r>
        <w:rPr>
          <w:rFonts w:hint="eastAsia" w:asciiTheme="minorEastAsia" w:hAnsiTheme="minorEastAsia" w:eastAsiaTheme="minorEastAsia" w:cstheme="minorEastAsia"/>
          <w:b/>
          <w:color w:val="auto"/>
          <w:sz w:val="21"/>
          <w:szCs w:val="21"/>
          <w:highlight w:val="none"/>
        </w:rPr>
        <w:t>活性碳吸附器</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（1）、产品结构</w:t>
      </w:r>
    </w:p>
    <w:p>
      <w:pPr>
        <w:pStyle w:val="161"/>
        <w:spacing w:line="400" w:lineRule="exact"/>
        <w:ind w:left="1005" w:firstLine="0" w:firstLineChars="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本活性碳吸附器采用≥10mm厚PP材质塑料板加工制作，采用卧式结构，抽屉式装碳装置，设两层蜂窝状活性炭过滤板，放≥150mm厚/层</w:t>
      </w:r>
      <w:r>
        <w:rPr>
          <w:rFonts w:hint="eastAsia" w:asciiTheme="minorEastAsia" w:hAnsiTheme="minorEastAsia" w:eastAsiaTheme="minorEastAsia" w:cstheme="minorEastAsia"/>
          <w:bCs/>
          <w:color w:val="auto"/>
          <w:sz w:val="21"/>
          <w:szCs w:val="21"/>
          <w:highlight w:val="none"/>
        </w:rPr>
        <w:t>≥</w:t>
      </w:r>
      <w:r>
        <w:rPr>
          <w:rFonts w:hint="eastAsia" w:asciiTheme="minorEastAsia" w:hAnsiTheme="minorEastAsia" w:eastAsiaTheme="minorEastAsia" w:cstheme="minorEastAsia"/>
          <w:color w:val="auto"/>
          <w:sz w:val="21"/>
          <w:szCs w:val="21"/>
          <w:highlight w:val="none"/>
        </w:rPr>
        <w:t xml:space="preserve"> 6块活性炭吸附板，采用单侧或双侧活动盖板门，便于安装检修，强度高，占地面积小。</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（2）、技术参数：</w:t>
      </w:r>
    </w:p>
    <w:p>
      <w:pPr>
        <w:pStyle w:val="161"/>
        <w:spacing w:line="400" w:lineRule="exact"/>
        <w:ind w:left="1005" w:firstLine="0" w:firstLineChars="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1)处理风量≥10000m3/h，采用≥10mm厚PP材质外箱尺寸≥1800*1500*1200mm，</w:t>
      </w:r>
    </w:p>
    <w:p>
      <w:pPr>
        <w:pStyle w:val="161"/>
        <w:spacing w:line="400" w:lineRule="exact"/>
        <w:ind w:left="1005" w:firstLine="0" w:firstLineChars="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2)处理风量≥15000m3/h，采用≥10mm厚PP材质外箱尺寸≥2400*1500*1200mm</w:t>
      </w:r>
    </w:p>
    <w:p>
      <w:pPr>
        <w:spacing w:line="400" w:lineRule="exact"/>
        <w:ind w:firstLine="525" w:firstLineChars="2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（3)、工作原理</w:t>
      </w:r>
    </w:p>
    <w:p>
      <w:pPr>
        <w:spacing w:line="400" w:lineRule="exact"/>
        <w:ind w:left="420" w:leftChars="200"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活性碳吸附器的实质是利用活性碳吸附的特性把低浓度大风量废气中的有机溶剂和有机废气吸附到活性碳中并浓缩，经活性碳吸附净化后的气体直接排到空中，其实质是一个吸附浓缩过程。吸附过程具有可逆性，易于脱附再生。由于固体表面存在着不平衡和未饱和的分子引力或化学键力，因此，当废气与大表面积的多孔性固体物质相接触，废气中的污染物便被吸附在固体表面上，使其与气体混合物分离，达到净化目的。</w:t>
      </w:r>
    </w:p>
    <w:p>
      <w:pPr>
        <w:spacing w:line="400" w:lineRule="exact"/>
        <w:ind w:left="420" w:leftChars="200"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rPr>
        <w:t>根据这一原理，吸附装置采用活性碳作为吸附剂。活性碳比表面积达700-1500㎡/g，孔径分布广（2-20nm），吸附容量大，吸附速度快，而且再生容易，脱附彻底，经多次吸附后仍保持原有的吸附性能（达95%以上），因此对有机废气的净化率高。</w:t>
      </w:r>
    </w:p>
    <w:p>
      <w:pPr>
        <w:tabs>
          <w:tab w:val="left" w:pos="690"/>
        </w:tabs>
        <w:spacing w:line="360" w:lineRule="auto"/>
        <w:rPr>
          <w:rFonts w:hint="eastAsia" w:asciiTheme="minorEastAsia" w:hAnsiTheme="minorEastAsia" w:eastAsiaTheme="minorEastAsia" w:cstheme="minorEastAsia"/>
          <w:b/>
          <w:color w:val="auto"/>
          <w:sz w:val="21"/>
          <w:szCs w:val="21"/>
          <w:highlight w:val="none"/>
        </w:rPr>
      </w:pPr>
    </w:p>
    <w:p>
      <w:pPr>
        <w:spacing w:line="360" w:lineRule="auto"/>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第二部分：实验室洁净系统技术要求</w:t>
      </w:r>
    </w:p>
    <w:p>
      <w:pPr>
        <w:spacing w:line="400" w:lineRule="exact"/>
        <w:ind w:firstLine="411" w:firstLineChars="196"/>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洁净系统设备采购及安装服务项目部分：包含深化设计，室内围护、地面、天花、净化设备，管道，洁净照明、风阀、电气、压力表，控制系统等设备的采购，安装、施工、调试，验收，维护。</w:t>
      </w:r>
    </w:p>
    <w:p>
      <w:pPr>
        <w:spacing w:line="400" w:lineRule="exac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（1）技术标准</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1.1、依据设计文件的要求，本项目的材料、设备、施工必须达到现行中华人民共和国以及地方或行业的工程建设标准、技术规范的要求。</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1.2、本工程主要验收规范</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《生物安全实验室建筑技术规范》（GB50346-2004)</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《实验室生物安全通用要求》（GB19489-2004)</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《洁净厂房设计规范》（GB50073-2001）</w:t>
      </w:r>
    </w:p>
    <w:p>
      <w:pPr>
        <w:tabs>
          <w:tab w:val="left" w:pos="900"/>
          <w:tab w:val="left" w:pos="1920"/>
        </w:tabs>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《建筑设计防火规范》GB50016-2006</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《洁净室设计及验收规范》（JG71-90)</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《综合医院建筑设计规范》</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《办公建筑设计规范》（JGJ67-89)</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《建筑地面设计规范》（GB50037-96)</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《建筑给水排水设计规范》（GBJ15-88)</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《污水综合排放标准》（GB1981-89）</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《排风及空调工程施工及验收规范》GB50243-2002</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《建筑内部装修设计防火规范》（GB50222-95）（1999年版）</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《建筑装饰工程设计及验收规范》（JG73-91表7．7．8)</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《排风及空调工程设计及验收规范》GB50243-2002</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《采暖排风与空气调节设计规范》（GBJ19-2003）</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《工业管道工程设计设计及验收规范》（GBJ235-82）</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《低压配电设计规范》（GB50054-95)</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《低压配电系统设计规范》（GB50052-95）</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《电器装置安装工程设计照明装置工程设计和验收规范》（GB50259-96）</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《电器装置安装工程设计接地装置设计及验收规范》（GB50169-92）</w:t>
      </w:r>
    </w:p>
    <w:p>
      <w:pPr>
        <w:autoSpaceDE w:val="0"/>
        <w:autoSpaceDN w:val="0"/>
        <w:adjustRightInd w:val="0"/>
        <w:spacing w:line="400" w:lineRule="exact"/>
        <w:ind w:firstLine="420" w:firstLineChars="20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《电器装置安装工程设计低压电器设计及验收规范》（GB50245-96）</w:t>
      </w:r>
    </w:p>
    <w:p>
      <w:pPr>
        <w:spacing w:line="400" w:lineRule="exact"/>
        <w:rPr>
          <w:rFonts w:hint="eastAsia" w:asciiTheme="minorEastAsia" w:hAnsiTheme="minorEastAsia" w:eastAsiaTheme="minorEastAsia" w:cstheme="minorEastAsia"/>
          <w:b/>
          <w:color w:val="auto"/>
          <w:sz w:val="21"/>
          <w:szCs w:val="21"/>
          <w:highlight w:val="none"/>
        </w:rPr>
      </w:pPr>
      <w:bookmarkStart w:id="290" w:name="_Toc399775098"/>
      <w:r>
        <w:rPr>
          <w:rFonts w:hint="eastAsia" w:asciiTheme="minorEastAsia" w:hAnsiTheme="minorEastAsia" w:eastAsiaTheme="minorEastAsia" w:cstheme="minorEastAsia"/>
          <w:b/>
          <w:color w:val="auto"/>
          <w:sz w:val="21"/>
          <w:szCs w:val="21"/>
          <w:highlight w:val="none"/>
        </w:rPr>
        <w:t>（2）建设要求</w:t>
      </w:r>
      <w:bookmarkEnd w:id="290"/>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本建设项目的基本要求</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2.1、符合实验室相关国家规范及标准要求；</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2.2、人文建筑与生态环境相结合，充分体现其人性化设计。</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2.3、设计理念的先进性、功能分区的合理性、基础设施的实用性、实验室管理的协调性、与检验流程的合理匹配性及实验室环境设施安全性。</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2.4、安全可靠:从授权准入、功能布局、气流控制、安全设施等角度，确保人员、样品、数据和仪器等安全；</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2.5、设计规范:实验室设计参照或执行欧美和国家相关实验室建设要求及标准；</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2.6、实用美观:装饰设计和家具布置充分体现行业特点和独特风格，选材符合实验室环境要求；风格明快，大方美观，富有现代感</w:t>
      </w:r>
    </w:p>
    <w:p>
      <w:pPr>
        <w:adjustRightInd w:val="0"/>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2.7、环境舒适:设计以人为本，各专业相互协调，互为补充，营造一个舒适的实验环境。</w:t>
      </w:r>
    </w:p>
    <w:p>
      <w:pPr>
        <w:spacing w:line="400" w:lineRule="exac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（3）技术要求</w:t>
      </w:r>
    </w:p>
    <w:p>
      <w:pPr>
        <w:spacing w:line="400" w:lineRule="exac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 xml:space="preserve">   3.1、整体洁净技术要求</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3.1.1、压力梯度要求：正压主实验室+15Pa，负压主实验室-10Pa 。在不同压力要求的相邻隔断上安装压差计，量程0—60Pa。</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3.1.2、主要技术指标：</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（1）漏风率：万级环境≤2﹪； 十万级环境应无漏光。</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（2）高效过滤器泄漏率≤0.03﹪（过滤效率≥99.97﹪）。 </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（3）风速：实验室内平均风速在设计风速100-120﹪；出口处风速≥0.35m/s，风速不均匀度≤0.25﹪。</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（4）风量：实测新风量应为设计新风量的90-110﹪，各风口风量应为设计风量的85-115﹪。</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w:t>
      </w:r>
      <w:r>
        <w:rPr>
          <w:rFonts w:hint="eastAsia" w:asciiTheme="minorEastAsia" w:hAnsiTheme="minorEastAsia" w:eastAsiaTheme="minorEastAsia" w:cstheme="minorEastAsia"/>
          <w:color w:val="auto"/>
          <w:sz w:val="21"/>
          <w:szCs w:val="21"/>
          <w:highlight w:val="none"/>
        </w:rPr>
        <w:t xml:space="preserve">（5）换气次数*：十万级区≥15次；万级区≥25次； </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（6）压差*：相邻不同级别区域静压差绝对值≥5Pa；洁净区与室外压差≥10Pa。</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（7）侵入粒子：通过大门侵入粒子的浓度小于测得的室外离子浓度的0.1﹪。</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（8）自净时间：≤25分钟。</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（9）房间温度*、相对湿度*：温度18-26℃；相对湿度45-65﹪。</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（10）噪声*、照度*：噪声≤65dB；照度：万级区为300-600Lx </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（11）悬浮粒子*：万级区：≥5μm的粒子≤2.9×103粒/m3，  ≥0.5μm的粒子≤3.5×10</w:t>
      </w:r>
      <w:r>
        <w:rPr>
          <w:rFonts w:hint="eastAsia" w:asciiTheme="minorEastAsia" w:hAnsiTheme="minorEastAsia" w:eastAsiaTheme="minorEastAsia" w:cstheme="minorEastAsia"/>
          <w:color w:val="auto"/>
          <w:sz w:val="21"/>
          <w:szCs w:val="21"/>
          <w:highlight w:val="none"/>
          <w:vertAlign w:val="superscript"/>
        </w:rPr>
        <w:t>5</w:t>
      </w:r>
      <w:r>
        <w:rPr>
          <w:rFonts w:hint="eastAsia" w:asciiTheme="minorEastAsia" w:hAnsiTheme="minorEastAsia" w:eastAsiaTheme="minorEastAsia" w:cstheme="minorEastAsia"/>
          <w:color w:val="auto"/>
          <w:sz w:val="21"/>
          <w:szCs w:val="21"/>
          <w:highlight w:val="none"/>
        </w:rPr>
        <w:t>万粒/m3。十万级区：≥5μm的粒子≤29.2×10</w:t>
      </w:r>
      <w:r>
        <w:rPr>
          <w:rFonts w:hint="eastAsia" w:asciiTheme="minorEastAsia" w:hAnsiTheme="minorEastAsia" w:eastAsiaTheme="minorEastAsia" w:cstheme="minorEastAsia"/>
          <w:color w:val="auto"/>
          <w:sz w:val="21"/>
          <w:szCs w:val="21"/>
          <w:highlight w:val="none"/>
          <w:vertAlign w:val="superscript"/>
        </w:rPr>
        <w:t>6</w:t>
      </w:r>
      <w:r>
        <w:rPr>
          <w:rFonts w:hint="eastAsia" w:asciiTheme="minorEastAsia" w:hAnsiTheme="minorEastAsia" w:eastAsiaTheme="minorEastAsia" w:cstheme="minorEastAsia"/>
          <w:color w:val="auto"/>
          <w:sz w:val="21"/>
          <w:szCs w:val="21"/>
          <w:highlight w:val="none"/>
        </w:rPr>
        <w:t>粒/m</w:t>
      </w:r>
      <w:r>
        <w:rPr>
          <w:rFonts w:hint="eastAsia" w:asciiTheme="minorEastAsia" w:hAnsiTheme="minorEastAsia" w:eastAsiaTheme="minorEastAsia" w:cstheme="minorEastAsia"/>
          <w:color w:val="auto"/>
          <w:sz w:val="21"/>
          <w:szCs w:val="21"/>
          <w:highlight w:val="none"/>
          <w:vertAlign w:val="superscript"/>
        </w:rPr>
        <w:t>3</w:t>
      </w:r>
      <w:r>
        <w:rPr>
          <w:rFonts w:hint="eastAsia" w:asciiTheme="minorEastAsia" w:hAnsiTheme="minorEastAsia" w:eastAsiaTheme="minorEastAsia" w:cstheme="minorEastAsia"/>
          <w:color w:val="auto"/>
          <w:sz w:val="21"/>
          <w:szCs w:val="21"/>
          <w:highlight w:val="none"/>
        </w:rPr>
        <w:t>，  ≥0.5μm的粒子≤35.2×10</w:t>
      </w:r>
      <w:r>
        <w:rPr>
          <w:rFonts w:hint="eastAsia" w:asciiTheme="minorEastAsia" w:hAnsiTheme="minorEastAsia" w:eastAsiaTheme="minorEastAsia" w:cstheme="minorEastAsia"/>
          <w:color w:val="auto"/>
          <w:sz w:val="21"/>
          <w:szCs w:val="21"/>
          <w:highlight w:val="none"/>
          <w:vertAlign w:val="superscript"/>
        </w:rPr>
        <w:t>5</w:t>
      </w:r>
      <w:r>
        <w:rPr>
          <w:rFonts w:hint="eastAsia" w:asciiTheme="minorEastAsia" w:hAnsiTheme="minorEastAsia" w:eastAsiaTheme="minorEastAsia" w:cstheme="minorEastAsia"/>
          <w:color w:val="auto"/>
          <w:sz w:val="21"/>
          <w:szCs w:val="21"/>
          <w:highlight w:val="none"/>
        </w:rPr>
        <w:t>万粒/m</w:t>
      </w:r>
      <w:r>
        <w:rPr>
          <w:rFonts w:hint="eastAsia" w:asciiTheme="minorEastAsia" w:hAnsiTheme="minorEastAsia" w:eastAsiaTheme="minorEastAsia" w:cstheme="minorEastAsia"/>
          <w:color w:val="auto"/>
          <w:sz w:val="21"/>
          <w:szCs w:val="21"/>
          <w:highlight w:val="none"/>
          <w:vertAlign w:val="superscript"/>
        </w:rPr>
        <w:t>3</w:t>
      </w:r>
      <w:r>
        <w:rPr>
          <w:rFonts w:hint="eastAsia" w:asciiTheme="minorEastAsia" w:hAnsiTheme="minorEastAsia" w:eastAsiaTheme="minorEastAsia" w:cstheme="minorEastAsia"/>
          <w:color w:val="auto"/>
          <w:sz w:val="21"/>
          <w:szCs w:val="21"/>
          <w:highlight w:val="none"/>
        </w:rPr>
        <w:t>。</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（12）浮游菌*：万级区动态≤100cfu/m3； </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（13）沉降菌*：直径9cm平皿，暴露4h,万级区动态≤3cfu/m3； </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（14）表面微生物：用表面擦试法测定，万级区关键表面≤5cfu/cm2，一般表面≤25cfu/cm2，地面≤50cfu/25cm2。 </w:t>
      </w:r>
    </w:p>
    <w:p>
      <w:pPr>
        <w:widowControl/>
        <w:tabs>
          <w:tab w:val="left" w:pos="1375"/>
          <w:tab w:val="left" w:pos="1440"/>
        </w:tabs>
        <w:spacing w:line="400" w:lineRule="exact"/>
        <w:ind w:firstLine="207" w:firstLineChars="98"/>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3.2、 洁净设备系统项目规格技术要求</w:t>
      </w:r>
    </w:p>
    <w:p>
      <w:pPr>
        <w:spacing w:line="400" w:lineRule="exact"/>
        <w:ind w:firstLine="207" w:firstLineChars="98"/>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3.2.1.洁净式净化机组技术要求：</w:t>
      </w:r>
    </w:p>
    <w:p>
      <w:pPr>
        <w:spacing w:line="400" w:lineRule="exac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w:t>
      </w:r>
      <w:r>
        <w:rPr>
          <w:rFonts w:hint="eastAsia" w:asciiTheme="minorEastAsia" w:hAnsiTheme="minorEastAsia" w:eastAsiaTheme="minorEastAsia" w:cstheme="minorEastAsia"/>
          <w:color w:val="auto"/>
          <w:sz w:val="21"/>
          <w:szCs w:val="21"/>
          <w:highlight w:val="none"/>
        </w:rPr>
        <w:t>要求提供国家权威机构出具的净化机组检验报告；认证证书，保证选型结果的可靠性；净化机组须具备通过中国制冷空调工业协会CRAA产品认证证书；</w:t>
      </w:r>
    </w:p>
    <w:p>
      <w:pPr>
        <w:spacing w:line="400" w:lineRule="exact"/>
        <w:ind w:firstLine="207" w:firstLineChars="98"/>
        <w:outlineLvl w:val="0"/>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3.2.1.1基本要求</w:t>
      </w:r>
    </w:p>
    <w:p>
      <w:pPr>
        <w:tabs>
          <w:tab w:val="left" w:pos="567"/>
        </w:tabs>
        <w:spacing w:line="400" w:lineRule="exact"/>
        <w:ind w:left="1063" w:leftChars="256" w:hanging="525" w:hangingChars="2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（1）恒温恒湿型机组温度控制：18～24℃；湿度控制45-65%。</w:t>
      </w:r>
    </w:p>
    <w:p>
      <w:pPr>
        <w:tabs>
          <w:tab w:val="left" w:pos="567"/>
        </w:tabs>
        <w:spacing w:line="400" w:lineRule="exact"/>
        <w:ind w:firstLine="53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（2）电源：3N-50Hz  380V（三相四线）</w:t>
      </w:r>
    </w:p>
    <w:p>
      <w:pPr>
        <w:tabs>
          <w:tab w:val="left" w:pos="567"/>
        </w:tabs>
        <w:spacing w:line="400" w:lineRule="exact"/>
        <w:ind w:firstLine="53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（3）参数：额定风量、机外余压、制冷量、 制热量、电机功率制冷设备整体要求带变频装置、全自动控制；初效过滤器：板式无纺布材质G4，中效过滤器：袋式、无纺布材质F8；功能段：新风回风混合段、初效过滤段、表冷段 中间段、风机出风段、中效过滤段、均流段机组有效减震处理三相，380V，50HZ。</w:t>
      </w:r>
    </w:p>
    <w:tbl>
      <w:tblPr>
        <w:tblStyle w:val="8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951"/>
        <w:gridCol w:w="5969"/>
        <w:gridCol w:w="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shd w:val="clear" w:color="auto" w:fill="auto"/>
            <w:vAlign w:val="center"/>
          </w:tcPr>
          <w:p>
            <w:pPr>
              <w:tabs>
                <w:tab w:val="left" w:pos="567"/>
              </w:tabs>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序号</w:t>
            </w:r>
          </w:p>
        </w:tc>
        <w:tc>
          <w:tcPr>
            <w:tcW w:w="1951" w:type="dxa"/>
            <w:shd w:val="clear" w:color="auto" w:fill="auto"/>
            <w:vAlign w:val="center"/>
          </w:tcPr>
          <w:p>
            <w:pPr>
              <w:tabs>
                <w:tab w:val="left" w:pos="567"/>
              </w:tabs>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机组名称</w:t>
            </w:r>
          </w:p>
        </w:tc>
        <w:tc>
          <w:tcPr>
            <w:tcW w:w="5969" w:type="dxa"/>
            <w:shd w:val="clear" w:color="auto" w:fill="auto"/>
            <w:vAlign w:val="center"/>
          </w:tcPr>
          <w:p>
            <w:pPr>
              <w:tabs>
                <w:tab w:val="left" w:pos="567"/>
              </w:tabs>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机组参数</w:t>
            </w:r>
          </w:p>
        </w:tc>
        <w:tc>
          <w:tcPr>
            <w:tcW w:w="846" w:type="dxa"/>
            <w:shd w:val="clear" w:color="auto" w:fill="auto"/>
            <w:vAlign w:val="center"/>
          </w:tcPr>
          <w:p>
            <w:pPr>
              <w:tabs>
                <w:tab w:val="left" w:pos="567"/>
              </w:tabs>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数量（台）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shd w:val="clear" w:color="auto" w:fill="auto"/>
            <w:vAlign w:val="center"/>
          </w:tcPr>
          <w:p>
            <w:pPr>
              <w:tabs>
                <w:tab w:val="left" w:pos="567"/>
              </w:tabs>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1951" w:type="dxa"/>
            <w:shd w:val="clear" w:color="auto" w:fill="auto"/>
            <w:vAlign w:val="center"/>
          </w:tcPr>
          <w:p>
            <w:pPr>
              <w:tabs>
                <w:tab w:val="left" w:pos="567"/>
              </w:tabs>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恒温恒湿式净化机组</w:t>
            </w:r>
          </w:p>
        </w:tc>
        <w:tc>
          <w:tcPr>
            <w:tcW w:w="5969" w:type="dxa"/>
            <w:shd w:val="clear" w:color="auto" w:fill="auto"/>
            <w:vAlign w:val="center"/>
          </w:tcPr>
          <w:p>
            <w:pPr>
              <w:tabs>
                <w:tab w:val="left" w:pos="567"/>
              </w:tabs>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吊顶式，额定风量：≥1400m3/h  机外余压：≥650Pa 电机功率：≥3Kw ，初效过滤器：板式无纺布材质 G4 ， 中效过滤器：袋式、无纺布材质 F8，功能段：新风回风混合段、初效过滤段、表冷段 中间段、风机出风段、中效过滤段、 均流段  机组有效减震处理 三相，380V，50HZ内机外形尺寸（宽*深*高）≤950*1800*650mm，吊顶安装。</w:t>
            </w:r>
          </w:p>
        </w:tc>
        <w:tc>
          <w:tcPr>
            <w:tcW w:w="846" w:type="dxa"/>
            <w:shd w:val="clear" w:color="auto" w:fill="auto"/>
            <w:vAlign w:val="center"/>
          </w:tcPr>
          <w:p>
            <w:pPr>
              <w:tabs>
                <w:tab w:val="left" w:pos="567"/>
              </w:tabs>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shd w:val="clear" w:color="auto" w:fill="auto"/>
            <w:vAlign w:val="center"/>
          </w:tcPr>
          <w:p>
            <w:pPr>
              <w:tabs>
                <w:tab w:val="left" w:pos="567"/>
              </w:tabs>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1951" w:type="dxa"/>
            <w:shd w:val="clear" w:color="auto" w:fill="auto"/>
            <w:vAlign w:val="center"/>
          </w:tcPr>
          <w:p>
            <w:pPr>
              <w:tabs>
                <w:tab w:val="left" w:pos="567"/>
              </w:tabs>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风冷直膨式净化机组室外机（AHU-1、2）</w:t>
            </w:r>
          </w:p>
        </w:tc>
        <w:tc>
          <w:tcPr>
            <w:tcW w:w="5969" w:type="dxa"/>
            <w:shd w:val="clear" w:color="auto" w:fill="auto"/>
            <w:vAlign w:val="center"/>
          </w:tcPr>
          <w:p>
            <w:pPr>
              <w:tabs>
                <w:tab w:val="left" w:pos="567"/>
              </w:tabs>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制冷量：≥7.5Kw 制热量：≥8Kw  三相，380V，50HZ</w:t>
            </w:r>
          </w:p>
        </w:tc>
        <w:tc>
          <w:tcPr>
            <w:tcW w:w="846" w:type="dxa"/>
            <w:shd w:val="clear" w:color="auto" w:fill="auto"/>
            <w:vAlign w:val="center"/>
          </w:tcPr>
          <w:p>
            <w:pPr>
              <w:tabs>
                <w:tab w:val="left" w:pos="567"/>
              </w:tabs>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r>
    </w:tbl>
    <w:p>
      <w:pPr>
        <w:spacing w:line="400" w:lineRule="exact"/>
        <w:outlineLvl w:val="0"/>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3.2.</w:t>
      </w:r>
      <w:r>
        <w:rPr>
          <w:rFonts w:hint="eastAsia" w:asciiTheme="minorEastAsia" w:hAnsiTheme="minorEastAsia" w:eastAsiaTheme="minorEastAsia" w:cstheme="minorEastAsia"/>
          <w:b/>
          <w:color w:val="auto"/>
          <w:sz w:val="21"/>
          <w:szCs w:val="21"/>
          <w:highlight w:val="none"/>
        </w:rPr>
        <w:t>1.2设备性能要求：</w:t>
      </w:r>
    </w:p>
    <w:p>
      <w:pPr>
        <w:spacing w:line="400" w:lineRule="exact"/>
        <w:outlineLvl w:val="0"/>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3.2.</w:t>
      </w:r>
      <w:r>
        <w:rPr>
          <w:rFonts w:hint="eastAsia" w:asciiTheme="minorEastAsia" w:hAnsiTheme="minorEastAsia" w:eastAsiaTheme="minorEastAsia" w:cstheme="minorEastAsia"/>
          <w:b/>
          <w:color w:val="auto"/>
          <w:sz w:val="21"/>
          <w:szCs w:val="21"/>
          <w:highlight w:val="none"/>
        </w:rPr>
        <w:t>1.2.1 总则：</w:t>
      </w:r>
    </w:p>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（1）投标方提供设备，应满足招标方提出的有关设计参数，并确保在招标方提出的厂址，气象条件下长期安全可靠运行。</w:t>
      </w:r>
    </w:p>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 除了轴承，制冷压缩机及转动部件含皮带正常寿命期间更换外，其余材料和部件应在正常情况下运行15年。</w:t>
      </w:r>
    </w:p>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（3）直接蒸发盘管、风冷式冷凝器的制造和检验应符合国家标准或制造厂标准。</w:t>
      </w:r>
    </w:p>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（4）机组应在额定电压的额定定值（AC三相、380伏、50赫兹）的±10%范围内能正常启动和运转。</w:t>
      </w:r>
    </w:p>
    <w:p>
      <w:pPr>
        <w:spacing w:line="400" w:lineRule="exact"/>
        <w:outlineLvl w:val="0"/>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3.2.</w:t>
      </w:r>
      <w:r>
        <w:rPr>
          <w:rFonts w:hint="eastAsia" w:asciiTheme="minorEastAsia" w:hAnsiTheme="minorEastAsia" w:eastAsiaTheme="minorEastAsia" w:cstheme="minorEastAsia"/>
          <w:b/>
          <w:color w:val="auto"/>
          <w:sz w:val="21"/>
          <w:szCs w:val="21"/>
          <w:highlight w:val="none"/>
        </w:rPr>
        <w:t>1.2.2设计要求</w:t>
      </w:r>
    </w:p>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（1）机组的实测风量在标准空气工况下应不小于额定风量（空气标准工况是指空气温度20℃、压力101.3kPa，密度为1.2kg/m</w:t>
      </w:r>
      <w:r>
        <w:rPr>
          <w:rFonts w:hint="eastAsia" w:asciiTheme="minorEastAsia" w:hAnsiTheme="minorEastAsia" w:eastAsiaTheme="minorEastAsia" w:cstheme="minorEastAsia"/>
          <w:color w:val="auto"/>
          <w:sz w:val="21"/>
          <w:szCs w:val="21"/>
          <w:highlight w:val="none"/>
          <w:vertAlign w:val="superscript"/>
        </w:rPr>
        <w:t>3</w:t>
      </w:r>
      <w:r>
        <w:rPr>
          <w:rFonts w:hint="eastAsia" w:asciiTheme="minorEastAsia" w:hAnsiTheme="minorEastAsia" w:eastAsiaTheme="minorEastAsia" w:cstheme="minorEastAsia"/>
          <w:color w:val="auto"/>
          <w:sz w:val="21"/>
          <w:szCs w:val="21"/>
          <w:highlight w:val="none"/>
        </w:rPr>
        <w:t>时的空气状态）。</w:t>
      </w:r>
    </w:p>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（2）机组在标准空气工况下，实测值应不小于额定值。</w:t>
      </w:r>
    </w:p>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（3）在机组内外压差为额定余压1.2倍时，漏风率应不大于3%。</w:t>
      </w:r>
    </w:p>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 机组在名义工况下的供冷量（供热量）的实测值应不小于额定值。</w:t>
      </w:r>
    </w:p>
    <w:p>
      <w:pPr>
        <w:spacing w:line="400" w:lineRule="exac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3.2.</w:t>
      </w:r>
      <w:r>
        <w:rPr>
          <w:rFonts w:hint="eastAsia" w:asciiTheme="minorEastAsia" w:hAnsiTheme="minorEastAsia" w:eastAsiaTheme="minorEastAsia" w:cstheme="minorEastAsia"/>
          <w:b/>
          <w:color w:val="auto"/>
          <w:sz w:val="21"/>
          <w:szCs w:val="21"/>
          <w:highlight w:val="none"/>
        </w:rPr>
        <w:t>1.2.3</w:t>
      </w:r>
      <w:r>
        <w:rPr>
          <w:rFonts w:hint="eastAsia" w:asciiTheme="minorEastAsia" w:hAnsiTheme="minorEastAsia" w:eastAsiaTheme="minorEastAsia" w:cstheme="minorEastAsia"/>
          <w:color w:val="auto"/>
          <w:sz w:val="21"/>
          <w:szCs w:val="21"/>
          <w:highlight w:val="none"/>
        </w:rPr>
        <w:t>净化机组</w:t>
      </w:r>
      <w:r>
        <w:rPr>
          <w:rFonts w:hint="eastAsia" w:asciiTheme="minorEastAsia" w:hAnsiTheme="minorEastAsia" w:eastAsiaTheme="minorEastAsia" w:cstheme="minorEastAsia"/>
          <w:b/>
          <w:color w:val="auto"/>
          <w:sz w:val="21"/>
          <w:szCs w:val="21"/>
          <w:highlight w:val="none"/>
        </w:rPr>
        <w:t>性能</w:t>
      </w:r>
    </w:p>
    <w:p>
      <w:pPr>
        <w:widowControl/>
        <w:numPr>
          <w:ilvl w:val="0"/>
          <w:numId w:val="11"/>
        </w:numPr>
        <w:spacing w:line="40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室内机：结构为防冷桥铝合金型材配双层发泡面板，内衬有钢制骨架，确保了高静压下的强度以及刚度。双层发泡面板，外层采用冷轧钢板静电喷塑防腐处理，厚度不小于1.0mm，内层板采用镀锌钢板厚度不小于0.8mm，内充填发泡聚氨脂直接发泡（密度≥48kg/m3），保温层厚度不小于30mm，导热系数小于0.02W/m℃。应无冷桥现象出现。机组在最大静压下，面板和框架应能承受持久的扭曲但不产生永久变形；底层面板应有足够的强度，满足检修，安装要求。全部面板都是可拆卸的，以便于检修。</w:t>
      </w:r>
    </w:p>
    <w:p>
      <w:pPr>
        <w:widowControl/>
        <w:numPr>
          <w:ilvl w:val="0"/>
          <w:numId w:val="11"/>
        </w:numPr>
        <w:spacing w:line="40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制冷压缩机：压缩机选用国内外知名品牌全封闭涡旋式压缩机；压缩机置于室外机。</w:t>
      </w:r>
    </w:p>
    <w:p>
      <w:pPr>
        <w:adjustRightInd w:val="0"/>
        <w:spacing w:line="400" w:lineRule="exact"/>
        <w:ind w:firstLine="210" w:firstLineChars="100"/>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1）压缩机为全封闭型，并稳妥地安装地隔振器上。</w:t>
      </w:r>
    </w:p>
    <w:p>
      <w:pPr>
        <w:adjustRightInd w:val="0"/>
        <w:spacing w:line="400" w:lineRule="exact"/>
        <w:ind w:firstLine="210" w:firstLineChars="100"/>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r>
        <w:rPr>
          <w:rFonts w:hint="eastAsia" w:asciiTheme="minorEastAsia" w:hAnsiTheme="minorEastAsia" w:eastAsiaTheme="minorEastAsia" w:cstheme="minorEastAsia"/>
          <w:color w:val="auto"/>
          <w:sz w:val="21"/>
          <w:szCs w:val="21"/>
          <w:highlight w:val="none"/>
        </w:rPr>
        <w:t>压缩机电机应为吸入式，采用冷媒气冷却。</w:t>
      </w:r>
    </w:p>
    <w:p>
      <w:pPr>
        <w:adjustRightInd w:val="0"/>
        <w:spacing w:line="400" w:lineRule="exact"/>
        <w:ind w:firstLine="210" w:firstLineChars="100"/>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3）电动机的绕阻应为通过埋入里面的热敏电阻保护，防止超温。</w:t>
      </w:r>
    </w:p>
    <w:p>
      <w:pPr>
        <w:adjustRightInd w:val="0"/>
        <w:spacing w:line="400" w:lineRule="exact"/>
        <w:ind w:firstLine="210" w:firstLineChars="100"/>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4)制冷压缩机的生产、试验、检验应按国家标准或制造厂标准进行。</w:t>
      </w:r>
    </w:p>
    <w:p>
      <w:pPr>
        <w:widowControl/>
        <w:numPr>
          <w:ilvl w:val="0"/>
          <w:numId w:val="11"/>
        </w:numPr>
        <w:spacing w:line="40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直接蒸发盘管：直接蒸发盘管应由紫铜管外胀铝翅片制成。</w:t>
      </w:r>
    </w:p>
    <w:p>
      <w:pPr>
        <w:adjustRightInd w:val="0"/>
        <w:spacing w:line="400" w:lineRule="exact"/>
        <w:ind w:firstLine="210" w:firstLineChars="100"/>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1)无缝紫铜管管径</w:t>
      </w:r>
      <w:r>
        <w:rPr>
          <w:rFonts w:hint="eastAsia" w:asciiTheme="minorEastAsia" w:hAnsiTheme="minorEastAsia" w:eastAsiaTheme="minorEastAsia" w:cstheme="minorEastAsia"/>
          <w:color w:val="auto"/>
          <w:sz w:val="21"/>
          <w:szCs w:val="21"/>
          <w:highlight w:val="none"/>
          <w:lang w:eastAsia="zh-CN"/>
        </w:rPr>
        <w:t>约</w:t>
      </w:r>
      <w:r>
        <w:rPr>
          <w:rFonts w:hint="eastAsia" w:asciiTheme="minorEastAsia" w:hAnsiTheme="minorEastAsia" w:eastAsiaTheme="minorEastAsia" w:cstheme="minorEastAsia"/>
          <w:color w:val="auto"/>
          <w:sz w:val="21"/>
          <w:szCs w:val="21"/>
          <w:highlight w:val="none"/>
        </w:rPr>
        <w:t>为9.52mm，壁厚至少为0.27mm。</w:t>
      </w:r>
    </w:p>
    <w:p>
      <w:pPr>
        <w:adjustRightInd w:val="0"/>
        <w:spacing w:line="400" w:lineRule="exact"/>
        <w:ind w:firstLine="210" w:firstLineChars="100"/>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2)翅片含铝至少95%。铝翅片的厚度至少为0.11mm。翅片采用机械固定方法与紫铜管连接。</w:t>
      </w:r>
    </w:p>
    <w:p>
      <w:pPr>
        <w:adjustRightInd w:val="0"/>
        <w:spacing w:line="400" w:lineRule="exact"/>
        <w:ind w:firstLine="210" w:firstLineChars="100"/>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3)冷冻剂膨胀阀应采用固定在制冷盘管分布器上。对于一台压缩机以上的组装机组，每台压缩机都应有单独的冷冻剂管路。</w:t>
      </w:r>
    </w:p>
    <w:p>
      <w:pPr>
        <w:adjustRightInd w:val="0"/>
        <w:spacing w:line="400" w:lineRule="exact"/>
        <w:ind w:firstLine="210" w:firstLineChars="100"/>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4)空气通过制冷盘管的最大迎风面风速不应超过2.5m/s。</w:t>
      </w:r>
      <w:r>
        <w:rPr>
          <w:rFonts w:hint="eastAsia" w:asciiTheme="minorEastAsia" w:hAnsiTheme="minorEastAsia" w:eastAsiaTheme="minorEastAsia" w:cstheme="minorEastAsia"/>
          <w:color w:val="auto"/>
          <w:sz w:val="21"/>
          <w:szCs w:val="21"/>
          <w:highlight w:val="none"/>
        </w:rPr>
        <w:t>最大盘管排数不宜超过8排。</w:t>
      </w:r>
    </w:p>
    <w:p>
      <w:pPr>
        <w:adjustRightInd w:val="0"/>
        <w:spacing w:line="400" w:lineRule="exact"/>
        <w:ind w:firstLine="210" w:firstLineChars="100"/>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5)制冷盘管设计、安装应使空气与冷媒成逆向交叉流动，即使冷媒入口处于出风侧，冷媒出口处处于进风侧，以便得到较大到对数温差，运行较好的换热。</w:t>
      </w:r>
    </w:p>
    <w:p>
      <w:pPr>
        <w:widowControl/>
        <w:numPr>
          <w:ilvl w:val="0"/>
          <w:numId w:val="11"/>
        </w:numPr>
        <w:spacing w:line="40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室内机风机</w:t>
      </w:r>
    </w:p>
    <w:p>
      <w:pPr>
        <w:adjustRightInd w:val="0"/>
        <w:spacing w:line="400" w:lineRule="exact"/>
        <w:ind w:firstLine="210" w:firstLineChars="100"/>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风机选用离心式风机。</w:t>
      </w:r>
    </w:p>
    <w:p>
      <w:pPr>
        <w:adjustRightInd w:val="0"/>
        <w:spacing w:line="400" w:lineRule="exact"/>
        <w:ind w:firstLine="210" w:firstLineChars="100"/>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1)配有一组或多组前倾叶轮，安装在尺寸合适到实心轴上。风机叶轮和轴应在制造厂内做静平衡和动平衡试验。轴在制造厂加工后应刷一度防锈涂层。</w:t>
      </w:r>
    </w:p>
    <w:p>
      <w:pPr>
        <w:adjustRightInd w:val="0"/>
        <w:spacing w:line="400" w:lineRule="exact"/>
        <w:ind w:firstLine="210" w:firstLineChars="100"/>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2)前倾叶轮采用铝合金或镀锌钢板制成。外壳由镀锌钢板制成。</w:t>
      </w:r>
    </w:p>
    <w:p>
      <w:pPr>
        <w:adjustRightInd w:val="0"/>
        <w:spacing w:line="400" w:lineRule="exact"/>
        <w:ind w:firstLine="210" w:firstLineChars="100"/>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3)风机轴承应为自行对准的滚珠或滚轴轴承，其应能有效的封闭以防止润滑剂流失或赃物侵入。</w:t>
      </w:r>
    </w:p>
    <w:p>
      <w:pPr>
        <w:adjustRightInd w:val="0"/>
        <w:spacing w:line="400" w:lineRule="exact"/>
        <w:ind w:firstLine="210" w:firstLineChars="100"/>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4)离心风机的设计、制造、测试应按国家标准或制造厂标准进行。</w:t>
      </w:r>
    </w:p>
    <w:p>
      <w:pPr>
        <w:widowControl/>
        <w:numPr>
          <w:ilvl w:val="0"/>
          <w:numId w:val="11"/>
        </w:numPr>
        <w:spacing w:line="40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空气过滤器</w:t>
      </w:r>
    </w:p>
    <w:p>
      <w:pPr>
        <w:adjustRightInd w:val="0"/>
        <w:spacing w:line="400" w:lineRule="exact"/>
        <w:ind w:firstLine="210" w:firstLineChars="100"/>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1)、机组回风口设有初效过滤器，过滤材料为阻燃型无纺布，过滤效率达到G4，对高中效过滤器起到良好的前置保护作用，安装在机组滑框上，能自由抽出清冼。</w:t>
      </w:r>
    </w:p>
    <w:p>
      <w:pPr>
        <w:adjustRightInd w:val="0"/>
        <w:spacing w:line="400" w:lineRule="exact"/>
        <w:ind w:firstLine="210" w:firstLineChars="100"/>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2)、机组出风口设高中效过滤器，高中效过滤器在机组内采用螺丝压条压紧方式。高中效过滤器的过滤材料为超细聚</w:t>
      </w:r>
      <w:r>
        <w:rPr>
          <w:rFonts w:hint="eastAsia" w:asciiTheme="minorEastAsia" w:hAnsiTheme="minorEastAsia" w:eastAsiaTheme="minorEastAsia" w:cstheme="minorEastAsia"/>
          <w:color w:val="auto"/>
          <w:sz w:val="21"/>
          <w:szCs w:val="21"/>
          <w:highlight w:val="none"/>
        </w:rPr>
        <w:t>丙烯纤维滤料（W型），袋式结构，过滤效率达到F8（比色法90%至95%）。</w:t>
      </w:r>
    </w:p>
    <w:p>
      <w:pPr>
        <w:adjustRightInd w:val="0"/>
        <w:spacing w:line="400" w:lineRule="exact"/>
        <w:ind w:firstLine="210" w:firstLineChars="100"/>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3)、过滤器装有风压压差报警装置，方便提醒用户清洗更换过滤器。</w:t>
      </w:r>
    </w:p>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（6）滴水盘</w:t>
      </w:r>
    </w:p>
    <w:p>
      <w:pPr>
        <w:adjustRightInd w:val="0"/>
        <w:spacing w:line="400" w:lineRule="exact"/>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滴水盘大小及容量应设计成能使制冷盘管之冷凝水全部流入滴水盘中，并应能畅通的排水功能。滴水盘采用不锈钢材料。</w:t>
      </w:r>
    </w:p>
    <w:p>
      <w:pPr>
        <w:adjustRightInd w:val="0"/>
        <w:spacing w:line="400" w:lineRule="exact"/>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1)滴水盘的两端设有直径</w:t>
      </w:r>
      <w:r>
        <w:rPr>
          <w:rFonts w:hint="eastAsia" w:asciiTheme="minorEastAsia" w:hAnsiTheme="minorEastAsia" w:eastAsiaTheme="minorEastAsia" w:cstheme="minorEastAsia"/>
          <w:color w:val="auto"/>
          <w:sz w:val="21"/>
          <w:szCs w:val="21"/>
          <w:highlight w:val="none"/>
          <w:lang w:eastAsia="zh-CN"/>
        </w:rPr>
        <w:t>约</w:t>
      </w:r>
      <w:r>
        <w:rPr>
          <w:rFonts w:hint="eastAsia" w:asciiTheme="minorEastAsia" w:hAnsiTheme="minorEastAsia" w:eastAsiaTheme="minorEastAsia" w:cstheme="minorEastAsia"/>
          <w:color w:val="auto"/>
          <w:sz w:val="21"/>
          <w:szCs w:val="21"/>
          <w:highlight w:val="none"/>
        </w:rPr>
        <w:t>为25mm的排水接头。</w:t>
      </w:r>
    </w:p>
    <w:p>
      <w:pPr>
        <w:adjustRightInd w:val="0"/>
        <w:spacing w:line="400" w:lineRule="exact"/>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2)滴水盘的外表面应铺上厚度</w:t>
      </w:r>
      <w:r>
        <w:rPr>
          <w:rFonts w:hint="eastAsia" w:asciiTheme="minorEastAsia" w:hAnsiTheme="minorEastAsia" w:eastAsiaTheme="minorEastAsia" w:cstheme="minorEastAsia"/>
          <w:color w:val="auto"/>
          <w:sz w:val="21"/>
          <w:szCs w:val="21"/>
          <w:highlight w:val="none"/>
          <w:lang w:eastAsia="zh-CN"/>
        </w:rPr>
        <w:t>约</w:t>
      </w:r>
      <w:r>
        <w:rPr>
          <w:rFonts w:hint="eastAsia" w:asciiTheme="minorEastAsia" w:hAnsiTheme="minorEastAsia" w:eastAsiaTheme="minorEastAsia" w:cstheme="minorEastAsia"/>
          <w:color w:val="auto"/>
          <w:sz w:val="21"/>
          <w:szCs w:val="21"/>
          <w:highlight w:val="none"/>
        </w:rPr>
        <w:t>为25mm的不燃性保温材料。</w:t>
      </w:r>
    </w:p>
    <w:p>
      <w:pPr>
        <w:adjustRightInd w:val="0"/>
        <w:spacing w:line="400" w:lineRule="exact"/>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 室外机：冷凝器应由紫铜管外胀铝翅片制成；室外机为四周进风顶排风。</w:t>
      </w:r>
    </w:p>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 制冷剂管路系统</w:t>
      </w:r>
    </w:p>
    <w:p>
      <w:pPr>
        <w:adjustRightInd w:val="0"/>
        <w:spacing w:line="400" w:lineRule="exact"/>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1)机组应配置由工厂安装的机组内部所有部件之间的冷剂管道。</w:t>
      </w:r>
    </w:p>
    <w:p>
      <w:pPr>
        <w:adjustRightInd w:val="0"/>
        <w:spacing w:line="400" w:lineRule="exact"/>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2)每台压缩机有一独立的制冷剂管路系统。</w:t>
      </w:r>
    </w:p>
    <w:p>
      <w:pPr>
        <w:adjustRightInd w:val="0"/>
        <w:spacing w:line="400" w:lineRule="exact"/>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3)系统管道连接完成后，应经过2.24MPa干燥氮气的耐压试验和检漏试验。</w:t>
      </w:r>
    </w:p>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（9）控制要求</w:t>
      </w:r>
    </w:p>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1)机组自带控制箱，自动控制温度，控制压缩机、风机启停工作、故障状态。</w:t>
      </w:r>
    </w:p>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2)整个电路系统装有多种保护装置：压缩机过流保护、风机过流保护、系统高低压保护</w:t>
      </w:r>
      <w:r>
        <w:rPr>
          <w:rFonts w:hint="eastAsia" w:asciiTheme="minorEastAsia" w:hAnsiTheme="minorEastAsia" w:eastAsiaTheme="minorEastAsia" w:cstheme="minorEastAsia"/>
          <w:color w:val="auto"/>
          <w:sz w:val="21"/>
          <w:szCs w:val="21"/>
          <w:highlight w:val="none"/>
        </w:rPr>
        <w:t>、风机欠风保护、滤器清洗报警等。</w:t>
      </w:r>
    </w:p>
    <w:p>
      <w:pPr>
        <w:spacing w:line="400" w:lineRule="exact"/>
        <w:outlineLvl w:val="0"/>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3.2.</w:t>
      </w:r>
      <w:r>
        <w:rPr>
          <w:rFonts w:hint="eastAsia" w:asciiTheme="minorEastAsia" w:hAnsiTheme="minorEastAsia" w:eastAsiaTheme="minorEastAsia" w:cstheme="minorEastAsia"/>
          <w:b/>
          <w:color w:val="auto"/>
          <w:sz w:val="21"/>
          <w:szCs w:val="21"/>
          <w:highlight w:val="none"/>
        </w:rPr>
        <w:t>1.2.4 保温</w:t>
      </w:r>
    </w:p>
    <w:p>
      <w:pPr>
        <w:adjustRightInd w:val="0"/>
        <w:spacing w:line="400" w:lineRule="exact"/>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1)室内机机柜面板保温均由投标方在工厂内负责进行。</w:t>
      </w:r>
    </w:p>
    <w:p>
      <w:pPr>
        <w:adjustRightInd w:val="0"/>
        <w:spacing w:line="400" w:lineRule="exact"/>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2)保温材料采用不燃性保温材料，其传热系数K值应不大于0.36W/m</w:t>
      </w:r>
      <w:r>
        <w:rPr>
          <w:rFonts w:hint="eastAsia" w:asciiTheme="minorEastAsia" w:hAnsiTheme="minorEastAsia" w:eastAsiaTheme="minorEastAsia" w:cstheme="minorEastAsia"/>
          <w:color w:val="auto"/>
          <w:sz w:val="21"/>
          <w:szCs w:val="21"/>
          <w:highlight w:val="none"/>
          <w:vertAlign w:val="superscript"/>
        </w:rPr>
        <w:t>2</w:t>
      </w:r>
      <w:r>
        <w:rPr>
          <w:rFonts w:hint="eastAsia" w:asciiTheme="minorEastAsia" w:hAnsiTheme="minorEastAsia" w:eastAsiaTheme="minorEastAsia" w:cstheme="minorEastAsia"/>
          <w:color w:val="auto"/>
          <w:sz w:val="21"/>
          <w:szCs w:val="21"/>
          <w:highlight w:val="none"/>
        </w:rPr>
        <w:t>·℃。</w:t>
      </w:r>
    </w:p>
    <w:p>
      <w:pPr>
        <w:adjustRightInd w:val="0"/>
        <w:spacing w:line="400" w:lineRule="exact"/>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3)保温层外设置隔汽层和保护层，以防止保温层受潮和受损。</w:t>
      </w:r>
    </w:p>
    <w:p>
      <w:pPr>
        <w:spacing w:line="400" w:lineRule="exact"/>
        <w:outlineLvl w:val="0"/>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3.2.</w:t>
      </w:r>
      <w:r>
        <w:rPr>
          <w:rFonts w:hint="eastAsia" w:asciiTheme="minorEastAsia" w:hAnsiTheme="minorEastAsia" w:eastAsiaTheme="minorEastAsia" w:cstheme="minorEastAsia"/>
          <w:b/>
          <w:color w:val="auto"/>
          <w:sz w:val="21"/>
          <w:szCs w:val="21"/>
          <w:highlight w:val="none"/>
        </w:rPr>
        <w:t>1.2.5材料及焊接</w:t>
      </w:r>
    </w:p>
    <w:p>
      <w:pPr>
        <w:adjustRightInd w:val="0"/>
        <w:spacing w:line="400" w:lineRule="exact"/>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1)机组所采用的钢板、型材、管材等应符合投标方国国家标准规定。</w:t>
      </w:r>
    </w:p>
    <w:p>
      <w:pPr>
        <w:adjustRightInd w:val="0"/>
        <w:spacing w:line="400" w:lineRule="exact"/>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2)垫圈、涂料、保温材料、过滤器及设备其它结构应是有防火特性，并符合投标方国国家防火协会的等级及其试验要求。</w:t>
      </w:r>
    </w:p>
    <w:p>
      <w:pPr>
        <w:adjustRightInd w:val="0"/>
        <w:spacing w:line="400" w:lineRule="exact"/>
        <w:textAlignment w:val="baseline"/>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3)机组各部件材料之间的焊接工艺、方法、材料应符合投标方国国家标准。</w:t>
      </w:r>
    </w:p>
    <w:p>
      <w:pPr>
        <w:spacing w:line="400" w:lineRule="exact"/>
        <w:outlineLvl w:val="0"/>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3.2.</w:t>
      </w:r>
      <w:r>
        <w:rPr>
          <w:rFonts w:hint="eastAsia" w:asciiTheme="minorEastAsia" w:hAnsiTheme="minorEastAsia" w:eastAsiaTheme="minorEastAsia" w:cstheme="minorEastAsia"/>
          <w:b/>
          <w:color w:val="auto"/>
          <w:sz w:val="21"/>
          <w:szCs w:val="21"/>
          <w:highlight w:val="none"/>
        </w:rPr>
        <w:t>1.2.6 噪音控制</w:t>
      </w:r>
    </w:p>
    <w:p>
      <w:pPr>
        <w:spacing w:line="400" w:lineRule="exact"/>
        <w:ind w:firstLine="53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在距离机组室内机外壳1.5mm和地面以上1.0m处测得的噪声值应不大于75dB(A)。</w:t>
      </w:r>
    </w:p>
    <w:p>
      <w:pPr>
        <w:spacing w:line="400" w:lineRule="exact"/>
        <w:outlineLvl w:val="0"/>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3.2.</w:t>
      </w:r>
      <w:r>
        <w:rPr>
          <w:rFonts w:hint="eastAsia" w:asciiTheme="minorEastAsia" w:hAnsiTheme="minorEastAsia" w:eastAsiaTheme="minorEastAsia" w:cstheme="minorEastAsia"/>
          <w:b/>
          <w:color w:val="auto"/>
          <w:sz w:val="21"/>
          <w:szCs w:val="21"/>
          <w:highlight w:val="none"/>
        </w:rPr>
        <w:t>1.2.7机组振动值</w:t>
      </w:r>
    </w:p>
    <w:p>
      <w:pPr>
        <w:spacing w:line="400" w:lineRule="exact"/>
        <w:ind w:firstLine="53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机组室内、外机运转动时的垂直振动不超过15μm。</w:t>
      </w:r>
    </w:p>
    <w:p>
      <w:pPr>
        <w:spacing w:line="400" w:lineRule="exact"/>
        <w:rPr>
          <w:rFonts w:hint="eastAsia" w:asciiTheme="minorEastAsia" w:hAnsiTheme="minorEastAsia" w:eastAsiaTheme="minorEastAsia" w:cstheme="minorEastAsia"/>
          <w:b/>
          <w:bCs/>
          <w:color w:val="auto"/>
          <w:sz w:val="21"/>
          <w:szCs w:val="21"/>
          <w:highlight w:val="none"/>
        </w:rPr>
      </w:pPr>
    </w:p>
    <w:p>
      <w:pPr>
        <w:spacing w:line="400" w:lineRule="exact"/>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（4）净化机组方案说明：</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4.1洁净室送风量的确定：洁净室送风量应取下列两项中的最大者：</w:t>
      </w:r>
    </w:p>
    <w:p>
      <w:pPr>
        <w:spacing w:line="400" w:lineRule="exact"/>
        <w:ind w:left="10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A、保证空气洁净度等级和补充室内排风量所需风量；</w:t>
      </w:r>
    </w:p>
    <w:p>
      <w:pPr>
        <w:spacing w:line="400" w:lineRule="exact"/>
        <w:ind w:left="10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B、满足洁净室温、湿度要求和补充室内排风量所需风量。</w:t>
      </w:r>
    </w:p>
    <w:p>
      <w:pPr>
        <w:spacing w:line="400" w:lineRule="exact"/>
        <w:ind w:firstLine="315" w:firstLine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4.2洁净室新风量的确定：新风量应取下列两项中的最大者：</w:t>
      </w:r>
    </w:p>
    <w:p>
      <w:pPr>
        <w:spacing w:line="400" w:lineRule="exact"/>
        <w:ind w:left="10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A、保持室内正压值和补偿室内排风量所需新风量</w:t>
      </w:r>
    </w:p>
    <w:p>
      <w:pPr>
        <w:spacing w:line="400" w:lineRule="exact"/>
        <w:ind w:left="108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B、满足洁净室内人员新风量的要求40 m</w:t>
      </w:r>
      <w:r>
        <w:rPr>
          <w:rFonts w:hint="eastAsia" w:asciiTheme="minorEastAsia" w:hAnsiTheme="minorEastAsia" w:eastAsiaTheme="minorEastAsia" w:cstheme="minorEastAsia"/>
          <w:color w:val="auto"/>
          <w:sz w:val="21"/>
          <w:szCs w:val="21"/>
          <w:highlight w:val="none"/>
          <w:vertAlign w:val="superscript"/>
        </w:rPr>
        <w:t>3</w:t>
      </w:r>
      <w:r>
        <w:rPr>
          <w:rFonts w:hint="eastAsia" w:asciiTheme="minorEastAsia" w:hAnsiTheme="minorEastAsia" w:eastAsiaTheme="minorEastAsia" w:cstheme="minorEastAsia"/>
          <w:color w:val="auto"/>
          <w:sz w:val="21"/>
          <w:szCs w:val="21"/>
          <w:highlight w:val="none"/>
        </w:rPr>
        <w:t>/h.人。</w:t>
      </w:r>
    </w:p>
    <w:p>
      <w:pPr>
        <w:spacing w:line="400" w:lineRule="exact"/>
        <w:ind w:left="735" w:leftChars="150" w:hanging="420" w:hanging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4.3气流组织形式：顶送、侧下回。采用高效过滤器风口，均匀地布置在顶棚上，空气经高效过滤器送出，工作区气流分布比较均匀；回风口选用带过滤网的铝合金双层百叶风口，回风口设在洁净区回风竖井下部，空气通过百叶风口回至回风竖井、回风支干管，然后回至净化机组中。</w:t>
      </w:r>
    </w:p>
    <w:p>
      <w:pPr>
        <w:spacing w:line="40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4.4压差控制：回风口控制，通过调节回风口上的百叶改变其阻力来调整回风量。</w:t>
      </w:r>
    </w:p>
    <w:p>
      <w:pPr>
        <w:spacing w:line="400" w:lineRule="exact"/>
        <w:ind w:left="630" w:leftChars="200" w:hanging="210" w:hangingChars="1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4.5风管系统设计：本工程按洁净室噪声要求小于65dB（A），风管风速按下列数据选择：总风管为6-10m/s，无送回风口的支风管为4-6m/s，有送回风口的支风管为2-5 m/s。</w:t>
      </w:r>
    </w:p>
    <w:p>
      <w:pPr>
        <w:spacing w:line="400" w:lineRule="exact"/>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(5）电气说明部分</w:t>
      </w:r>
    </w:p>
    <w:p>
      <w:pPr>
        <w:spacing w:line="400" w:lineRule="exact"/>
        <w:ind w:left="6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5.1采用3N，50HZ，220/380V电源供电。</w:t>
      </w:r>
    </w:p>
    <w:p>
      <w:pPr>
        <w:spacing w:line="400" w:lineRule="exact"/>
        <w:ind w:left="1050" w:leftChars="300" w:hanging="420" w:hanging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5.2接地极要求：采用约50×5×2500mm 镀锌角钢，连接线采用φ10圆钢，接地型式TN-S,在配电箱内重复接地，接地线采用φ10圆钢与基础内钢筋焊接引来。保护接地电阻不大于4Ω。</w:t>
      </w:r>
    </w:p>
    <w:p>
      <w:pPr>
        <w:spacing w:line="400" w:lineRule="exact"/>
        <w:ind w:left="1050" w:leftChars="300" w:hanging="420" w:hanging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5.3配电箱(含净化设备、照明、插座、设备及备用)距地≥1.5m安装，开关距地≥1.5m安装，插座距地≥0.3m安装。</w:t>
      </w:r>
    </w:p>
    <w:p>
      <w:pPr>
        <w:spacing w:line="400" w:lineRule="exact"/>
        <w:ind w:left="1050" w:leftChars="350" w:hanging="315" w:hangingChars="15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5.4根据净化照明要求，本工程选用2×28W/14W净化荧光灯，采用吸顶式安装。净化灯于顶棚接缝处应用密封胶密封。净化灯的布置应避免与送、回、排风口冲突，尽量做到布置均匀，美观大方。</w:t>
      </w:r>
    </w:p>
    <w:p>
      <w:pPr>
        <w:spacing w:line="400" w:lineRule="exact"/>
        <w:ind w:left="1155" w:leftChars="350" w:hanging="420" w:hanging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5.5在一般区域内塑料线槽布线安装的，其线槽规格如下原则选取：动力和照明按分别线槽布线的原则执行。在槽满率不超过40％的情况下允许多个回路同槽布线安装。</w:t>
      </w:r>
    </w:p>
    <w:p>
      <w:pPr>
        <w:rPr>
          <w:rFonts w:hint="eastAsia" w:asciiTheme="minorEastAsia" w:hAnsiTheme="minorEastAsia" w:eastAsiaTheme="minorEastAsia" w:cstheme="minorEastAsia"/>
          <w:color w:val="auto"/>
          <w:sz w:val="21"/>
          <w:szCs w:val="21"/>
          <w:highlight w:val="none"/>
          <w:lang w:val="zh-CN"/>
        </w:rPr>
      </w:pPr>
    </w:p>
    <w:p>
      <w:pPr>
        <w:pStyle w:val="46"/>
        <w:tabs>
          <w:tab w:val="left" w:pos="7740"/>
        </w:tabs>
        <w:adjustRightInd w:val="0"/>
        <w:snapToGrid w:val="0"/>
        <w:spacing w:beforeLines="50" w:line="360" w:lineRule="auto"/>
        <w:outlineLvl w:val="1"/>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zh-CN"/>
        </w:rPr>
        <w:t>五、现场踏勘</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本项目不集中组织</w:t>
      </w:r>
      <w:r>
        <w:rPr>
          <w:rFonts w:hint="eastAsia" w:asciiTheme="minorEastAsia" w:hAnsiTheme="minorEastAsia" w:eastAsiaTheme="minorEastAsia" w:cstheme="minorEastAsia"/>
          <w:color w:val="auto"/>
          <w:sz w:val="21"/>
          <w:szCs w:val="21"/>
          <w:highlight w:val="none"/>
        </w:rPr>
        <w:t>现场踏勘</w:t>
      </w:r>
      <w:r>
        <w:rPr>
          <w:rFonts w:hint="eastAsia" w:asciiTheme="minorEastAsia" w:hAnsiTheme="minorEastAsia" w:eastAsiaTheme="minorEastAsia" w:cstheme="minorEastAsia"/>
          <w:color w:val="auto"/>
          <w:sz w:val="21"/>
          <w:szCs w:val="21"/>
          <w:highlight w:val="none"/>
          <w:lang w:val="zh-CN"/>
        </w:rPr>
        <w:t>，由报价人自行踏勘；报价人应充分重视和仔细地进行这种考察，以便报价人获取那些须报价人自己负责的有关编制响应文件和签署合同所涉及现场所有的资料，报价人不进行踏勘的，视为已熟知现场条件，自行承担相关风险。一旦中标，这种考察即被认为其结果已在中标文件中得到充分反映。考察现场的费用由报价人自己承担。</w:t>
      </w:r>
    </w:p>
    <w:p>
      <w:pPr>
        <w:pStyle w:val="2"/>
        <w:rPr>
          <w:rFonts w:hint="eastAsia" w:asciiTheme="minorEastAsia" w:hAnsiTheme="minorEastAsia" w:eastAsiaTheme="minorEastAsia" w:cstheme="minorEastAsia"/>
          <w:color w:val="auto"/>
          <w:sz w:val="21"/>
          <w:szCs w:val="21"/>
          <w:highlight w:val="none"/>
          <w:lang w:val="zh-CN"/>
        </w:rPr>
      </w:pPr>
    </w:p>
    <w:p>
      <w:pPr>
        <w:tabs>
          <w:tab w:val="left" w:pos="840"/>
        </w:tabs>
        <w:spacing w:line="360" w:lineRule="auto"/>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zh-CN"/>
        </w:rPr>
        <w:t>六、主要材料采购一览表</w:t>
      </w:r>
    </w:p>
    <w:tbl>
      <w:tblPr>
        <w:tblStyle w:val="89"/>
        <w:tblW w:w="901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96"/>
        <w:gridCol w:w="1610"/>
        <w:gridCol w:w="2726"/>
        <w:gridCol w:w="573"/>
        <w:gridCol w:w="545"/>
        <w:gridCol w:w="1606"/>
        <w:gridCol w:w="14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rPr>
        <w:tc>
          <w:tcPr>
            <w:tcW w:w="49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21"/>
                <w:szCs w:val="21"/>
                <w:highlight w:val="none"/>
                <w:u w:val="none"/>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序号</w:t>
            </w:r>
          </w:p>
        </w:tc>
        <w:tc>
          <w:tcPr>
            <w:tcW w:w="1610"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21"/>
                <w:szCs w:val="21"/>
                <w:highlight w:val="none"/>
                <w:u w:val="none"/>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货物名称</w:t>
            </w:r>
          </w:p>
        </w:tc>
        <w:tc>
          <w:tcPr>
            <w:tcW w:w="2726"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21"/>
                <w:szCs w:val="21"/>
                <w:highlight w:val="none"/>
                <w:u w:val="none"/>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型号规格与技术参数</w:t>
            </w:r>
          </w:p>
        </w:tc>
        <w:tc>
          <w:tcPr>
            <w:tcW w:w="573"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21"/>
                <w:szCs w:val="21"/>
                <w:highlight w:val="none"/>
                <w:u w:val="none"/>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数量</w:t>
            </w:r>
          </w:p>
        </w:tc>
        <w:tc>
          <w:tcPr>
            <w:tcW w:w="545"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21"/>
                <w:szCs w:val="21"/>
                <w:highlight w:val="none"/>
                <w:u w:val="none"/>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单位</w:t>
            </w:r>
          </w:p>
        </w:tc>
        <w:tc>
          <w:tcPr>
            <w:tcW w:w="1606"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21"/>
                <w:szCs w:val="21"/>
                <w:highlight w:val="none"/>
                <w:u w:val="none"/>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备注</w:t>
            </w:r>
          </w:p>
        </w:tc>
        <w:tc>
          <w:tcPr>
            <w:tcW w:w="1462"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21"/>
                <w:szCs w:val="21"/>
                <w:highlight w:val="none"/>
                <w:u w:val="none"/>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参考品牌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901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i w:val="0"/>
                <w:color w:val="auto"/>
                <w:kern w:val="0"/>
                <w:sz w:val="21"/>
                <w:szCs w:val="21"/>
                <w:highlight w:val="none"/>
                <w:u w:val="none"/>
                <w:lang w:val="en-US" w:eastAsia="zh-CN" w:bidi="ar"/>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一、排风部分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1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玻璃钢离心风机</w:t>
            </w:r>
          </w:p>
        </w:tc>
        <w:tc>
          <w:tcPr>
            <w:tcW w:w="27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F4-72- 7A、N=7.5Kw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Q= 11300-19400m3/h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P= 1570-1045Pa</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r= 1450r/m</w:t>
            </w:r>
          </w:p>
        </w:tc>
        <w:tc>
          <w:tcPr>
            <w:tcW w:w="5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45" w:type="dxa"/>
            <w:tcBorders>
              <w:top w:val="single" w:color="000000" w:sz="4" w:space="0"/>
              <w:left w:val="single" w:color="000000" w:sz="4" w:space="0"/>
              <w:bottom w:val="single" w:color="000000"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6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防腐玻璃钢材质</w:t>
            </w:r>
          </w:p>
        </w:tc>
        <w:tc>
          <w:tcPr>
            <w:tcW w:w="146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载泽、生泰、三合、顶裕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风机进口变径</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约#7</w:t>
            </w:r>
            <w:r>
              <w:rPr>
                <w:rStyle w:val="220"/>
                <w:rFonts w:hint="eastAsia" w:asciiTheme="minorEastAsia" w:hAnsiTheme="minorEastAsia" w:eastAsiaTheme="minorEastAsia" w:cstheme="minorEastAsia"/>
                <w:color w:val="auto"/>
                <w:sz w:val="21"/>
                <w:szCs w:val="21"/>
                <w:highlight w:val="none"/>
                <w:lang w:val="en-US" w:eastAsia="zh-CN" w:bidi="ar"/>
              </w:rPr>
              <w:t>A-600*400 玻璃钢</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防腐玻璃钢材质</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风机进口变径</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约#7A-800*400 玻璃钢</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防腐玻璃钢材质</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软连接</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 PVC</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条</w:t>
            </w:r>
          </w:p>
        </w:tc>
        <w:tc>
          <w:tcPr>
            <w:tcW w:w="16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防腐玻璃钢材质</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软连接</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 PVC</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条</w:t>
            </w:r>
          </w:p>
        </w:tc>
        <w:tc>
          <w:tcPr>
            <w:tcW w:w="16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防腐玻璃钢材质</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伞形防雨帽</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约#7A 玻璃钢</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防腐玻璃钢材质</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风机减震垫</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≥100*100mm</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风机水泥机座</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≥4000*2500*150mm</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钢筋混凝土按标准工艺制作</w:t>
            </w:r>
          </w:p>
        </w:tc>
        <w:tc>
          <w:tcPr>
            <w:tcW w:w="14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钢材：宝钢、武钢、鞍钢 ；水泥：英德、英臺、粤磊、石井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9</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吸附箱水泥机座</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≥3000*2500*150mm</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消声器</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≥1200*800mm</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6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防腐玻璃钢材质</w:t>
            </w:r>
          </w:p>
        </w:tc>
        <w:tc>
          <w:tcPr>
            <w:tcW w:w="146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载泽、生泰、三合、顶裕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11</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活性炭吸附箱</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处理风量10000m3/h</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(1)活性炭吸附箱安装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(2)系统调试费           (3)外箱尺寸约1800*1500*1200mm</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6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外箱采用≥10mm厚PP材质制作，设两层蜂窝状活性炭过滤板，放≥150mm厚/层共 6块活性炭吸附板</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12</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活性炭吸附箱</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处理风量15000m3/h</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(1)活性炭吸附箱安装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(2)系统调试费          （3)外箱尺寸约2400*1500*1200mm</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6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外箱采用≥10mm厚PP材质制作，设两层蜂窝状活性炭过滤板，放≥150mm厚/层共 6块活性炭吸附板</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1"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13</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70℃常开防火阀</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(1)名称:70℃防火阀</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(2)规格:约600*400mm</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(3)刷漆:一般钢结构手工除轻锈，一般钢结构防锈漆两遍</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(4)支架:设备支架制作和安装</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顺达、宏发、峻威、中境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1"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14</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70℃常开防火阀</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(1)名称:70℃防火阀</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(2)规格:约800*400mm</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(3)刷漆:一般钢结构手工除轻锈，一般钢结构防锈漆两遍</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(4)支架:设备支架制作和安装</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顺达、宏发、峻威、中境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15</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电动调风阀</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1.电动调风阀安装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2.DN 250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防腐PP材质制作</w:t>
            </w:r>
          </w:p>
        </w:tc>
        <w:tc>
          <w:tcPr>
            <w:tcW w:w="14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载泽、台雄、熙诚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16</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电动调风阀</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1.电动调风阀安装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2.DN 315</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防腐PP材质制作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17</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约ø110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24</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采用≥3mmPP板制作</w:t>
            </w:r>
          </w:p>
        </w:tc>
        <w:tc>
          <w:tcPr>
            <w:tcW w:w="14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熙诚，宝迪亚、晋兴、贤骏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18</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约ø160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24</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采用≥3mmPP板制作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19</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约ø250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44</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采用≥4mmPP板制作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约ø315</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20</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采用≥4mmPP板制作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21</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32</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22</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约400*400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16</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23</w:t>
            </w:r>
          </w:p>
        </w:tc>
        <w:tc>
          <w:tcPr>
            <w:tcW w:w="1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7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w:t>
            </w:r>
          </w:p>
        </w:tc>
        <w:tc>
          <w:tcPr>
            <w:tcW w:w="5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48</w:t>
            </w:r>
          </w:p>
        </w:tc>
        <w:tc>
          <w:tcPr>
            <w:tcW w:w="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24</w:t>
            </w:r>
          </w:p>
        </w:tc>
        <w:tc>
          <w:tcPr>
            <w:tcW w:w="1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PP风管</w:t>
            </w:r>
          </w:p>
        </w:tc>
        <w:tc>
          <w:tcPr>
            <w:tcW w:w="27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w:t>
            </w:r>
          </w:p>
        </w:tc>
        <w:tc>
          <w:tcPr>
            <w:tcW w:w="5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64</w:t>
            </w:r>
          </w:p>
        </w:tc>
        <w:tc>
          <w:tcPr>
            <w:tcW w:w="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25</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PP弯头</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约ø110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10</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采用≥3mmPP板制作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26</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PP弯头</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约ø160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采用≥3mmPP板制作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27</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PP弯头</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约ø250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采用≥4mmPP板制作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28</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PP弯头</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约ø315</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10</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采用≥4mmPP板制作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29</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PP弯头</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PP弯头</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约400*400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31</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PP弯头</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32</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PP弯头</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33</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PP变径</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约ø250\ø160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采用≥4mmPP板制作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34</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PP变径</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约600*400\ø250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35</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PP变径</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约600*400\400*300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36</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PP变径</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约800*400\400*300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37</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PP三通</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约ø160\ø160\ø110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采用≥3mmPP板制作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38</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PP三通</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约ø250\ø250\ø110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13</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采用≥4mmPP板制作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39</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PP三通</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约ø250\ø250\ø160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采用≥4mmPP板制作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PP三通</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约400*300\400*300\ø160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41</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PP三通</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约400*300\400*300\ø250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42</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PP三通</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约400*300\400*300\ø315</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43</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PP三通</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约400*400\400*400\ø315</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44</w:t>
            </w:r>
          </w:p>
        </w:tc>
        <w:tc>
          <w:tcPr>
            <w:tcW w:w="1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7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约800*400\800*400\ø250</w:t>
            </w:r>
          </w:p>
        </w:tc>
        <w:tc>
          <w:tcPr>
            <w:tcW w:w="5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45</w:t>
            </w:r>
          </w:p>
        </w:tc>
        <w:tc>
          <w:tcPr>
            <w:tcW w:w="1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三通</w:t>
            </w:r>
          </w:p>
        </w:tc>
        <w:tc>
          <w:tcPr>
            <w:tcW w:w="27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约800*400\800*400\400*400</w:t>
            </w:r>
          </w:p>
        </w:tc>
        <w:tc>
          <w:tcPr>
            <w:tcW w:w="5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46</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约ø110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采用≥3mmPP板制作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47</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约ø160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采用≥3mmPP板制作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48</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约ø250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采用≥4mmPP板制作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49</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约ø315</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采用≥4mmPP板制作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10</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51</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约400*400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52</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约600*400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15</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53</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PP 直通</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30</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采用≥5mmPP板制作</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54</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风阀控制面板配底座</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现场定制</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14</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c>
          <w:tcPr>
            <w:tcW w:w="14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熙诚、台雄、扬悦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55</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管道静压传感控制系统</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i w:val="0"/>
                <w:color w:val="auto"/>
                <w:sz w:val="21"/>
                <w:szCs w:val="21"/>
                <w:highlight w:val="none"/>
                <w:u w:val="none"/>
              </w:rPr>
            </w:pP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Dwyer、霍尼韦尔、西门子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56</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变频器</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约7.5 KW</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ABB、施耐德、西门子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57</w:t>
            </w:r>
          </w:p>
        </w:tc>
        <w:tc>
          <w:tcPr>
            <w:tcW w:w="16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通风配电箱4、5</w:t>
            </w:r>
          </w:p>
        </w:tc>
        <w:tc>
          <w:tcPr>
            <w:tcW w:w="27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1.成套配电箱安装、交流接触器、中间继电器 </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2、按钮、指示灯、电流表</w:t>
            </w:r>
          </w:p>
        </w:tc>
        <w:tc>
          <w:tcPr>
            <w:tcW w:w="5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4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6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c>
          <w:tcPr>
            <w:tcW w:w="146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基业、展业、一控电气、广东旺洪、依基、白云电器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58</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动力线</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约ZR-YJV-4x6mm2</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100</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珠江环市、珠江花城、广东电缆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59</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电动风阀电源线</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约ZR-BV-3x0.75mm2</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1200</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控制面板电源线</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约ZR-BV-3x1.0mm2</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1200</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61</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系统控制线</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约8芯数据控制线</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1200</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62</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线管（P</w:t>
            </w:r>
            <w:r>
              <w:rPr>
                <w:rStyle w:val="221"/>
                <w:rFonts w:hint="eastAsia" w:asciiTheme="minorEastAsia" w:hAnsiTheme="minorEastAsia" w:eastAsiaTheme="minorEastAsia" w:cstheme="minorEastAsia"/>
                <w:color w:val="auto"/>
                <w:sz w:val="21"/>
                <w:szCs w:val="21"/>
                <w:highlight w:val="none"/>
                <w:lang w:val="en-US" w:eastAsia="zh-CN" w:bidi="ar"/>
              </w:rPr>
              <w:t>VC）</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约ø25</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2500</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联塑、祥塑、金德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63</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镀锌桥架及配件</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约100*50*1.5 钢制喷涂</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100</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米</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市购、国标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trPr>
        <w:tc>
          <w:tcPr>
            <w:tcW w:w="49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64</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风管支吊架</w:t>
            </w:r>
          </w:p>
        </w:tc>
        <w:tc>
          <w:tcPr>
            <w:tcW w:w="272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1.类型:通风设备支架制作安装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2.材质:钢结构</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3.除锈、刷油设计要求:手工除锈 防锈漆两遍</w:t>
            </w:r>
          </w:p>
        </w:tc>
        <w:tc>
          <w:tcPr>
            <w:tcW w:w="573"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685</w:t>
            </w:r>
          </w:p>
        </w:tc>
        <w:tc>
          <w:tcPr>
            <w:tcW w:w="545"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Kg</w:t>
            </w:r>
          </w:p>
        </w:tc>
        <w:tc>
          <w:tcPr>
            <w:tcW w:w="1606"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c>
          <w:tcPr>
            <w:tcW w:w="1462"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市购、国标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1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b/>
                <w:i w:val="0"/>
                <w:color w:val="auto"/>
                <w:kern w:val="0"/>
                <w:sz w:val="21"/>
                <w:szCs w:val="21"/>
                <w:highlight w:val="none"/>
                <w:u w:val="none"/>
                <w:lang w:val="en-US" w:eastAsia="zh-CN" w:bidi="ar"/>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二、洁净系统设备部分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61" w:hRule="atLeast"/>
        </w:trPr>
        <w:tc>
          <w:tcPr>
            <w:tcW w:w="49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65</w:t>
            </w:r>
          </w:p>
        </w:tc>
        <w:tc>
          <w:tcPr>
            <w:tcW w:w="1610"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直膨组合式空气处理机组（AHU-1）室内机组</w:t>
            </w:r>
          </w:p>
        </w:tc>
        <w:tc>
          <w:tcPr>
            <w:tcW w:w="2726"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吊顶式，额定风量：≥1400m3/h  机外余压：≥650Pa 电机功率：≥3Kw ，初效过滤器：板式无纺布材质 G4 ， 中效过滤器：袋式、无纺布材质 F8，功能段：新风回风混合段、初效过滤段、表冷段 中间段、风机出风段、中效过滤段、 均流段  机组有效减震处理 三相，380V，50HZ，内机外形尺寸（宽*深*高）≤950*1800*650mm，吊顶安装。</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洁净实验室专用空调机组，符合国标</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申菱、天加、雅士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66</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风冷直膨式空调室外机（AHU-1）</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制冷量：≥7.5Kw 制热量：≥8Kw  三相，380V，50HZ</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台</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洁净实验室专用空调机组，符合国标</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申菱、天加、雅士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51"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67</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设备基础</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现场水泥砂浆浇注</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钢筋混凝土，按标准工艺制作</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钢材：宝钢、武钢、鞍钢 ；水泥：英德、英臺、粤磊、石井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68</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指针式压差表</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压差0-60PA，1/8口内牙常温常压双高低压接口，精度21°C全刻度±4%，温度范围-7至60%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拓德、 ELECALL、 DWYER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69</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高效过滤器</w:t>
            </w:r>
          </w:p>
        </w:tc>
        <w:tc>
          <w:tcPr>
            <w:tcW w:w="27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1000m3/h，冷板制作、静电喷塑、铝散流板小孔484×484×220(mm)，过滤效率≥99.99。</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洁千里、中境、顺达、金田科瑞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高效过滤器</w:t>
            </w:r>
          </w:p>
        </w:tc>
        <w:tc>
          <w:tcPr>
            <w:tcW w:w="27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500m3/h，冷板制作、静电喷塑、铝散流板小孔320×320×220(mm)，过滤效率≥99.99。</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71</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镀锌风管</w:t>
            </w:r>
          </w:p>
        </w:tc>
        <w:tc>
          <w:tcPr>
            <w:tcW w:w="27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δ＝0.8mm，符合Q/BQB430-1999标准。防锈。</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60</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r>
              <w:rPr>
                <w:rStyle w:val="219"/>
                <w:rFonts w:hint="eastAsia" w:asciiTheme="minorEastAsia" w:hAnsiTheme="minorEastAsia" w:eastAsiaTheme="minorEastAsia" w:cstheme="minorEastAsia"/>
                <w:color w:val="auto"/>
                <w:sz w:val="21"/>
                <w:szCs w:val="21"/>
                <w:highlight w:val="none"/>
                <w:lang w:val="en-US" w:eastAsia="zh-CN" w:bidi="ar"/>
              </w:rPr>
              <w:t>2</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武钢、鞍钢、宝钢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72</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风管保温</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20mm</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60</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r>
              <w:rPr>
                <w:rStyle w:val="219"/>
                <w:rFonts w:hint="eastAsia" w:asciiTheme="minorEastAsia" w:hAnsiTheme="minorEastAsia" w:eastAsiaTheme="minorEastAsia" w:cstheme="minorEastAsia"/>
                <w:color w:val="auto"/>
                <w:sz w:val="21"/>
                <w:szCs w:val="21"/>
                <w:highlight w:val="none"/>
                <w:lang w:val="en-US" w:eastAsia="zh-CN" w:bidi="ar"/>
              </w:rPr>
              <w:t>2</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按标准工艺制作标准</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华美、康龙、工仕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5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73</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 xml:space="preserve">消声静压箱  </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约800×400×320mm.表层0.8mm厚镀锌钢板制作，第二层20mm消音棉，第三层为纱网布，第四层为0.8mm厚镀锌钢板冲孔网</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顺达、洁千里、金田科瑞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5"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74</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手动风量调节阀</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约200*200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顺达、宏发、峻威、中境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75</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手动风量调节阀</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约320*200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76</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电动风量调节阀</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约200*200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77</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电动风量调节阀</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约320*200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85"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78</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防火调节阀(70℃)</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约400×300，常开，温度&gt;70℃易熔片动作使阀门自动关闭</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79</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止回阀</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约320×250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铝合金排风百叶</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约400x250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81</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新风防雨百页（带防虫网）</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约1200*1500</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市购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82</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风管支架</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优质镀锌钢材</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市购、现场制作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83</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空调铜管及保温</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≤20米范围内</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铜管：市购；保温：华美、康龙、工仕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1"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84</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压力传感器</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精度：0.5”&amp;0.25”w.c.; ±1%；0.1”w.c.:±2%。100&amp;50Pa:±1%;25Pa:±2%</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稳定性：±1%满量程/年</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温度范围: (-18 to 66°C).</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压力极限：最大耐压：1 psi（连续），安全极限压力：10 psi</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电源：10-35VDC（2 线）；17-36VDC 或隔离的21.6-33VAC(3 线)</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输出信号：4-20mA（2 线）；0-10V（3 线）</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拓德、ELECALL、DWYER、丰控、建大仁科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81"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85</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风速传感器</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量程：0-10m/s; 0-15m/s; 0-25m/s</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精度：0.2%fs</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电源：24VAC；24VDC</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频率：50Hz</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输出信号：0-10VDC;4-20mA;0-5V订制 RS485信号</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工作环境：温度：-5~+70 湿度：0-90%RH不凝露</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探头长度：标准220mm 可定制1500mm以下长度或非常规5000mm以下长度</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拓德、ELECALL、DWYER、丰控、建大仁科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01"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86</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温湿度传感器</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外壳材料：塑料(PC+ABS)，阻燃，符合标准UL94-V0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接线端子排：螺旋式接线柱，最Da导线尺寸为1.5mm2或AWG16</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电源：24，18～40Vdc/24Vac</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输出：4～20mA/0～10V</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量程：0～1OO%RH</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温度：-5到55℃，0℃到70℃。零下25℃到60℃三档跳线选择</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精度：±2%RH,±4%RH 可选</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只</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拓德、ELECALL、DWYER、丰控、建大仁科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21"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87</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空调风机控制箱(AP)</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PLC洁净空调控制柜(含人机界面、控制箱、控制线、传感器等元件）</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电箱;基业、一控电气、广东旺洪、依基；电子元气件：施耐德、西门子、正泰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88</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开风口及修复</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本项目范围内包干</w:t>
            </w:r>
          </w:p>
        </w:tc>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现场处理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41"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89</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安装辅材</w:t>
            </w:r>
          </w:p>
        </w:tc>
        <w:tc>
          <w:tcPr>
            <w:tcW w:w="27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包含安装所需的各种胶水，粘胶带，胶布，扎丝，帮扎带，支架，吊架，焊条，锁母，电工套管，涂料、油漆、松节油、银粉、水泥、沙子、铁钉、膨胀螺丝，螺栓、螺帽、铁线、粉线、测水平管、生料带、钢锯条、切割机砂轮片、砂纸、钢丝刷子、橡胶垫、橡胶石棉板等辅助性材料的采购与安装</w:t>
            </w:r>
          </w:p>
        </w:tc>
        <w:tc>
          <w:tcPr>
            <w:tcW w:w="57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市购</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Theme="minorEastAsia" w:hAnsiTheme="minorEastAsia" w:eastAsiaTheme="minorEastAsia" w:cstheme="minorEastAsia"/>
                <w:i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90</w:t>
            </w:r>
          </w:p>
        </w:tc>
        <w:tc>
          <w:tcPr>
            <w:tcW w:w="1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设备吊装</w:t>
            </w:r>
          </w:p>
        </w:tc>
        <w:tc>
          <w:tcPr>
            <w:tcW w:w="272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本项目范围内包干</w:t>
            </w:r>
          </w:p>
        </w:tc>
        <w:tc>
          <w:tcPr>
            <w:tcW w:w="573"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45"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1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Theme="minorEastAsia" w:hAnsiTheme="minorEastAsia" w:eastAsiaTheme="minorEastAsia" w:cstheme="minorEastAsia"/>
                <w:i w:val="0"/>
                <w:color w:val="auto"/>
                <w:sz w:val="21"/>
                <w:szCs w:val="21"/>
                <w:highlight w:val="none"/>
                <w:u w:val="none"/>
              </w:rPr>
            </w:pPr>
          </w:p>
        </w:tc>
      </w:tr>
    </w:tbl>
    <w:p>
      <w:pPr>
        <w:spacing w:line="440" w:lineRule="exact"/>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注：</w:t>
      </w:r>
    </w:p>
    <w:p>
      <w:pPr>
        <w:spacing w:line="44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rPr>
        <w:t>本</w:t>
      </w:r>
      <w:r>
        <w:rPr>
          <w:rFonts w:hint="eastAsia" w:asciiTheme="minorEastAsia" w:hAnsiTheme="minorEastAsia" w:eastAsiaTheme="minorEastAsia" w:cstheme="minorEastAsia"/>
          <w:color w:val="auto"/>
          <w:sz w:val="21"/>
          <w:szCs w:val="21"/>
          <w:highlight w:val="none"/>
          <w:lang w:val="zh-CN"/>
        </w:rPr>
        <w:t>主要材料采购一览表</w:t>
      </w:r>
      <w:r>
        <w:rPr>
          <w:rFonts w:hint="eastAsia" w:asciiTheme="minorEastAsia" w:hAnsiTheme="minorEastAsia" w:eastAsiaTheme="minorEastAsia" w:cstheme="minorEastAsia"/>
          <w:color w:val="auto"/>
          <w:sz w:val="21"/>
          <w:szCs w:val="21"/>
          <w:highlight w:val="none"/>
        </w:rPr>
        <w:t>中所列的性能参数、规格、型号为基准符合参数，投标人可选用其他性能参数、规格、型号产品替代，但替代产品的性能参数、规格、型号在实质性要求和条件上要相当于或优于参考的产品性能参数。</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2、以上需求清单为基本配置清单，投标人须依据工艺设计进行细化，具体数量及规格必须按照工艺设计及建设方技术要求进行详细列表说明与施工。</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 xml:space="preserve"> 3、凡在“技术参数要求”中表述为“标配”或“标准配置”的设备，投标人应按第五章“投标文件格式”规定的格式在“投标产品技术资料表”中将其参数详细列明。</w:t>
      </w:r>
    </w:p>
    <w:p>
      <w:pPr>
        <w:pStyle w:val="2"/>
        <w:rPr>
          <w:rFonts w:hint="eastAsia" w:asciiTheme="minorEastAsia" w:hAnsiTheme="minorEastAsia" w:eastAsiaTheme="minorEastAsia" w:cstheme="minorEastAsia"/>
          <w:color w:val="auto"/>
          <w:sz w:val="21"/>
          <w:szCs w:val="21"/>
          <w:highlight w:val="none"/>
          <w:lang w:val="en-US" w:eastAsia="zh-CN"/>
        </w:rPr>
      </w:pPr>
    </w:p>
    <w:p>
      <w:pPr>
        <w:tabs>
          <w:tab w:val="left" w:pos="840"/>
        </w:tabs>
        <w:spacing w:line="440" w:lineRule="exact"/>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zh-CN"/>
        </w:rPr>
        <w:t>七、平面图</w:t>
      </w:r>
    </w:p>
    <w:p>
      <w:pPr>
        <w:pStyle w:val="2"/>
        <w:rPr>
          <w:rFonts w:hint="eastAsia" w:asciiTheme="minorEastAsia" w:hAnsiTheme="minorEastAsia" w:eastAsiaTheme="minorEastAsia" w:cstheme="minorEastAsia"/>
          <w:color w:val="auto"/>
          <w:sz w:val="21"/>
          <w:szCs w:val="21"/>
          <w:highlight w:val="none"/>
          <w:lang w:val="zh-CN"/>
        </w:rPr>
      </w:pPr>
    </w:p>
    <w:p>
      <w:pPr>
        <w:pStyle w:val="2"/>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rPr>
        <w:drawing>
          <wp:inline distT="0" distB="0" distL="114300" distR="114300">
            <wp:extent cx="5949315" cy="8994140"/>
            <wp:effectExtent l="0" t="0" r="13335" b="16510"/>
            <wp:docPr id="22" name="图片 22" descr="15999713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599971348(1)"/>
                    <pic:cNvPicPr>
                      <a:picLocks noChangeAspect="1"/>
                    </pic:cNvPicPr>
                  </pic:nvPicPr>
                  <pic:blipFill>
                    <a:blip r:embed="rId26"/>
                    <a:stretch>
                      <a:fillRect/>
                    </a:stretch>
                  </pic:blipFill>
                  <pic:spPr>
                    <a:xfrm>
                      <a:off x="0" y="0"/>
                      <a:ext cx="5949315" cy="8994140"/>
                    </a:xfrm>
                    <a:prstGeom prst="rect">
                      <a:avLst/>
                    </a:prstGeom>
                  </pic:spPr>
                </pic:pic>
              </a:graphicData>
            </a:graphic>
          </wp:inline>
        </w:drawing>
      </w:r>
    </w:p>
    <w:p>
      <w:pPr>
        <w:pStyle w:val="2"/>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drawing>
          <wp:inline distT="0" distB="0" distL="114300" distR="114300">
            <wp:extent cx="6184265" cy="8350885"/>
            <wp:effectExtent l="0" t="0" r="6985" b="12065"/>
            <wp:docPr id="21" name="图片 21" descr="15999712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599971272(1)"/>
                    <pic:cNvPicPr>
                      <a:picLocks noChangeAspect="1"/>
                    </pic:cNvPicPr>
                  </pic:nvPicPr>
                  <pic:blipFill>
                    <a:blip r:embed="rId27"/>
                    <a:stretch>
                      <a:fillRect/>
                    </a:stretch>
                  </pic:blipFill>
                  <pic:spPr>
                    <a:xfrm>
                      <a:off x="0" y="0"/>
                      <a:ext cx="6184265" cy="8350885"/>
                    </a:xfrm>
                    <a:prstGeom prst="rect">
                      <a:avLst/>
                    </a:prstGeom>
                  </pic:spPr>
                </pic:pic>
              </a:graphicData>
            </a:graphic>
          </wp:inline>
        </w:drawing>
      </w:r>
    </w:p>
    <w:p>
      <w:pPr>
        <w:tabs>
          <w:tab w:val="left" w:pos="840"/>
        </w:tabs>
        <w:spacing w:line="440" w:lineRule="exact"/>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rPr>
        <w:t>八</w:t>
      </w:r>
      <w:r>
        <w:rPr>
          <w:rFonts w:hint="eastAsia" w:asciiTheme="minorEastAsia" w:hAnsiTheme="minorEastAsia" w:eastAsiaTheme="minorEastAsia" w:cstheme="minorEastAsia"/>
          <w:b/>
          <w:color w:val="auto"/>
          <w:sz w:val="21"/>
          <w:szCs w:val="21"/>
          <w:highlight w:val="none"/>
          <w:lang w:val="zh-CN"/>
        </w:rPr>
        <w:t>、其他</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1.本次报价包括以上清单中所有内容，报价人必须给出清单所有项目的综合单价（综合单价须有明细内容）和合价，若有缺项漏项，应视为均摊在其他费用中。</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2.若本项目有增加工作量部分，则按原清单中单价计价，若清单中无该项目则按相关规范按实际发生工作量结算。</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3.各报价人必须给出产品的详细资料，包括技术标准、产品配置、尺寸等，以便采购人综合进行评定。</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4.报价人必须保证：报价所列内容使得整个工程在功能上的完整性，并正常运行，验收合格。</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5.成交人责任:成交人在施工过程中需要负责处理好与周边的关系及经济问题，发生任何纠纷以及产生所有费用均由成交人自行承担。</w:t>
      </w:r>
    </w:p>
    <w:p>
      <w:pPr>
        <w:tabs>
          <w:tab w:val="left" w:pos="840"/>
        </w:tabs>
        <w:spacing w:line="440" w:lineRule="exact"/>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rPr>
        <w:t>九、</w:t>
      </w:r>
      <w:r>
        <w:rPr>
          <w:rFonts w:hint="eastAsia" w:asciiTheme="minorEastAsia" w:hAnsiTheme="minorEastAsia" w:eastAsiaTheme="minorEastAsia" w:cstheme="minorEastAsia"/>
          <w:b/>
          <w:color w:val="auto"/>
          <w:sz w:val="21"/>
          <w:szCs w:val="21"/>
          <w:highlight w:val="none"/>
          <w:lang w:val="zh-CN"/>
        </w:rPr>
        <w:t>质量保修期及售后服务要求</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1、免费质保期期限（自验收合格之日起计）：</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质量保修期</w:t>
      </w:r>
      <w:r>
        <w:rPr>
          <w:rFonts w:hint="eastAsia" w:asciiTheme="minorEastAsia" w:hAnsiTheme="minorEastAsia" w:eastAsiaTheme="minorEastAsia" w:cstheme="minorEastAsia"/>
          <w:color w:val="auto"/>
          <w:sz w:val="21"/>
          <w:szCs w:val="21"/>
          <w:highlight w:val="none"/>
        </w:rPr>
        <w:t>至少一</w:t>
      </w:r>
      <w:r>
        <w:rPr>
          <w:rFonts w:hint="eastAsia" w:asciiTheme="minorEastAsia" w:hAnsiTheme="minorEastAsia" w:eastAsiaTheme="minorEastAsia" w:cstheme="minorEastAsia"/>
          <w:color w:val="auto"/>
          <w:sz w:val="21"/>
          <w:szCs w:val="21"/>
          <w:highlight w:val="none"/>
          <w:lang w:val="zh-CN"/>
        </w:rPr>
        <w:t>年。</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以上要求，若国家或生产厂家对本项目所涉及货物及其服务的质保期规定高于本项目要求的，应按照国家或生产厂家的规定执行。</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质量保修期内成交人对所供项目内容实行包修、包换、包维护保养</w:t>
      </w:r>
      <w:r>
        <w:rPr>
          <w:rFonts w:hint="eastAsia" w:asciiTheme="minorEastAsia" w:hAnsiTheme="minorEastAsia" w:eastAsiaTheme="minorEastAsia" w:cstheme="minorEastAsia"/>
          <w:color w:val="auto"/>
          <w:sz w:val="21"/>
          <w:szCs w:val="21"/>
          <w:highlight w:val="none"/>
        </w:rPr>
        <w:t>，结合具体工程要求</w:t>
      </w:r>
      <w:r>
        <w:rPr>
          <w:rFonts w:hint="eastAsia" w:asciiTheme="minorEastAsia" w:hAnsiTheme="minorEastAsia" w:eastAsiaTheme="minorEastAsia" w:cstheme="minorEastAsia"/>
          <w:color w:val="auto"/>
          <w:sz w:val="21"/>
          <w:szCs w:val="21"/>
          <w:highlight w:val="none"/>
          <w:lang w:val="zh-CN"/>
        </w:rPr>
        <w:t>。免费质保期所涉及服务的一切费用均包含在投标报价中。</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2、报价人承诺，质保期内产品实行“三包”服务：包退：产品在验收时，如发现严重的质量问题,可给予退货或更换；包换：用户在正常使用的情况下，如出现较大问题,导致不能正常使用,且产品无法修复情况下,无条件更换同一款式，规格及材质的全新产品；包修: 因生产原因造成的产品质量问题(非人为损坏或不可避免的自然灾害除外),不收取任何维修服务费和零件费。在质保期满后, 酌情收取维修或更换的材料成本费用。</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3、服务响应时间：报价人承诺在质保期内收到采购人有关售后服务的要求，电话或传真后，在3小时内安排专人到现场进行处理并在8小时内解决问题。若问题严重无法短时间解决的，必须在3小时内回复何时解决及解决办法，并做出书面解释。</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4、报价人应在广东省内有专业的售后服务机构和人员，并提供售后服务机构相关信息、联系电话及联系人。</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5、配件：报价人承诺在质保期内免费提供有效的常用配件。</w:t>
      </w:r>
    </w:p>
    <w:p>
      <w:pPr>
        <w:spacing w:line="440" w:lineRule="exact"/>
        <w:ind w:firstLine="420" w:firstLineChars="20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6、培训：报价人承诺在合同签订后，组织采购人相关管理人员进行产品使用和日常保养的知识培训，培训费用由报价人承担。</w:t>
      </w:r>
    </w:p>
    <w:p>
      <w:pPr>
        <w:tabs>
          <w:tab w:val="left" w:pos="840"/>
        </w:tabs>
        <w:spacing w:line="440" w:lineRule="exact"/>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十</w:t>
      </w:r>
      <w:r>
        <w:rPr>
          <w:rFonts w:hint="eastAsia" w:asciiTheme="minorEastAsia" w:hAnsiTheme="minorEastAsia" w:eastAsiaTheme="minorEastAsia" w:cstheme="minorEastAsia"/>
          <w:b/>
          <w:color w:val="auto"/>
          <w:sz w:val="21"/>
          <w:szCs w:val="21"/>
          <w:highlight w:val="none"/>
          <w:lang w:val="zh-CN"/>
        </w:rPr>
        <w:t>、支付方式</w:t>
      </w:r>
    </w:p>
    <w:p>
      <w:pPr>
        <w:spacing w:line="44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1.支付方式：</w:t>
      </w:r>
    </w:p>
    <w:p>
      <w:pPr>
        <w:spacing w:line="44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采购人按下述进度以转账方式支付相应款项。</w:t>
      </w:r>
    </w:p>
    <w:p>
      <w:pPr>
        <w:spacing w:line="44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2.支付进度：</w:t>
      </w:r>
    </w:p>
    <w:p>
      <w:pPr>
        <w:spacing w:line="44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（一）付款采用 分期付款方式；</w:t>
      </w:r>
    </w:p>
    <w:p>
      <w:pPr>
        <w:spacing w:line="44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（二）具体付款方式：</w:t>
      </w:r>
    </w:p>
    <w:p>
      <w:pPr>
        <w:spacing w:line="44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（1）合同签订生效后，采购人支付成交人合同金额30%预付款；</w:t>
      </w:r>
    </w:p>
    <w:p>
      <w:pPr>
        <w:spacing w:line="44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（2）所有货物到达安装现场并经采购人确认后，采购人按合同金额向成交人支付至80%的款项；</w:t>
      </w:r>
    </w:p>
    <w:p>
      <w:pPr>
        <w:spacing w:line="44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项目完成并经采购人及上级主管部门验收合格等手续，采购人自收到发票后30日内将资金支付到成交人账户，支付至结算金额的95%，余下5%作为本项目质保金，质保期到期后无责免息支付给成交人。若成交人在质量保证期内未完全履行缺陷保修义务的，采购人有权扣除质量保证金，并保留进一步索赔的权利。</w:t>
      </w:r>
    </w:p>
    <w:p>
      <w:pPr>
        <w:spacing w:line="44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（三）成交人向采购人申请支付货款时需提供：</w:t>
      </w:r>
    </w:p>
    <w:p>
      <w:pPr>
        <w:spacing w:line="44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（1）合同；</w:t>
      </w:r>
    </w:p>
    <w:p>
      <w:pPr>
        <w:spacing w:line="44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（2）成交人开具正式全额发票；</w:t>
      </w:r>
    </w:p>
    <w:p>
      <w:pPr>
        <w:spacing w:line="44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（3）验收调试报告加盖采购人公章；</w:t>
      </w:r>
    </w:p>
    <w:p>
      <w:pPr>
        <w:spacing w:line="440" w:lineRule="exact"/>
        <w:ind w:firstLine="420" w:firstLineChars="2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（4）中标（成交）通知书。</w:t>
      </w:r>
      <w:bookmarkEnd w:id="280"/>
    </w:p>
    <w:p>
      <w:pPr>
        <w:pStyle w:val="4"/>
        <w:autoSpaceDE w:val="0"/>
        <w:rPr>
          <w:color w:val="auto"/>
          <w:sz w:val="44"/>
          <w:highlight w:val="none"/>
        </w:rPr>
      </w:pPr>
      <w:r>
        <w:rPr>
          <w:color w:val="auto"/>
          <w:sz w:val="44"/>
          <w:highlight w:val="none"/>
        </w:rPr>
        <w:br w:type="page"/>
      </w: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p>
    <w:p>
      <w:pPr>
        <w:spacing w:line="360" w:lineRule="auto"/>
        <w:ind w:firstLine="420" w:firstLineChars="200"/>
        <w:jc w:val="left"/>
        <w:rPr>
          <w:rFonts w:ascii="宋体" w:hAnsi="宋体" w:cs="宋体"/>
          <w:color w:val="auto"/>
          <w:szCs w:val="21"/>
          <w:highlight w:val="none"/>
          <w:u w:val="single"/>
        </w:rPr>
      </w:pPr>
      <w:r>
        <w:rPr>
          <w:rFonts w:hint="eastAsia" w:ascii="宋体" w:hAnsi="宋体"/>
          <w:color w:val="auto"/>
          <w:highlight w:val="none"/>
        </w:rPr>
        <w:br w:type="page"/>
      </w:r>
      <w:bookmarkStart w:id="291" w:name="_Toc293341641"/>
      <w:bookmarkStart w:id="292" w:name="_Toc303110406"/>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szCs w:val="21"/>
          <w:highlight w:val="none"/>
        </w:rPr>
        <w:t>注：本合同条款仅供参考，甲乙双方可根据实际情况进行补充，但不得对采购文件作实质性修改。</w:t>
      </w:r>
    </w:p>
    <w:p>
      <w:pPr>
        <w:jc w:val="center"/>
        <w:rPr>
          <w:rFonts w:asciiTheme="minorEastAsia" w:hAnsiTheme="minorEastAsia" w:eastAsiaTheme="minorEastAsia" w:cstheme="minorEastAsia"/>
          <w:b/>
          <w:color w:val="auto"/>
          <w:sz w:val="52"/>
          <w:szCs w:val="52"/>
          <w:highlight w:val="none"/>
        </w:rPr>
      </w:pPr>
    </w:p>
    <w:p>
      <w:pPr>
        <w:jc w:val="center"/>
        <w:rPr>
          <w:rFonts w:asciiTheme="minorEastAsia" w:hAnsiTheme="minorEastAsia" w:eastAsiaTheme="minorEastAsia" w:cstheme="minorEastAsia"/>
          <w:b/>
          <w:color w:val="auto"/>
          <w:sz w:val="52"/>
          <w:szCs w:val="52"/>
          <w:highlight w:val="none"/>
        </w:rPr>
      </w:pPr>
      <w:r>
        <w:rPr>
          <w:rFonts w:hint="eastAsia" w:asciiTheme="minorEastAsia" w:hAnsiTheme="minorEastAsia" w:eastAsiaTheme="minorEastAsia" w:cstheme="minorEastAsia"/>
          <w:b/>
          <w:color w:val="auto"/>
          <w:sz w:val="52"/>
          <w:szCs w:val="52"/>
          <w:highlight w:val="none"/>
        </w:rPr>
        <w:t>采 购 合 同</w:t>
      </w:r>
    </w:p>
    <w:p>
      <w:pPr>
        <w:jc w:val="right"/>
        <w:rPr>
          <w:rFonts w:asciiTheme="minorEastAsia" w:hAnsiTheme="minorEastAsia" w:eastAsiaTheme="minorEastAsia" w:cstheme="minorEastAsia"/>
          <w:color w:val="auto"/>
          <w:sz w:val="28"/>
          <w:highlight w:val="none"/>
        </w:rPr>
      </w:pPr>
    </w:p>
    <w:p>
      <w:pPr>
        <w:spacing w:line="360" w:lineRule="auto"/>
        <w:rPr>
          <w:rFonts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甲  方：</w:t>
      </w:r>
    </w:p>
    <w:p>
      <w:pPr>
        <w:spacing w:line="360" w:lineRule="auto"/>
        <w:rPr>
          <w:rFonts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乙  方：</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根据《中华人民共和国采购法》、《中华人民共和国合同法》及年月日竞争性磋商文件（招标编号：，采购代理机构： ）、投标文件的要求，经双方协商一致，签订本合同。具体条款如下：</w:t>
      </w:r>
    </w:p>
    <w:p>
      <w:pPr>
        <w:rPr>
          <w:rFonts w:asciiTheme="minorEastAsia" w:hAnsiTheme="minorEastAsia" w:eastAsiaTheme="minorEastAsia" w:cstheme="minorEastAsia"/>
          <w:color w:val="auto"/>
          <w:highlight w:val="none"/>
        </w:rPr>
      </w:pPr>
    </w:p>
    <w:p>
      <w:pPr>
        <w:spacing w:line="360" w:lineRule="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 合同设备</w:t>
      </w:r>
    </w:p>
    <w:p>
      <w:pPr>
        <w:ind w:firstLine="480"/>
        <w:rPr>
          <w:rFonts w:asciiTheme="minorEastAsia" w:hAnsiTheme="minorEastAsia" w:eastAsiaTheme="minorEastAsia" w:cstheme="minorEastAsia"/>
          <w:color w:val="auto"/>
          <w:highlight w:val="none"/>
        </w:rPr>
      </w:pP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乙方负责向甲方提供下表中所列采购项目和相关的安装调试服务。</w:t>
      </w:r>
    </w:p>
    <w:p>
      <w:pPr>
        <w:ind w:left="840"/>
        <w:rPr>
          <w:rFonts w:asciiTheme="minorEastAsia" w:hAnsiTheme="minorEastAsia" w:eastAsiaTheme="minorEastAsia" w:cstheme="minorEastAsia"/>
          <w:color w:val="auto"/>
          <w:highlight w:val="none"/>
        </w:rPr>
      </w:pPr>
    </w:p>
    <w:tbl>
      <w:tblPr>
        <w:tblStyle w:val="89"/>
        <w:tblW w:w="9030"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260"/>
        <w:gridCol w:w="1260"/>
        <w:gridCol w:w="787"/>
        <w:gridCol w:w="788"/>
        <w:gridCol w:w="751"/>
        <w:gridCol w:w="1034"/>
        <w:gridCol w:w="735"/>
        <w:gridCol w:w="751"/>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ind w:left="-2" w:firstLine="2"/>
              <w:jc w:val="center"/>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品名</w:t>
            </w:r>
          </w:p>
        </w:tc>
        <w:tc>
          <w:tcPr>
            <w:tcW w:w="1260" w:type="dxa"/>
          </w:tcPr>
          <w:p>
            <w:pPr>
              <w:jc w:val="center"/>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规格型号</w:t>
            </w:r>
          </w:p>
        </w:tc>
        <w:tc>
          <w:tcPr>
            <w:tcW w:w="1260" w:type="dxa"/>
          </w:tcPr>
          <w:p>
            <w:pPr>
              <w:jc w:val="center"/>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产地厂家</w:t>
            </w:r>
          </w:p>
        </w:tc>
        <w:tc>
          <w:tcPr>
            <w:tcW w:w="787" w:type="dxa"/>
          </w:tcPr>
          <w:p>
            <w:pPr>
              <w:jc w:val="center"/>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单位</w:t>
            </w:r>
          </w:p>
        </w:tc>
        <w:tc>
          <w:tcPr>
            <w:tcW w:w="788" w:type="dxa"/>
          </w:tcPr>
          <w:p>
            <w:pPr>
              <w:jc w:val="center"/>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数量</w:t>
            </w:r>
          </w:p>
        </w:tc>
        <w:tc>
          <w:tcPr>
            <w:tcW w:w="751" w:type="dxa"/>
          </w:tcPr>
          <w:p>
            <w:pPr>
              <w:jc w:val="center"/>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单价</w:t>
            </w:r>
          </w:p>
        </w:tc>
        <w:tc>
          <w:tcPr>
            <w:tcW w:w="1034" w:type="dxa"/>
          </w:tcPr>
          <w:p>
            <w:pPr>
              <w:jc w:val="center"/>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总价</w:t>
            </w:r>
          </w:p>
        </w:tc>
        <w:tc>
          <w:tcPr>
            <w:tcW w:w="735" w:type="dxa"/>
          </w:tcPr>
          <w:p>
            <w:pPr>
              <w:jc w:val="center"/>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随机配件</w:t>
            </w:r>
          </w:p>
        </w:tc>
        <w:tc>
          <w:tcPr>
            <w:tcW w:w="751" w:type="dxa"/>
          </w:tcPr>
          <w:p>
            <w:pPr>
              <w:jc w:val="center"/>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交货地点</w:t>
            </w:r>
          </w:p>
        </w:tc>
        <w:tc>
          <w:tcPr>
            <w:tcW w:w="824" w:type="dxa"/>
          </w:tcPr>
          <w:p>
            <w:pPr>
              <w:jc w:val="center"/>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asciiTheme="minorEastAsia" w:hAnsiTheme="minorEastAsia" w:eastAsiaTheme="minorEastAsia" w:cstheme="minorEastAsia"/>
                <w:color w:val="auto"/>
                <w:highlight w:val="none"/>
              </w:rPr>
            </w:pPr>
          </w:p>
        </w:tc>
        <w:tc>
          <w:tcPr>
            <w:tcW w:w="1260" w:type="dxa"/>
          </w:tcPr>
          <w:p>
            <w:pPr>
              <w:rPr>
                <w:rFonts w:asciiTheme="minorEastAsia" w:hAnsiTheme="minorEastAsia" w:eastAsiaTheme="minorEastAsia" w:cstheme="minorEastAsia"/>
                <w:color w:val="auto"/>
                <w:highlight w:val="none"/>
              </w:rPr>
            </w:pPr>
          </w:p>
        </w:tc>
        <w:tc>
          <w:tcPr>
            <w:tcW w:w="1260" w:type="dxa"/>
          </w:tcPr>
          <w:p>
            <w:pPr>
              <w:rPr>
                <w:rFonts w:asciiTheme="minorEastAsia" w:hAnsiTheme="minorEastAsia" w:eastAsiaTheme="minorEastAsia" w:cstheme="minorEastAsia"/>
                <w:color w:val="auto"/>
                <w:highlight w:val="none"/>
              </w:rPr>
            </w:pPr>
          </w:p>
        </w:tc>
        <w:tc>
          <w:tcPr>
            <w:tcW w:w="787" w:type="dxa"/>
          </w:tcPr>
          <w:p>
            <w:pPr>
              <w:rPr>
                <w:rFonts w:asciiTheme="minorEastAsia" w:hAnsiTheme="minorEastAsia" w:eastAsiaTheme="minorEastAsia" w:cstheme="minorEastAsia"/>
                <w:color w:val="auto"/>
                <w:highlight w:val="none"/>
              </w:rPr>
            </w:pPr>
          </w:p>
        </w:tc>
        <w:tc>
          <w:tcPr>
            <w:tcW w:w="788" w:type="dxa"/>
          </w:tcPr>
          <w:p>
            <w:pPr>
              <w:rPr>
                <w:rFonts w:asciiTheme="minorEastAsia" w:hAnsiTheme="minorEastAsia" w:eastAsiaTheme="minorEastAsia" w:cstheme="minorEastAsia"/>
                <w:color w:val="auto"/>
                <w:highlight w:val="none"/>
              </w:rPr>
            </w:pPr>
          </w:p>
        </w:tc>
        <w:tc>
          <w:tcPr>
            <w:tcW w:w="751" w:type="dxa"/>
          </w:tcPr>
          <w:p>
            <w:pPr>
              <w:rPr>
                <w:rFonts w:asciiTheme="minorEastAsia" w:hAnsiTheme="minorEastAsia" w:eastAsiaTheme="minorEastAsia" w:cstheme="minorEastAsia"/>
                <w:color w:val="auto"/>
                <w:highlight w:val="none"/>
              </w:rPr>
            </w:pPr>
          </w:p>
        </w:tc>
        <w:tc>
          <w:tcPr>
            <w:tcW w:w="1034" w:type="dxa"/>
          </w:tcPr>
          <w:p>
            <w:pPr>
              <w:rPr>
                <w:rFonts w:asciiTheme="minorEastAsia" w:hAnsiTheme="minorEastAsia" w:eastAsiaTheme="minorEastAsia" w:cstheme="minorEastAsia"/>
                <w:color w:val="auto"/>
                <w:highlight w:val="none"/>
              </w:rPr>
            </w:pPr>
          </w:p>
        </w:tc>
        <w:tc>
          <w:tcPr>
            <w:tcW w:w="735" w:type="dxa"/>
          </w:tcPr>
          <w:p>
            <w:pPr>
              <w:rPr>
                <w:rFonts w:asciiTheme="minorEastAsia" w:hAnsiTheme="minorEastAsia" w:eastAsiaTheme="minorEastAsia" w:cstheme="minorEastAsia"/>
                <w:color w:val="auto"/>
                <w:highlight w:val="none"/>
              </w:rPr>
            </w:pPr>
          </w:p>
        </w:tc>
        <w:tc>
          <w:tcPr>
            <w:tcW w:w="751" w:type="dxa"/>
          </w:tcPr>
          <w:p>
            <w:pPr>
              <w:rPr>
                <w:rFonts w:asciiTheme="minorEastAsia" w:hAnsiTheme="minorEastAsia" w:eastAsiaTheme="minorEastAsia" w:cstheme="minorEastAsia"/>
                <w:color w:val="auto"/>
                <w:highlight w:val="none"/>
              </w:rPr>
            </w:pPr>
          </w:p>
        </w:tc>
        <w:tc>
          <w:tcPr>
            <w:tcW w:w="824" w:type="dxa"/>
          </w:tcPr>
          <w:p>
            <w:pPr>
              <w:rPr>
                <w:rFonts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asciiTheme="minorEastAsia" w:hAnsiTheme="minorEastAsia" w:eastAsiaTheme="minorEastAsia" w:cstheme="minorEastAsia"/>
                <w:color w:val="auto"/>
                <w:highlight w:val="none"/>
              </w:rPr>
            </w:pPr>
          </w:p>
        </w:tc>
        <w:tc>
          <w:tcPr>
            <w:tcW w:w="1260" w:type="dxa"/>
          </w:tcPr>
          <w:p>
            <w:pPr>
              <w:rPr>
                <w:rFonts w:asciiTheme="minorEastAsia" w:hAnsiTheme="minorEastAsia" w:eastAsiaTheme="minorEastAsia" w:cstheme="minorEastAsia"/>
                <w:color w:val="auto"/>
                <w:highlight w:val="none"/>
              </w:rPr>
            </w:pPr>
          </w:p>
        </w:tc>
        <w:tc>
          <w:tcPr>
            <w:tcW w:w="1260" w:type="dxa"/>
          </w:tcPr>
          <w:p>
            <w:pPr>
              <w:rPr>
                <w:rFonts w:asciiTheme="minorEastAsia" w:hAnsiTheme="minorEastAsia" w:eastAsiaTheme="minorEastAsia" w:cstheme="minorEastAsia"/>
                <w:color w:val="auto"/>
                <w:highlight w:val="none"/>
              </w:rPr>
            </w:pPr>
          </w:p>
        </w:tc>
        <w:tc>
          <w:tcPr>
            <w:tcW w:w="787" w:type="dxa"/>
          </w:tcPr>
          <w:p>
            <w:pPr>
              <w:rPr>
                <w:rFonts w:asciiTheme="minorEastAsia" w:hAnsiTheme="minorEastAsia" w:eastAsiaTheme="minorEastAsia" w:cstheme="minorEastAsia"/>
                <w:color w:val="auto"/>
                <w:highlight w:val="none"/>
              </w:rPr>
            </w:pPr>
          </w:p>
        </w:tc>
        <w:tc>
          <w:tcPr>
            <w:tcW w:w="788" w:type="dxa"/>
          </w:tcPr>
          <w:p>
            <w:pPr>
              <w:rPr>
                <w:rFonts w:asciiTheme="minorEastAsia" w:hAnsiTheme="minorEastAsia" w:eastAsiaTheme="minorEastAsia" w:cstheme="minorEastAsia"/>
                <w:color w:val="auto"/>
                <w:highlight w:val="none"/>
              </w:rPr>
            </w:pPr>
          </w:p>
        </w:tc>
        <w:tc>
          <w:tcPr>
            <w:tcW w:w="751" w:type="dxa"/>
          </w:tcPr>
          <w:p>
            <w:pPr>
              <w:rPr>
                <w:rFonts w:asciiTheme="minorEastAsia" w:hAnsiTheme="minorEastAsia" w:eastAsiaTheme="minorEastAsia" w:cstheme="minorEastAsia"/>
                <w:color w:val="auto"/>
                <w:highlight w:val="none"/>
              </w:rPr>
            </w:pPr>
          </w:p>
        </w:tc>
        <w:tc>
          <w:tcPr>
            <w:tcW w:w="1034" w:type="dxa"/>
          </w:tcPr>
          <w:p>
            <w:pPr>
              <w:rPr>
                <w:rFonts w:asciiTheme="minorEastAsia" w:hAnsiTheme="minorEastAsia" w:eastAsiaTheme="minorEastAsia" w:cstheme="minorEastAsia"/>
                <w:color w:val="auto"/>
                <w:highlight w:val="none"/>
              </w:rPr>
            </w:pPr>
          </w:p>
        </w:tc>
        <w:tc>
          <w:tcPr>
            <w:tcW w:w="735" w:type="dxa"/>
          </w:tcPr>
          <w:p>
            <w:pPr>
              <w:rPr>
                <w:rFonts w:asciiTheme="minorEastAsia" w:hAnsiTheme="minorEastAsia" w:eastAsiaTheme="minorEastAsia" w:cstheme="minorEastAsia"/>
                <w:color w:val="auto"/>
                <w:highlight w:val="none"/>
              </w:rPr>
            </w:pPr>
          </w:p>
        </w:tc>
        <w:tc>
          <w:tcPr>
            <w:tcW w:w="751" w:type="dxa"/>
          </w:tcPr>
          <w:p>
            <w:pPr>
              <w:rPr>
                <w:rFonts w:asciiTheme="minorEastAsia" w:hAnsiTheme="minorEastAsia" w:eastAsiaTheme="minorEastAsia" w:cstheme="minorEastAsia"/>
                <w:color w:val="auto"/>
                <w:highlight w:val="none"/>
              </w:rPr>
            </w:pPr>
          </w:p>
        </w:tc>
        <w:tc>
          <w:tcPr>
            <w:tcW w:w="824" w:type="dxa"/>
          </w:tcPr>
          <w:p>
            <w:pPr>
              <w:rPr>
                <w:rFonts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asciiTheme="minorEastAsia" w:hAnsiTheme="minorEastAsia" w:eastAsiaTheme="minorEastAsia" w:cstheme="minorEastAsia"/>
                <w:color w:val="auto"/>
                <w:highlight w:val="none"/>
              </w:rPr>
            </w:pPr>
          </w:p>
        </w:tc>
        <w:tc>
          <w:tcPr>
            <w:tcW w:w="1260" w:type="dxa"/>
          </w:tcPr>
          <w:p>
            <w:pPr>
              <w:rPr>
                <w:rFonts w:asciiTheme="minorEastAsia" w:hAnsiTheme="minorEastAsia" w:eastAsiaTheme="minorEastAsia" w:cstheme="minorEastAsia"/>
                <w:color w:val="auto"/>
                <w:highlight w:val="none"/>
              </w:rPr>
            </w:pPr>
          </w:p>
        </w:tc>
        <w:tc>
          <w:tcPr>
            <w:tcW w:w="1260" w:type="dxa"/>
          </w:tcPr>
          <w:p>
            <w:pPr>
              <w:rPr>
                <w:rFonts w:asciiTheme="minorEastAsia" w:hAnsiTheme="minorEastAsia" w:eastAsiaTheme="minorEastAsia" w:cstheme="minorEastAsia"/>
                <w:color w:val="auto"/>
                <w:highlight w:val="none"/>
              </w:rPr>
            </w:pPr>
          </w:p>
        </w:tc>
        <w:tc>
          <w:tcPr>
            <w:tcW w:w="787" w:type="dxa"/>
          </w:tcPr>
          <w:p>
            <w:pPr>
              <w:rPr>
                <w:rFonts w:asciiTheme="minorEastAsia" w:hAnsiTheme="minorEastAsia" w:eastAsiaTheme="minorEastAsia" w:cstheme="minorEastAsia"/>
                <w:color w:val="auto"/>
                <w:highlight w:val="none"/>
              </w:rPr>
            </w:pPr>
          </w:p>
        </w:tc>
        <w:tc>
          <w:tcPr>
            <w:tcW w:w="788" w:type="dxa"/>
          </w:tcPr>
          <w:p>
            <w:pPr>
              <w:rPr>
                <w:rFonts w:asciiTheme="minorEastAsia" w:hAnsiTheme="minorEastAsia" w:eastAsiaTheme="minorEastAsia" w:cstheme="minorEastAsia"/>
                <w:color w:val="auto"/>
                <w:highlight w:val="none"/>
              </w:rPr>
            </w:pPr>
          </w:p>
        </w:tc>
        <w:tc>
          <w:tcPr>
            <w:tcW w:w="751" w:type="dxa"/>
          </w:tcPr>
          <w:p>
            <w:pPr>
              <w:rPr>
                <w:rFonts w:asciiTheme="minorEastAsia" w:hAnsiTheme="minorEastAsia" w:eastAsiaTheme="minorEastAsia" w:cstheme="minorEastAsia"/>
                <w:color w:val="auto"/>
                <w:highlight w:val="none"/>
              </w:rPr>
            </w:pPr>
          </w:p>
        </w:tc>
        <w:tc>
          <w:tcPr>
            <w:tcW w:w="1034" w:type="dxa"/>
          </w:tcPr>
          <w:p>
            <w:pPr>
              <w:rPr>
                <w:rFonts w:asciiTheme="minorEastAsia" w:hAnsiTheme="minorEastAsia" w:eastAsiaTheme="minorEastAsia" w:cstheme="minorEastAsia"/>
                <w:color w:val="auto"/>
                <w:highlight w:val="none"/>
              </w:rPr>
            </w:pPr>
          </w:p>
        </w:tc>
        <w:tc>
          <w:tcPr>
            <w:tcW w:w="735" w:type="dxa"/>
          </w:tcPr>
          <w:p>
            <w:pPr>
              <w:rPr>
                <w:rFonts w:asciiTheme="minorEastAsia" w:hAnsiTheme="minorEastAsia" w:eastAsiaTheme="minorEastAsia" w:cstheme="minorEastAsia"/>
                <w:color w:val="auto"/>
                <w:highlight w:val="none"/>
              </w:rPr>
            </w:pPr>
          </w:p>
        </w:tc>
        <w:tc>
          <w:tcPr>
            <w:tcW w:w="751" w:type="dxa"/>
          </w:tcPr>
          <w:p>
            <w:pPr>
              <w:rPr>
                <w:rFonts w:asciiTheme="minorEastAsia" w:hAnsiTheme="minorEastAsia" w:eastAsiaTheme="minorEastAsia" w:cstheme="minorEastAsia"/>
                <w:color w:val="auto"/>
                <w:highlight w:val="none"/>
              </w:rPr>
            </w:pPr>
          </w:p>
        </w:tc>
        <w:tc>
          <w:tcPr>
            <w:tcW w:w="824" w:type="dxa"/>
          </w:tcPr>
          <w:p>
            <w:pPr>
              <w:rPr>
                <w:rFonts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asciiTheme="minorEastAsia" w:hAnsiTheme="minorEastAsia" w:eastAsiaTheme="minorEastAsia" w:cstheme="minorEastAsia"/>
                <w:color w:val="auto"/>
                <w:highlight w:val="none"/>
              </w:rPr>
            </w:pPr>
          </w:p>
        </w:tc>
        <w:tc>
          <w:tcPr>
            <w:tcW w:w="1260" w:type="dxa"/>
          </w:tcPr>
          <w:p>
            <w:pPr>
              <w:rPr>
                <w:rFonts w:asciiTheme="minorEastAsia" w:hAnsiTheme="minorEastAsia" w:eastAsiaTheme="minorEastAsia" w:cstheme="minorEastAsia"/>
                <w:color w:val="auto"/>
                <w:highlight w:val="none"/>
              </w:rPr>
            </w:pPr>
          </w:p>
        </w:tc>
        <w:tc>
          <w:tcPr>
            <w:tcW w:w="1260" w:type="dxa"/>
          </w:tcPr>
          <w:p>
            <w:pPr>
              <w:rPr>
                <w:rFonts w:asciiTheme="minorEastAsia" w:hAnsiTheme="minorEastAsia" w:eastAsiaTheme="minorEastAsia" w:cstheme="minorEastAsia"/>
                <w:color w:val="auto"/>
                <w:highlight w:val="none"/>
              </w:rPr>
            </w:pPr>
          </w:p>
        </w:tc>
        <w:tc>
          <w:tcPr>
            <w:tcW w:w="787" w:type="dxa"/>
          </w:tcPr>
          <w:p>
            <w:pPr>
              <w:rPr>
                <w:rFonts w:asciiTheme="minorEastAsia" w:hAnsiTheme="minorEastAsia" w:eastAsiaTheme="minorEastAsia" w:cstheme="minorEastAsia"/>
                <w:color w:val="auto"/>
                <w:highlight w:val="none"/>
              </w:rPr>
            </w:pPr>
          </w:p>
        </w:tc>
        <w:tc>
          <w:tcPr>
            <w:tcW w:w="788" w:type="dxa"/>
          </w:tcPr>
          <w:p>
            <w:pPr>
              <w:rPr>
                <w:rFonts w:asciiTheme="minorEastAsia" w:hAnsiTheme="minorEastAsia" w:eastAsiaTheme="minorEastAsia" w:cstheme="minorEastAsia"/>
                <w:color w:val="auto"/>
                <w:highlight w:val="none"/>
              </w:rPr>
            </w:pPr>
          </w:p>
        </w:tc>
        <w:tc>
          <w:tcPr>
            <w:tcW w:w="751" w:type="dxa"/>
          </w:tcPr>
          <w:p>
            <w:pPr>
              <w:rPr>
                <w:rFonts w:asciiTheme="minorEastAsia" w:hAnsiTheme="minorEastAsia" w:eastAsiaTheme="minorEastAsia" w:cstheme="minorEastAsia"/>
                <w:color w:val="auto"/>
                <w:highlight w:val="none"/>
              </w:rPr>
            </w:pPr>
          </w:p>
        </w:tc>
        <w:tc>
          <w:tcPr>
            <w:tcW w:w="1034" w:type="dxa"/>
          </w:tcPr>
          <w:p>
            <w:pPr>
              <w:rPr>
                <w:rFonts w:asciiTheme="minorEastAsia" w:hAnsiTheme="minorEastAsia" w:eastAsiaTheme="minorEastAsia" w:cstheme="minorEastAsia"/>
                <w:color w:val="auto"/>
                <w:highlight w:val="none"/>
              </w:rPr>
            </w:pPr>
          </w:p>
        </w:tc>
        <w:tc>
          <w:tcPr>
            <w:tcW w:w="735" w:type="dxa"/>
          </w:tcPr>
          <w:p>
            <w:pPr>
              <w:rPr>
                <w:rFonts w:asciiTheme="minorEastAsia" w:hAnsiTheme="minorEastAsia" w:eastAsiaTheme="minorEastAsia" w:cstheme="minorEastAsia"/>
                <w:color w:val="auto"/>
                <w:highlight w:val="none"/>
              </w:rPr>
            </w:pPr>
          </w:p>
        </w:tc>
        <w:tc>
          <w:tcPr>
            <w:tcW w:w="751" w:type="dxa"/>
          </w:tcPr>
          <w:p>
            <w:pPr>
              <w:rPr>
                <w:rFonts w:asciiTheme="minorEastAsia" w:hAnsiTheme="minorEastAsia" w:eastAsiaTheme="minorEastAsia" w:cstheme="minorEastAsia"/>
                <w:color w:val="auto"/>
                <w:highlight w:val="none"/>
              </w:rPr>
            </w:pPr>
          </w:p>
        </w:tc>
        <w:tc>
          <w:tcPr>
            <w:tcW w:w="824" w:type="dxa"/>
          </w:tcPr>
          <w:p>
            <w:pPr>
              <w:rPr>
                <w:rFonts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40" w:type="dxa"/>
          </w:tcPr>
          <w:p>
            <w:pPr>
              <w:rPr>
                <w:rFonts w:asciiTheme="minorEastAsia" w:hAnsiTheme="minorEastAsia" w:eastAsiaTheme="minorEastAsia" w:cstheme="minorEastAsia"/>
                <w:color w:val="auto"/>
                <w:highlight w:val="none"/>
              </w:rPr>
            </w:pPr>
          </w:p>
        </w:tc>
        <w:tc>
          <w:tcPr>
            <w:tcW w:w="1260" w:type="dxa"/>
          </w:tcPr>
          <w:p>
            <w:pPr>
              <w:rPr>
                <w:rFonts w:asciiTheme="minorEastAsia" w:hAnsiTheme="minorEastAsia" w:eastAsiaTheme="minorEastAsia" w:cstheme="minorEastAsia"/>
                <w:color w:val="auto"/>
                <w:highlight w:val="none"/>
              </w:rPr>
            </w:pPr>
          </w:p>
        </w:tc>
        <w:tc>
          <w:tcPr>
            <w:tcW w:w="1260" w:type="dxa"/>
          </w:tcPr>
          <w:p>
            <w:pPr>
              <w:rPr>
                <w:rFonts w:asciiTheme="minorEastAsia" w:hAnsiTheme="minorEastAsia" w:eastAsiaTheme="minorEastAsia" w:cstheme="minorEastAsia"/>
                <w:color w:val="auto"/>
                <w:highlight w:val="none"/>
              </w:rPr>
            </w:pPr>
          </w:p>
        </w:tc>
        <w:tc>
          <w:tcPr>
            <w:tcW w:w="787" w:type="dxa"/>
          </w:tcPr>
          <w:p>
            <w:pPr>
              <w:rPr>
                <w:rFonts w:asciiTheme="minorEastAsia" w:hAnsiTheme="minorEastAsia" w:eastAsiaTheme="minorEastAsia" w:cstheme="minorEastAsia"/>
                <w:color w:val="auto"/>
                <w:highlight w:val="none"/>
              </w:rPr>
            </w:pPr>
          </w:p>
        </w:tc>
        <w:tc>
          <w:tcPr>
            <w:tcW w:w="788" w:type="dxa"/>
          </w:tcPr>
          <w:p>
            <w:pPr>
              <w:rPr>
                <w:rFonts w:asciiTheme="minorEastAsia" w:hAnsiTheme="minorEastAsia" w:eastAsiaTheme="minorEastAsia" w:cstheme="minorEastAsia"/>
                <w:color w:val="auto"/>
                <w:highlight w:val="none"/>
              </w:rPr>
            </w:pPr>
          </w:p>
        </w:tc>
        <w:tc>
          <w:tcPr>
            <w:tcW w:w="751" w:type="dxa"/>
          </w:tcPr>
          <w:p>
            <w:pPr>
              <w:rPr>
                <w:rFonts w:asciiTheme="minorEastAsia" w:hAnsiTheme="minorEastAsia" w:eastAsiaTheme="minorEastAsia" w:cstheme="minorEastAsia"/>
                <w:color w:val="auto"/>
                <w:highlight w:val="none"/>
              </w:rPr>
            </w:pPr>
          </w:p>
        </w:tc>
        <w:tc>
          <w:tcPr>
            <w:tcW w:w="1034" w:type="dxa"/>
          </w:tcPr>
          <w:p>
            <w:pPr>
              <w:rPr>
                <w:rFonts w:asciiTheme="minorEastAsia" w:hAnsiTheme="minorEastAsia" w:eastAsiaTheme="minorEastAsia" w:cstheme="minorEastAsia"/>
                <w:color w:val="auto"/>
                <w:highlight w:val="none"/>
              </w:rPr>
            </w:pPr>
          </w:p>
        </w:tc>
        <w:tc>
          <w:tcPr>
            <w:tcW w:w="735" w:type="dxa"/>
          </w:tcPr>
          <w:p>
            <w:pPr>
              <w:rPr>
                <w:rFonts w:asciiTheme="minorEastAsia" w:hAnsiTheme="minorEastAsia" w:eastAsiaTheme="minorEastAsia" w:cstheme="minorEastAsia"/>
                <w:color w:val="auto"/>
                <w:highlight w:val="none"/>
              </w:rPr>
            </w:pPr>
          </w:p>
        </w:tc>
        <w:tc>
          <w:tcPr>
            <w:tcW w:w="751" w:type="dxa"/>
          </w:tcPr>
          <w:p>
            <w:pPr>
              <w:rPr>
                <w:rFonts w:asciiTheme="minorEastAsia" w:hAnsiTheme="minorEastAsia" w:eastAsiaTheme="minorEastAsia" w:cstheme="minorEastAsia"/>
                <w:color w:val="auto"/>
                <w:highlight w:val="none"/>
              </w:rPr>
            </w:pPr>
          </w:p>
        </w:tc>
        <w:tc>
          <w:tcPr>
            <w:tcW w:w="824" w:type="dxa"/>
          </w:tcPr>
          <w:p>
            <w:pPr>
              <w:rPr>
                <w:rFonts w:asciiTheme="minorEastAsia" w:hAnsiTheme="minorEastAsia" w:eastAsiaTheme="minorEastAsia" w:cstheme="minorEastAsia"/>
                <w:color w:val="auto"/>
                <w:highlight w:val="none"/>
              </w:rPr>
            </w:pPr>
          </w:p>
        </w:tc>
      </w:tr>
    </w:tbl>
    <w:p>
      <w:pPr>
        <w:ind w:firstLine="420" w:firstLineChars="200"/>
        <w:rPr>
          <w:rFonts w:asciiTheme="minorEastAsia" w:hAnsiTheme="minorEastAsia" w:eastAsiaTheme="minorEastAsia" w:cstheme="minorEastAsia"/>
          <w:color w:val="auto"/>
          <w:highlight w:val="none"/>
        </w:rPr>
      </w:pPr>
    </w:p>
    <w:p>
      <w:pPr>
        <w:spacing w:line="360" w:lineRule="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 xml:space="preserve"> 2. 合同总价</w:t>
      </w:r>
    </w:p>
    <w:p>
      <w:pPr>
        <w:spacing w:line="360" w:lineRule="auto"/>
        <w:ind w:left="315" w:leftChars="150"/>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总价为：（大写） ，即RMB￥元，</w:t>
      </w:r>
      <w:r>
        <w:rPr>
          <w:rFonts w:hint="eastAsia" w:ascii="宋体" w:hAnsi="宋体" w:cs="宋体"/>
          <w:color w:val="auto"/>
          <w:szCs w:val="21"/>
          <w:highlight w:val="none"/>
        </w:rPr>
        <w:t>本项目是交钥匙工程，</w:t>
      </w:r>
      <w:r>
        <w:rPr>
          <w:rFonts w:hint="eastAsia" w:asciiTheme="minorEastAsia" w:hAnsiTheme="minorEastAsia" w:eastAsiaTheme="minorEastAsia" w:cstheme="minorEastAsia"/>
          <w:color w:val="auto"/>
          <w:highlight w:val="none"/>
        </w:rPr>
        <w:t>该合同总金额</w:t>
      </w:r>
      <w:r>
        <w:rPr>
          <w:rFonts w:hint="eastAsia" w:ascii="宋体" w:hAnsi="宋体" w:cs="宋体"/>
          <w:color w:val="auto"/>
          <w:szCs w:val="21"/>
          <w:highlight w:val="none"/>
        </w:rPr>
        <w:t>包括设备采购及相关运输、设计、安装、调试、培训、售后等服务</w:t>
      </w:r>
      <w:r>
        <w:rPr>
          <w:rFonts w:hint="eastAsia" w:asciiTheme="minorEastAsia" w:hAnsiTheme="minorEastAsia" w:eastAsiaTheme="minorEastAsia" w:cstheme="minorEastAsia"/>
          <w:color w:val="auto"/>
          <w:highlight w:val="none"/>
        </w:rPr>
        <w:t>。本合同执行期间合同总金额不变。</w:t>
      </w:r>
    </w:p>
    <w:p>
      <w:pPr>
        <w:spacing w:line="360" w:lineRule="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3、结算方式</w:t>
      </w:r>
    </w:p>
    <w:p>
      <w:pPr>
        <w:snapToGrid w:val="0"/>
        <w:spacing w:line="360" w:lineRule="auto"/>
        <w:ind w:firstLine="422" w:firstLineChars="200"/>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3.1、支付方式：</w:t>
      </w:r>
    </w:p>
    <w:p>
      <w:pPr>
        <w:snapToGrid w:val="0"/>
        <w:spacing w:line="360" w:lineRule="auto"/>
        <w:ind w:firstLine="422" w:firstLineChars="200"/>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甲方按下述进度以转账方式支付相应款项。</w:t>
      </w:r>
    </w:p>
    <w:p>
      <w:pPr>
        <w:snapToGrid w:val="0"/>
        <w:spacing w:line="360" w:lineRule="auto"/>
        <w:ind w:firstLine="422" w:firstLineChars="200"/>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3.2、支付进度：</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3.2.1付款采用</w:t>
      </w:r>
      <w:r>
        <w:rPr>
          <w:rFonts w:hint="eastAsia" w:asciiTheme="minorEastAsia" w:hAnsiTheme="minorEastAsia" w:eastAsiaTheme="minorEastAsia" w:cstheme="minorEastAsia"/>
          <w:color w:val="auto"/>
          <w:szCs w:val="21"/>
          <w:highlight w:val="none"/>
          <w:u w:val="single"/>
        </w:rPr>
        <w:t xml:space="preserve"> 分期付款 </w:t>
      </w:r>
      <w:r>
        <w:rPr>
          <w:rFonts w:hint="eastAsia" w:asciiTheme="minorEastAsia" w:hAnsiTheme="minorEastAsia" w:eastAsiaTheme="minorEastAsia" w:cstheme="minorEastAsia"/>
          <w:color w:val="auto"/>
          <w:szCs w:val="21"/>
          <w:highlight w:val="none"/>
        </w:rPr>
        <w:t>方式；</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3.2.2具体付款方式：</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3．2.2.1合同签订生效后，甲方支付乙方合同金额30%预付款</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3.2.2.2</w:t>
      </w:r>
      <w:r>
        <w:rPr>
          <w:rFonts w:hint="eastAsia" w:cs="Calibri"/>
          <w:color w:val="auto"/>
          <w:szCs w:val="21"/>
          <w:highlight w:val="none"/>
        </w:rPr>
        <w:t>所有货物到达安装现场</w:t>
      </w:r>
      <w:r>
        <w:rPr>
          <w:rFonts w:hint="eastAsia" w:ascii="宋体" w:hAnsi="宋体"/>
          <w:color w:val="auto"/>
          <w:szCs w:val="21"/>
          <w:highlight w:val="none"/>
        </w:rPr>
        <w:t>并经甲方确认后，甲方按合同金额向乙方支付至80%的款项；</w:t>
      </w:r>
    </w:p>
    <w:p>
      <w:pPr>
        <w:spacing w:line="360" w:lineRule="auto"/>
        <w:ind w:firstLine="420" w:firstLine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3.2.2.3</w:t>
      </w:r>
      <w:r>
        <w:rPr>
          <w:rFonts w:hint="eastAsia" w:ascii="宋体" w:hAnsi="宋体" w:cs="宋体"/>
          <w:color w:val="auto"/>
          <w:szCs w:val="21"/>
          <w:highlight w:val="none"/>
        </w:rPr>
        <w:t>项目完成并经</w:t>
      </w:r>
      <w:r>
        <w:rPr>
          <w:rFonts w:hint="eastAsia" w:asciiTheme="minorEastAsia" w:hAnsiTheme="minorEastAsia" w:eastAsiaTheme="minorEastAsia" w:cstheme="minorEastAsia"/>
          <w:color w:val="auto"/>
          <w:szCs w:val="21"/>
          <w:highlight w:val="none"/>
        </w:rPr>
        <w:t>甲方及上级主管部门</w:t>
      </w:r>
      <w:r>
        <w:rPr>
          <w:rFonts w:hint="eastAsia" w:ascii="宋体" w:hAnsi="宋体" w:cs="宋体"/>
          <w:color w:val="auto"/>
          <w:szCs w:val="21"/>
          <w:highlight w:val="none"/>
        </w:rPr>
        <w:t>验收合格等手续，甲方自收到发票后30日内将资金支付到乙方账户，支付至结算金额的95%，余下5%作为本项目质保金，质保期到期后无责免息支付给乙方。若乙方在质量保证期内未完全履行缺陷保修义务的，甲方有权扣除质量保证金，并保留进一步索赔的权利。</w:t>
      </w:r>
    </w:p>
    <w:p>
      <w:pPr>
        <w:spacing w:line="360" w:lineRule="auto"/>
        <w:ind w:left="420" w:hanging="420" w:hangingChars="200"/>
        <w:rPr>
          <w:color w:val="auto"/>
          <w:highlight w:val="none"/>
        </w:rPr>
      </w:pPr>
      <w:r>
        <w:rPr>
          <w:rFonts w:hint="eastAsia" w:asciiTheme="minorEastAsia" w:hAnsiTheme="minorEastAsia" w:eastAsiaTheme="minorEastAsia" w:cstheme="minorEastAsia"/>
          <w:color w:val="auto"/>
          <w:szCs w:val="21"/>
          <w:highlight w:val="none"/>
        </w:rPr>
        <w:t>3.3乙方向甲方申请支付货款时需提供：（1）合同；（2）乙方开具正式全额发票；（3）验收调试报告加盖甲方公章；（4）中标（成交）通知书。</w:t>
      </w:r>
    </w:p>
    <w:p>
      <w:pPr>
        <w:spacing w:line="360" w:lineRule="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4. 合同组成</w:t>
      </w:r>
    </w:p>
    <w:p>
      <w:pPr>
        <w:spacing w:line="360" w:lineRule="auto"/>
        <w:ind w:left="420" w:leftChars="200"/>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详细价格、技术说明及其它有关合同设备的特定信息由合同附件说明。所有附件及本项目的招投标文件、会议纪要、协议等均为本合同不可分割之一部分。</w:t>
      </w:r>
    </w:p>
    <w:p>
      <w:pPr>
        <w:spacing w:line="360" w:lineRule="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5. 技术要求</w:t>
      </w:r>
    </w:p>
    <w:p>
      <w:pPr>
        <w:spacing w:line="360" w:lineRule="auto"/>
        <w:ind w:left="315" w:leftChars="150"/>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乙方所提供设备，必须符合国家有关规范和环保要求及甲方的技术要求，并提供设备的厂试测验报告。</w:t>
      </w:r>
    </w:p>
    <w:p>
      <w:pPr>
        <w:spacing w:line="360" w:lineRule="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6、 设备包装、交货、安装、调试及验收</w:t>
      </w: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6.1  合同设备的包装：</w:t>
      </w:r>
    </w:p>
    <w:p>
      <w:pPr>
        <w:spacing w:line="360" w:lineRule="auto"/>
        <w:ind w:left="630" w:leftChars="300" w:firstLine="2"/>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设备的包装均应有良好的防湿、防锈、防潮、防雨、防腐及防碰撞的措施。凡由于包装不良造成的损失和由此产生的费用均由乙方承担。</w:t>
      </w: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6.2  设备的交货：</w:t>
      </w:r>
    </w:p>
    <w:p>
      <w:pPr>
        <w:numPr>
          <w:ilvl w:val="0"/>
          <w:numId w:val="12"/>
        </w:numPr>
        <w:tabs>
          <w:tab w:val="left" w:pos="945"/>
          <w:tab w:val="clear" w:pos="1352"/>
        </w:tabs>
        <w:spacing w:line="360" w:lineRule="auto"/>
        <w:ind w:left="945"/>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乙方交付使用时间：成交人签订合同后起天内完成全部货物的安装、调试和验收。</w:t>
      </w:r>
    </w:p>
    <w:p>
      <w:pPr>
        <w:numPr>
          <w:ilvl w:val="0"/>
          <w:numId w:val="12"/>
        </w:numPr>
        <w:tabs>
          <w:tab w:val="left" w:pos="945"/>
          <w:tab w:val="clear" w:pos="1352"/>
        </w:tabs>
        <w:spacing w:line="360" w:lineRule="auto"/>
        <w:ind w:hanging="827"/>
        <w:rPr>
          <w:rFonts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乙方交货地点：广州市内用户指定地点。</w:t>
      </w: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6.3 合同设备的安装调试：</w:t>
      </w:r>
    </w:p>
    <w:p>
      <w:pPr>
        <w:numPr>
          <w:ilvl w:val="0"/>
          <w:numId w:val="13"/>
        </w:numPr>
        <w:tabs>
          <w:tab w:val="left" w:pos="945"/>
          <w:tab w:val="clear" w:pos="1215"/>
        </w:tabs>
        <w:spacing w:line="360" w:lineRule="auto"/>
        <w:ind w:hanging="69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乙方负责合同项下的安装调试，一切费用由乙方负责。</w:t>
      </w:r>
    </w:p>
    <w:p>
      <w:pPr>
        <w:numPr>
          <w:ilvl w:val="0"/>
          <w:numId w:val="13"/>
        </w:numPr>
        <w:tabs>
          <w:tab w:val="left" w:pos="945"/>
          <w:tab w:val="clear" w:pos="1215"/>
        </w:tabs>
        <w:spacing w:line="360" w:lineRule="auto"/>
        <w:ind w:hanging="69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乙方安装时须对各安装场地内的其它设备、设施有良好保护措施。</w:t>
      </w: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6.4 设备的验收：</w:t>
      </w:r>
    </w:p>
    <w:p>
      <w:pPr>
        <w:numPr>
          <w:ilvl w:val="0"/>
          <w:numId w:val="14"/>
        </w:numPr>
        <w:tabs>
          <w:tab w:val="left" w:pos="945"/>
          <w:tab w:val="clear" w:pos="1215"/>
        </w:tabs>
        <w:spacing w:line="360" w:lineRule="auto"/>
        <w:ind w:left="945" w:right="-420" w:right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合同设备安装调试完成正常工作15个工作日，验收应在甲乙双方共同参加下进行。</w:t>
      </w:r>
    </w:p>
    <w:p>
      <w:pPr>
        <w:numPr>
          <w:ilvl w:val="0"/>
          <w:numId w:val="14"/>
        </w:numPr>
        <w:tabs>
          <w:tab w:val="left" w:pos="945"/>
          <w:tab w:val="clear" w:pos="1215"/>
        </w:tabs>
        <w:spacing w:line="360" w:lineRule="auto"/>
        <w:ind w:left="945" w:right="-420" w:right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验收按国家有关的规定、规范进行。验收时如发现所交付的设备有短装、次品、损坏或其它不符合本合同规定之情形者，甲方应做出详尽的现场记录，或由甲乙双方签署备忘录。此现场记录或备忘录可用作补充、缺失和更换损坏部件的有效证据。由此产生的有关费用由乙方承担。</w:t>
      </w:r>
    </w:p>
    <w:p>
      <w:pPr>
        <w:numPr>
          <w:ilvl w:val="0"/>
          <w:numId w:val="14"/>
        </w:numPr>
        <w:tabs>
          <w:tab w:val="left" w:pos="945"/>
          <w:tab w:val="clear" w:pos="1215"/>
        </w:tabs>
        <w:spacing w:line="360" w:lineRule="auto"/>
        <w:ind w:left="945"/>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如果合同设备运输和安装调试过程中因事故造成货物短缺、损坏，乙方应及时安排换装，以保证合同设备安装调试的成功完成。换货的相关费用由乙方承担。</w:t>
      </w:r>
    </w:p>
    <w:p>
      <w:pPr>
        <w:numPr>
          <w:ilvl w:val="0"/>
          <w:numId w:val="14"/>
        </w:numPr>
        <w:tabs>
          <w:tab w:val="left" w:pos="945"/>
          <w:tab w:val="clear" w:pos="1215"/>
        </w:tabs>
        <w:spacing w:line="360" w:lineRule="auto"/>
        <w:ind w:left="945"/>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国内产品或合资厂的产品必须具备出厂合格证。</w:t>
      </w:r>
    </w:p>
    <w:p>
      <w:pPr>
        <w:numPr>
          <w:ilvl w:val="0"/>
          <w:numId w:val="14"/>
        </w:numPr>
        <w:tabs>
          <w:tab w:val="left" w:pos="945"/>
          <w:tab w:val="clear" w:pos="1215"/>
        </w:tabs>
        <w:spacing w:line="360" w:lineRule="auto"/>
        <w:ind w:left="945"/>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进口产品必须具备省级（或相当于省级）商检部门的检验证明。</w:t>
      </w:r>
    </w:p>
    <w:p>
      <w:pPr>
        <w:spacing w:line="360" w:lineRule="auto"/>
        <w:ind w:left="458" w:hanging="457" w:hangingChars="218"/>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6.5  乙方保证合同项下提供的设备不侵犯任何第三方的专利、商标或版权。否则，乙方须承担对第三方的专利或版权的侵权责任并承担因此而发生的所有费用。</w:t>
      </w:r>
    </w:p>
    <w:p>
      <w:pPr>
        <w:spacing w:line="360" w:lineRule="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7. 质量保证及售后服务</w:t>
      </w:r>
    </w:p>
    <w:p>
      <w:pPr>
        <w:numPr>
          <w:ilvl w:val="0"/>
          <w:numId w:val="15"/>
        </w:numPr>
        <w:tabs>
          <w:tab w:val="left" w:pos="540"/>
          <w:tab w:val="clear" w:pos="720"/>
        </w:tabs>
        <w:spacing w:line="360" w:lineRule="auto"/>
        <w:ind w:left="540" w:hanging="540"/>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乙方保证合同设备是全新、未曾使用过的，其质量、规格及技术特征符合合同附件的要求。保证备品配件在同机型设备停产后3年以上的供应。</w:t>
      </w:r>
    </w:p>
    <w:p>
      <w:pPr>
        <w:numPr>
          <w:ilvl w:val="0"/>
          <w:numId w:val="15"/>
        </w:numPr>
        <w:tabs>
          <w:tab w:val="left" w:pos="540"/>
          <w:tab w:val="left" w:pos="1320"/>
          <w:tab w:val="clear" w:pos="720"/>
        </w:tabs>
        <w:spacing w:line="360" w:lineRule="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合同设备保质保用期为设备最终验收合格并经本项目有关部门验收签字之日起不少于12个月。</w:t>
      </w:r>
    </w:p>
    <w:p>
      <w:pPr>
        <w:numPr>
          <w:ilvl w:val="0"/>
          <w:numId w:val="15"/>
        </w:numPr>
        <w:tabs>
          <w:tab w:val="left" w:pos="540"/>
          <w:tab w:val="clear" w:pos="720"/>
        </w:tabs>
        <w:spacing w:line="360" w:lineRule="auto"/>
        <w:ind w:left="540" w:hanging="540"/>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保质保用期内出现产品质量及安装问题，由乙方负责包修、包换或包退，并承担因此而产生的一切费用。乙方应在收到甲方通知后24小时内派员到现场免费维修(技术要求另有规定除外)。</w:t>
      </w:r>
    </w:p>
    <w:p>
      <w:pPr>
        <w:numPr>
          <w:ilvl w:val="0"/>
          <w:numId w:val="15"/>
        </w:numPr>
        <w:tabs>
          <w:tab w:val="left" w:pos="540"/>
          <w:tab w:val="clear" w:pos="720"/>
        </w:tabs>
        <w:spacing w:line="360" w:lineRule="auto"/>
        <w:ind w:left="540" w:hanging="540"/>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因设备的质量问题而发生争议，由广东省或广州市质检部门进行质量鉴定。设备符合质量标准的，鉴定费用由甲方承担；设备不符合质量标准的，鉴定费用由乙方承担。</w:t>
      </w:r>
    </w:p>
    <w:p>
      <w:pPr>
        <w:spacing w:line="360" w:lineRule="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8、 技术服务</w:t>
      </w:r>
    </w:p>
    <w:p>
      <w:pPr>
        <w:numPr>
          <w:ilvl w:val="0"/>
          <w:numId w:val="16"/>
        </w:numPr>
        <w:tabs>
          <w:tab w:val="left" w:pos="540"/>
          <w:tab w:val="clear" w:pos="720"/>
        </w:tabs>
        <w:spacing w:line="360" w:lineRule="auto"/>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乙方应派员到甲方指定地点配合工作。</w:t>
      </w:r>
    </w:p>
    <w:p>
      <w:pPr>
        <w:numPr>
          <w:ilvl w:val="0"/>
          <w:numId w:val="16"/>
        </w:numPr>
        <w:tabs>
          <w:tab w:val="left" w:pos="540"/>
          <w:tab w:val="clear" w:pos="720"/>
        </w:tabs>
        <w:spacing w:line="360" w:lineRule="auto"/>
        <w:ind w:left="540" w:hanging="540"/>
        <w:rPr>
          <w:rFonts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乙方按甲方提供的合同执行进度计划，再配合甲方及有关单位，以此做好合同执行进度上的配合工作。</w:t>
      </w:r>
    </w:p>
    <w:p>
      <w:pPr>
        <w:spacing w:line="360" w:lineRule="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9、 不可抗力</w:t>
      </w:r>
    </w:p>
    <w:p>
      <w:pPr>
        <w:spacing w:line="360" w:lineRule="auto"/>
        <w:ind w:right="-420" w:right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9.1 不可抗力指战争、严重火灾、洪水、台风、地震等或其它双方认定的不可抗力事件。</w:t>
      </w:r>
    </w:p>
    <w:p>
      <w:pPr>
        <w:spacing w:line="360" w:lineRule="auto"/>
        <w:ind w:left="420" w:right="-200" w:hanging="420" w:hangingChars="2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9.2 签约双方中任何一方由于不可抗力影响合同执行时，发生不可抗力一方应尽快将事故通知另一方。 在此情况下，乙方仍然有责任采取必要的措施加速供货，双方应通过友好协商尽快解决本合同的执行问题。</w:t>
      </w:r>
    </w:p>
    <w:p>
      <w:pPr>
        <w:spacing w:line="360" w:lineRule="auto"/>
        <w:ind w:left="528" w:leftChars="-57" w:hanging="648" w:hangingChars="269"/>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10、 索赔</w:t>
      </w:r>
    </w:p>
    <w:p>
      <w:pPr>
        <w:spacing w:line="360" w:lineRule="auto"/>
        <w:ind w:left="444" w:leftChars="-57" w:hanging="564" w:hangingChars="269"/>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color w:val="auto"/>
          <w:szCs w:val="21"/>
          <w:highlight w:val="none"/>
        </w:rPr>
        <w:t>10.1  如有异议，甲方有权根据有关政府部门的检验结果向乙方提出索赔。</w:t>
      </w:r>
    </w:p>
    <w:p>
      <w:pPr>
        <w:spacing w:line="360" w:lineRule="auto"/>
        <w:ind w:left="549" w:leftChars="-57" w:hanging="669" w:hangingChars="319"/>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color w:val="auto"/>
          <w:szCs w:val="21"/>
          <w:highlight w:val="none"/>
        </w:rPr>
        <w:t>10.2  在合同执行期间，如果乙方对甲方提出的索赔和差异负有责任，乙方应按照甲方同意的下列一种或多种方式解决索赔事宜：</w:t>
      </w:r>
    </w:p>
    <w:p>
      <w:pPr>
        <w:numPr>
          <w:ilvl w:val="0"/>
          <w:numId w:val="17"/>
        </w:numPr>
        <w:tabs>
          <w:tab w:val="clear" w:pos="1215"/>
        </w:tabs>
        <w:spacing w:line="360" w:lineRule="auto"/>
        <w:ind w:left="840" w:hanging="315"/>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乙方同意退货，并按合同规定的同种货币将货款退还给甲方，并承担由此发生的一切损失和费用。</w:t>
      </w:r>
    </w:p>
    <w:p>
      <w:pPr>
        <w:numPr>
          <w:ilvl w:val="0"/>
          <w:numId w:val="17"/>
        </w:numPr>
        <w:tabs>
          <w:tab w:val="clear" w:pos="1215"/>
        </w:tabs>
        <w:spacing w:line="360" w:lineRule="auto"/>
        <w:ind w:left="840" w:hanging="315"/>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根据货物低劣程度、损坏程度以及甲方所遭受损失的数额甲乙双方商定降低货物的价格。</w:t>
      </w:r>
    </w:p>
    <w:p>
      <w:pPr>
        <w:numPr>
          <w:ilvl w:val="0"/>
          <w:numId w:val="17"/>
        </w:numPr>
        <w:tabs>
          <w:tab w:val="clear" w:pos="1215"/>
        </w:tabs>
        <w:spacing w:line="360" w:lineRule="auto"/>
        <w:ind w:left="840" w:hanging="315"/>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用符合规格、质量和性能要求的新零件、部件或货物来更换有缺陷的部分或修补缺陷的部分，乙方应承担一切费用和风险并负有甲方所发生的一切直接费用。同时，相应延长质量保证期。</w:t>
      </w:r>
    </w:p>
    <w:p>
      <w:pPr>
        <w:tabs>
          <w:tab w:val="left" w:pos="540"/>
        </w:tabs>
        <w:spacing w:line="360" w:lineRule="auto"/>
        <w:ind w:left="565" w:leftChars="-85" w:hanging="743" w:hangingChars="354"/>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10.3  如果在甲方发出索赔通知后</w:t>
      </w:r>
      <w:r>
        <w:rPr>
          <w:rFonts w:hint="eastAsia" w:asciiTheme="minorEastAsia" w:hAnsiTheme="minorEastAsia" w:eastAsiaTheme="minorEastAsia" w:cstheme="minorEastAsia"/>
          <w:color w:val="auto"/>
          <w:szCs w:val="21"/>
          <w:highlight w:val="none"/>
          <w:shd w:val="clear" w:color="auto" w:fill="FFFFFF"/>
        </w:rPr>
        <w:t>30</w:t>
      </w:r>
      <w:r>
        <w:rPr>
          <w:rFonts w:hint="eastAsia" w:asciiTheme="minorEastAsia" w:hAnsiTheme="minorEastAsia" w:eastAsiaTheme="minorEastAsia" w:cstheme="minorEastAsia"/>
          <w:color w:val="auto"/>
          <w:szCs w:val="21"/>
          <w:highlight w:val="none"/>
        </w:rPr>
        <w:t>天内，乙方未作答复，上述索赔应视为已被乙方接受。甲方将从合同款项中扣回索赔金额。如果这些金额不足以补偿索赔金额，甲方有权向乙方提出不足部分的补偿。</w:t>
      </w:r>
    </w:p>
    <w:p>
      <w:pPr>
        <w:spacing w:line="360" w:lineRule="auto"/>
        <w:ind w:left="528" w:leftChars="-57" w:hanging="648" w:hangingChars="269"/>
        <w:rPr>
          <w:rFonts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b/>
          <w:bCs/>
          <w:color w:val="auto"/>
          <w:sz w:val="24"/>
          <w:highlight w:val="none"/>
        </w:rPr>
        <w:t>11、 违约与处罚</w:t>
      </w:r>
    </w:p>
    <w:p>
      <w:pPr>
        <w:spacing w:line="360" w:lineRule="auto"/>
        <w:ind w:left="645" w:leftChars="-57" w:hanging="765" w:hangingChars="319"/>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 w:val="24"/>
          <w:highlight w:val="none"/>
        </w:rPr>
        <w:t>11.1</w:t>
      </w:r>
      <w:r>
        <w:rPr>
          <w:rFonts w:hint="eastAsia" w:asciiTheme="minorEastAsia" w:hAnsiTheme="minorEastAsia" w:eastAsiaTheme="minorEastAsia" w:cstheme="minorEastAsia"/>
          <w:color w:val="auto"/>
          <w:szCs w:val="21"/>
          <w:highlight w:val="none"/>
        </w:rPr>
        <w:t xml:space="preserve">  甲方应依合同规定时间内，向乙方支付货款，每拖延一天乙方可向甲方加收合同金额的</w:t>
      </w:r>
      <w:r>
        <w:rPr>
          <w:rFonts w:hint="eastAsia" w:asciiTheme="minorEastAsia" w:hAnsiTheme="minorEastAsia" w:eastAsiaTheme="minorEastAsia" w:cstheme="minorEastAsia"/>
          <w:color w:val="auto"/>
          <w:szCs w:val="21"/>
          <w:highlight w:val="none"/>
          <w:shd w:val="clear" w:color="auto" w:fill="FFFFFF"/>
        </w:rPr>
        <w:t>3‰</w:t>
      </w:r>
      <w:r>
        <w:rPr>
          <w:rFonts w:hint="eastAsia" w:asciiTheme="minorEastAsia" w:hAnsiTheme="minorEastAsia" w:eastAsiaTheme="minorEastAsia" w:cstheme="minorEastAsia"/>
          <w:color w:val="auto"/>
          <w:szCs w:val="21"/>
          <w:highlight w:val="none"/>
        </w:rPr>
        <w:t>的违约金。</w:t>
      </w:r>
    </w:p>
    <w:p>
      <w:pPr>
        <w:spacing w:line="360" w:lineRule="auto"/>
        <w:ind w:left="444" w:leftChars="-57" w:hanging="564" w:hangingChars="269"/>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11.2  乙方未能按时交货，每拖延一天，须向甲方支付合同金额的</w:t>
      </w:r>
      <w:r>
        <w:rPr>
          <w:rFonts w:hint="eastAsia" w:asciiTheme="minorEastAsia" w:hAnsiTheme="minorEastAsia" w:eastAsiaTheme="minorEastAsia" w:cstheme="minorEastAsia"/>
          <w:color w:val="auto"/>
          <w:szCs w:val="21"/>
          <w:highlight w:val="none"/>
          <w:shd w:val="clear" w:color="auto" w:fill="FFFFFF"/>
        </w:rPr>
        <w:t>3‰</w:t>
      </w:r>
      <w:r>
        <w:rPr>
          <w:rFonts w:hint="eastAsia" w:asciiTheme="minorEastAsia" w:hAnsiTheme="minorEastAsia" w:eastAsiaTheme="minorEastAsia" w:cstheme="minorEastAsia"/>
          <w:color w:val="auto"/>
          <w:szCs w:val="21"/>
          <w:highlight w:val="none"/>
        </w:rPr>
        <w:t>的违约金。</w:t>
      </w:r>
    </w:p>
    <w:p>
      <w:pPr>
        <w:spacing w:line="360" w:lineRule="auto"/>
        <w:ind w:left="549" w:leftChars="-57" w:hanging="669" w:hangingChars="319"/>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11.3  乙方交付的货物不符合合同规定的，甲方有权拒收，乙方向甲方支付合同金额的</w:t>
      </w:r>
      <w:r>
        <w:rPr>
          <w:rFonts w:hint="eastAsia" w:asciiTheme="minorEastAsia" w:hAnsiTheme="minorEastAsia" w:eastAsiaTheme="minorEastAsia" w:cstheme="minorEastAsia"/>
          <w:color w:val="auto"/>
          <w:szCs w:val="21"/>
          <w:highlight w:val="none"/>
          <w:shd w:val="clear" w:color="auto" w:fill="FFFFFF"/>
        </w:rPr>
        <w:t>5%</w:t>
      </w:r>
      <w:r>
        <w:rPr>
          <w:rFonts w:hint="eastAsia" w:asciiTheme="minorEastAsia" w:hAnsiTheme="minorEastAsia" w:eastAsiaTheme="minorEastAsia" w:cstheme="minorEastAsia"/>
          <w:color w:val="auto"/>
          <w:szCs w:val="21"/>
          <w:highlight w:val="none"/>
        </w:rPr>
        <w:t>的违约金。</w:t>
      </w:r>
    </w:p>
    <w:p>
      <w:pPr>
        <w:spacing w:line="360" w:lineRule="auto"/>
        <w:ind w:left="444" w:leftChars="-57" w:hanging="564" w:hangingChars="269"/>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11.4  甲方无正当理由拒收货物的，甲方向乙方支付合同金额的</w:t>
      </w:r>
      <w:r>
        <w:rPr>
          <w:rFonts w:hint="eastAsia" w:asciiTheme="minorEastAsia" w:hAnsiTheme="minorEastAsia" w:eastAsiaTheme="minorEastAsia" w:cstheme="minorEastAsia"/>
          <w:color w:val="auto"/>
          <w:szCs w:val="21"/>
          <w:highlight w:val="none"/>
          <w:shd w:val="clear" w:color="auto" w:fill="FFFFFF"/>
        </w:rPr>
        <w:t>5%</w:t>
      </w:r>
      <w:r>
        <w:rPr>
          <w:rFonts w:hint="eastAsia" w:asciiTheme="minorEastAsia" w:hAnsiTheme="minorEastAsia" w:eastAsiaTheme="minorEastAsia" w:cstheme="minorEastAsia"/>
          <w:color w:val="auto"/>
          <w:szCs w:val="21"/>
          <w:highlight w:val="none"/>
        </w:rPr>
        <w:t>的违约金。</w:t>
      </w:r>
    </w:p>
    <w:p>
      <w:pPr>
        <w:spacing w:line="360" w:lineRule="auto"/>
        <w:ind w:left="444" w:leftChars="-57" w:hanging="564" w:hangingChars="269"/>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11.5  乙方未能交付货物，则向甲方支付合同金额的</w:t>
      </w:r>
      <w:r>
        <w:rPr>
          <w:rFonts w:hint="eastAsia" w:asciiTheme="minorEastAsia" w:hAnsiTheme="minorEastAsia" w:eastAsiaTheme="minorEastAsia" w:cstheme="minorEastAsia"/>
          <w:color w:val="auto"/>
          <w:szCs w:val="21"/>
          <w:highlight w:val="none"/>
          <w:shd w:val="clear" w:color="auto" w:fill="FFFFFF"/>
        </w:rPr>
        <w:t>7.5%</w:t>
      </w:r>
      <w:r>
        <w:rPr>
          <w:rFonts w:hint="eastAsia" w:asciiTheme="minorEastAsia" w:hAnsiTheme="minorEastAsia" w:eastAsiaTheme="minorEastAsia" w:cstheme="minorEastAsia"/>
          <w:color w:val="auto"/>
          <w:szCs w:val="21"/>
          <w:highlight w:val="none"/>
        </w:rPr>
        <w:t>的违约金。</w:t>
      </w:r>
    </w:p>
    <w:p>
      <w:pPr>
        <w:spacing w:line="360" w:lineRule="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12、合同终止</w:t>
      </w:r>
    </w:p>
    <w:p>
      <w:pPr>
        <w:spacing w:line="360" w:lineRule="auto"/>
        <w:ind w:left="525" w:leftChars="250" w:firstLine="12" w:firstLineChars="6"/>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如果一方严重违反合同，并在收到对方违约通知书后在</w:t>
      </w:r>
      <w:r>
        <w:rPr>
          <w:rFonts w:hint="eastAsia" w:asciiTheme="minorEastAsia" w:hAnsiTheme="minorEastAsia" w:eastAsiaTheme="minorEastAsia" w:cstheme="minorEastAsia"/>
          <w:color w:val="auto"/>
          <w:szCs w:val="21"/>
          <w:highlight w:val="none"/>
          <w:shd w:val="clear" w:color="auto" w:fill="FFFFFF"/>
        </w:rPr>
        <w:t>30</w:t>
      </w:r>
      <w:r>
        <w:rPr>
          <w:rFonts w:hint="eastAsia" w:asciiTheme="minorEastAsia" w:hAnsiTheme="minorEastAsia" w:eastAsiaTheme="minorEastAsia" w:cstheme="minorEastAsia"/>
          <w:color w:val="auto"/>
          <w:szCs w:val="21"/>
          <w:highlight w:val="none"/>
        </w:rPr>
        <w:t>天内仍未能改正违约的，另一方可立即终止本合同。</w:t>
      </w:r>
    </w:p>
    <w:p>
      <w:pPr>
        <w:spacing w:line="360" w:lineRule="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13、 法律诉讼</w:t>
      </w:r>
    </w:p>
    <w:p>
      <w:pPr>
        <w:spacing w:line="360" w:lineRule="auto"/>
        <w:ind w:left="630" w:leftChars="30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签约双方在履约中发生争执和分歧，双方应通过友好协商解决，若经协商不能达成协议时，则由合同签订地或招标人所在地人民法院提起诉讼。受理期间，双方应继续执行合同其余部分。</w:t>
      </w:r>
    </w:p>
    <w:p>
      <w:pPr>
        <w:spacing w:line="360" w:lineRule="auto"/>
        <w:rPr>
          <w:rFonts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14、 其它</w:t>
      </w:r>
    </w:p>
    <w:p>
      <w:pPr>
        <w:spacing w:line="360" w:lineRule="auto"/>
        <w:ind w:left="600" w:hanging="600" w:hangingChars="250"/>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 w:val="24"/>
          <w:highlight w:val="none"/>
        </w:rPr>
        <w:t>14</w:t>
      </w:r>
      <w:r>
        <w:rPr>
          <w:rFonts w:hint="eastAsia" w:asciiTheme="minorEastAsia" w:hAnsiTheme="minorEastAsia" w:eastAsiaTheme="minorEastAsia" w:cstheme="minorEastAsia"/>
          <w:color w:val="auto"/>
          <w:szCs w:val="21"/>
          <w:highlight w:val="none"/>
        </w:rPr>
        <w:t>.1 本合同正本四份，具有同等法律效力，甲、乙双方各执一份，省教育装备中心一份，采购代理机构一份。合同自签字之日起即时生效。</w:t>
      </w:r>
    </w:p>
    <w:p>
      <w:pPr>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14.2 下列文件是本合同的一部分，并与本合同一起阅读和解释</w:t>
      </w:r>
    </w:p>
    <w:p>
      <w:pPr>
        <w:numPr>
          <w:ilvl w:val="0"/>
          <w:numId w:val="18"/>
        </w:numPr>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成交人提交的投标函和投标一览表；</w:t>
      </w:r>
    </w:p>
    <w:p>
      <w:pPr>
        <w:numPr>
          <w:ilvl w:val="0"/>
          <w:numId w:val="18"/>
        </w:numPr>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资格声明函；</w:t>
      </w:r>
    </w:p>
    <w:p>
      <w:pPr>
        <w:numPr>
          <w:ilvl w:val="0"/>
          <w:numId w:val="18"/>
        </w:numPr>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中标通知书；</w:t>
      </w:r>
    </w:p>
    <w:p>
      <w:pPr>
        <w:numPr>
          <w:ilvl w:val="0"/>
          <w:numId w:val="18"/>
        </w:numPr>
        <w:snapToGrid w:val="0"/>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其他相关投标文件。 </w:t>
      </w:r>
    </w:p>
    <w:p>
      <w:pPr>
        <w:spacing w:line="360" w:lineRule="auto"/>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14.3  本合同未尽事宜，由双方协商处理。</w:t>
      </w:r>
    </w:p>
    <w:p>
      <w:pPr>
        <w:spacing w:line="360" w:lineRule="auto"/>
        <w:ind w:left="718" w:leftChars="342"/>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甲方：                                    乙方： </w:t>
      </w:r>
    </w:p>
    <w:p>
      <w:pPr>
        <w:spacing w:line="360" w:lineRule="auto"/>
        <w:ind w:left="718" w:leftChars="342"/>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签约代表：                                签约代表：</w:t>
      </w:r>
    </w:p>
    <w:p>
      <w:pPr>
        <w:spacing w:line="360" w:lineRule="auto"/>
        <w:ind w:left="718" w:leftChars="342"/>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地址：                                    地址：</w:t>
      </w:r>
    </w:p>
    <w:p>
      <w:pPr>
        <w:spacing w:line="360" w:lineRule="auto"/>
        <w:jc w:val="left"/>
        <w:rPr>
          <w:rFonts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Cs w:val="21"/>
          <w:highlight w:val="none"/>
        </w:rPr>
        <w:t>日期：年月日                     日期：年月日</w:t>
      </w: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291"/>
    <w:bookmarkEnd w:id="292"/>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rPr>
          <w:rFonts w:ascii="宋体" w:hAnsi="宋体" w:cs="宋体"/>
          <w:color w:val="auto"/>
          <w:kern w:val="0"/>
          <w:szCs w:val="21"/>
          <w:highlight w:val="none"/>
        </w:rPr>
      </w:pPr>
      <w:r>
        <w:rPr>
          <w:rFonts w:ascii="宋体" w:hAnsi="宋体" w:cs="宋体"/>
          <w:color w:val="auto"/>
          <w:kern w:val="0"/>
          <w:szCs w:val="21"/>
          <w:highlight w:val="none"/>
        </w:rPr>
        <w:br w:type="page"/>
      </w:r>
    </w:p>
    <w:p>
      <w:pPr>
        <w:pStyle w:val="46"/>
        <w:rPr>
          <w:color w:val="auto"/>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46"/>
        <w:rPr>
          <w:rFonts w:hAnsi="宋体" w:cs="宋体"/>
          <w:color w:val="auto"/>
          <w:kern w:val="0"/>
          <w:szCs w:val="21"/>
          <w:highlight w:val="none"/>
        </w:rPr>
      </w:pPr>
    </w:p>
    <w:p>
      <w:pPr>
        <w:pStyle w:val="96"/>
        <w:rPr>
          <w:rFonts w:hAnsi="宋体"/>
          <w:color w:val="auto"/>
          <w:szCs w:val="21"/>
          <w:highlight w:val="none"/>
        </w:rPr>
      </w:pPr>
    </w:p>
    <w:p>
      <w:pPr>
        <w:pStyle w:val="96"/>
        <w:rPr>
          <w:rFonts w:hAnsi="宋体"/>
          <w:color w:val="auto"/>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293" w:name="OLE_LINK4"/>
    </w:p>
    <w:p>
      <w:pPr>
        <w:pStyle w:val="4"/>
        <w:autoSpaceDE w:val="0"/>
        <w:rPr>
          <w:b w:val="0"/>
          <w:bCs w:val="0"/>
          <w:color w:val="auto"/>
          <w:sz w:val="44"/>
          <w:highlight w:val="none"/>
        </w:rPr>
      </w:pPr>
      <w:bookmarkStart w:id="294" w:name="_Toc475104528"/>
      <w:r>
        <w:rPr>
          <w:rFonts w:hint="eastAsia"/>
          <w:color w:val="auto"/>
          <w:sz w:val="44"/>
          <w:highlight w:val="none"/>
        </w:rPr>
        <w:t>第五章 评分体系与标准</w:t>
      </w:r>
      <w:bookmarkEnd w:id="294"/>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19"/>
        </w:numPr>
        <w:autoSpaceDE w:val="0"/>
        <w:autoSpaceDN w:val="0"/>
        <w:adjustRightInd w:val="0"/>
        <w:snapToGrid w:val="0"/>
        <w:spacing w:line="360" w:lineRule="auto"/>
        <w:outlineLvl w:val="0"/>
        <w:rPr>
          <w:rFonts w:ascii="宋体" w:hAnsi="宋体"/>
          <w:bCs/>
          <w:color w:val="auto"/>
          <w:szCs w:val="21"/>
          <w:highlight w:val="none"/>
        </w:rPr>
      </w:pPr>
      <w:bookmarkStart w:id="295" w:name="_Toc475104529"/>
      <w:bookmarkStart w:id="296" w:name="_Toc264203535"/>
      <w:bookmarkStart w:id="297" w:name="_Toc98579065"/>
      <w:bookmarkStart w:id="298" w:name="_Toc50276153"/>
      <w:bookmarkStart w:id="299" w:name="_Toc98579007"/>
      <w:bookmarkStart w:id="300" w:name="_Toc42394669"/>
      <w:bookmarkStart w:id="301" w:name="_Toc101775128"/>
      <w:bookmarkStart w:id="302" w:name="_Toc101843128"/>
      <w:bookmarkStart w:id="303" w:name="_Toc98579606"/>
      <w:bookmarkStart w:id="304" w:name="_Toc101771375"/>
      <w:bookmarkStart w:id="305" w:name="_Toc98580289"/>
      <w:bookmarkStart w:id="306" w:name="_Toc42394513"/>
      <w:bookmarkStart w:id="307" w:name="_Toc101951266"/>
      <w:bookmarkStart w:id="308" w:name="_Toc41884701"/>
      <w:bookmarkStart w:id="309" w:name="_Toc42313167"/>
      <w:bookmarkStart w:id="310" w:name="_Toc41723931"/>
      <w:bookmarkStart w:id="311" w:name="_Toc101553661"/>
      <w:bookmarkStart w:id="312" w:name="_Toc28142601"/>
      <w:bookmarkStart w:id="313" w:name="_Toc67911942"/>
      <w:bookmarkStart w:id="314" w:name="_Toc138568672"/>
      <w:bookmarkStart w:id="315" w:name="_Toc102211724"/>
      <w:bookmarkStart w:id="316" w:name="_Toc28489533"/>
      <w:bookmarkStart w:id="317" w:name="_Toc131922503"/>
      <w:bookmarkStart w:id="318" w:name="_Toc124646434"/>
      <w:bookmarkStart w:id="319" w:name="_Toc124570687"/>
      <w:bookmarkStart w:id="320" w:name="_Toc150050902"/>
      <w:bookmarkStart w:id="321" w:name="_Toc124401382"/>
      <w:bookmarkStart w:id="322" w:name="_Toc148060906"/>
      <w:bookmarkStart w:id="323" w:name="_Toc95304223"/>
      <w:bookmarkStart w:id="324" w:name="_Toc101553556"/>
      <w:bookmarkStart w:id="325" w:name="_Toc148420070"/>
      <w:bookmarkStart w:id="326" w:name="_Toc138506092"/>
      <w:bookmarkStart w:id="327" w:name="_Toc108243616"/>
      <w:bookmarkStart w:id="328" w:name="_Toc34535380"/>
      <w:bookmarkStart w:id="329" w:name="_Toc108001800"/>
      <w:bookmarkStart w:id="330" w:name="_Toc131904930"/>
      <w:bookmarkStart w:id="331" w:name="_Toc104902929"/>
      <w:bookmarkStart w:id="332" w:name="_Toc169334816"/>
      <w:bookmarkStart w:id="333" w:name="_Toc66722112"/>
      <w:bookmarkStart w:id="334" w:name="_Toc113277292"/>
      <w:bookmarkStart w:id="335" w:name="_Toc95249607"/>
      <w:bookmarkStart w:id="336" w:name="_Toc125770208"/>
      <w:bookmarkStart w:id="337" w:name="_Toc104874465"/>
      <w:bookmarkStart w:id="338" w:name="_Toc35834934"/>
      <w:bookmarkStart w:id="339" w:name="_Toc68620012"/>
      <w:r>
        <w:rPr>
          <w:rFonts w:hint="eastAsia" w:ascii="宋体" w:hAnsi="宋体"/>
          <w:bCs/>
          <w:color w:val="auto"/>
          <w:szCs w:val="21"/>
          <w:highlight w:val="none"/>
        </w:rPr>
        <w:t>本评审办法采用综合评分法。</w:t>
      </w:r>
      <w:bookmarkEnd w:id="295"/>
    </w:p>
    <w:p>
      <w:pPr>
        <w:numPr>
          <w:ilvl w:val="0"/>
          <w:numId w:val="19"/>
        </w:numPr>
        <w:autoSpaceDE w:val="0"/>
        <w:autoSpaceDN w:val="0"/>
        <w:adjustRightInd w:val="0"/>
        <w:snapToGrid w:val="0"/>
        <w:spacing w:line="360" w:lineRule="auto"/>
        <w:outlineLvl w:val="0"/>
        <w:rPr>
          <w:rFonts w:ascii="宋体" w:cs="宋体"/>
          <w:color w:val="auto"/>
          <w:highlight w:val="none"/>
        </w:rPr>
      </w:pPr>
      <w:bookmarkStart w:id="340" w:name="_Toc475104530"/>
      <w:bookmarkStart w:id="341"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设定的程序和规则推荐评审结果</w:t>
      </w:r>
      <w:r>
        <w:rPr>
          <w:rFonts w:hint="eastAsia" w:ascii="宋体" w:hAnsi="宋体" w:cs="宋体"/>
          <w:color w:val="auto"/>
          <w:szCs w:val="21"/>
          <w:highlight w:val="none"/>
        </w:rPr>
        <w:t>；</w:t>
      </w:r>
    </w:p>
    <w:p>
      <w:pPr>
        <w:numPr>
          <w:ilvl w:val="0"/>
          <w:numId w:val="19"/>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通过资格性和符合性检查的有效报价人方有资格提交最后报价及进行技术、商务及价格的详细评审，最后磋商小组出具竞争性磋商报告。</w:t>
      </w:r>
      <w:bookmarkEnd w:id="340"/>
    </w:p>
    <w:bookmarkEnd w:id="296"/>
    <w:bookmarkEnd w:id="297"/>
    <w:bookmarkEnd w:id="298"/>
    <w:bookmarkEnd w:id="299"/>
    <w:bookmarkEnd w:id="300"/>
    <w:bookmarkEnd w:id="301"/>
    <w:bookmarkEnd w:id="302"/>
    <w:bookmarkEnd w:id="303"/>
    <w:bookmarkEnd w:id="304"/>
    <w:bookmarkEnd w:id="305"/>
    <w:bookmarkEnd w:id="306"/>
    <w:bookmarkEnd w:id="307"/>
    <w:bookmarkEnd w:id="341"/>
    <w:p>
      <w:pPr>
        <w:numPr>
          <w:ilvl w:val="0"/>
          <w:numId w:val="19"/>
        </w:numPr>
        <w:autoSpaceDE w:val="0"/>
        <w:autoSpaceDN w:val="0"/>
        <w:adjustRightInd w:val="0"/>
        <w:snapToGrid w:val="0"/>
        <w:spacing w:line="360" w:lineRule="auto"/>
        <w:outlineLvl w:val="0"/>
        <w:rPr>
          <w:rFonts w:ascii="宋体" w:hAnsi="宋体"/>
          <w:bCs/>
          <w:color w:val="auto"/>
          <w:szCs w:val="21"/>
          <w:highlight w:val="none"/>
        </w:rPr>
      </w:pPr>
      <w:bookmarkStart w:id="342"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报价人</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19"/>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42"/>
    </w:p>
    <w:tbl>
      <w:tblPr>
        <w:tblStyle w:val="89"/>
        <w:tblpPr w:leftFromText="180" w:rightFromText="180" w:vertAnchor="text" w:tblpX="318" w:tblpY="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43" w:name="_Toc333236678"/>
            <w:bookmarkStart w:id="344" w:name="_Toc475104533"/>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40%</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30%</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30%</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19"/>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43"/>
    <w:bookmarkEnd w:id="344"/>
    <w:p>
      <w:pPr>
        <w:numPr>
          <w:ilvl w:val="0"/>
          <w:numId w:val="19"/>
        </w:numPr>
        <w:autoSpaceDE w:val="0"/>
        <w:autoSpaceDN w:val="0"/>
        <w:adjustRightInd w:val="0"/>
        <w:snapToGrid w:val="0"/>
        <w:spacing w:line="360" w:lineRule="auto"/>
        <w:outlineLvl w:val="0"/>
        <w:rPr>
          <w:rFonts w:ascii="宋体" w:hAnsi="宋体"/>
          <w:color w:val="auto"/>
          <w:szCs w:val="21"/>
          <w:highlight w:val="none"/>
        </w:rPr>
      </w:pPr>
      <w:bookmarkStart w:id="345" w:name="_Toc333236680"/>
      <w:bookmarkStart w:id="346" w:name="_Toc475104534"/>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19"/>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19"/>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磋商小组各成员应当独立对每个有效响应的文件进行评价、打分，然后汇总每个报价人每项评分因素的得分。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08"/>
    <w:bookmarkEnd w:id="309"/>
    <w:bookmarkEnd w:id="310"/>
    <w:bookmarkEnd w:id="345"/>
    <w:bookmarkEnd w:id="346"/>
    <w:p>
      <w:pPr>
        <w:numPr>
          <w:ilvl w:val="0"/>
          <w:numId w:val="19"/>
        </w:numPr>
        <w:autoSpaceDE w:val="0"/>
        <w:autoSpaceDN w:val="0"/>
        <w:adjustRightInd w:val="0"/>
        <w:snapToGrid w:val="0"/>
        <w:spacing w:line="360" w:lineRule="auto"/>
        <w:outlineLvl w:val="0"/>
        <w:rPr>
          <w:rFonts w:ascii="宋体" w:hAnsi="宋体"/>
          <w:color w:val="auto"/>
          <w:szCs w:val="21"/>
          <w:highlight w:val="none"/>
        </w:rPr>
      </w:pPr>
      <w:bookmarkStart w:id="347" w:name="_Toc475104535"/>
      <w:bookmarkStart w:id="348" w:name="_Toc333236685"/>
      <w:r>
        <w:rPr>
          <w:rFonts w:hint="eastAsia" w:ascii="宋体" w:hAnsi="宋体"/>
          <w:color w:val="auto"/>
          <w:szCs w:val="21"/>
          <w:highlight w:val="none"/>
        </w:rPr>
        <w:t>价格评定</w:t>
      </w:r>
    </w:p>
    <w:p>
      <w:pPr>
        <w:numPr>
          <w:ilvl w:val="1"/>
          <w:numId w:val="19"/>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报价人</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19"/>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价格评分：综合评分法中的价格分统一采用低价优先法计算，即满足磋商文件要求且最后报价最低的报价人的价格为磋商基准价，其价格分为满分。其他报价人的价格分统一按照下列公式计算：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1"/>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，以报价人第二次报价作为基准，计算价格扣减作为报价人的价格评分，评标价只作为分值的计算，最终成交价格按照报价人第二次响应报价为准。</w:t>
      </w:r>
    </w:p>
    <w:p>
      <w:pPr>
        <w:pStyle w:val="161"/>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w:t>
      </w:r>
      <w:r>
        <w:rPr>
          <w:rFonts w:hint="eastAsia" w:ascii="宋体" w:hAnsi="宋体"/>
          <w:bCs/>
          <w:color w:val="auto"/>
          <w:szCs w:val="21"/>
          <w:highlight w:val="none"/>
        </w:rPr>
        <w:t>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8%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如报价人为非制造商，其代理产品的制造商也应同时提交《中小企业声明函》，否则评审时不能享受相应的价格扣除。</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报价人提供的《残疾人福利性单位声明函》与事实不符的，依照《政府采购法》第七十七条第一款的规定追究法律责任。</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报价人公章）。</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同时为小型、微型企业、监狱企业、残疾人福利性单位任两种或以上情况的，评审中只享受一次价格扣除，不重复进行价格扣除。</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rPr>
        <w:t>报价人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格式）。</w:t>
      </w:r>
    </w:p>
    <w:p>
      <w:pPr>
        <w:numPr>
          <w:ilvl w:val="1"/>
          <w:numId w:val="19"/>
        </w:numPr>
        <w:autoSpaceDE w:val="0"/>
        <w:autoSpaceDN w:val="0"/>
        <w:adjustRightInd w:val="0"/>
        <w:snapToGrid w:val="0"/>
        <w:spacing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1"/>
        <w:widowControl/>
        <w:numPr>
          <w:ilvl w:val="2"/>
          <w:numId w:val="19"/>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19"/>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19"/>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19"/>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7"/>
      <w:bookmarkEnd w:id="348"/>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49" w:name="_Toc475104536"/>
      <w:r>
        <w:rPr>
          <w:rFonts w:hint="eastAsia"/>
          <w:color w:val="auto"/>
          <w:sz w:val="24"/>
          <w:highlight w:val="none"/>
        </w:rPr>
        <w:t>资格性审查及符合性检查表</w:t>
      </w:r>
      <w:bookmarkEnd w:id="349"/>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                                                    项目编号：</w:t>
      </w:r>
    </w:p>
    <w:tbl>
      <w:tblPr>
        <w:tblStyle w:val="89"/>
        <w:tblW w:w="93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报价人</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报价人</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报价人</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3.报价人的所有评审项均填写“○”才被视为“通过”，其中一项为“×”则被视为不通过。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技术部分评分表</w:t>
      </w:r>
    </w:p>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 xml:space="preserve">项目名称：                                          </w:t>
      </w:r>
    </w:p>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 xml:space="preserve">项目编号： </w:t>
      </w:r>
    </w:p>
    <w:tbl>
      <w:tblPr>
        <w:tblStyle w:val="89"/>
        <w:tblW w:w="996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55"/>
        <w:gridCol w:w="1938"/>
        <w:gridCol w:w="6818"/>
        <w:gridCol w:w="65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53" w:hRule="atLeast"/>
          <w:tblHeader/>
          <w:jc w:val="center"/>
        </w:trPr>
        <w:tc>
          <w:tcPr>
            <w:tcW w:w="555"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938"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评分项目</w:t>
            </w:r>
          </w:p>
        </w:tc>
        <w:tc>
          <w:tcPr>
            <w:tcW w:w="6818"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评分标准</w:t>
            </w:r>
          </w:p>
        </w:tc>
        <w:tc>
          <w:tcPr>
            <w:tcW w:w="656" w:type="dxa"/>
            <w:tcBorders>
              <w:top w:val="single" w:color="auto" w:sz="4" w:space="0"/>
            </w:tcBorders>
            <w:shd w:val="clear" w:color="auto" w:fill="FFFFFF"/>
            <w:vAlign w:val="center"/>
          </w:tcPr>
          <w:p>
            <w:pPr>
              <w:snapToGrid w:val="0"/>
              <w:spacing w:line="360" w:lineRule="auto"/>
              <w:jc w:val="center"/>
              <w:rPr>
                <w:rFonts w:ascii="宋体" w:hAnsi="宋体" w:cs="宋体"/>
                <w:bCs/>
                <w:color w:val="auto"/>
                <w:szCs w:val="21"/>
                <w:highlight w:val="none"/>
              </w:rPr>
            </w:pPr>
            <w:r>
              <w:rPr>
                <w:rFonts w:hint="eastAsia" w:ascii="宋体" w:hAnsi="宋体" w:cs="宋体"/>
                <w:color w:val="auto"/>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43" w:hRule="atLeast"/>
          <w:jc w:val="center"/>
        </w:trPr>
        <w:tc>
          <w:tcPr>
            <w:tcW w:w="555" w:type="dxa"/>
            <w:tcBorders>
              <w:top w:val="single" w:color="auto" w:sz="4" w:space="0"/>
              <w:bottom w:val="single" w:color="auto" w:sz="4" w:space="0"/>
            </w:tcBorders>
            <w:vAlign w:val="center"/>
          </w:tcPr>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1</w:t>
            </w:r>
          </w:p>
        </w:tc>
        <w:tc>
          <w:tcPr>
            <w:tcW w:w="1938" w:type="dxa"/>
            <w:tcBorders>
              <w:top w:val="single" w:color="auto" w:sz="4" w:space="0"/>
              <w:bottom w:val="single" w:color="auto" w:sz="4" w:space="0"/>
            </w:tcBorders>
            <w:vAlign w:val="center"/>
          </w:tcPr>
          <w:p>
            <w:pPr>
              <w:rPr>
                <w:rFonts w:ascii="宋体" w:hAnsi="宋体" w:cs="宋体"/>
                <w:color w:val="auto"/>
                <w:szCs w:val="21"/>
                <w:highlight w:val="none"/>
              </w:rPr>
            </w:pPr>
            <w:r>
              <w:rPr>
                <w:rFonts w:hint="eastAsia" w:ascii="宋体" w:hAnsi="宋体"/>
                <w:color w:val="auto"/>
                <w:szCs w:val="21"/>
                <w:highlight w:val="none"/>
                <w:lang w:val="zh-CN"/>
              </w:rPr>
              <w:t>对所投产品设备技术参数、性能指标、质量及特别带“▲”的响应情况和符合性</w:t>
            </w:r>
          </w:p>
        </w:tc>
        <w:tc>
          <w:tcPr>
            <w:tcW w:w="681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技术指标响应情况：完全满足或优于招标参数，得10分，每负偏离一个“▲”的，扣2分；每负偏离一个非“▲”条款的，扣1分，扣完为止。</w:t>
            </w:r>
          </w:p>
          <w:p>
            <w:pPr>
              <w:widowControl/>
              <w:jc w:val="left"/>
              <w:rPr>
                <w:color w:val="auto"/>
                <w:szCs w:val="21"/>
                <w:highlight w:val="none"/>
              </w:rPr>
            </w:pPr>
            <w:r>
              <w:rPr>
                <w:rFonts w:hint="eastAsia" w:hAnsi="宋体"/>
                <w:color w:val="auto"/>
                <w:szCs w:val="21"/>
                <w:highlight w:val="none"/>
                <w:lang w:val="zh-CN"/>
              </w:rPr>
              <w:t>（注：产品设备技术参数，需提供彩页等证明材料，证明材料必须逐项对应招标文件的技术条款。不能提供证明材料的，扣除该产品的全部技术分数；提供有漏项的，视为负偏离并扣除对应条款分数。）</w:t>
            </w:r>
          </w:p>
        </w:tc>
        <w:tc>
          <w:tcPr>
            <w:tcW w:w="656" w:type="dxa"/>
            <w:tcBorders>
              <w:top w:val="single" w:color="auto" w:sz="4" w:space="0"/>
              <w:bottom w:val="single" w:color="auto" w:sz="4" w:space="0"/>
            </w:tcBorders>
            <w:vAlign w:val="center"/>
          </w:tcPr>
          <w:p>
            <w:pPr>
              <w:pStyle w:val="210"/>
              <w:jc w:val="center"/>
              <w:rPr>
                <w:rFonts w:ascii="宋体" w:hAnsi="宋体" w:cs="宋体"/>
                <w:bCs/>
                <w:color w:val="auto"/>
                <w:szCs w:val="21"/>
                <w:highlight w:val="none"/>
              </w:rPr>
            </w:pPr>
            <w:r>
              <w:rPr>
                <w:rFonts w:hint="eastAsia" w:ascii="宋体" w:hAnsi="宋体" w:cs="宋体"/>
                <w:color w:val="auto"/>
                <w:szCs w:val="21"/>
                <w:highlight w:val="none"/>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122" w:hRule="atLeast"/>
          <w:jc w:val="center"/>
        </w:trPr>
        <w:tc>
          <w:tcPr>
            <w:tcW w:w="555" w:type="dxa"/>
            <w:tcBorders>
              <w:top w:val="single" w:color="auto" w:sz="4" w:space="0"/>
              <w:bottom w:val="single" w:color="auto" w:sz="4" w:space="0"/>
            </w:tcBorders>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2</w:t>
            </w:r>
          </w:p>
        </w:tc>
        <w:tc>
          <w:tcPr>
            <w:tcW w:w="193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施工材料</w:t>
            </w:r>
          </w:p>
        </w:tc>
        <w:tc>
          <w:tcPr>
            <w:tcW w:w="681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按照采购人需求书所附《</w:t>
            </w:r>
            <w:r>
              <w:rPr>
                <w:rFonts w:hint="eastAsia" w:cs="宋体"/>
                <w:color w:val="auto"/>
                <w:kern w:val="0"/>
                <w:szCs w:val="21"/>
                <w:highlight w:val="none"/>
                <w:lang w:val="zh-CN"/>
              </w:rPr>
              <w:t>主要材料设备</w:t>
            </w:r>
            <w:r>
              <w:rPr>
                <w:rFonts w:hint="eastAsia" w:cs="宋体"/>
                <w:color w:val="auto"/>
                <w:kern w:val="0"/>
                <w:szCs w:val="21"/>
                <w:highlight w:val="none"/>
              </w:rPr>
              <w:t>采购一览表》中选材范围95%≤选材比率≤100%选用的，得5分，90%≤选材比率＜95%选用的，得3分，80%≤选材比率＜90%选用的，得1分，其他得0分。</w:t>
            </w:r>
          </w:p>
        </w:tc>
        <w:tc>
          <w:tcPr>
            <w:tcW w:w="656" w:type="dxa"/>
            <w:tcBorders>
              <w:top w:val="single" w:color="auto" w:sz="4" w:space="0"/>
              <w:bottom w:val="single" w:color="auto" w:sz="4" w:space="0"/>
            </w:tcBorders>
            <w:vAlign w:val="center"/>
          </w:tcPr>
          <w:p>
            <w:pPr>
              <w:pStyle w:val="210"/>
              <w:jc w:val="center"/>
              <w:rPr>
                <w:rFonts w:ascii="宋体" w:hAnsi="宋体" w:cs="宋体"/>
                <w:color w:val="auto"/>
                <w:szCs w:val="21"/>
                <w:highlight w:val="none"/>
              </w:rPr>
            </w:pPr>
            <w:r>
              <w:rPr>
                <w:rFonts w:hint="eastAsia" w:ascii="宋体" w:hAnsi="宋体" w:cs="宋体"/>
                <w:color w:val="auto"/>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26" w:hRule="atLeast"/>
          <w:jc w:val="center"/>
        </w:trPr>
        <w:tc>
          <w:tcPr>
            <w:tcW w:w="555" w:type="dxa"/>
            <w:tcBorders>
              <w:top w:val="single" w:color="auto" w:sz="4" w:space="0"/>
              <w:bottom w:val="single" w:color="auto" w:sz="4" w:space="0"/>
            </w:tcBorders>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3</w:t>
            </w:r>
          </w:p>
        </w:tc>
        <w:tc>
          <w:tcPr>
            <w:tcW w:w="193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合同履行期进度计划承诺</w:t>
            </w:r>
          </w:p>
        </w:tc>
        <w:tc>
          <w:tcPr>
            <w:tcW w:w="681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lang w:val="en-GB"/>
              </w:rPr>
              <w:t>本项目竞争性磋商文件规定的合同履行期限为</w:t>
            </w:r>
            <w:r>
              <w:rPr>
                <w:rFonts w:hint="eastAsia" w:cs="宋体"/>
                <w:color w:val="auto"/>
                <w:kern w:val="0"/>
                <w:szCs w:val="21"/>
                <w:highlight w:val="none"/>
              </w:rPr>
              <w:t>35日历天</w:t>
            </w:r>
            <w:r>
              <w:rPr>
                <w:rFonts w:hint="eastAsia" w:cs="宋体"/>
                <w:color w:val="auto"/>
                <w:kern w:val="0"/>
                <w:szCs w:val="21"/>
                <w:highlight w:val="none"/>
                <w:lang w:val="en-GB"/>
              </w:rPr>
              <w:t>，合同履行期限为</w:t>
            </w:r>
            <w:r>
              <w:rPr>
                <w:rFonts w:hint="eastAsia" w:cs="宋体"/>
                <w:color w:val="auto"/>
                <w:kern w:val="0"/>
                <w:szCs w:val="21"/>
                <w:highlight w:val="none"/>
              </w:rPr>
              <w:t>35日历天</w:t>
            </w:r>
            <w:r>
              <w:rPr>
                <w:rFonts w:hint="eastAsia" w:cs="宋体"/>
                <w:color w:val="auto"/>
                <w:kern w:val="0"/>
                <w:szCs w:val="21"/>
                <w:highlight w:val="none"/>
                <w:lang w:val="en-GB"/>
              </w:rPr>
              <w:t>的不得分，每承诺提前</w:t>
            </w:r>
            <w:r>
              <w:rPr>
                <w:rFonts w:hint="eastAsia" w:cs="宋体"/>
                <w:color w:val="auto"/>
                <w:kern w:val="0"/>
                <w:szCs w:val="21"/>
                <w:highlight w:val="none"/>
              </w:rPr>
              <w:t>1日历天</w:t>
            </w:r>
            <w:r>
              <w:rPr>
                <w:rFonts w:hint="eastAsia" w:cs="宋体"/>
                <w:color w:val="auto"/>
                <w:kern w:val="0"/>
                <w:szCs w:val="21"/>
                <w:highlight w:val="none"/>
                <w:lang w:val="en-GB"/>
              </w:rPr>
              <w:t>的得</w:t>
            </w:r>
            <w:r>
              <w:rPr>
                <w:rFonts w:hint="eastAsia" w:cs="宋体"/>
                <w:color w:val="auto"/>
                <w:kern w:val="0"/>
                <w:szCs w:val="21"/>
                <w:highlight w:val="none"/>
              </w:rPr>
              <w:t>0.5</w:t>
            </w:r>
            <w:r>
              <w:rPr>
                <w:rFonts w:hint="eastAsia" w:cs="宋体"/>
                <w:color w:val="auto"/>
                <w:kern w:val="0"/>
                <w:szCs w:val="21"/>
                <w:highlight w:val="none"/>
                <w:lang w:val="en-GB"/>
              </w:rPr>
              <w:t>分，此项满分为</w:t>
            </w:r>
            <w:r>
              <w:rPr>
                <w:rFonts w:hint="eastAsia" w:cs="宋体"/>
                <w:color w:val="auto"/>
                <w:kern w:val="0"/>
                <w:szCs w:val="21"/>
                <w:highlight w:val="none"/>
              </w:rPr>
              <w:t>4</w:t>
            </w:r>
            <w:r>
              <w:rPr>
                <w:rFonts w:hint="eastAsia" w:cs="宋体"/>
                <w:color w:val="auto"/>
                <w:kern w:val="0"/>
                <w:szCs w:val="21"/>
                <w:highlight w:val="none"/>
                <w:lang w:val="en-GB"/>
              </w:rPr>
              <w:t>分。</w:t>
            </w:r>
          </w:p>
        </w:tc>
        <w:tc>
          <w:tcPr>
            <w:tcW w:w="656" w:type="dxa"/>
            <w:tcBorders>
              <w:top w:val="single" w:color="auto" w:sz="4" w:space="0"/>
              <w:bottom w:val="single" w:color="auto" w:sz="4" w:space="0"/>
            </w:tcBorders>
            <w:vAlign w:val="center"/>
          </w:tcPr>
          <w:p>
            <w:pPr>
              <w:pStyle w:val="210"/>
              <w:jc w:val="center"/>
              <w:rPr>
                <w:rFonts w:ascii="宋体" w:hAnsi="宋体" w:cs="宋体"/>
                <w:color w:val="auto"/>
                <w:szCs w:val="21"/>
                <w:highlight w:val="none"/>
              </w:rPr>
            </w:pPr>
            <w:r>
              <w:rPr>
                <w:rFonts w:hint="eastAsia" w:ascii="宋体" w:hAnsi="宋体" w:cs="宋体"/>
                <w:color w:val="auto"/>
                <w:szCs w:val="21"/>
                <w:highlight w:val="none"/>
              </w:rPr>
              <w:t>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77" w:hRule="atLeast"/>
          <w:jc w:val="center"/>
        </w:trPr>
        <w:tc>
          <w:tcPr>
            <w:tcW w:w="555" w:type="dxa"/>
            <w:tcBorders>
              <w:top w:val="single" w:color="auto" w:sz="4" w:space="0"/>
              <w:bottom w:val="single" w:color="auto" w:sz="4" w:space="0"/>
            </w:tcBorders>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4</w:t>
            </w:r>
          </w:p>
        </w:tc>
        <w:tc>
          <w:tcPr>
            <w:tcW w:w="193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ascii="宋体" w:hAnsi="宋体" w:cs="宋体"/>
                <w:color w:val="auto"/>
                <w:kern w:val="0"/>
                <w:szCs w:val="21"/>
                <w:highlight w:val="none"/>
              </w:rPr>
              <w:t>安装方案、安装组织设计及保证措施</w:t>
            </w:r>
          </w:p>
        </w:tc>
        <w:tc>
          <w:tcPr>
            <w:tcW w:w="6818" w:type="dxa"/>
            <w:tcBorders>
              <w:top w:val="single" w:color="auto" w:sz="4" w:space="0"/>
              <w:bottom w:val="single" w:color="auto" w:sz="4" w:space="0"/>
            </w:tcBorders>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1.有详细设备生产、安装、调试及验收等安装方案，方案全面完整，且具有很强的操作性和科学合理性。安装组织设计详尽、可靠、科学、实用，有切实可行的保证交货期的措施的，得8分；</w:t>
            </w:r>
          </w:p>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2.有设备生产、安装、调试及验收等安装方案，方案基本完整，可操作性一般。安装组织设计一般，有基本的保证交货期的措施的，得4分；</w:t>
            </w:r>
          </w:p>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3.有设备生产、安装、调试及验收等安装方案，方案不完整，可操作性不强。安装组织设计较差，基本不能的保证交货期的，得1分；</w:t>
            </w:r>
          </w:p>
          <w:p>
            <w:pPr>
              <w:widowControl/>
              <w:jc w:val="left"/>
              <w:rPr>
                <w:rFonts w:cs="宋体"/>
                <w:color w:val="auto"/>
                <w:kern w:val="0"/>
                <w:szCs w:val="21"/>
                <w:highlight w:val="none"/>
              </w:rPr>
            </w:pPr>
            <w:r>
              <w:rPr>
                <w:rFonts w:hint="eastAsia" w:ascii="宋体" w:hAnsi="宋体" w:cs="宋体"/>
                <w:color w:val="auto"/>
                <w:kern w:val="0"/>
                <w:szCs w:val="21"/>
                <w:highlight w:val="none"/>
              </w:rPr>
              <w:t>4.其他不得分。</w:t>
            </w:r>
          </w:p>
        </w:tc>
        <w:tc>
          <w:tcPr>
            <w:tcW w:w="656" w:type="dxa"/>
            <w:tcBorders>
              <w:top w:val="single" w:color="auto" w:sz="4" w:space="0"/>
              <w:bottom w:val="single" w:color="auto" w:sz="4" w:space="0"/>
            </w:tcBorders>
            <w:vAlign w:val="center"/>
          </w:tcPr>
          <w:p>
            <w:pPr>
              <w:pStyle w:val="210"/>
              <w:jc w:val="center"/>
              <w:rPr>
                <w:rFonts w:ascii="宋体" w:hAnsi="宋体" w:cs="宋体"/>
                <w:color w:val="auto"/>
                <w:szCs w:val="21"/>
                <w:highlight w:val="none"/>
              </w:rPr>
            </w:pPr>
            <w:r>
              <w:rPr>
                <w:rFonts w:hint="eastAsia" w:ascii="宋体" w:hAnsi="宋体" w:cs="宋体"/>
                <w:color w:val="auto"/>
                <w:szCs w:val="21"/>
                <w:highlight w:val="none"/>
              </w:rPr>
              <w:t>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45" w:hRule="atLeast"/>
          <w:jc w:val="center"/>
        </w:trPr>
        <w:tc>
          <w:tcPr>
            <w:tcW w:w="555" w:type="dxa"/>
            <w:tcBorders>
              <w:top w:val="single" w:color="auto" w:sz="4" w:space="0"/>
              <w:bottom w:val="single" w:color="auto" w:sz="4" w:space="0"/>
            </w:tcBorders>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5</w:t>
            </w:r>
          </w:p>
        </w:tc>
        <w:tc>
          <w:tcPr>
            <w:tcW w:w="193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ascii="宋体" w:hAnsi="宋体" w:cs="宋体"/>
                <w:color w:val="auto"/>
                <w:kern w:val="0"/>
                <w:szCs w:val="21"/>
                <w:highlight w:val="none"/>
              </w:rPr>
              <w:t>文明安全安装措施</w:t>
            </w:r>
          </w:p>
        </w:tc>
        <w:tc>
          <w:tcPr>
            <w:tcW w:w="6818" w:type="dxa"/>
            <w:tcBorders>
              <w:top w:val="single" w:color="auto" w:sz="4" w:space="0"/>
              <w:bottom w:val="single" w:color="auto" w:sz="4" w:space="0"/>
            </w:tcBorders>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1.具有详细的文明、安全安装保证措施的，得3分；</w:t>
            </w:r>
          </w:p>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2.有文明、安全安装保证措施，叙述不强的，得2分；</w:t>
            </w:r>
          </w:p>
          <w:p>
            <w:pPr>
              <w:widowControl/>
              <w:jc w:val="left"/>
              <w:rPr>
                <w:rFonts w:cs="宋体"/>
                <w:color w:val="auto"/>
                <w:kern w:val="0"/>
                <w:szCs w:val="21"/>
                <w:highlight w:val="none"/>
              </w:rPr>
            </w:pPr>
            <w:r>
              <w:rPr>
                <w:rFonts w:hint="eastAsia" w:ascii="宋体" w:hAnsi="宋体" w:cs="宋体"/>
                <w:color w:val="auto"/>
                <w:kern w:val="0"/>
                <w:szCs w:val="21"/>
                <w:highlight w:val="none"/>
              </w:rPr>
              <w:t>3.其他不得分。</w:t>
            </w:r>
          </w:p>
        </w:tc>
        <w:tc>
          <w:tcPr>
            <w:tcW w:w="656" w:type="dxa"/>
            <w:tcBorders>
              <w:top w:val="single" w:color="auto" w:sz="4" w:space="0"/>
              <w:bottom w:val="single" w:color="auto" w:sz="4" w:space="0"/>
            </w:tcBorders>
            <w:vAlign w:val="center"/>
          </w:tcPr>
          <w:p>
            <w:pPr>
              <w:pStyle w:val="210"/>
              <w:jc w:val="center"/>
              <w:rPr>
                <w:rFonts w:ascii="宋体" w:hAnsi="宋体" w:cs="宋体"/>
                <w:color w:val="auto"/>
                <w:szCs w:val="21"/>
                <w:highlight w:val="none"/>
              </w:rPr>
            </w:pPr>
            <w:r>
              <w:rPr>
                <w:rFonts w:hint="eastAsia" w:ascii="宋体" w:hAnsi="宋体" w:cs="宋体"/>
                <w:color w:val="auto"/>
                <w:szCs w:val="21"/>
                <w:highlight w:val="none"/>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77" w:hRule="atLeast"/>
          <w:jc w:val="center"/>
        </w:trPr>
        <w:tc>
          <w:tcPr>
            <w:tcW w:w="555" w:type="dxa"/>
            <w:tcBorders>
              <w:top w:val="single" w:color="auto" w:sz="4" w:space="0"/>
              <w:bottom w:val="single" w:color="auto" w:sz="4" w:space="0"/>
            </w:tcBorders>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6</w:t>
            </w:r>
          </w:p>
        </w:tc>
        <w:tc>
          <w:tcPr>
            <w:tcW w:w="1938" w:type="dxa"/>
            <w:tcBorders>
              <w:top w:val="single" w:color="auto" w:sz="4" w:space="0"/>
              <w:bottom w:val="single" w:color="auto" w:sz="4" w:space="0"/>
            </w:tcBorders>
            <w:vAlign w:val="center"/>
          </w:tcPr>
          <w:p>
            <w:pPr>
              <w:widowControl/>
              <w:jc w:val="left"/>
              <w:rPr>
                <w:rFonts w:ascii="宋体" w:hAnsi="宋体" w:cs="宋体"/>
                <w:color w:val="auto"/>
                <w:kern w:val="0"/>
                <w:szCs w:val="21"/>
                <w:highlight w:val="none"/>
              </w:rPr>
            </w:pPr>
            <w:r>
              <w:rPr>
                <w:rFonts w:hint="eastAsia" w:ascii="宋体" w:hAnsi="宋体"/>
                <w:bCs/>
                <w:color w:val="auto"/>
                <w:szCs w:val="21"/>
                <w:highlight w:val="none"/>
                <w:lang w:val="zh-CN"/>
              </w:rPr>
              <w:t>深化设计方案</w:t>
            </w:r>
          </w:p>
        </w:tc>
        <w:tc>
          <w:tcPr>
            <w:tcW w:w="6818" w:type="dxa"/>
            <w:tcBorders>
              <w:top w:val="single" w:color="auto" w:sz="4" w:space="0"/>
              <w:bottom w:val="single" w:color="auto" w:sz="4" w:space="0"/>
            </w:tcBorders>
            <w:vAlign w:val="center"/>
          </w:tcPr>
          <w:p>
            <w:pPr>
              <w:pStyle w:val="29"/>
              <w:rPr>
                <w:color w:val="auto"/>
                <w:szCs w:val="21"/>
                <w:highlight w:val="none"/>
                <w:lang w:val="zh-CN"/>
              </w:rPr>
            </w:pPr>
            <w:r>
              <w:rPr>
                <w:rFonts w:hint="eastAsia"/>
                <w:color w:val="auto"/>
                <w:szCs w:val="21"/>
                <w:highlight w:val="none"/>
                <w:lang w:val="zh-CN"/>
              </w:rPr>
              <w:t>对比各投标人总体设计及效果方案（包括深化改良的合理化建议等）：</w:t>
            </w:r>
          </w:p>
          <w:p>
            <w:pPr>
              <w:pStyle w:val="29"/>
              <w:rPr>
                <w:color w:val="auto"/>
                <w:szCs w:val="21"/>
                <w:highlight w:val="none"/>
                <w:lang w:val="zh-CN"/>
              </w:rPr>
            </w:pPr>
            <w:r>
              <w:rPr>
                <w:rFonts w:hint="eastAsia"/>
                <w:color w:val="auto"/>
                <w:szCs w:val="21"/>
                <w:highlight w:val="none"/>
              </w:rPr>
              <w:t>1.</w:t>
            </w:r>
            <w:r>
              <w:rPr>
                <w:rFonts w:hint="eastAsia"/>
                <w:color w:val="auto"/>
                <w:szCs w:val="21"/>
                <w:highlight w:val="none"/>
                <w:lang w:val="zh-CN"/>
              </w:rPr>
              <w:t>所提供的设计款式大气优雅、各项工序检验标准合格、产品深化设计图及工程案例图科学、实用、可行的，得</w:t>
            </w:r>
            <w:r>
              <w:rPr>
                <w:rFonts w:hint="eastAsia"/>
                <w:color w:val="auto"/>
                <w:szCs w:val="21"/>
                <w:highlight w:val="none"/>
              </w:rPr>
              <w:t>10</w:t>
            </w:r>
            <w:r>
              <w:rPr>
                <w:rFonts w:hint="eastAsia"/>
                <w:color w:val="auto"/>
                <w:szCs w:val="21"/>
                <w:highlight w:val="none"/>
                <w:lang w:val="zh-CN"/>
              </w:rPr>
              <w:t>分；</w:t>
            </w:r>
          </w:p>
          <w:p>
            <w:pPr>
              <w:pStyle w:val="29"/>
              <w:rPr>
                <w:color w:val="auto"/>
                <w:szCs w:val="21"/>
                <w:highlight w:val="none"/>
                <w:lang w:val="zh-CN"/>
              </w:rPr>
            </w:pPr>
            <w:r>
              <w:rPr>
                <w:rFonts w:hint="eastAsia"/>
                <w:color w:val="auto"/>
                <w:szCs w:val="21"/>
                <w:highlight w:val="none"/>
              </w:rPr>
              <w:t>2.</w:t>
            </w:r>
            <w:r>
              <w:rPr>
                <w:rFonts w:hint="eastAsia"/>
                <w:color w:val="auto"/>
                <w:szCs w:val="21"/>
                <w:highlight w:val="none"/>
                <w:lang w:val="zh-CN"/>
              </w:rPr>
              <w:t>所提供的设计款式比较大气优雅、各项工序检验标准合格、产品深化设计图及工程案例图比较科学、实用、可行的，得</w:t>
            </w:r>
            <w:r>
              <w:rPr>
                <w:rFonts w:hint="eastAsia"/>
                <w:color w:val="auto"/>
                <w:szCs w:val="21"/>
                <w:highlight w:val="none"/>
              </w:rPr>
              <w:t>5</w:t>
            </w:r>
            <w:r>
              <w:rPr>
                <w:rFonts w:hint="eastAsia"/>
                <w:color w:val="auto"/>
                <w:szCs w:val="21"/>
                <w:highlight w:val="none"/>
                <w:lang w:val="zh-CN"/>
              </w:rPr>
              <w:t>分；</w:t>
            </w:r>
          </w:p>
          <w:p>
            <w:pPr>
              <w:jc w:val="left"/>
              <w:rPr>
                <w:color w:val="auto"/>
                <w:szCs w:val="21"/>
                <w:highlight w:val="none"/>
                <w:lang w:val="zh-CN"/>
              </w:rPr>
            </w:pPr>
            <w:r>
              <w:rPr>
                <w:rFonts w:hint="eastAsia"/>
                <w:color w:val="auto"/>
                <w:szCs w:val="21"/>
                <w:highlight w:val="none"/>
              </w:rPr>
              <w:t>3.</w:t>
            </w:r>
            <w:r>
              <w:rPr>
                <w:rFonts w:hint="eastAsia"/>
                <w:color w:val="auto"/>
                <w:szCs w:val="21"/>
                <w:highlight w:val="none"/>
                <w:lang w:val="zh-CN"/>
              </w:rPr>
              <w:t>所提供的设计款式不大气优雅、各项工序检验标准不合格、产品深化设计图及工程案例图不科学、实用、可行的，得</w:t>
            </w:r>
            <w:r>
              <w:rPr>
                <w:rFonts w:hint="eastAsia"/>
                <w:color w:val="auto"/>
                <w:szCs w:val="21"/>
                <w:highlight w:val="none"/>
              </w:rPr>
              <w:t>2</w:t>
            </w:r>
            <w:r>
              <w:rPr>
                <w:rFonts w:hint="eastAsia"/>
                <w:color w:val="auto"/>
                <w:szCs w:val="21"/>
                <w:highlight w:val="none"/>
                <w:lang w:val="zh-CN"/>
              </w:rPr>
              <w:t>分；</w:t>
            </w:r>
          </w:p>
          <w:p>
            <w:pPr>
              <w:widowControl/>
              <w:jc w:val="left"/>
              <w:rPr>
                <w:rFonts w:ascii="宋体" w:hAnsi="宋体" w:cs="宋体"/>
                <w:color w:val="auto"/>
                <w:kern w:val="0"/>
                <w:szCs w:val="21"/>
                <w:highlight w:val="none"/>
              </w:rPr>
            </w:pPr>
            <w:r>
              <w:rPr>
                <w:rFonts w:hint="eastAsia" w:hAnsi="宋体"/>
                <w:bCs/>
                <w:color w:val="auto"/>
                <w:szCs w:val="21"/>
                <w:highlight w:val="none"/>
              </w:rPr>
              <w:t>4.</w:t>
            </w:r>
            <w:r>
              <w:rPr>
                <w:rFonts w:hint="eastAsia" w:hAnsi="宋体" w:cs="宋体"/>
                <w:color w:val="auto"/>
                <w:kern w:val="0"/>
                <w:szCs w:val="21"/>
                <w:highlight w:val="none"/>
              </w:rPr>
              <w:t>其他不得分。</w:t>
            </w:r>
          </w:p>
        </w:tc>
        <w:tc>
          <w:tcPr>
            <w:tcW w:w="656" w:type="dxa"/>
            <w:tcBorders>
              <w:top w:val="single" w:color="auto" w:sz="4" w:space="0"/>
              <w:bottom w:val="single" w:color="auto" w:sz="4" w:space="0"/>
            </w:tcBorders>
            <w:vAlign w:val="center"/>
          </w:tcPr>
          <w:p>
            <w:pPr>
              <w:pStyle w:val="210"/>
              <w:jc w:val="center"/>
              <w:rPr>
                <w:rFonts w:ascii="宋体" w:hAnsi="宋体" w:cs="宋体"/>
                <w:color w:val="auto"/>
                <w:szCs w:val="21"/>
                <w:highlight w:val="none"/>
              </w:rPr>
            </w:pPr>
            <w:r>
              <w:rPr>
                <w:rFonts w:hint="eastAsia" w:ascii="宋体" w:hAnsi="宋体" w:cs="宋体"/>
                <w:color w:val="auto"/>
                <w:szCs w:val="21"/>
                <w:highlight w:val="none"/>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9311" w:type="dxa"/>
            <w:gridSpan w:val="3"/>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合计</w:t>
            </w:r>
          </w:p>
        </w:tc>
        <w:tc>
          <w:tcPr>
            <w:tcW w:w="656"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40</w:t>
            </w:r>
          </w:p>
        </w:tc>
      </w:tr>
    </w:tbl>
    <w:p>
      <w:pPr>
        <w:snapToGrid w:val="0"/>
        <w:spacing w:line="360" w:lineRule="auto"/>
        <w:rPr>
          <w:rFonts w:ascii="宋体" w:hAnsi="宋体" w:cs="宋体"/>
          <w:b/>
          <w:bCs/>
          <w:color w:val="auto"/>
          <w:highlight w:val="none"/>
        </w:rPr>
      </w:pPr>
      <w:r>
        <w:rPr>
          <w:rFonts w:hint="eastAsia" w:ascii="宋体" w:hAnsi="宋体" w:cs="宋体"/>
          <w:b/>
          <w:bCs/>
          <w:color w:val="auto"/>
          <w:highlight w:val="none"/>
        </w:rPr>
        <w:t>备注：竞争性磋商文件要求提交的与评价指标体系相关的各类有效资料，报价人如未按要求提交，或提供的证明材料不全，或有有效期但不在有效期内，或提供的证明材料均不能反映相关评审内容的，该项不得分。</w:t>
      </w:r>
    </w:p>
    <w:p>
      <w:pPr>
        <w:tabs>
          <w:tab w:val="left" w:pos="720"/>
        </w:tabs>
        <w:snapToGrid w:val="0"/>
        <w:ind w:firstLine="210" w:firstLineChars="100"/>
        <w:rPr>
          <w:rFonts w:ascii="宋体" w:hAnsi="宋体" w:cs="宋体"/>
          <w:bCs/>
          <w:color w:val="auto"/>
          <w:szCs w:val="21"/>
          <w:highlight w:val="none"/>
        </w:rPr>
      </w:pP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评委签名：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ascii="宋体" w:hAnsi="宋体" w:cs="宋体"/>
          <w:bCs/>
          <w:color w:val="auto"/>
          <w:szCs w:val="21"/>
          <w:highlight w:val="none"/>
        </w:rPr>
      </w:pPr>
      <w:r>
        <w:rPr>
          <w:rFonts w:hint="eastAsia" w:ascii="宋体" w:hAnsi="宋体" w:cs="宋体"/>
          <w:bCs/>
          <w:color w:val="auto"/>
          <w:szCs w:val="21"/>
          <w:highlight w:val="none"/>
        </w:rPr>
        <w:t xml:space="preserve">项目名称：   </w:t>
      </w:r>
    </w:p>
    <w:p>
      <w:pPr>
        <w:tabs>
          <w:tab w:val="left" w:pos="720"/>
        </w:tabs>
        <w:snapToGrid w:val="0"/>
        <w:ind w:firstLine="210" w:firstLineChars="100"/>
        <w:rPr>
          <w:rFonts w:ascii="宋体" w:hAnsi="宋体" w:cs="宋体"/>
          <w:color w:val="auto"/>
          <w:highlight w:val="none"/>
        </w:rPr>
      </w:pPr>
      <w:r>
        <w:rPr>
          <w:rFonts w:hint="eastAsia" w:ascii="宋体" w:hAnsi="宋体" w:cs="宋体"/>
          <w:bCs/>
          <w:color w:val="auto"/>
          <w:szCs w:val="21"/>
          <w:highlight w:val="none"/>
        </w:rPr>
        <w:t xml:space="preserve">项目编号：                                                  </w:t>
      </w:r>
    </w:p>
    <w:p>
      <w:pPr>
        <w:snapToGrid w:val="0"/>
        <w:rPr>
          <w:rFonts w:ascii="宋体" w:hAnsi="宋体" w:cs="宋体"/>
          <w:b/>
          <w:bCs/>
          <w:color w:val="auto"/>
          <w:highlight w:val="none"/>
        </w:rPr>
      </w:pPr>
    </w:p>
    <w:tbl>
      <w:tblPr>
        <w:tblStyle w:val="89"/>
        <w:tblW w:w="954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31"/>
        <w:gridCol w:w="1517"/>
        <w:gridCol w:w="6772"/>
        <w:gridCol w:w="72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78" w:hRule="atLeast"/>
          <w:tblHeader/>
          <w:jc w:val="center"/>
        </w:trPr>
        <w:tc>
          <w:tcPr>
            <w:tcW w:w="531"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517"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评分项目</w:t>
            </w:r>
          </w:p>
        </w:tc>
        <w:tc>
          <w:tcPr>
            <w:tcW w:w="6772"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评分标准</w:t>
            </w:r>
          </w:p>
        </w:tc>
        <w:tc>
          <w:tcPr>
            <w:tcW w:w="728"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2" w:hRule="atLeast"/>
          <w:jc w:val="center"/>
        </w:trPr>
        <w:tc>
          <w:tcPr>
            <w:tcW w:w="531"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1</w:t>
            </w:r>
          </w:p>
        </w:tc>
        <w:tc>
          <w:tcPr>
            <w:tcW w:w="1517" w:type="dxa"/>
            <w:tcBorders>
              <w:top w:val="single" w:color="auto" w:sz="4" w:space="0"/>
              <w:bottom w:val="single" w:color="auto" w:sz="4" w:space="0"/>
            </w:tcBorders>
            <w:vAlign w:val="center"/>
          </w:tcPr>
          <w:p>
            <w:pPr>
              <w:pStyle w:val="183"/>
              <w:jc w:val="center"/>
              <w:rPr>
                <w:rFonts w:ascii="宋体" w:hAnsi="宋体" w:cs="宋体"/>
                <w:color w:val="auto"/>
                <w:szCs w:val="21"/>
                <w:highlight w:val="none"/>
              </w:rPr>
            </w:pPr>
            <w:r>
              <w:rPr>
                <w:rFonts w:hint="eastAsia" w:ascii="宋体" w:hAnsi="宋体"/>
                <w:color w:val="auto"/>
                <w:szCs w:val="21"/>
                <w:highlight w:val="none"/>
                <w:lang w:val="en-GB"/>
              </w:rPr>
              <w:t>同类项目业绩</w:t>
            </w:r>
          </w:p>
        </w:tc>
        <w:tc>
          <w:tcPr>
            <w:tcW w:w="6772" w:type="dxa"/>
            <w:tcBorders>
              <w:top w:val="single" w:color="auto" w:sz="4" w:space="0"/>
              <w:bottom w:val="single" w:color="auto" w:sz="4" w:space="0"/>
            </w:tcBorders>
            <w:vAlign w:val="center"/>
          </w:tcPr>
          <w:p>
            <w:pPr>
              <w:rPr>
                <w:rFonts w:ascii="宋体" w:hAnsi="宋体" w:cs="宋体"/>
                <w:color w:val="auto"/>
                <w:szCs w:val="21"/>
                <w:highlight w:val="none"/>
              </w:rPr>
            </w:pPr>
            <w:r>
              <w:rPr>
                <w:rFonts w:hint="eastAsia" w:cs="宋体"/>
                <w:color w:val="auto"/>
                <w:kern w:val="0"/>
                <w:szCs w:val="21"/>
                <w:highlight w:val="none"/>
              </w:rPr>
              <w:t>提供2019年以来完成类似项目业绩（附</w:t>
            </w:r>
            <w:r>
              <w:rPr>
                <w:rFonts w:hint="eastAsia" w:ascii="宋体" w:hAnsi="宋体"/>
                <w:color w:val="auto"/>
                <w:szCs w:val="21"/>
                <w:highlight w:val="none"/>
              </w:rPr>
              <w:t>上成交/中标通知书或合同复印件</w:t>
            </w:r>
            <w:r>
              <w:rPr>
                <w:rFonts w:hint="eastAsia" w:cs="宋体"/>
                <w:color w:val="auto"/>
                <w:kern w:val="0"/>
                <w:szCs w:val="21"/>
                <w:highlight w:val="none"/>
              </w:rPr>
              <w:t>）每提供一份业绩得2分，满分6分。</w:t>
            </w:r>
          </w:p>
        </w:tc>
        <w:tc>
          <w:tcPr>
            <w:tcW w:w="728" w:type="dxa"/>
            <w:tcBorders>
              <w:top w:val="single" w:color="auto" w:sz="4" w:space="0"/>
              <w:bottom w:val="single" w:color="auto" w:sz="4" w:space="0"/>
            </w:tcBorders>
            <w:vAlign w:val="center"/>
          </w:tcPr>
          <w:p>
            <w:pPr>
              <w:pStyle w:val="183"/>
              <w:jc w:val="center"/>
              <w:rPr>
                <w:rFonts w:ascii="宋体" w:hAnsi="宋体" w:cs="宋体"/>
                <w:color w:val="auto"/>
                <w:szCs w:val="21"/>
                <w:highlight w:val="none"/>
              </w:rPr>
            </w:pPr>
            <w:r>
              <w:rPr>
                <w:rFonts w:hint="eastAsia" w:ascii="宋体" w:hAnsi="宋体"/>
                <w:color w:val="auto"/>
                <w:szCs w:val="21"/>
                <w:highlight w:val="none"/>
              </w:rPr>
              <w:t>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552" w:hRule="atLeast"/>
          <w:jc w:val="center"/>
        </w:trPr>
        <w:tc>
          <w:tcPr>
            <w:tcW w:w="531"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2</w:t>
            </w:r>
          </w:p>
        </w:tc>
        <w:tc>
          <w:tcPr>
            <w:tcW w:w="1517" w:type="dxa"/>
            <w:tcBorders>
              <w:top w:val="single" w:color="auto" w:sz="4" w:space="0"/>
              <w:bottom w:val="single" w:color="auto" w:sz="4" w:space="0"/>
            </w:tcBorders>
            <w:vAlign w:val="center"/>
          </w:tcPr>
          <w:p>
            <w:pPr>
              <w:jc w:val="center"/>
              <w:rPr>
                <w:rFonts w:ascii="宋体" w:hAnsi="宋体" w:cs="宋体"/>
                <w:color w:val="auto"/>
                <w:szCs w:val="21"/>
                <w:highlight w:val="none"/>
              </w:rPr>
            </w:pPr>
            <w:r>
              <w:rPr>
                <w:rFonts w:hint="eastAsia" w:cs="宋体"/>
                <w:color w:val="auto"/>
                <w:kern w:val="0"/>
                <w:szCs w:val="21"/>
                <w:highlight w:val="none"/>
              </w:rPr>
              <w:t>售后服务方案</w:t>
            </w:r>
          </w:p>
        </w:tc>
        <w:tc>
          <w:tcPr>
            <w:tcW w:w="6772" w:type="dxa"/>
            <w:tcBorders>
              <w:top w:val="single" w:color="auto" w:sz="4" w:space="0"/>
              <w:bottom w:val="single" w:color="auto" w:sz="4" w:space="0"/>
            </w:tcBorders>
            <w:vAlign w:val="center"/>
          </w:tcPr>
          <w:p>
            <w:pPr>
              <w:widowControl/>
              <w:jc w:val="left"/>
              <w:rPr>
                <w:rFonts w:ascii="宋体" w:hAnsi="宋体"/>
                <w:color w:val="auto"/>
                <w:szCs w:val="21"/>
                <w:highlight w:val="none"/>
                <w:lang w:val="zh-CN"/>
              </w:rPr>
            </w:pPr>
            <w:r>
              <w:rPr>
                <w:rFonts w:hint="eastAsia" w:ascii="宋体" w:hAnsi="宋体"/>
                <w:color w:val="auto"/>
                <w:szCs w:val="21"/>
                <w:highlight w:val="none"/>
                <w:lang w:val="zh-CN"/>
              </w:rPr>
              <w:t>对比投标人对本项目售后服务要求的响应情况：</w:t>
            </w:r>
          </w:p>
          <w:p>
            <w:pPr>
              <w:widowControl/>
              <w:jc w:val="left"/>
              <w:rPr>
                <w:rFonts w:cs="宋体"/>
                <w:color w:val="auto"/>
                <w:kern w:val="0"/>
                <w:szCs w:val="21"/>
                <w:highlight w:val="none"/>
              </w:rPr>
            </w:pPr>
            <w:r>
              <w:rPr>
                <w:rFonts w:hint="eastAsia" w:ascii="宋体" w:hAnsi="宋体"/>
                <w:color w:val="auto"/>
                <w:szCs w:val="21"/>
                <w:highlight w:val="none"/>
              </w:rPr>
              <w:t>1.</w:t>
            </w:r>
            <w:r>
              <w:rPr>
                <w:rFonts w:hint="eastAsia" w:ascii="宋体" w:hAnsi="宋体" w:cs="宋体"/>
                <w:color w:val="auto"/>
                <w:szCs w:val="21"/>
                <w:highlight w:val="none"/>
                <w:lang w:val="zh-CN"/>
              </w:rPr>
              <w:t>完全满足或优于招标要求的，</w:t>
            </w:r>
            <w:r>
              <w:rPr>
                <w:rFonts w:hint="eastAsia" w:cs="宋体"/>
                <w:color w:val="auto"/>
                <w:kern w:val="0"/>
                <w:szCs w:val="21"/>
                <w:highlight w:val="none"/>
              </w:rPr>
              <w:t>提供详尽的售后服务方案，实施步骤清晰，承诺细致、满足用户要求，得12分。</w:t>
            </w:r>
          </w:p>
          <w:p>
            <w:pPr>
              <w:widowControl/>
              <w:jc w:val="left"/>
              <w:rPr>
                <w:rFonts w:cs="宋体"/>
                <w:color w:val="auto"/>
                <w:kern w:val="0"/>
                <w:szCs w:val="21"/>
                <w:highlight w:val="none"/>
              </w:rPr>
            </w:pPr>
            <w:r>
              <w:rPr>
                <w:rFonts w:hint="eastAsia" w:cs="宋体"/>
                <w:color w:val="auto"/>
                <w:kern w:val="0"/>
                <w:szCs w:val="21"/>
                <w:highlight w:val="none"/>
              </w:rPr>
              <w:t>2.有提供售后服务方案，但叙述一般，步骤较清晰，承诺一般、满足用户要求一般，得6分。</w:t>
            </w:r>
          </w:p>
          <w:p>
            <w:pPr>
              <w:widowControl/>
              <w:jc w:val="left"/>
              <w:rPr>
                <w:rFonts w:cs="宋体"/>
                <w:color w:val="auto"/>
                <w:kern w:val="0"/>
                <w:szCs w:val="21"/>
                <w:highlight w:val="none"/>
              </w:rPr>
            </w:pPr>
            <w:r>
              <w:rPr>
                <w:rFonts w:hint="eastAsia" w:cs="宋体"/>
                <w:color w:val="auto"/>
                <w:kern w:val="0"/>
                <w:szCs w:val="21"/>
                <w:highlight w:val="none"/>
              </w:rPr>
              <w:t>3.有提供售后服务方案，但叙述不强，步骤不清晰，承诺不完整、满足用户要求较差，得1分。</w:t>
            </w:r>
          </w:p>
          <w:p>
            <w:pPr>
              <w:jc w:val="left"/>
              <w:rPr>
                <w:rFonts w:ascii="宋体" w:hAnsi="宋体" w:cs="宋体"/>
                <w:color w:val="auto"/>
                <w:szCs w:val="21"/>
                <w:highlight w:val="none"/>
              </w:rPr>
            </w:pPr>
            <w:r>
              <w:rPr>
                <w:rFonts w:hint="eastAsia" w:cs="宋体"/>
                <w:color w:val="auto"/>
                <w:kern w:val="0"/>
                <w:szCs w:val="21"/>
                <w:highlight w:val="none"/>
              </w:rPr>
              <w:t>4.其他不得分。</w:t>
            </w:r>
          </w:p>
        </w:tc>
        <w:tc>
          <w:tcPr>
            <w:tcW w:w="728" w:type="dxa"/>
            <w:tcBorders>
              <w:top w:val="single" w:color="auto" w:sz="4" w:space="0"/>
              <w:bottom w:val="single" w:color="auto" w:sz="4" w:space="0"/>
            </w:tcBorders>
            <w:vAlign w:val="center"/>
          </w:tcPr>
          <w:p>
            <w:pPr>
              <w:jc w:val="center"/>
              <w:rPr>
                <w:rFonts w:ascii="宋体" w:hAnsi="宋体" w:cs="宋体"/>
                <w:color w:val="auto"/>
                <w:szCs w:val="21"/>
                <w:highlight w:val="none"/>
              </w:rPr>
            </w:pPr>
            <w:r>
              <w:rPr>
                <w:rFonts w:hint="eastAsia" w:ascii="宋体" w:hAnsi="宋体"/>
                <w:color w:val="auto"/>
                <w:szCs w:val="21"/>
                <w:highlight w:val="none"/>
              </w:rPr>
              <w:t>12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4" w:hRule="atLeast"/>
          <w:jc w:val="center"/>
        </w:trPr>
        <w:tc>
          <w:tcPr>
            <w:tcW w:w="531"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3</w:t>
            </w:r>
          </w:p>
        </w:tc>
        <w:tc>
          <w:tcPr>
            <w:tcW w:w="1517" w:type="dxa"/>
            <w:tcBorders>
              <w:top w:val="single" w:color="auto" w:sz="4" w:space="0"/>
              <w:bottom w:val="single" w:color="auto" w:sz="4" w:space="0"/>
            </w:tcBorders>
            <w:vAlign w:val="center"/>
          </w:tcPr>
          <w:p>
            <w:pPr>
              <w:jc w:val="center"/>
              <w:rPr>
                <w:rFonts w:ascii="宋体" w:hAnsi="宋体" w:cs="宋体"/>
                <w:color w:val="auto"/>
                <w:szCs w:val="21"/>
                <w:highlight w:val="none"/>
              </w:rPr>
            </w:pPr>
            <w:r>
              <w:rPr>
                <w:rFonts w:hint="eastAsia" w:cs="宋体"/>
                <w:color w:val="auto"/>
                <w:kern w:val="0"/>
                <w:szCs w:val="21"/>
                <w:highlight w:val="none"/>
              </w:rPr>
              <w:t>质量保修期年限</w:t>
            </w:r>
          </w:p>
        </w:tc>
        <w:tc>
          <w:tcPr>
            <w:tcW w:w="6772"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本项目竞争性磋商文件规定的质量保修期不低于一年，每增加一年得1分。</w:t>
            </w:r>
          </w:p>
          <w:p>
            <w:pPr>
              <w:jc w:val="left"/>
              <w:rPr>
                <w:rFonts w:ascii="宋体" w:hAnsi="宋体" w:cs="宋体"/>
                <w:color w:val="auto"/>
                <w:szCs w:val="21"/>
                <w:highlight w:val="none"/>
              </w:rPr>
            </w:pPr>
            <w:r>
              <w:rPr>
                <w:rFonts w:hint="eastAsia" w:cs="宋体"/>
                <w:color w:val="auto"/>
                <w:kern w:val="0"/>
                <w:szCs w:val="21"/>
                <w:highlight w:val="none"/>
              </w:rPr>
              <w:t>此项满分为3分。</w:t>
            </w:r>
          </w:p>
        </w:tc>
        <w:tc>
          <w:tcPr>
            <w:tcW w:w="728" w:type="dxa"/>
            <w:tcBorders>
              <w:top w:val="single" w:color="auto" w:sz="4" w:space="0"/>
              <w:bottom w:val="single" w:color="auto" w:sz="4" w:space="0"/>
            </w:tcBorders>
            <w:vAlign w:val="center"/>
          </w:tcPr>
          <w:p>
            <w:pPr>
              <w:jc w:val="center"/>
              <w:rPr>
                <w:rFonts w:ascii="宋体" w:hAnsi="宋体" w:cs="宋体"/>
                <w:color w:val="auto"/>
                <w:szCs w:val="21"/>
                <w:highlight w:val="none"/>
              </w:rPr>
            </w:pPr>
            <w:r>
              <w:rPr>
                <w:rFonts w:hint="eastAsia" w:ascii="宋体" w:hAnsi="宋体"/>
                <w:color w:val="auto"/>
                <w:szCs w:val="21"/>
                <w:highlight w:val="none"/>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55" w:hRule="atLeast"/>
          <w:jc w:val="center"/>
        </w:trPr>
        <w:tc>
          <w:tcPr>
            <w:tcW w:w="531"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4</w:t>
            </w:r>
          </w:p>
        </w:tc>
        <w:tc>
          <w:tcPr>
            <w:tcW w:w="1517" w:type="dxa"/>
            <w:tcBorders>
              <w:top w:val="single" w:color="auto" w:sz="4" w:space="0"/>
              <w:bottom w:val="single" w:color="auto" w:sz="4" w:space="0"/>
            </w:tcBorders>
            <w:vAlign w:val="center"/>
          </w:tcPr>
          <w:p>
            <w:pPr>
              <w:pStyle w:val="183"/>
              <w:jc w:val="center"/>
              <w:rPr>
                <w:rFonts w:cs="宋体"/>
                <w:color w:val="auto"/>
                <w:kern w:val="0"/>
                <w:szCs w:val="21"/>
                <w:highlight w:val="none"/>
              </w:rPr>
            </w:pPr>
            <w:r>
              <w:rPr>
                <w:rFonts w:hint="eastAsia" w:cs="宋体"/>
                <w:color w:val="auto"/>
                <w:kern w:val="0"/>
                <w:szCs w:val="21"/>
                <w:highlight w:val="none"/>
              </w:rPr>
              <w:t>售后服务响应时间</w:t>
            </w:r>
          </w:p>
        </w:tc>
        <w:tc>
          <w:tcPr>
            <w:tcW w:w="6772"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1.售后服务响应时间最快能到达现场的，得6分。</w:t>
            </w:r>
          </w:p>
          <w:p>
            <w:pPr>
              <w:widowControl/>
              <w:jc w:val="left"/>
              <w:rPr>
                <w:rFonts w:cs="宋体"/>
                <w:color w:val="auto"/>
                <w:kern w:val="0"/>
                <w:szCs w:val="21"/>
                <w:highlight w:val="none"/>
              </w:rPr>
            </w:pPr>
            <w:r>
              <w:rPr>
                <w:rFonts w:hint="eastAsia" w:cs="宋体"/>
                <w:color w:val="auto"/>
                <w:kern w:val="0"/>
                <w:szCs w:val="21"/>
                <w:highlight w:val="none"/>
              </w:rPr>
              <w:t>2.售后服务响应时间比较快能到达现场的，得3分。</w:t>
            </w:r>
          </w:p>
          <w:p>
            <w:pPr>
              <w:widowControl/>
              <w:jc w:val="left"/>
              <w:rPr>
                <w:rFonts w:cs="宋体"/>
                <w:color w:val="auto"/>
                <w:kern w:val="0"/>
                <w:szCs w:val="21"/>
                <w:highlight w:val="none"/>
              </w:rPr>
            </w:pPr>
            <w:r>
              <w:rPr>
                <w:rFonts w:hint="eastAsia" w:cs="宋体"/>
                <w:color w:val="auto"/>
                <w:kern w:val="0"/>
                <w:szCs w:val="21"/>
                <w:highlight w:val="none"/>
              </w:rPr>
              <w:t>3.售后服务响应时间一般，得1分。</w:t>
            </w:r>
          </w:p>
          <w:p>
            <w:pPr>
              <w:rPr>
                <w:rFonts w:cs="宋体"/>
                <w:color w:val="auto"/>
                <w:kern w:val="0"/>
                <w:szCs w:val="21"/>
                <w:highlight w:val="none"/>
              </w:rPr>
            </w:pPr>
            <w:r>
              <w:rPr>
                <w:rFonts w:hint="eastAsia" w:cs="宋体"/>
                <w:color w:val="auto"/>
                <w:kern w:val="0"/>
                <w:szCs w:val="21"/>
                <w:highlight w:val="none"/>
              </w:rPr>
              <w:t>4.其他不得分。</w:t>
            </w:r>
          </w:p>
        </w:tc>
        <w:tc>
          <w:tcPr>
            <w:tcW w:w="728" w:type="dxa"/>
            <w:tcBorders>
              <w:top w:val="single" w:color="auto" w:sz="4" w:space="0"/>
              <w:bottom w:val="single" w:color="auto" w:sz="4" w:space="0"/>
            </w:tcBorders>
            <w:vAlign w:val="center"/>
          </w:tcPr>
          <w:p>
            <w:pPr>
              <w:pStyle w:val="183"/>
              <w:jc w:val="center"/>
              <w:rPr>
                <w:rFonts w:ascii="宋体" w:hAnsi="宋体"/>
                <w:color w:val="auto"/>
                <w:szCs w:val="21"/>
                <w:highlight w:val="none"/>
              </w:rPr>
            </w:pPr>
            <w:r>
              <w:rPr>
                <w:rFonts w:hint="eastAsia" w:ascii="宋体" w:hAnsi="宋体"/>
                <w:color w:val="auto"/>
                <w:szCs w:val="21"/>
                <w:highlight w:val="none"/>
              </w:rPr>
              <w:t>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73" w:hRule="atLeast"/>
          <w:jc w:val="center"/>
        </w:trPr>
        <w:tc>
          <w:tcPr>
            <w:tcW w:w="531"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5</w:t>
            </w:r>
          </w:p>
        </w:tc>
        <w:tc>
          <w:tcPr>
            <w:tcW w:w="1517" w:type="dxa"/>
            <w:tcBorders>
              <w:top w:val="single" w:color="auto" w:sz="4" w:space="0"/>
              <w:bottom w:val="single" w:color="auto" w:sz="4" w:space="0"/>
            </w:tcBorders>
            <w:vAlign w:val="center"/>
          </w:tcPr>
          <w:p>
            <w:pPr>
              <w:pStyle w:val="183"/>
              <w:jc w:val="center"/>
              <w:rPr>
                <w:rFonts w:cs="宋体"/>
                <w:color w:val="auto"/>
                <w:kern w:val="0"/>
                <w:szCs w:val="21"/>
                <w:highlight w:val="none"/>
              </w:rPr>
            </w:pPr>
            <w:r>
              <w:rPr>
                <w:rFonts w:hint="eastAsia" w:cs="宋体"/>
                <w:color w:val="auto"/>
                <w:kern w:val="0"/>
                <w:szCs w:val="21"/>
                <w:highlight w:val="none"/>
              </w:rPr>
              <w:t>培训计划</w:t>
            </w:r>
          </w:p>
        </w:tc>
        <w:tc>
          <w:tcPr>
            <w:tcW w:w="6772"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1.有提供免费培训计划,实施方案内容详尽可实施操作性强，得3分。</w:t>
            </w:r>
          </w:p>
          <w:p>
            <w:pPr>
              <w:widowControl/>
              <w:jc w:val="left"/>
              <w:rPr>
                <w:rFonts w:cs="宋体"/>
                <w:color w:val="auto"/>
                <w:kern w:val="0"/>
                <w:szCs w:val="21"/>
                <w:highlight w:val="none"/>
              </w:rPr>
            </w:pPr>
            <w:r>
              <w:rPr>
                <w:rFonts w:hint="eastAsia" w:cs="宋体"/>
                <w:color w:val="auto"/>
                <w:kern w:val="0"/>
                <w:szCs w:val="21"/>
                <w:highlight w:val="none"/>
              </w:rPr>
              <w:t>2.有提供免费培训计划，实施方案内容不详尽可操作性差，得1分。</w:t>
            </w:r>
          </w:p>
          <w:p>
            <w:pPr>
              <w:widowControl/>
              <w:jc w:val="left"/>
              <w:rPr>
                <w:rFonts w:cs="宋体"/>
                <w:color w:val="auto"/>
                <w:kern w:val="0"/>
                <w:szCs w:val="21"/>
                <w:highlight w:val="none"/>
              </w:rPr>
            </w:pPr>
            <w:r>
              <w:rPr>
                <w:rFonts w:hint="eastAsia" w:cs="宋体"/>
                <w:color w:val="auto"/>
                <w:kern w:val="0"/>
                <w:szCs w:val="21"/>
                <w:highlight w:val="none"/>
              </w:rPr>
              <w:t>3.其他不得分。</w:t>
            </w:r>
          </w:p>
        </w:tc>
        <w:tc>
          <w:tcPr>
            <w:tcW w:w="728" w:type="dxa"/>
            <w:tcBorders>
              <w:top w:val="single" w:color="auto" w:sz="4" w:space="0"/>
              <w:bottom w:val="single" w:color="auto" w:sz="4" w:space="0"/>
            </w:tcBorders>
            <w:vAlign w:val="center"/>
          </w:tcPr>
          <w:p>
            <w:pPr>
              <w:pStyle w:val="183"/>
              <w:jc w:val="center"/>
              <w:rPr>
                <w:rFonts w:ascii="宋体" w:hAnsi="宋体"/>
                <w:color w:val="auto"/>
                <w:szCs w:val="21"/>
                <w:highlight w:val="none"/>
              </w:rPr>
            </w:pPr>
            <w:r>
              <w:rPr>
                <w:rFonts w:hint="eastAsia" w:ascii="宋体" w:hAnsi="宋体"/>
                <w:color w:val="auto"/>
                <w:szCs w:val="21"/>
                <w:highlight w:val="none"/>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1" w:hRule="atLeast"/>
          <w:jc w:val="center"/>
        </w:trPr>
        <w:tc>
          <w:tcPr>
            <w:tcW w:w="8820" w:type="dxa"/>
            <w:gridSpan w:val="3"/>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合计</w:t>
            </w:r>
          </w:p>
        </w:tc>
        <w:tc>
          <w:tcPr>
            <w:tcW w:w="728"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30</w:t>
            </w:r>
          </w:p>
        </w:tc>
      </w:tr>
    </w:tbl>
    <w:p>
      <w:pPr>
        <w:snapToGrid w:val="0"/>
        <w:rPr>
          <w:rFonts w:ascii="宋体" w:hAnsi="宋体" w:cs="宋体"/>
          <w:color w:val="auto"/>
          <w:highlight w:val="none"/>
        </w:rPr>
      </w:pPr>
      <w:r>
        <w:rPr>
          <w:rFonts w:hint="eastAsia" w:ascii="宋体" w:hAnsi="宋体" w:cs="宋体"/>
          <w:b/>
          <w:bCs/>
          <w:color w:val="auto"/>
          <w:highlight w:val="none"/>
        </w:rPr>
        <w:t>备注：竞争性磋商文件要求提交的与评价指标体系相关的各类有效资料，报价人如未按要求提交，或提供的证明材料不全，或有有效期但不在有效期内，或提供的证明材料均不能反映相关评审内容的，该项不得分；</w:t>
      </w: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89"/>
        <w:tblW w:w="94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有效报价人</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1、价格核准：磋商小组对有效报价人的详细报价进行复核，看其是否有计算错误或供货范围上的错误，修正错误的原则详见招标相关条款。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综合评分法中的价格分统一采用低价优先法计算，即满足磋商文件要求且最后报价最低的报价人的价格为磋商基准价，其价格分为满分。其他报价人的价格分统一按照下列公式计算：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3、磋商报价得分四舍五入后，小数点后保留两位有效数。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50" w:name="_Toc475104537"/>
      <w:bookmarkStart w:id="351" w:name="_Toc320515058"/>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第六章 附  件（格式）</w:t>
      </w:r>
      <w:bookmarkEnd w:id="350"/>
      <w:bookmarkEnd w:id="351"/>
    </w:p>
    <w:p>
      <w:pPr>
        <w:spacing w:line="360" w:lineRule="auto"/>
        <w:rPr>
          <w:rFonts w:ascii="宋体" w:hAnsi="宋体"/>
          <w:bCs/>
          <w:color w:val="auto"/>
          <w:sz w:val="28"/>
          <w:highlight w:val="none"/>
        </w:rPr>
      </w:pPr>
      <w:bookmarkStart w:id="352" w:name="_Toc28489496"/>
      <w:bookmarkStart w:id="353" w:name="_Toc35834912"/>
      <w:bookmarkStart w:id="354" w:name="_Toc34535358"/>
      <w:bookmarkStart w:id="355" w:name="_Toc14450838"/>
      <w:bookmarkStart w:id="356" w:name="_Toc109467908"/>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rPr>
          <w:color w:val="auto"/>
          <w:szCs w:val="30"/>
          <w:highlight w:val="none"/>
        </w:rPr>
      </w:pPr>
      <w:bookmarkStart w:id="357" w:name="_Toc163481918"/>
      <w:r>
        <w:rPr>
          <w:rFonts w:hint="eastAsia"/>
          <w:color w:val="auto"/>
          <w:szCs w:val="30"/>
          <w:highlight w:val="none"/>
        </w:rPr>
        <w:br w:type="page"/>
      </w:r>
    </w:p>
    <w:p>
      <w:pPr>
        <w:pStyle w:val="5"/>
        <w:numPr>
          <w:ilvl w:val="0"/>
          <w:numId w:val="20"/>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磋商响应文件格式</w:t>
      </w:r>
      <w:bookmarkEnd w:id="357"/>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89"/>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kern w:val="0"/>
                <w:szCs w:val="21"/>
                <w:highlight w:val="none"/>
              </w:rPr>
              <w:t>★具有独立承担民事责任的能力【提供法人或者其他组织的营业执照、组织机构代码证和税务登记证（或三证合一证明）等证明文件】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kern w:val="0"/>
                <w:szCs w:val="21"/>
                <w:highlight w:val="none"/>
              </w:rPr>
              <w:t>★具有良好的商业信誉和健全的财务会计制度【提供2018年或2019年的财务状况报告或基本开户行（提供开户许可证）出具的资信证明复印件。如报价人为新注册的，提供成立至今的月或季度财务状况报告复印件】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kern w:val="0"/>
                <w:szCs w:val="21"/>
                <w:highlight w:val="none"/>
              </w:rPr>
              <w:t>★具有履行合同所必需的设备和专业技术能力【提供履行合同所必需的设备清单以及技术人员的名单材料】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kern w:val="0"/>
                <w:szCs w:val="21"/>
                <w:highlight w:val="none"/>
              </w:rPr>
              <w:t>★有依法缴纳税收和社会保障资金的良好记录【提供缴纳税收和社会保险的凭证。如依法免税或不需要缴纳社会保障资金的，应提供相应文件证明】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kern w:val="0"/>
                <w:szCs w:val="21"/>
                <w:highlight w:val="none"/>
              </w:rPr>
              <w:t>★参加政府采购活动前三年内，在经营活动中没有重大违法记录【提供书面声明】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报价人《公平竞争承诺书》原件(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报价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报价人为非独立法人（即由合法法人依法建立的分公司），除了对报价人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报价人单位负责人为同一人或者存在直接控股、管理关系的不同报价人，不得参加同一合同项下的政府采购活动。为采购项目提供整体设计、规范编制或者项目管理、监理、检测等服务的报价人，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公平竞争承诺书（附件6)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磋商分项报价表(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报价人基本情况表(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拟派本项目负责人及主要人员情况表（附件19)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实质性条款响应一览表（附件20）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▲条款响应一览表（附件21）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1"/>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报价人认为有必要说明的其他文件(附件23)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rPr>
          <w:color w:val="auto"/>
          <w:szCs w:val="30"/>
          <w:highlight w:val="none"/>
        </w:rPr>
      </w:pPr>
      <w:r>
        <w:rPr>
          <w:rFonts w:hint="eastAsia"/>
          <w:color w:val="auto"/>
          <w:szCs w:val="30"/>
          <w:highlight w:val="none"/>
        </w:rPr>
        <w:br w:type="page"/>
      </w:r>
    </w:p>
    <w:p>
      <w:pPr>
        <w:pStyle w:val="5"/>
        <w:numPr>
          <w:ilvl w:val="0"/>
          <w:numId w:val="20"/>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（3）</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（报价人名称）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天有效，如被确定为报价人成交报价人，有效期将延至合同终止日为止；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6.我方如被确定为报价人成交报价人，将保证履行竞争性磋商文件以及竞争性磋商文件修改书（如有的话）中的全部责任和义务，按质、按量、按期完成《合同》中的全部任务；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报价人全称（加盖公章）：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日    期： 2020年  月  日</w:t>
      </w:r>
      <w:r>
        <w:rPr>
          <w:rFonts w:hint="eastAsia" w:ascii="宋体" w:hAnsi="宋体"/>
          <w:color w:val="auto"/>
          <w:highlight w:val="none"/>
        </w:rPr>
        <w:br w:type="page"/>
      </w:r>
      <w:bookmarkStart w:id="358" w:name="_Toc14450839"/>
      <w:bookmarkStart w:id="359" w:name="_Toc55816096"/>
      <w:bookmarkStart w:id="360" w:name="_Toc41448359"/>
      <w:bookmarkStart w:id="361" w:name="_Toc86065029"/>
      <w:bookmarkStart w:id="362" w:name="_Toc35834913"/>
      <w:bookmarkStart w:id="363" w:name="_Toc28489497"/>
      <w:bookmarkStart w:id="364" w:name="_Toc34535359"/>
      <w:bookmarkStart w:id="365" w:name="_Toc25224019"/>
      <w:bookmarkStart w:id="366" w:name="_Toc109467909"/>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67" w:name="_Toc223939105"/>
      <w:r>
        <w:rPr>
          <w:rFonts w:hint="eastAsia" w:hAnsi="宋体"/>
          <w:color w:val="auto"/>
          <w:szCs w:val="21"/>
          <w:highlight w:val="none"/>
        </w:rPr>
        <w:t>现任我单位职务，为法定代表人，特此证明。</w:t>
      </w:r>
      <w:bookmarkEnd w:id="367"/>
      <w:bookmarkStart w:id="368"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368"/>
      <w:bookmarkStart w:id="369"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369"/>
      <w:bookmarkStart w:id="370"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bookmarkEnd w:id="370"/>
      <w:bookmarkStart w:id="371"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371"/>
    </w:p>
    <w:p>
      <w:pPr>
        <w:pStyle w:val="46"/>
        <w:spacing w:line="360" w:lineRule="auto"/>
        <w:jc w:val="center"/>
        <w:rPr>
          <w:rFonts w:hAnsi="宋体"/>
          <w:color w:val="auto"/>
          <w:szCs w:val="21"/>
          <w:highlight w:val="none"/>
        </w:rPr>
      </w:pPr>
    </w:p>
    <w:tbl>
      <w:tblPr>
        <w:tblStyle w:val="89"/>
        <w:tblW w:w="661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u w:val="single"/>
        </w:rPr>
        <w:t>UU UUUU</w:t>
      </w:r>
      <w:r>
        <w:rPr>
          <w:rFonts w:hint="eastAsia" w:hAnsi="宋体"/>
          <w:color w:val="auto"/>
          <w:szCs w:val="21"/>
          <w:highlight w:val="none"/>
        </w:rPr>
        <w:t>是注册于的法定代表人，现任</w:t>
      </w:r>
      <w:r>
        <w:rPr>
          <w:rFonts w:ascii="ZWAdobeF" w:hAnsi="ZWAdobeF" w:cs="ZWAdobeF"/>
          <w:color w:val="auto"/>
          <w:sz w:val="2"/>
          <w:szCs w:val="2"/>
          <w:highlight w:val="none"/>
          <w:u w:val="single"/>
        </w:rPr>
        <w:t>UUUU UUUU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本授权书于  2020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报价人</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89"/>
        <w:tblW w:w="573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被授权人(报价人授权代表)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“报价信封”内。如是法定代表人作为报价人代表，则无需提交此资料。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一、本公司（企业）具备《中华人民共和国政府采购法》第二十二条资格条件：</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（一）具有独立承担民事责任的能力【</w:t>
      </w:r>
      <w:r>
        <w:rPr>
          <w:rFonts w:hint="eastAsia"/>
          <w:color w:val="auto"/>
          <w:highlight w:val="none"/>
        </w:rPr>
        <w:t>提供法人或者其他组织的营业执照、组织机构代码证和税务登记证（或三证合一证明）等证明文件</w:t>
      </w:r>
      <w:r>
        <w:rPr>
          <w:rFonts w:hint="eastAsia" w:ascii="宋体" w:hAnsi="宋体" w:cs="宋体"/>
          <w:color w:val="auto"/>
          <w:szCs w:val="21"/>
          <w:highlight w:val="none"/>
        </w:rPr>
        <w:t>】；</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（二）具有良好的商业信誉和健全的财务会计制度【</w:t>
      </w:r>
      <w:r>
        <w:rPr>
          <w:rFonts w:hint="eastAsia"/>
          <w:color w:val="auto"/>
          <w:highlight w:val="none"/>
        </w:rPr>
        <w:t>提供2018年或2019年的财务状况报告或基本开户行（提供开户许可证）出具的资信证明复印件。如报价人为新注册的，提供成立至今的月或季度财务状况报告复印件</w:t>
      </w:r>
      <w:r>
        <w:rPr>
          <w:rFonts w:hint="eastAsia" w:ascii="宋体" w:hAnsi="宋体" w:cs="宋体"/>
          <w:color w:val="auto"/>
          <w:szCs w:val="21"/>
          <w:highlight w:val="none"/>
        </w:rPr>
        <w:t>】；</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（三）具有履行合同所必需的设备和专业技术能力【</w:t>
      </w:r>
      <w:r>
        <w:rPr>
          <w:rFonts w:hint="eastAsia"/>
          <w:color w:val="auto"/>
          <w:highlight w:val="none"/>
        </w:rPr>
        <w:t>提供履行合同所必需的设备清单以及技术人员的名单材料</w:t>
      </w:r>
      <w:r>
        <w:rPr>
          <w:rFonts w:hint="eastAsia" w:ascii="宋体" w:hAnsi="宋体" w:cs="宋体"/>
          <w:color w:val="auto"/>
          <w:szCs w:val="21"/>
          <w:highlight w:val="none"/>
        </w:rPr>
        <w:t>】；</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（四）有依法缴纳税收和社会保障资金的良好记录【</w:t>
      </w:r>
      <w:r>
        <w:rPr>
          <w:rFonts w:hint="eastAsia"/>
          <w:color w:val="auto"/>
          <w:highlight w:val="none"/>
        </w:rPr>
        <w:t>提供缴纳税收和社会保险的凭证。如依法免税或不需要缴纳社会保障资金的，应提供相应文件证明</w:t>
      </w:r>
      <w:r>
        <w:rPr>
          <w:rFonts w:hint="eastAsia" w:ascii="宋体" w:hAnsi="宋体" w:cs="宋体"/>
          <w:color w:val="auto"/>
          <w:szCs w:val="21"/>
          <w:highlight w:val="none"/>
        </w:rPr>
        <w:t>】；</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（五）参加政府采购活动前三年内，在经营活动中没有重大违法记录【</w:t>
      </w:r>
      <w:r>
        <w:rPr>
          <w:rFonts w:hint="eastAsia"/>
          <w:color w:val="auto"/>
          <w:highlight w:val="none"/>
        </w:rPr>
        <w:t>提供书面声明</w:t>
      </w:r>
      <w:r>
        <w:rPr>
          <w:rFonts w:hint="eastAsia" w:ascii="宋体" w:hAnsi="宋体" w:cs="宋体"/>
          <w:color w:val="auto"/>
          <w:szCs w:val="21"/>
          <w:highlight w:val="none"/>
        </w:rPr>
        <w:t>】；</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（六）法律、行政法规规定的其他条件。</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二、根据《中华人民共和国政府采购法实施条例》的规定，本公司（企业）如为采购项目提供整体设计、规范编制或者项目管理、监理、检测等服务的报价人，不再参加该采购项目的其他采购活动。否则，由此所造成的损失、不良后果及法律责任，一律由我公司（企业）承担。</w:t>
      </w:r>
    </w:p>
    <w:p>
      <w:pPr>
        <w:snapToGrid w:val="0"/>
        <w:spacing w:beforeLines="50" w:line="360" w:lineRule="auto"/>
        <w:ind w:firstLine="525" w:firstLineChars="250"/>
        <w:rPr>
          <w:rFonts w:ascii="宋体" w:hAnsi="宋体" w:cs="宋体"/>
          <w:color w:val="auto"/>
          <w:highlight w:val="none"/>
        </w:rPr>
      </w:pPr>
      <w:r>
        <w:rPr>
          <w:rFonts w:hint="eastAsia" w:ascii="宋体" w:hAnsi="宋体" w:cs="宋体"/>
          <w:color w:val="auto"/>
          <w:szCs w:val="21"/>
          <w:highlight w:val="none"/>
        </w:rPr>
        <w:t>三、</w:t>
      </w:r>
      <w:r>
        <w:rPr>
          <w:rFonts w:hint="eastAsia" w:ascii="宋体" w:hAnsi="宋体" w:cs="宋体"/>
          <w:color w:val="auto"/>
          <w:highlight w:val="none"/>
        </w:rPr>
        <w:t>本公司（企业）的法定代表人或单位负责人与本项目其他报价人的法定代表人或单位负责人不为同一人且与其他报价人之间不存在直接控股、管理关系。</w:t>
      </w:r>
    </w:p>
    <w:p>
      <w:pPr>
        <w:snapToGrid w:val="0"/>
        <w:spacing w:beforeLines="50" w:line="360" w:lineRule="auto"/>
        <w:ind w:firstLine="525" w:firstLineChars="250"/>
        <w:rPr>
          <w:rFonts w:ascii="宋体" w:hAnsi="宋体" w:cs="宋体"/>
          <w:color w:val="auto"/>
          <w:szCs w:val="21"/>
          <w:highlight w:val="none"/>
        </w:rPr>
      </w:pPr>
      <w:r>
        <w:rPr>
          <w:rFonts w:hint="eastAsia" w:ascii="宋体" w:hAnsi="宋体" w:cs="宋体"/>
          <w:color w:val="auto"/>
          <w:szCs w:val="21"/>
          <w:highlight w:val="none"/>
        </w:rPr>
        <w:t>四、本公司（企业）政府采购活动前三年内，没有正在被司法机关立案调查。</w:t>
      </w:r>
    </w:p>
    <w:p>
      <w:pPr>
        <w:snapToGrid w:val="0"/>
        <w:spacing w:line="360" w:lineRule="auto"/>
        <w:ind w:firstLine="420" w:firstLineChars="200"/>
        <w:jc w:val="left"/>
        <w:rPr>
          <w:color w:val="auto"/>
          <w:szCs w:val="21"/>
          <w:highlight w:val="none"/>
        </w:rPr>
      </w:pPr>
      <w:r>
        <w:rPr>
          <w:rFonts w:hint="eastAsia" w:ascii="宋体" w:hAnsi="宋体" w:cs="宋体"/>
          <w:color w:val="auto"/>
          <w:szCs w:val="21"/>
          <w:highlight w:val="none"/>
        </w:rPr>
        <w:t>本公司（企业）已清楚竞争性磋商文件的要求及有关文件规定，并承诺在本次招标采购活动中，如有违法、违规、弄虚作假行为，所造成的损失、不良后果及法律责任，一律由我公司（企业）承担。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adjustRightInd w:val="0"/>
        <w:snapToGrid w:val="0"/>
        <w:spacing w:line="360" w:lineRule="auto"/>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报价人</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rPr>
        <w:t>2020年  月  日</w:t>
      </w: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报价人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89"/>
        <w:tblW w:w="8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报价人单位名称</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2"/>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注:1.报价人应按“采购人需求”的要求，根据实际情况进行报价。本表内的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snapToGrid w:val="0"/>
        <w:spacing w:line="360" w:lineRule="auto"/>
        <w:ind w:left="515" w:leftChars="150" w:hanging="200" w:hangingChars="95"/>
        <w:rPr>
          <w:rFonts w:ascii="宋体" w:hAnsi="宋体"/>
          <w:b/>
          <w:color w:val="auto"/>
          <w:szCs w:val="21"/>
          <w:highlight w:val="none"/>
        </w:rPr>
      </w:pPr>
      <w:r>
        <w:rPr>
          <w:rFonts w:hint="eastAsia" w:ascii="宋体" w:hAnsi="宋体"/>
          <w:b/>
          <w:color w:val="auto"/>
          <w:szCs w:val="21"/>
          <w:highlight w:val="none"/>
        </w:rPr>
        <w:t>2.报价人报价高于采购项目预算金额的报价响应无效；</w:t>
      </w:r>
    </w:p>
    <w:p>
      <w:pPr>
        <w:snapToGrid w:val="0"/>
        <w:spacing w:line="360" w:lineRule="auto"/>
        <w:ind w:left="515" w:leftChars="150" w:hanging="200" w:hangingChars="95"/>
        <w:rPr>
          <w:rFonts w:ascii="宋体" w:hAnsi="宋体" w:cs="宋体"/>
          <w:b/>
          <w:color w:val="auto"/>
          <w:szCs w:val="21"/>
          <w:highlight w:val="none"/>
        </w:rPr>
      </w:pPr>
      <w:r>
        <w:rPr>
          <w:rFonts w:hint="eastAsia" w:ascii="宋体" w:hAnsi="宋体" w:cs="宋体"/>
          <w:b/>
          <w:color w:val="auto"/>
          <w:szCs w:val="21"/>
          <w:highlight w:val="none"/>
        </w:rPr>
        <w:t>3.中文大写金额用汉字，如壹、贰、叁、肆、伍、陆、柒、捌、玖、拾、佰、仟、万、亿、元、角、分、零、整（正）等。如：小写： 1230000，大写：</w:t>
      </w:r>
      <w:r>
        <w:rPr>
          <w:rFonts w:hint="eastAsia" w:ascii="宋体" w:hAnsi="宋体" w:cs="宋体"/>
          <w:b/>
          <w:color w:val="auto"/>
          <w:szCs w:val="21"/>
          <w:highlight w:val="none"/>
          <w:u w:val="single"/>
        </w:rPr>
        <w:t>壹佰贰拾叁万元整</w:t>
      </w:r>
      <w:r>
        <w:rPr>
          <w:rFonts w:hint="eastAsia" w:ascii="宋体" w:hAnsi="宋体" w:cs="宋体"/>
          <w:b/>
          <w:color w:val="auto"/>
          <w:szCs w:val="21"/>
          <w:highlight w:val="none"/>
        </w:rPr>
        <w:t>。</w:t>
      </w:r>
    </w:p>
    <w:p>
      <w:pPr>
        <w:snapToGrid w:val="0"/>
        <w:spacing w:line="360" w:lineRule="auto"/>
        <w:ind w:left="512" w:leftChars="195" w:hanging="103" w:hangingChars="49"/>
        <w:rPr>
          <w:rFonts w:ascii="宋体" w:hAnsi="宋体" w:cs="宋体"/>
          <w:b/>
          <w:color w:val="auto"/>
          <w:szCs w:val="21"/>
          <w:highlight w:val="none"/>
        </w:rPr>
      </w:pPr>
      <w:r>
        <w:rPr>
          <w:rFonts w:hint="eastAsia" w:ascii="宋体" w:hAnsi="宋体" w:cs="宋体"/>
          <w:b/>
          <w:color w:val="auto"/>
          <w:szCs w:val="21"/>
          <w:highlight w:val="none"/>
        </w:rPr>
        <w:t>4.投标总报价应包含采购项目的全部费用，报价人不得再向采购人收取任何费用；</w:t>
      </w:r>
    </w:p>
    <w:p>
      <w:pPr>
        <w:spacing w:line="360" w:lineRule="auto"/>
        <w:ind w:firstLine="413" w:firstLineChars="196"/>
        <w:rPr>
          <w:rFonts w:ascii="宋体" w:hAnsi="宋体" w:cs="宋体"/>
          <w:b/>
          <w:color w:val="auto"/>
          <w:szCs w:val="21"/>
          <w:highlight w:val="none"/>
        </w:rPr>
      </w:pPr>
      <w:r>
        <w:rPr>
          <w:rFonts w:hint="eastAsia" w:ascii="宋体" w:hAnsi="宋体" w:cs="宋体"/>
          <w:b/>
          <w:color w:val="auto"/>
          <w:szCs w:val="21"/>
          <w:highlight w:val="none"/>
        </w:rPr>
        <w:t>5.报价以人民币元为单位，保留小数点后两位；</w:t>
      </w:r>
    </w:p>
    <w:p>
      <w:pPr>
        <w:spacing w:line="360" w:lineRule="auto"/>
        <w:ind w:firstLine="413" w:firstLineChars="196"/>
        <w:rPr>
          <w:rFonts w:ascii="宋体" w:hAnsi="宋体" w:cs="宋体"/>
          <w:b/>
          <w:color w:val="auto"/>
          <w:szCs w:val="21"/>
          <w:highlight w:val="none"/>
        </w:rPr>
      </w:pPr>
      <w:r>
        <w:rPr>
          <w:rFonts w:hint="eastAsia" w:ascii="宋体" w:hAnsi="宋体" w:cs="宋体"/>
          <w:b/>
          <w:color w:val="auto"/>
          <w:szCs w:val="21"/>
          <w:highlight w:val="none"/>
        </w:rPr>
        <w:t>6.投标报价要求具体见第二章“投标报价”及采购人需求要求；</w:t>
      </w:r>
    </w:p>
    <w:p>
      <w:pPr>
        <w:spacing w:line="360" w:lineRule="auto"/>
        <w:ind w:firstLine="413" w:firstLineChars="196"/>
        <w:rPr>
          <w:rFonts w:ascii="宋体" w:hAnsi="宋体" w:cs="宋体"/>
          <w:b/>
          <w:color w:val="auto"/>
          <w:szCs w:val="21"/>
          <w:highlight w:val="none"/>
        </w:rPr>
      </w:pPr>
      <w:r>
        <w:rPr>
          <w:rFonts w:hint="eastAsia" w:ascii="宋体" w:hAnsi="宋体" w:cs="宋体"/>
          <w:b/>
          <w:color w:val="auto"/>
          <w:szCs w:val="21"/>
          <w:highlight w:val="none"/>
        </w:rPr>
        <w:t>7.本表格须附在正副的投标文件中，并另封装一份在 “唱标信封”内。</w:t>
      </w:r>
    </w:p>
    <w:p>
      <w:pPr>
        <w:adjustRightInd w:val="0"/>
        <w:snapToGrid w:val="0"/>
        <w:spacing w:line="360" w:lineRule="auto"/>
        <w:ind w:left="630" w:hanging="630" w:hangingChars="299"/>
        <w:jc w:val="left"/>
        <w:rPr>
          <w:rFonts w:ascii="宋体" w:hAnsi="宋体"/>
          <w:b/>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报价人全称（加盖公章）: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附件8  磋商分项报价表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tbl>
      <w:tblPr>
        <w:tblStyle w:val="89"/>
        <w:tblW w:w="918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49"/>
        <w:gridCol w:w="1850"/>
        <w:gridCol w:w="435"/>
        <w:gridCol w:w="630"/>
        <w:gridCol w:w="1299"/>
        <w:gridCol w:w="1746"/>
        <w:gridCol w:w="1459"/>
        <w:gridCol w:w="1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0" w:hRule="atLeast"/>
        </w:trPr>
        <w:tc>
          <w:tcPr>
            <w:tcW w:w="449"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highlight w:val="none"/>
                <w:u w:val="none"/>
              </w:rPr>
            </w:pPr>
            <w:r>
              <w:rPr>
                <w:rFonts w:hint="eastAsia" w:ascii="宋体" w:hAnsi="宋体" w:eastAsia="宋体" w:cs="宋体"/>
                <w:b/>
                <w:i w:val="0"/>
                <w:color w:val="auto"/>
                <w:kern w:val="0"/>
                <w:sz w:val="20"/>
                <w:szCs w:val="20"/>
                <w:highlight w:val="none"/>
                <w:u w:val="none"/>
                <w:lang w:val="en-US" w:eastAsia="zh-CN" w:bidi="ar"/>
              </w:rPr>
              <w:t>序号</w:t>
            </w:r>
          </w:p>
        </w:tc>
        <w:tc>
          <w:tcPr>
            <w:tcW w:w="1850"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highlight w:val="none"/>
                <w:u w:val="none"/>
              </w:rPr>
            </w:pPr>
            <w:r>
              <w:rPr>
                <w:rFonts w:hint="eastAsia" w:ascii="宋体" w:hAnsi="宋体" w:eastAsia="宋体" w:cs="宋体"/>
                <w:b/>
                <w:i w:val="0"/>
                <w:color w:val="auto"/>
                <w:kern w:val="0"/>
                <w:sz w:val="20"/>
                <w:szCs w:val="20"/>
                <w:highlight w:val="none"/>
                <w:u w:val="none"/>
                <w:lang w:val="en-US" w:eastAsia="zh-CN" w:bidi="ar"/>
              </w:rPr>
              <w:t>货物名称</w:t>
            </w:r>
          </w:p>
        </w:tc>
        <w:tc>
          <w:tcPr>
            <w:tcW w:w="435"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highlight w:val="none"/>
                <w:u w:val="none"/>
              </w:rPr>
            </w:pPr>
            <w:r>
              <w:rPr>
                <w:rFonts w:hint="eastAsia" w:ascii="宋体" w:hAnsi="宋体" w:eastAsia="宋体" w:cs="宋体"/>
                <w:b/>
                <w:i w:val="0"/>
                <w:color w:val="auto"/>
                <w:kern w:val="0"/>
                <w:sz w:val="20"/>
                <w:szCs w:val="20"/>
                <w:highlight w:val="none"/>
                <w:u w:val="none"/>
                <w:lang w:val="en-US" w:eastAsia="zh-CN" w:bidi="ar"/>
              </w:rPr>
              <w:t>数量</w:t>
            </w:r>
          </w:p>
        </w:tc>
        <w:tc>
          <w:tcPr>
            <w:tcW w:w="630"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highlight w:val="none"/>
                <w:u w:val="none"/>
              </w:rPr>
            </w:pPr>
            <w:r>
              <w:rPr>
                <w:rFonts w:hint="eastAsia" w:ascii="宋体" w:hAnsi="宋体" w:eastAsia="宋体" w:cs="宋体"/>
                <w:b/>
                <w:i w:val="0"/>
                <w:color w:val="auto"/>
                <w:kern w:val="0"/>
                <w:sz w:val="20"/>
                <w:szCs w:val="20"/>
                <w:highlight w:val="none"/>
                <w:u w:val="none"/>
                <w:lang w:val="en-US" w:eastAsia="zh-CN" w:bidi="ar"/>
              </w:rPr>
              <w:t>单位</w:t>
            </w:r>
          </w:p>
        </w:tc>
        <w:tc>
          <w:tcPr>
            <w:tcW w:w="1299"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highlight w:val="none"/>
                <w:u w:val="none"/>
              </w:rPr>
            </w:pPr>
            <w:r>
              <w:rPr>
                <w:rFonts w:hint="eastAsia" w:ascii="宋体" w:hAnsi="宋体" w:eastAsia="宋体" w:cs="宋体"/>
                <w:b/>
                <w:i w:val="0"/>
                <w:color w:val="auto"/>
                <w:kern w:val="0"/>
                <w:sz w:val="20"/>
                <w:szCs w:val="20"/>
                <w:highlight w:val="none"/>
                <w:u w:val="none"/>
                <w:lang w:val="en-US" w:eastAsia="zh-CN" w:bidi="ar"/>
              </w:rPr>
              <w:t>综合单价报价（元）</w:t>
            </w:r>
          </w:p>
        </w:tc>
        <w:tc>
          <w:tcPr>
            <w:tcW w:w="1746"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highlight w:val="none"/>
                <w:u w:val="none"/>
              </w:rPr>
            </w:pPr>
            <w:r>
              <w:rPr>
                <w:rFonts w:hint="eastAsia" w:ascii="宋体" w:hAnsi="宋体" w:eastAsia="宋体" w:cs="宋体"/>
                <w:b/>
                <w:i w:val="0"/>
                <w:color w:val="auto"/>
                <w:kern w:val="0"/>
                <w:sz w:val="20"/>
                <w:szCs w:val="20"/>
                <w:highlight w:val="none"/>
                <w:u w:val="none"/>
                <w:lang w:val="en-US" w:eastAsia="zh-CN" w:bidi="ar"/>
              </w:rPr>
              <w:t>金额合计（元）</w:t>
            </w:r>
          </w:p>
        </w:tc>
        <w:tc>
          <w:tcPr>
            <w:tcW w:w="1459"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highlight w:val="none"/>
                <w:u w:val="none"/>
              </w:rPr>
            </w:pPr>
            <w:r>
              <w:rPr>
                <w:rFonts w:hint="eastAsia" w:ascii="宋体" w:hAnsi="宋体" w:eastAsia="宋体" w:cs="宋体"/>
                <w:b/>
                <w:i w:val="0"/>
                <w:color w:val="auto"/>
                <w:kern w:val="0"/>
                <w:sz w:val="20"/>
                <w:szCs w:val="20"/>
                <w:highlight w:val="none"/>
                <w:u w:val="none"/>
                <w:lang w:val="en-US" w:eastAsia="zh-CN" w:bidi="ar"/>
              </w:rPr>
              <w:t>备注</w:t>
            </w:r>
          </w:p>
        </w:tc>
        <w:tc>
          <w:tcPr>
            <w:tcW w:w="132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0"/>
                <w:szCs w:val="20"/>
                <w:highlight w:val="none"/>
                <w:u w:val="none"/>
              </w:rPr>
            </w:pPr>
            <w:r>
              <w:rPr>
                <w:rFonts w:hint="eastAsia" w:ascii="宋体" w:hAnsi="宋体" w:eastAsia="宋体" w:cs="宋体"/>
                <w:b/>
                <w:i w:val="0"/>
                <w:color w:val="auto"/>
                <w:kern w:val="0"/>
                <w:sz w:val="20"/>
                <w:szCs w:val="20"/>
                <w:highlight w:val="none"/>
                <w:u w:val="none"/>
                <w:lang w:val="en-US" w:eastAsia="zh-CN" w:bidi="ar"/>
              </w:rPr>
              <w:t>所投品牌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918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kern w:val="0"/>
                <w:sz w:val="20"/>
                <w:szCs w:val="20"/>
                <w:highlight w:val="none"/>
                <w:u w:val="none"/>
                <w:lang w:val="en-US" w:eastAsia="zh-CN" w:bidi="ar"/>
              </w:rPr>
            </w:pPr>
            <w:r>
              <w:rPr>
                <w:rFonts w:hint="eastAsia" w:ascii="宋体" w:hAnsi="宋体" w:eastAsia="宋体" w:cs="宋体"/>
                <w:b/>
                <w:i w:val="0"/>
                <w:color w:val="auto"/>
                <w:kern w:val="0"/>
                <w:sz w:val="20"/>
                <w:szCs w:val="20"/>
                <w:highlight w:val="none"/>
                <w:u w:val="none"/>
                <w:lang w:val="en-US" w:eastAsia="zh-CN" w:bidi="ar"/>
              </w:rPr>
              <w:t>一、排风部分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10"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8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玻璃钢离心风机</w:t>
            </w:r>
          </w:p>
        </w:tc>
        <w:tc>
          <w:tcPr>
            <w:tcW w:w="4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630" w:type="dxa"/>
            <w:tcBorders>
              <w:top w:val="single" w:color="000000" w:sz="4" w:space="0"/>
              <w:left w:val="single" w:color="000000" w:sz="4" w:space="0"/>
              <w:bottom w:val="single" w:color="000000"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台</w:t>
            </w:r>
          </w:p>
        </w:tc>
        <w:tc>
          <w:tcPr>
            <w:tcW w:w="1299" w:type="dxa"/>
            <w:tcBorders>
              <w:top w:val="single" w:color="000000" w:sz="4" w:space="0"/>
              <w:left w:val="single" w:color="auto"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风机进口变径</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风机进口变径</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软连接</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条</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软连接</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条</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伞形防雨帽</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风机减震垫</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套</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8</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风机水泥机座</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9</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吸附箱水泥机座</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消声器</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台</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11</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活性炭吸附箱</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台</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5"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12</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活性炭吸附箱</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台</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13</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70℃常开防火阀</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14</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70℃常开防火阀</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15</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电动调风阀</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16</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电动调风阀</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17</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PP风管</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24</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米</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18</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PP风管</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24</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米</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19</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PP风管</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44</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米</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PP风管</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20</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米</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21</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PP风管</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32</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米</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22</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PP风管</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16</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米</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23</w:t>
            </w:r>
          </w:p>
        </w:tc>
        <w:tc>
          <w:tcPr>
            <w:tcW w:w="18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PP风管</w:t>
            </w:r>
          </w:p>
        </w:tc>
        <w:tc>
          <w:tcPr>
            <w:tcW w:w="4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48</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米</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24</w:t>
            </w:r>
          </w:p>
        </w:tc>
        <w:tc>
          <w:tcPr>
            <w:tcW w:w="18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PP风管</w:t>
            </w:r>
          </w:p>
        </w:tc>
        <w:tc>
          <w:tcPr>
            <w:tcW w:w="4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64</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米</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25</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PP弯头</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10</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26</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PP弯头</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27</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PP弯头</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28</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PP弯头</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10</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29</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PP弯头</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PP弯头</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31</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PP弯头</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32</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PP弯头</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33</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PP变径</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34</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PP变径</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35</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PP变径</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36</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PP变径</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37</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PP三通</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38</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PP三通</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13</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39</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PP三通</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PP三通</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41</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PP三通</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42</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PP三通</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43</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PP三通</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44</w:t>
            </w:r>
          </w:p>
        </w:tc>
        <w:tc>
          <w:tcPr>
            <w:tcW w:w="18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 三通</w:t>
            </w:r>
          </w:p>
        </w:tc>
        <w:tc>
          <w:tcPr>
            <w:tcW w:w="4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45</w:t>
            </w:r>
          </w:p>
        </w:tc>
        <w:tc>
          <w:tcPr>
            <w:tcW w:w="18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 三通</w:t>
            </w:r>
          </w:p>
        </w:tc>
        <w:tc>
          <w:tcPr>
            <w:tcW w:w="4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46</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 直通</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47</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 直通</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48</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 直通</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49</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 直通</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 直通</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10</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51</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 直通</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52</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 直通</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15</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53</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PP 直通</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30</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54</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风阀控制面板配底座</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14</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55</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管道静压传感控制系统</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套</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56</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变频器</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57</w:t>
            </w:r>
          </w:p>
        </w:tc>
        <w:tc>
          <w:tcPr>
            <w:tcW w:w="185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通风配电箱4、5</w:t>
            </w:r>
          </w:p>
        </w:tc>
        <w:tc>
          <w:tcPr>
            <w:tcW w:w="4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63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套</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58</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动力线</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100</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米</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59</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电动风阀电源线</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1200</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米</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控制面板电源线</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1200</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米</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61</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系统控制线</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1200</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米</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62</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线管（P</w:t>
            </w:r>
            <w:r>
              <w:rPr>
                <w:rStyle w:val="221"/>
                <w:color w:val="auto"/>
                <w:highlight w:val="none"/>
                <w:lang w:val="en-US" w:eastAsia="zh-CN" w:bidi="ar"/>
              </w:rPr>
              <w:t>VC）</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2500</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米</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63</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镀锌桥架及配件</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100</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米</w:t>
            </w:r>
          </w:p>
        </w:tc>
        <w:tc>
          <w:tcPr>
            <w:tcW w:w="129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5" w:hRule="atLeast"/>
        </w:trPr>
        <w:tc>
          <w:tcPr>
            <w:tcW w:w="44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64</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风管支吊架</w:t>
            </w:r>
          </w:p>
        </w:tc>
        <w:tc>
          <w:tcPr>
            <w:tcW w:w="435"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685</w:t>
            </w:r>
          </w:p>
        </w:tc>
        <w:tc>
          <w:tcPr>
            <w:tcW w:w="630"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Kg</w:t>
            </w:r>
          </w:p>
        </w:tc>
        <w:tc>
          <w:tcPr>
            <w:tcW w:w="1299" w:type="dxa"/>
            <w:tcBorders>
              <w:top w:val="single" w:color="000000" w:sz="4" w:space="0"/>
              <w:left w:val="single" w:color="auto" w:sz="4" w:space="0"/>
              <w:bottom w:val="single" w:color="000000" w:sz="4" w:space="0"/>
              <w:right w:val="single" w:color="auto" w:sz="4" w:space="0"/>
            </w:tcBorders>
            <w:shd w:val="clear" w:color="auto" w:fill="FFFFFF"/>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auto" w:sz="4" w:space="0"/>
              <w:bottom w:val="single" w:color="000000"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小计</w:t>
            </w:r>
          </w:p>
        </w:tc>
        <w:tc>
          <w:tcPr>
            <w:tcW w:w="873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18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i w:val="0"/>
                <w:color w:val="auto"/>
                <w:kern w:val="0"/>
                <w:sz w:val="20"/>
                <w:szCs w:val="20"/>
                <w:highlight w:val="none"/>
                <w:u w:val="none"/>
                <w:lang w:val="en-US" w:eastAsia="zh-CN" w:bidi="ar"/>
              </w:rPr>
            </w:pPr>
            <w:r>
              <w:rPr>
                <w:rFonts w:hint="eastAsia" w:ascii="宋体" w:hAnsi="宋体" w:eastAsia="宋体" w:cs="宋体"/>
                <w:b/>
                <w:i w:val="0"/>
                <w:color w:val="auto"/>
                <w:kern w:val="0"/>
                <w:sz w:val="20"/>
                <w:szCs w:val="20"/>
                <w:highlight w:val="none"/>
                <w:u w:val="none"/>
                <w:lang w:val="en-US" w:eastAsia="zh-CN" w:bidi="ar"/>
              </w:rPr>
              <w:t>二、洁净系统设备部分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449"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65</w:t>
            </w:r>
          </w:p>
        </w:tc>
        <w:tc>
          <w:tcPr>
            <w:tcW w:w="1850"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直膨组合式空气处理机组（AHU-1）室内机组</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台</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66</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风冷直膨式空调室外机（AHU-1）</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台</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67</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设备基础</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5"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68</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指针式压差表</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套</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5"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69</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高效过滤器</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套</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高效过滤器</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套</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71</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镀锌风管</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60</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m</w:t>
            </w:r>
            <w:r>
              <w:rPr>
                <w:rStyle w:val="219"/>
                <w:color w:val="auto"/>
                <w:highlight w:val="none"/>
                <w:lang w:val="en-US" w:eastAsia="zh-CN" w:bidi="ar"/>
              </w:rPr>
              <w:t>2</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72</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风管保温</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60</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m</w:t>
            </w:r>
            <w:r>
              <w:rPr>
                <w:rStyle w:val="219"/>
                <w:color w:val="auto"/>
                <w:highlight w:val="none"/>
                <w:lang w:val="en-US" w:eastAsia="zh-CN" w:bidi="ar"/>
              </w:rPr>
              <w:t>2</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73</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 xml:space="preserve">消声静压箱  </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5"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74</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手动风量调节阀</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75</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手动风量调节阀</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76</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电动风量调节阀</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77</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电动风量调节阀</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85"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78</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防火调节阀(70℃)</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79</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止回阀</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80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铝合金排风百叶</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81</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新风防雨百页（带防虫网）</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82</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风管支架</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10"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83</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空调铜管及保温</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套</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41"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84</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压力传感器</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只</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85</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风速传感器</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只</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4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86</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温湿度传感器</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只</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2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87</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空调风机控制箱(AP)</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套</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88</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开风口及修复</w:t>
            </w:r>
          </w:p>
        </w:tc>
        <w:tc>
          <w:tcPr>
            <w:tcW w:w="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89</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安装辅材</w:t>
            </w:r>
          </w:p>
        </w:tc>
        <w:tc>
          <w:tcPr>
            <w:tcW w:w="43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90</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设备吊装费</w:t>
            </w:r>
          </w:p>
        </w:tc>
        <w:tc>
          <w:tcPr>
            <w:tcW w:w="435"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630"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w:t>
            </w:r>
          </w:p>
        </w:tc>
        <w:tc>
          <w:tcPr>
            <w:tcW w:w="1299"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91</w:t>
            </w:r>
          </w:p>
        </w:tc>
        <w:tc>
          <w:tcPr>
            <w:tcW w:w="1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其他费用</w:t>
            </w:r>
          </w:p>
        </w:tc>
        <w:tc>
          <w:tcPr>
            <w:tcW w:w="435"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highlight w:val="none"/>
                <w:u w:val="none"/>
                <w:lang w:val="en-US" w:eastAsia="zh-CN" w:bidi="ar"/>
              </w:rPr>
            </w:pPr>
          </w:p>
        </w:tc>
        <w:tc>
          <w:tcPr>
            <w:tcW w:w="630"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highlight w:val="none"/>
                <w:u w:val="none"/>
                <w:lang w:val="en-US" w:eastAsia="zh-CN" w:bidi="ar"/>
              </w:rPr>
            </w:pPr>
          </w:p>
        </w:tc>
        <w:tc>
          <w:tcPr>
            <w:tcW w:w="1299" w:type="dxa"/>
            <w:tcBorders>
              <w:top w:val="single" w:color="000000" w:sz="4" w:space="0"/>
              <w:left w:val="single" w:color="auto"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20"/>
                <w:szCs w:val="20"/>
                <w:highlight w:val="none"/>
                <w:u w:val="none"/>
              </w:rPr>
            </w:pPr>
          </w:p>
        </w:tc>
        <w:tc>
          <w:tcPr>
            <w:tcW w:w="1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4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小计</w:t>
            </w:r>
          </w:p>
        </w:tc>
        <w:tc>
          <w:tcPr>
            <w:tcW w:w="873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9188" w:type="dxa"/>
            <w:gridSpan w:val="8"/>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b/>
                <w:i w:val="0"/>
                <w:color w:val="auto"/>
                <w:sz w:val="20"/>
                <w:szCs w:val="20"/>
                <w:highlight w:val="none"/>
                <w:u w:val="none"/>
              </w:rPr>
            </w:pPr>
            <w:r>
              <w:rPr>
                <w:rFonts w:hint="eastAsia" w:ascii="宋体" w:hAnsi="宋体" w:eastAsia="宋体" w:cs="宋体"/>
                <w:b/>
                <w:bCs/>
                <w:i w:val="0"/>
                <w:color w:val="auto"/>
                <w:kern w:val="0"/>
                <w:sz w:val="22"/>
                <w:szCs w:val="22"/>
                <w:highlight w:val="none"/>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9188" w:type="dxa"/>
            <w:gridSpan w:val="8"/>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hint="eastAsia" w:ascii="宋体" w:hAnsi="宋体" w:eastAsia="宋体" w:cs="宋体"/>
                <w:b/>
                <w:i w:val="0"/>
                <w:color w:val="auto"/>
                <w:kern w:val="0"/>
                <w:sz w:val="22"/>
                <w:szCs w:val="22"/>
                <w:highlight w:val="none"/>
                <w:u w:val="none"/>
                <w:lang w:val="en-US" w:eastAsia="zh-CN" w:bidi="ar"/>
              </w:rPr>
            </w:pPr>
            <w:r>
              <w:rPr>
                <w:rFonts w:hint="eastAsia" w:ascii="宋体" w:hAnsi="宋体" w:eastAsia="宋体" w:cs="宋体"/>
                <w:b/>
                <w:i w:val="0"/>
                <w:color w:val="auto"/>
                <w:kern w:val="0"/>
                <w:sz w:val="22"/>
                <w:szCs w:val="22"/>
                <w:highlight w:val="none"/>
                <w:u w:val="none"/>
                <w:lang w:val="en-US" w:eastAsia="zh-CN" w:bidi="ar"/>
              </w:rPr>
              <w:t>小写：</w:t>
            </w:r>
          </w:p>
          <w:p>
            <w:pPr>
              <w:rPr>
                <w:rFonts w:hint="eastAsia" w:ascii="宋体" w:hAnsi="宋体" w:eastAsia="宋体" w:cs="宋体"/>
                <w:i w:val="0"/>
                <w:color w:val="auto"/>
                <w:kern w:val="0"/>
                <w:sz w:val="22"/>
                <w:szCs w:val="22"/>
                <w:highlight w:val="none"/>
                <w:u w:val="none"/>
                <w:lang w:val="en-US" w:eastAsia="zh-CN" w:bidi="ar"/>
              </w:rPr>
            </w:pPr>
            <w:r>
              <w:rPr>
                <w:rFonts w:hint="eastAsia" w:ascii="宋体" w:hAnsi="宋体" w:eastAsia="宋体" w:cs="宋体"/>
                <w:b/>
                <w:i w:val="0"/>
                <w:color w:val="auto"/>
                <w:kern w:val="0"/>
                <w:sz w:val="22"/>
                <w:szCs w:val="22"/>
                <w:highlight w:val="none"/>
                <w:u w:val="none"/>
                <w:lang w:val="en-US" w:eastAsia="zh-CN" w:bidi="ar"/>
              </w:rPr>
              <w:t>大写：</w:t>
            </w:r>
          </w:p>
        </w:tc>
      </w:tr>
    </w:tbl>
    <w:p>
      <w:pPr>
        <w:rPr>
          <w:rFonts w:hint="eastAsia" w:hAnsi="宋体" w:cs="宋体"/>
          <w:color w:val="auto"/>
          <w:kern w:val="0"/>
          <w:szCs w:val="21"/>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报价人自行设计。报价人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rPr>
        <w:t>3.该表格式仅作参考，报价人的详细报价表格式可自定。</w:t>
      </w: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报价人全称（加盖公章）: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12" w:type="default"/>
          <w:footerReference r:id="rId13" w:type="default"/>
          <w:pgSz w:w="11906" w:h="16838"/>
          <w:pgMar w:top="1134" w:right="1134" w:bottom="1134" w:left="1134" w:header="567" w:footer="737" w:gutter="0"/>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89"/>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）小微企业投标且提供其它小型、微型企业产品的，请填写下表内容(如报价人为中小企业，请填写下面的《中小企业声明函》一起提交)：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tabs>
          <w:tab w:val="left" w:pos="0"/>
        </w:tabs>
        <w:spacing w:line="360" w:lineRule="auto"/>
        <w:ind w:right="84" w:rightChars="40" w:firstLine="420" w:firstLineChars="200"/>
        <w:jc w:val="left"/>
        <w:rPr>
          <w:rFonts w:ascii="宋体" w:hAnsi="宋体"/>
          <w:color w:val="auto"/>
          <w:szCs w:val="21"/>
          <w:highlight w:val="none"/>
          <w:lang w:val="en-GB"/>
        </w:rPr>
      </w:pPr>
      <w:r>
        <w:rPr>
          <w:rFonts w:hint="eastAsia" w:ascii="宋体" w:hAnsi="宋体"/>
          <w:color w:val="auto"/>
          <w:szCs w:val="21"/>
          <w:highlight w:val="none"/>
        </w:rPr>
        <w:t>1.</w:t>
      </w: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报价人</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4"/>
          <w:rFonts w:hint="eastAsia" w:ascii="宋体" w:hAnsi="宋体"/>
          <w:color w:val="auto"/>
          <w:szCs w:val="21"/>
          <w:highlight w:val="none"/>
        </w:rPr>
        <w:t>http://hzs.nd</w:t>
      </w:r>
      <w:r>
        <w:rPr>
          <w:rStyle w:val="94"/>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报价人</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420" w:leftChars="200" w:right="84" w:rightChars="40" w:firstLine="105" w:firstLineChars="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报价人</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ind w:firstLine="420" w:firstLineChars="200"/>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报价人</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日    期： 2020年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rPr>
        <w:t>报价人</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rPr>
        <w:t>报价人</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rPr>
        <w:t>报价人</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rPr>
        <w:t>报价人</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r>
        <w:rPr>
          <w:rFonts w:hint="eastAsia" w:ascii="宋体" w:cs="宋体"/>
          <w:color w:val="auto"/>
          <w:szCs w:val="21"/>
          <w:highlight w:val="none"/>
        </w:rPr>
        <w:t>c、</w:t>
      </w:r>
      <w:r>
        <w:rPr>
          <w:rFonts w:hint="eastAsia" w:ascii="宋体" w:hAnsi="宋体" w:cs="宋体"/>
          <w:color w:val="auto"/>
          <w:kern w:val="0"/>
          <w:szCs w:val="21"/>
          <w:highlight w:val="none"/>
        </w:rPr>
        <w:t>报价人</w:t>
      </w:r>
      <w:r>
        <w:rPr>
          <w:rFonts w:hint="eastAsia" w:ascii="宋体" w:cs="宋体"/>
          <w:color w:val="auto"/>
          <w:szCs w:val="21"/>
          <w:highlight w:val="none"/>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highlight w:val="none"/>
          <w:lang w:val="en-GB"/>
        </w:rPr>
      </w:pPr>
    </w:p>
    <w:p>
      <w:pPr>
        <w:pStyle w:val="6"/>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说明：监狱企业参加政府采购活动时，应当提供由省级以上监狱管理局、戒毒管理局（含新疆生产建设兵团）出具的属于监狱企业的证明文件。</w:t>
      </w:r>
    </w:p>
    <w:p>
      <w:pPr>
        <w:pStyle w:val="6"/>
        <w:ind w:firstLine="422" w:firstLineChars="200"/>
        <w:rPr>
          <w:color w:val="auto"/>
          <w:sz w:val="21"/>
          <w:szCs w:val="21"/>
          <w:highlight w:val="none"/>
        </w:rPr>
      </w:pPr>
      <w:bookmarkStart w:id="372" w:name="OLE_LINK13"/>
      <w:bookmarkStart w:id="373" w:name="OLE_LINK14"/>
    </w:p>
    <w:p>
      <w:pPr>
        <w:pStyle w:val="6"/>
        <w:rPr>
          <w:color w:val="auto"/>
          <w:sz w:val="21"/>
          <w:szCs w:val="21"/>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p>
    <w:p>
      <w:pPr>
        <w:pStyle w:val="6"/>
        <w:rPr>
          <w:color w:val="auto"/>
          <w:sz w:val="24"/>
          <w:szCs w:val="24"/>
          <w:highlight w:val="none"/>
        </w:rPr>
      </w:pPr>
      <w:r>
        <w:rPr>
          <w:rFonts w:hint="eastAsia"/>
          <w:b w:val="0"/>
          <w:bCs/>
          <w:color w:val="auto"/>
          <w:sz w:val="21"/>
          <w:szCs w:val="21"/>
          <w:highlight w:val="none"/>
        </w:rPr>
        <w:t>日    期： 2020年  月  日</w:t>
      </w:r>
      <w:r>
        <w:rPr>
          <w:rFonts w:hint="eastAsia"/>
          <w:color w:val="auto"/>
          <w:sz w:val="21"/>
          <w:szCs w:val="21"/>
          <w:highlight w:val="none"/>
        </w:rPr>
        <w:br w:type="page"/>
      </w:r>
      <w:bookmarkStart w:id="374" w:name="_Toc512331248"/>
    </w:p>
    <w:p>
      <w:pPr>
        <w:pStyle w:val="6"/>
        <w:rPr>
          <w:bCs/>
          <w:color w:val="auto"/>
          <w:szCs w:val="28"/>
          <w:highlight w:val="none"/>
        </w:rPr>
      </w:pPr>
      <w:r>
        <w:rPr>
          <w:rFonts w:hint="eastAsia"/>
          <w:bCs/>
          <w:color w:val="auto"/>
          <w:szCs w:val="28"/>
          <w:highlight w:val="none"/>
        </w:rPr>
        <w:t>附件12 残疾人福利性单位声明函（如适用）</w:t>
      </w:r>
      <w:bookmarkEnd w:id="374"/>
    </w:p>
    <w:p>
      <w:pPr>
        <w:rPr>
          <w:color w:val="auto"/>
          <w:highlight w:val="none"/>
        </w:rPr>
      </w:pPr>
    </w:p>
    <w:bookmarkEnd w:id="372"/>
    <w:bookmarkEnd w:id="373"/>
    <w:p>
      <w:pPr>
        <w:spacing w:line="360" w:lineRule="auto"/>
        <w:ind w:firstLine="444" w:firstLineChars="200"/>
        <w:rPr>
          <w:rFonts w:ascii="宋体" w:hAnsi="宋体"/>
          <w:color w:val="auto"/>
          <w:spacing w:val="6"/>
          <w:szCs w:val="21"/>
          <w:highlight w:val="none"/>
        </w:rPr>
      </w:pPr>
      <w:r>
        <w:rPr>
          <w:rFonts w:hint="eastAsia" w:ascii="宋体" w:hAnsi="宋体"/>
          <w:color w:val="auto"/>
          <w:spacing w:val="6"/>
          <w:szCs w:val="21"/>
          <w:highlight w:val="none"/>
        </w:rPr>
        <w:t>本单位郑重声明，根据《财政部 民政部 中国残疾人联合会关于促进残疾人就业政府采购政策的通知》（财库</w:t>
      </w:r>
      <w:r>
        <w:rPr>
          <w:rFonts w:hint="eastAsia" w:ascii="宋体" w:hAnsi="宋体"/>
          <w:color w:val="auto"/>
          <w:szCs w:val="21"/>
          <w:highlight w:val="none"/>
        </w:rPr>
        <w:t>〔2017〕 141</w:t>
      </w:r>
      <w:r>
        <w:rPr>
          <w:rFonts w:hint="eastAsia" w:ascii="宋体" w:hAnsi="宋体"/>
          <w:color w:val="auto"/>
          <w:spacing w:val="6"/>
          <w:szCs w:val="21"/>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44" w:firstLineChars="200"/>
        <w:rPr>
          <w:rFonts w:ascii="宋体" w:hAnsi="宋体"/>
          <w:color w:val="auto"/>
          <w:spacing w:val="6"/>
          <w:szCs w:val="21"/>
          <w:highlight w:val="none"/>
        </w:rPr>
      </w:pPr>
      <w:r>
        <w:rPr>
          <w:rFonts w:hint="eastAsia" w:ascii="宋体" w:hAnsi="宋体"/>
          <w:color w:val="auto"/>
          <w:spacing w:val="6"/>
          <w:szCs w:val="21"/>
          <w:highlight w:val="none"/>
        </w:rPr>
        <w:t>本单位对上述声明的真实性负责。如有虚假，将依法承担相应责任。</w:t>
      </w:r>
    </w:p>
    <w:p>
      <w:pPr>
        <w:spacing w:line="360" w:lineRule="auto"/>
        <w:ind w:firstLine="444" w:firstLineChars="200"/>
        <w:rPr>
          <w:rFonts w:ascii="宋体" w:hAnsi="宋体"/>
          <w:color w:val="auto"/>
          <w:spacing w:val="6"/>
          <w:szCs w:val="21"/>
          <w:highlight w:val="none"/>
        </w:rPr>
      </w:pPr>
    </w:p>
    <w:p>
      <w:pPr>
        <w:spacing w:line="360" w:lineRule="auto"/>
        <w:ind w:firstLine="444" w:firstLineChars="200"/>
        <w:rPr>
          <w:rFonts w:ascii="宋体" w:hAnsi="宋体"/>
          <w:color w:val="auto"/>
          <w:spacing w:val="6"/>
          <w:szCs w:val="21"/>
          <w:highlight w:val="none"/>
        </w:rPr>
      </w:pPr>
    </w:p>
    <w:p>
      <w:pPr>
        <w:tabs>
          <w:tab w:val="left" w:pos="4860"/>
        </w:tabs>
        <w:spacing w:line="360" w:lineRule="auto"/>
        <w:ind w:firstLine="3996" w:firstLineChars="1800"/>
        <w:jc w:val="left"/>
        <w:rPr>
          <w:rFonts w:ascii="宋体" w:hAnsi="宋体"/>
          <w:color w:val="auto"/>
          <w:spacing w:val="6"/>
          <w:szCs w:val="21"/>
          <w:highlight w:val="none"/>
        </w:rPr>
      </w:pPr>
      <w:r>
        <w:rPr>
          <w:rFonts w:hint="eastAsia" w:ascii="宋体" w:hAnsi="宋体"/>
          <w:color w:val="auto"/>
          <w:spacing w:val="6"/>
          <w:szCs w:val="21"/>
          <w:highlight w:val="none"/>
        </w:rPr>
        <w:t>单位名称（盖章）：</w:t>
      </w:r>
    </w:p>
    <w:p>
      <w:pPr>
        <w:tabs>
          <w:tab w:val="left" w:pos="4860"/>
        </w:tabs>
        <w:ind w:firstLine="3996" w:firstLineChars="1800"/>
        <w:jc w:val="left"/>
        <w:rPr>
          <w:rFonts w:ascii="宋体" w:hAnsi="宋体"/>
          <w:color w:val="auto"/>
          <w:spacing w:val="6"/>
          <w:szCs w:val="21"/>
          <w:highlight w:val="none"/>
        </w:rPr>
      </w:pPr>
      <w:r>
        <w:rPr>
          <w:rFonts w:hint="eastAsia" w:ascii="宋体" w:hAnsi="宋体"/>
          <w:color w:val="auto"/>
          <w:spacing w:val="6"/>
          <w:szCs w:val="21"/>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报价人基本情况表</w:t>
      </w:r>
    </w:p>
    <w:p>
      <w:pPr>
        <w:pStyle w:val="144"/>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4"/>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olor w:val="auto"/>
          <w:szCs w:val="21"/>
          <w:highlight w:val="none"/>
        </w:rPr>
        <w:t xml:space="preserve">5、公司基本情况：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报价人</w:t>
      </w:r>
      <w:r>
        <w:rPr>
          <w:rFonts w:hint="eastAsia" w:ascii="宋体" w:hAnsi="宋体"/>
          <w:color w:val="auto"/>
          <w:szCs w:val="21"/>
          <w:highlight w:val="none"/>
        </w:rPr>
        <w:t>获得资质和荣誉证书复印件一览表（后附相关证书复印件加盖公章）</w:t>
      </w:r>
    </w:p>
    <w:tbl>
      <w:tblPr>
        <w:tblStyle w:val="89"/>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375" w:name="_Toc109467914"/>
      <w:bookmarkStart w:id="376" w:name="_Toc81142098"/>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4"/>
        <w:rPr>
          <w:color w:val="auto"/>
          <w:sz w:val="21"/>
          <w:szCs w:val="21"/>
          <w:highlight w:val="none"/>
        </w:rPr>
      </w:pPr>
    </w:p>
    <w:tbl>
      <w:tblPr>
        <w:tblStyle w:val="89"/>
        <w:tblW w:w="9210" w:type="dxa"/>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报价人全称（盖公章）：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2.采购人需求书中的服务要求仅为最低要求。报价人在磋商响应文件中必须列出具体报价响应内容。如果报价人只注明“符合”或“满足”，将被视为“不符合”，从而可能导致严重影响评标结果。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r>
        <w:rPr>
          <w:rFonts w:hint="eastAsia" w:ascii="宋体" w:hAnsi="宋体" w:cs="Arial"/>
          <w:b/>
          <w:color w:val="auto"/>
          <w:szCs w:val="21"/>
          <w:highlight w:val="none"/>
        </w:rPr>
        <w:t>3.报价人没有在磋商响应文件中注明偏离（文字说明或在服务、商务偏离表注明）的参数、配置、条款视为报价人完全接受。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4"/>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报价人</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89"/>
        <w:tblW w:w="9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6"/>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注：报价人对竞争性磋商文件的合同（样本）不允许实质性偏离，否则将视为不响应。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375"/>
    <w:bookmarkEnd w:id="376"/>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89"/>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注：请附上成交/中标通知书或合同复印件作为同类业绩证明资料。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[说明]报价人应按照竞争性磋商文件的要求，根据采购人需求要求内容做出全面响应并编制服务方案。其内容应包括但不限于：</w:t>
      </w:r>
    </w:p>
    <w:p>
      <w:pPr>
        <w:spacing w:line="360" w:lineRule="auto"/>
        <w:ind w:left="420" w:leftChars="200" w:firstLine="105" w:firstLineChars="50"/>
        <w:rPr>
          <w:rFonts w:ascii="宋体" w:hAnsi="宋体"/>
          <w:bCs/>
          <w:color w:val="auto"/>
          <w:szCs w:val="21"/>
          <w:highlight w:val="none"/>
        </w:rPr>
      </w:pP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（1）对所投产品设备技术参数、性能指标、质量及特别带“▲”的响应情况和符合性；</w:t>
      </w:r>
    </w:p>
    <w:p>
      <w:pPr>
        <w:spacing w:line="360" w:lineRule="auto"/>
        <w:ind w:left="420" w:leftChars="200" w:firstLine="105" w:firstLineChars="50"/>
        <w:rPr>
          <w:rFonts w:ascii="宋体" w:hAnsi="宋体"/>
          <w:bCs/>
          <w:color w:val="auto"/>
          <w:szCs w:val="21"/>
          <w:highlight w:val="none"/>
          <w:lang w:val="zh-CN"/>
        </w:rPr>
      </w:pPr>
      <w:r>
        <w:rPr>
          <w:rFonts w:hint="eastAsia" w:ascii="宋体" w:hAnsi="宋体"/>
          <w:bCs/>
          <w:color w:val="auto"/>
          <w:szCs w:val="21"/>
          <w:highlight w:val="none"/>
          <w:lang w:val="zh-CN"/>
        </w:rPr>
        <w:t>（</w:t>
      </w:r>
      <w:r>
        <w:rPr>
          <w:rFonts w:hint="eastAsia" w:ascii="宋体" w:hAnsi="宋体"/>
          <w:bCs/>
          <w:color w:val="auto"/>
          <w:szCs w:val="21"/>
          <w:highlight w:val="none"/>
        </w:rPr>
        <w:t>2</w:t>
      </w:r>
      <w:r>
        <w:rPr>
          <w:rFonts w:hint="eastAsia" w:ascii="宋体" w:hAnsi="宋体"/>
          <w:bCs/>
          <w:color w:val="auto"/>
          <w:szCs w:val="21"/>
          <w:highlight w:val="none"/>
          <w:lang w:val="zh-CN"/>
        </w:rPr>
        <w:t>）施工材料</w:t>
      </w:r>
      <w:r>
        <w:rPr>
          <w:rFonts w:hint="eastAsia" w:ascii="宋体" w:hAnsi="宋体"/>
          <w:bCs/>
          <w:color w:val="auto"/>
          <w:szCs w:val="21"/>
          <w:highlight w:val="none"/>
        </w:rPr>
        <w:t>；</w:t>
      </w:r>
    </w:p>
    <w:p>
      <w:pPr>
        <w:spacing w:line="360" w:lineRule="auto"/>
        <w:ind w:left="420" w:leftChars="200" w:firstLine="105" w:firstLineChars="50"/>
        <w:rPr>
          <w:rFonts w:ascii="宋体" w:hAnsi="宋体"/>
          <w:bCs/>
          <w:color w:val="auto"/>
          <w:szCs w:val="21"/>
          <w:highlight w:val="none"/>
          <w:lang w:val="zh-CN"/>
        </w:rPr>
      </w:pPr>
      <w:r>
        <w:rPr>
          <w:rFonts w:hint="eastAsia" w:ascii="宋体" w:hAnsi="宋体"/>
          <w:bCs/>
          <w:color w:val="auto"/>
          <w:szCs w:val="21"/>
          <w:highlight w:val="none"/>
        </w:rPr>
        <w:t>（3）合同履行期进度计划承诺</w:t>
      </w:r>
      <w:r>
        <w:rPr>
          <w:rFonts w:hint="eastAsia" w:ascii="宋体" w:hAnsi="宋体"/>
          <w:bCs/>
          <w:color w:val="auto"/>
          <w:szCs w:val="21"/>
          <w:highlight w:val="none"/>
          <w:lang w:val="zh-CN"/>
        </w:rPr>
        <w:t>；</w:t>
      </w:r>
    </w:p>
    <w:p>
      <w:pPr>
        <w:spacing w:line="360" w:lineRule="auto"/>
        <w:ind w:left="420" w:leftChars="200" w:firstLine="105" w:firstLineChars="50"/>
        <w:rPr>
          <w:rFonts w:ascii="宋体" w:hAnsi="宋体"/>
          <w:bCs/>
          <w:color w:val="auto"/>
          <w:szCs w:val="21"/>
          <w:highlight w:val="none"/>
          <w:lang w:val="zh-CN"/>
        </w:rPr>
      </w:pPr>
      <w:r>
        <w:rPr>
          <w:rFonts w:hint="eastAsia" w:ascii="宋体" w:hAnsi="宋体"/>
          <w:bCs/>
          <w:color w:val="auto"/>
          <w:szCs w:val="21"/>
          <w:highlight w:val="none"/>
        </w:rPr>
        <w:t>（4）安装方案、安装组织设计及保证措施</w:t>
      </w:r>
      <w:r>
        <w:rPr>
          <w:rFonts w:hint="eastAsia" w:ascii="宋体" w:hAnsi="宋体"/>
          <w:bCs/>
          <w:color w:val="auto"/>
          <w:szCs w:val="21"/>
          <w:highlight w:val="none"/>
          <w:lang w:val="zh-CN"/>
        </w:rPr>
        <w:t>；</w:t>
      </w: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（5）文明安全安装措施；</w:t>
      </w:r>
    </w:p>
    <w:p>
      <w:pPr>
        <w:spacing w:line="360" w:lineRule="auto"/>
        <w:ind w:left="420" w:leftChars="200" w:firstLine="105" w:firstLineChars="50"/>
        <w:rPr>
          <w:rFonts w:ascii="宋体" w:hAnsi="宋体"/>
          <w:bCs/>
          <w:color w:val="auto"/>
          <w:szCs w:val="21"/>
          <w:highlight w:val="none"/>
        </w:rPr>
      </w:pPr>
      <w:r>
        <w:rPr>
          <w:rFonts w:hint="eastAsia" w:ascii="宋体" w:hAnsi="宋体"/>
          <w:bCs/>
          <w:color w:val="auto"/>
          <w:szCs w:val="21"/>
          <w:highlight w:val="none"/>
        </w:rPr>
        <w:t>（6）深化设计方案。</w:t>
      </w:r>
    </w:p>
    <w:p>
      <w:pPr>
        <w:pStyle w:val="46"/>
        <w:rPr>
          <w:color w:val="auto"/>
          <w:highlight w:val="none"/>
        </w:rPr>
      </w:pPr>
    </w:p>
    <w:p>
      <w:pPr>
        <w:rPr>
          <w:color w:val="auto"/>
          <w:highlight w:val="none"/>
        </w:rPr>
      </w:pPr>
    </w:p>
    <w:p>
      <w:pPr>
        <w:pStyle w:val="46"/>
        <w:rPr>
          <w:color w:val="auto"/>
          <w:highlight w:val="none"/>
        </w:rPr>
      </w:pPr>
    </w:p>
    <w:p>
      <w:pPr>
        <w:pStyle w:val="2"/>
        <w:rPr>
          <w:b/>
          <w:color w:val="auto"/>
          <w:sz w:val="24"/>
          <w:highlight w:val="none"/>
        </w:rPr>
      </w:pPr>
    </w:p>
    <w:p>
      <w:pPr>
        <w:pStyle w:val="2"/>
        <w:rPr>
          <w:b/>
          <w:color w:val="auto"/>
          <w:sz w:val="24"/>
          <w:highlight w:val="none"/>
        </w:rPr>
      </w:pPr>
    </w:p>
    <w:p>
      <w:pPr>
        <w:pStyle w:val="2"/>
        <w:rPr>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全称（盖公章）：</w:t>
      </w:r>
    </w:p>
    <w:p>
      <w:pPr>
        <w:spacing w:line="360" w:lineRule="auto"/>
        <w:ind w:right="420"/>
        <w:jc w:val="right"/>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widowControl/>
        <w:jc w:val="left"/>
        <w:rPr>
          <w:rFonts w:ascii="宋体" w:hAnsi="宋体"/>
          <w:color w:val="auto"/>
          <w:highlight w:val="none"/>
        </w:rPr>
      </w:pPr>
      <w:r>
        <w:rPr>
          <w:rFonts w:hint="eastAsia" w:ascii="宋体" w:hAnsi="宋体"/>
          <w:b/>
          <w:bCs/>
          <w:color w:val="auto"/>
          <w:kern w:val="0"/>
          <w:sz w:val="28"/>
          <w:szCs w:val="28"/>
          <w:highlight w:val="none"/>
        </w:rPr>
        <w:t>附件18  缴交采购代理服务费承诺书</w:t>
      </w:r>
    </w:p>
    <w:p>
      <w:pPr>
        <w:spacing w:line="360" w:lineRule="auto"/>
        <w:rPr>
          <w:rFonts w:ascii="宋体" w:hAnsi="宋体"/>
          <w:b/>
          <w:bCs/>
          <w:color w:val="auto"/>
          <w:kern w:val="0"/>
          <w:sz w:val="28"/>
          <w:szCs w:val="28"/>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致：广州市信怡招标代理有限公司</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如果我方在贵公司组织的项目名称：</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）磋商采购项目中被确定为成交候选人，</w:t>
      </w:r>
      <w:r>
        <w:rPr>
          <w:rFonts w:hint="eastAsia" w:ascii="宋体" w:hAnsi="宋体" w:cs="宋体"/>
          <w:color w:val="auto"/>
          <w:szCs w:val="21"/>
          <w:highlight w:val="none"/>
        </w:rPr>
        <w:t>我方保证在收到《中标通知书》前，</w:t>
      </w:r>
      <w:r>
        <w:rPr>
          <w:rFonts w:hint="eastAsia" w:ascii="宋体" w:hAnsi="宋体"/>
          <w:color w:val="auto"/>
          <w:szCs w:val="21"/>
          <w:highlight w:val="none"/>
        </w:rPr>
        <w:t>按照磋商文件的规定向贵公司交纳采购代理服务费。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我方如违约，愿凭贵公司开出的违约通知，按上述承诺金额的200％在采购人与我方签订的采购合同款项中扣付，并在此同意和要求采购人（应广州市信怡招标代理有限公司的要求）办理支付手续。</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360" w:lineRule="auto"/>
        <w:ind w:left="4700" w:leftChars="2238"/>
        <w:rPr>
          <w:rFonts w:ascii="宋体" w:hAnsi="宋体"/>
          <w:color w:val="auto"/>
          <w:szCs w:val="21"/>
          <w:highlight w:val="none"/>
        </w:rPr>
      </w:pPr>
    </w:p>
    <w:p>
      <w:pPr>
        <w:spacing w:line="360" w:lineRule="auto"/>
        <w:ind w:firstLine="3990" w:firstLineChars="1900"/>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全称（加盖公章）；</w:t>
      </w:r>
    </w:p>
    <w:p>
      <w:pPr>
        <w:spacing w:line="360" w:lineRule="auto"/>
        <w:ind w:left="3986" w:leftChars="1898"/>
        <w:rPr>
          <w:rFonts w:ascii="宋体" w:hAnsi="宋体"/>
          <w:color w:val="auto"/>
          <w:szCs w:val="21"/>
          <w:highlight w:val="none"/>
        </w:rPr>
      </w:pPr>
      <w:r>
        <w:rPr>
          <w:rFonts w:hint="eastAsia" w:ascii="宋体" w:hAnsi="宋体" w:cs="宋体"/>
          <w:color w:val="auto"/>
          <w:kern w:val="0"/>
          <w:szCs w:val="21"/>
          <w:highlight w:val="none"/>
        </w:rPr>
        <w:t>报价人</w:t>
      </w:r>
      <w:r>
        <w:rPr>
          <w:rFonts w:hint="eastAsia" w:ascii="宋体" w:hAnsi="宋体"/>
          <w:color w:val="auto"/>
          <w:szCs w:val="21"/>
          <w:highlight w:val="none"/>
        </w:rPr>
        <w:t>法定地址：</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法定代表或其授权代表</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电    话：</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传    真：</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承诺日期：</w:t>
      </w:r>
      <w:r>
        <w:rPr>
          <w:rFonts w:hint="eastAsia" w:ascii="宋体" w:hAnsi="宋体"/>
          <w:bCs/>
          <w:color w:val="auto"/>
          <w:szCs w:val="21"/>
          <w:highlight w:val="none"/>
        </w:rPr>
        <w:t>2020年  月  日</w:t>
      </w:r>
    </w:p>
    <w:p>
      <w:pPr>
        <w:pStyle w:val="46"/>
        <w:spacing w:line="360" w:lineRule="auto"/>
        <w:jc w:val="right"/>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附件19 拟派本项目负责人及主要人员情况表</w:t>
      </w:r>
    </w:p>
    <w:p>
      <w:pPr>
        <w:spacing w:line="360" w:lineRule="auto"/>
        <w:rPr>
          <w:rFonts w:ascii="宋体" w:hAnsi="宋体" w:cs="Tahoma"/>
          <w:color w:val="auto"/>
          <w:kern w:val="28"/>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bCs/>
          <w:color w:val="auto"/>
          <w:szCs w:val="21"/>
          <w:highlight w:val="none"/>
        </w:rPr>
      </w:pPr>
      <w:r>
        <w:rPr>
          <w:rFonts w:hint="eastAsia" w:cs="Tahoma"/>
          <w:color w:val="auto"/>
          <w:szCs w:val="21"/>
          <w:highlight w:val="none"/>
        </w:rPr>
        <w:t>项目编号：</w:t>
      </w:r>
    </w:p>
    <w:tbl>
      <w:tblPr>
        <w:tblStyle w:val="89"/>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8"/>
              <w:widowControl w:val="0"/>
              <w:pBdr>
                <w:bottom w:val="none" w:color="auto" w:sz="0" w:space="0"/>
                <w:right w:val="none" w:color="auto" w:sz="0" w:space="0"/>
              </w:pBdr>
              <w:spacing w:before="0" w:beforeAutospacing="0" w:after="0" w:afterAutospacing="0" w:line="360" w:lineRule="auto"/>
              <w:jc w:val="both"/>
              <w:rPr>
                <w:rFonts w:hint="default" w:asciiTheme="minorEastAsia" w:hAnsiTheme="minorEastAsia" w:eastAsiaTheme="minorEastAsia" w:cstheme="minorEastAsia"/>
                <w:color w:val="auto"/>
                <w:kern w:val="2"/>
                <w:sz w:val="21"/>
                <w:szCs w:val="21"/>
                <w:highlight w:val="none"/>
              </w:rPr>
            </w:pPr>
            <w:r>
              <w:rPr>
                <w:rFonts w:asciiTheme="minorEastAsia" w:hAnsiTheme="minorEastAsia" w:eastAsiaTheme="minorEastAsia" w:cstheme="minorEastAsia"/>
                <w:color w:val="auto"/>
                <w:kern w:val="2"/>
                <w:sz w:val="21"/>
                <w:szCs w:val="21"/>
                <w:highlight w:val="none"/>
              </w:rPr>
              <w:t>从事</w:t>
            </w:r>
            <w:r>
              <w:rPr>
                <w:rFonts w:asciiTheme="minorEastAsia" w:hAnsiTheme="minorEastAsia" w:eastAsiaTheme="minorEastAsia" w:cstheme="minorEastAsia"/>
                <w:color w:val="auto"/>
                <w:sz w:val="21"/>
                <w:szCs w:val="21"/>
                <w:highlight w:val="none"/>
              </w:rPr>
              <w:t>同类</w:t>
            </w:r>
            <w:r>
              <w:rPr>
                <w:rFonts w:asciiTheme="minorEastAsia" w:hAnsiTheme="minorEastAsia" w:eastAsiaTheme="minorEastAsia" w:cstheme="minorEastAsia"/>
                <w:color w:val="auto"/>
                <w:kern w:val="2"/>
                <w:sz w:val="21"/>
                <w:szCs w:val="21"/>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w:t>
            </w:r>
          </w:p>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成果质量</w:t>
            </w:r>
          </w:p>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p>
            <w:pPr>
              <w:spacing w:line="360" w:lineRule="auto"/>
              <w:jc w:val="center"/>
              <w:rPr>
                <w:rFonts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bl>
    <w:p>
      <w:pPr>
        <w:pStyle w:val="46"/>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注：1.在合同执行期间，成交报价人须设立项目负责人和专业专职的主要技术及服务人员，并在上表中列明；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2.需附上上表所列人员的证明材料文件。</w:t>
      </w:r>
    </w:p>
    <w:p>
      <w:pPr>
        <w:spacing w:line="360" w:lineRule="auto"/>
        <w:rPr>
          <w:rFonts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1134" w:right="1417" w:bottom="1134" w:left="1417" w:header="567" w:footer="737" w:gutter="0"/>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附件20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89"/>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rPr>
              <w:t>★具有独立承担民事责任的能力【提供法人或者其他组织的营业执照、组织机构代码证和税务登记证（或三证合一证明）等证明文件】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rPr>
              <w:t>★具有良好的商业信誉和健全的财务会计制度【提供2018年或2019年的财务状况报告或基本开户行（提供开户许可证）出具的资信证明复印件。如报价人为新注册的，提供成立至今的月或季度财务状况报告复印件】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rPr>
              <w:t>★具有履行合同所必需的设备和专业技术能力【提供履行合同所必需的设备清单以及技术人员的名单材料】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rPr>
              <w:t>★有依法缴纳税收和社会保障资金的良好记录【提供缴纳税收和社会保险的凭证。如依法免税或不需要缴纳社会保障资金的，应提供相应文件证明】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kern w:val="0"/>
                <w:szCs w:val="21"/>
                <w:highlight w:val="none"/>
              </w:rPr>
              <w:t>★参加政府采购活动前三年内，在经营活动中没有重大违法记录【提供书面声明】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7</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报价人《公平竞争承诺书》原件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8</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报价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报价人为非独立法人（即由合法法人依法建立的分公司），除了对报价人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9</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报价人单位负责人为同一人或者存在直接控股、管理关系的不同报价人，不得参加同一合同项下的政府采购活动。为采购项目提供整体设计、规范编制或者项目管理、监理、检测等服务的报价人，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10</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说明：1、报价人必须对应竞争性磋商文件的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报价人全称（加盖公章）: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293"/>
      <w:bookmarkEnd w:id="352"/>
      <w:bookmarkEnd w:id="353"/>
      <w:bookmarkEnd w:id="354"/>
      <w:bookmarkEnd w:id="355"/>
      <w:bookmarkEnd w:id="356"/>
      <w:bookmarkEnd w:id="358"/>
      <w:bookmarkEnd w:id="359"/>
      <w:bookmarkEnd w:id="360"/>
      <w:bookmarkEnd w:id="361"/>
      <w:bookmarkEnd w:id="362"/>
      <w:bookmarkEnd w:id="363"/>
      <w:bookmarkEnd w:id="364"/>
      <w:bookmarkEnd w:id="365"/>
      <w:bookmarkEnd w:id="366"/>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附件21   ▲</w:t>
      </w:r>
      <w:bookmarkStart w:id="377" w:name="_GoBack"/>
      <w:bookmarkEnd w:id="377"/>
      <w:r>
        <w:rPr>
          <w:rFonts w:hint="eastAsia" w:ascii="宋体" w:hAnsi="宋体"/>
          <w:b/>
          <w:bCs/>
          <w:color w:val="auto"/>
          <w:kern w:val="0"/>
          <w:sz w:val="28"/>
          <w:szCs w:val="28"/>
          <w:highlight w:val="none"/>
        </w:rPr>
        <w:t>条款响应一览表</w:t>
      </w:r>
    </w:p>
    <w:p>
      <w:pPr>
        <w:spacing w:line="360" w:lineRule="auto"/>
        <w:rPr>
          <w:rFonts w:ascii="宋体" w:hAnsi="宋体" w:cs="宋体"/>
          <w:color w:val="auto"/>
          <w:szCs w:val="21"/>
          <w:highlight w:val="none"/>
        </w:rPr>
      </w:pPr>
      <w:r>
        <w:rPr>
          <w:rFonts w:hint="eastAsia" w:ascii="宋体" w:hAnsi="宋体" w:cs="宋体"/>
          <w:color w:val="auto"/>
          <w:szCs w:val="21"/>
          <w:highlight w:val="none"/>
        </w:rPr>
        <w:t>项目名称</w:t>
      </w:r>
      <w:r>
        <w:rPr>
          <w:rFonts w:hint="eastAsia" w:ascii="宋体" w:hAnsi="宋体" w:cs="宋体"/>
          <w:color w:val="auto"/>
          <w:kern w:val="28"/>
          <w:szCs w:val="21"/>
          <w:highlight w:val="none"/>
        </w:rPr>
        <w:t>：</w:t>
      </w:r>
    </w:p>
    <w:p>
      <w:pPr>
        <w:spacing w:line="360" w:lineRule="auto"/>
        <w:rPr>
          <w:rFonts w:ascii="宋体" w:hAnsi="宋体" w:cs="宋体"/>
          <w:color w:val="auto"/>
          <w:szCs w:val="21"/>
          <w:highlight w:val="none"/>
        </w:rPr>
      </w:pPr>
      <w:r>
        <w:rPr>
          <w:rFonts w:hint="eastAsia" w:ascii="宋体" w:hAnsi="宋体" w:cs="宋体"/>
          <w:color w:val="auto"/>
          <w:szCs w:val="21"/>
          <w:highlight w:val="none"/>
        </w:rPr>
        <w:t>项目编号：</w:t>
      </w:r>
    </w:p>
    <w:tbl>
      <w:tblPr>
        <w:tblStyle w:val="89"/>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5347"/>
        <w:gridCol w:w="1088"/>
        <w:gridCol w:w="1187"/>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347" w:type="dxa"/>
            <w:tcBorders>
              <w:left w:val="single" w:color="000000" w:sz="4" w:space="0"/>
            </w:tcBorders>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带“▲”号响应内容</w:t>
            </w:r>
          </w:p>
        </w:tc>
        <w:tc>
          <w:tcPr>
            <w:tcW w:w="108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是否响应</w:t>
            </w:r>
          </w:p>
        </w:tc>
        <w:tc>
          <w:tcPr>
            <w:tcW w:w="1187"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偏离说明</w:t>
            </w:r>
          </w:p>
        </w:tc>
        <w:tc>
          <w:tcPr>
            <w:tcW w:w="1105"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1</w:t>
            </w:r>
          </w:p>
        </w:tc>
        <w:tc>
          <w:tcPr>
            <w:tcW w:w="5347" w:type="dxa"/>
            <w:tcBorders>
              <w:left w:val="single" w:color="000000" w:sz="4" w:space="0"/>
            </w:tcBorders>
            <w:vAlign w:val="center"/>
          </w:tcPr>
          <w:p>
            <w:pPr>
              <w:pStyle w:val="2"/>
              <w:widowControl/>
              <w:spacing w:line="280" w:lineRule="exact"/>
              <w:jc w:val="left"/>
              <w:rPr>
                <w:rFonts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 w:val="21"/>
                <w:szCs w:val="21"/>
                <w:highlight w:val="none"/>
                <w:lang w:val="zh-CN"/>
              </w:rPr>
              <w:t>▲</w:t>
            </w:r>
            <w:r>
              <w:rPr>
                <w:rFonts w:hint="eastAsia" w:asciiTheme="minorEastAsia" w:hAnsiTheme="minorEastAsia" w:eastAsiaTheme="minorEastAsia" w:cstheme="minorEastAsia"/>
                <w:color w:val="auto"/>
                <w:sz w:val="21"/>
                <w:szCs w:val="21"/>
                <w:highlight w:val="none"/>
              </w:rPr>
              <w:t>风管：采用PP材质塑料管材，风管具有防腐等性能，且内壁光滑，外形美观，支、吊架圆管采用A3钢抱箍风管，方管采用经防锈处理的吊杆紧固角钢来支撑风管；圆管厚度≥4mm, 方管厚度≥5mm。</w:t>
            </w:r>
          </w:p>
        </w:tc>
        <w:tc>
          <w:tcPr>
            <w:tcW w:w="1088" w:type="dxa"/>
            <w:vAlign w:val="center"/>
          </w:tcPr>
          <w:p>
            <w:pPr>
              <w:spacing w:before="240" w:line="360" w:lineRule="auto"/>
              <w:ind w:left="902" w:hanging="902"/>
              <w:jc w:val="center"/>
              <w:rPr>
                <w:rFonts w:ascii="宋体" w:hAnsi="宋体" w:cs="宋体"/>
                <w:color w:val="auto"/>
                <w:szCs w:val="21"/>
                <w:highlight w:val="none"/>
              </w:rPr>
            </w:pPr>
          </w:p>
        </w:tc>
        <w:tc>
          <w:tcPr>
            <w:tcW w:w="1187" w:type="dxa"/>
            <w:vAlign w:val="center"/>
          </w:tcPr>
          <w:p>
            <w:pPr>
              <w:spacing w:before="240" w:line="360" w:lineRule="auto"/>
              <w:ind w:left="902" w:hanging="902"/>
              <w:jc w:val="center"/>
              <w:rPr>
                <w:rFonts w:ascii="宋体" w:hAnsi="宋体" w:cs="宋体"/>
                <w:color w:val="auto"/>
                <w:szCs w:val="21"/>
                <w:highlight w:val="none"/>
              </w:rPr>
            </w:pPr>
          </w:p>
        </w:tc>
        <w:tc>
          <w:tcPr>
            <w:tcW w:w="1105"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2</w:t>
            </w:r>
          </w:p>
        </w:tc>
        <w:tc>
          <w:tcPr>
            <w:tcW w:w="5347" w:type="dxa"/>
            <w:tcBorders>
              <w:left w:val="single" w:color="000000" w:sz="4" w:space="0"/>
            </w:tcBorders>
            <w:vAlign w:val="center"/>
          </w:tcPr>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▲防腐离心风机：采用防腐玻璃钢材质蜗壳离心风机。风机选型与技术参数：F4-72- 7A,N=7.5Kw,Q= 11300-19400m3/h ,P= 1570-1045Pa,r= 1450r/m；</w:t>
            </w:r>
          </w:p>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产品特性：</w:t>
            </w:r>
          </w:p>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①适用一定浓度的腐蚀性气体技；</w:t>
            </w:r>
          </w:p>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②耐温、防腐、防爆；</w:t>
            </w:r>
          </w:p>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③风机型号具体根据风量，风压选型，详见清单；</w:t>
            </w:r>
          </w:p>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④为了消除风机运行过程中产生的震动须在楼板设风机固定座及橡胶减震片；</w:t>
            </w:r>
          </w:p>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⑤风机出口应设有防雨帽和防昆虫及啮齿动物的网。</w:t>
            </w:r>
          </w:p>
        </w:tc>
        <w:tc>
          <w:tcPr>
            <w:tcW w:w="1088" w:type="dxa"/>
            <w:vAlign w:val="center"/>
          </w:tcPr>
          <w:p>
            <w:pPr>
              <w:spacing w:before="240" w:line="360" w:lineRule="auto"/>
              <w:ind w:left="902" w:hanging="902"/>
              <w:jc w:val="center"/>
              <w:rPr>
                <w:rFonts w:ascii="宋体" w:hAnsi="宋体" w:cs="宋体"/>
                <w:color w:val="auto"/>
                <w:szCs w:val="21"/>
                <w:highlight w:val="none"/>
              </w:rPr>
            </w:pPr>
          </w:p>
        </w:tc>
        <w:tc>
          <w:tcPr>
            <w:tcW w:w="1187" w:type="dxa"/>
            <w:vAlign w:val="center"/>
          </w:tcPr>
          <w:p>
            <w:pPr>
              <w:spacing w:before="240" w:line="360" w:lineRule="auto"/>
              <w:ind w:left="902" w:hanging="902"/>
              <w:jc w:val="center"/>
              <w:rPr>
                <w:rFonts w:ascii="宋体" w:hAnsi="宋体" w:cs="宋体"/>
                <w:color w:val="auto"/>
                <w:szCs w:val="21"/>
                <w:highlight w:val="none"/>
              </w:rPr>
            </w:pPr>
          </w:p>
        </w:tc>
        <w:tc>
          <w:tcPr>
            <w:tcW w:w="1105"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38" w:type="dxa"/>
            <w:vAlign w:val="center"/>
          </w:tcPr>
          <w:p>
            <w:pPr>
              <w:spacing w:before="240" w:line="360" w:lineRule="auto"/>
              <w:ind w:left="902" w:hanging="902"/>
              <w:jc w:val="center"/>
              <w:rPr>
                <w:rFonts w:ascii="宋体" w:hAnsi="宋体" w:cs="宋体"/>
                <w:color w:val="auto"/>
                <w:szCs w:val="21"/>
                <w:highlight w:val="none"/>
              </w:rPr>
            </w:pPr>
            <w:r>
              <w:rPr>
                <w:rFonts w:hint="eastAsia" w:ascii="宋体" w:hAnsi="宋体" w:cs="宋体"/>
                <w:color w:val="auto"/>
                <w:szCs w:val="21"/>
                <w:highlight w:val="none"/>
              </w:rPr>
              <w:t>3</w:t>
            </w:r>
          </w:p>
        </w:tc>
        <w:tc>
          <w:tcPr>
            <w:tcW w:w="5347" w:type="dxa"/>
            <w:tcBorders>
              <w:left w:val="single" w:color="000000" w:sz="4" w:space="0"/>
            </w:tcBorders>
            <w:vAlign w:val="center"/>
          </w:tcPr>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zh-CN"/>
              </w:rPr>
              <w:t>▲</w:t>
            </w:r>
            <w:r>
              <w:rPr>
                <w:rFonts w:hint="eastAsia" w:asciiTheme="minorEastAsia" w:hAnsiTheme="minorEastAsia" w:eastAsiaTheme="minorEastAsia" w:cstheme="minorEastAsia"/>
                <w:color w:val="auto"/>
                <w:sz w:val="21"/>
                <w:szCs w:val="21"/>
                <w:highlight w:val="none"/>
              </w:rPr>
              <w:t>变频器:采用中外合资品牌，性能要求稳定</w:t>
            </w:r>
          </w:p>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①风机水泵应用；</w:t>
            </w:r>
          </w:p>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②循环软起；</w:t>
            </w:r>
          </w:p>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③用户自定义U/F曲线；</w:t>
            </w:r>
          </w:p>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④内置RFI滤波器作为标准配置，适用于第一和第二环境；</w:t>
            </w:r>
          </w:p>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⑤CE认证。</w:t>
            </w:r>
          </w:p>
        </w:tc>
        <w:tc>
          <w:tcPr>
            <w:tcW w:w="1088" w:type="dxa"/>
            <w:vAlign w:val="center"/>
          </w:tcPr>
          <w:p>
            <w:pPr>
              <w:spacing w:before="240" w:line="360" w:lineRule="auto"/>
              <w:ind w:left="902" w:hanging="902"/>
              <w:jc w:val="center"/>
              <w:rPr>
                <w:rFonts w:ascii="宋体" w:hAnsi="宋体" w:cs="宋体"/>
                <w:color w:val="auto"/>
                <w:szCs w:val="21"/>
                <w:highlight w:val="none"/>
              </w:rPr>
            </w:pPr>
          </w:p>
        </w:tc>
        <w:tc>
          <w:tcPr>
            <w:tcW w:w="1187" w:type="dxa"/>
            <w:vAlign w:val="center"/>
          </w:tcPr>
          <w:p>
            <w:pPr>
              <w:spacing w:before="240" w:line="360" w:lineRule="auto"/>
              <w:ind w:left="902" w:hanging="902"/>
              <w:jc w:val="center"/>
              <w:rPr>
                <w:rFonts w:ascii="宋体" w:hAnsi="宋体" w:cs="宋体"/>
                <w:color w:val="auto"/>
                <w:szCs w:val="21"/>
                <w:highlight w:val="none"/>
              </w:rPr>
            </w:pPr>
          </w:p>
        </w:tc>
        <w:tc>
          <w:tcPr>
            <w:tcW w:w="1105"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38" w:type="dxa"/>
            <w:vAlign w:val="center"/>
          </w:tcPr>
          <w:p>
            <w:pPr>
              <w:spacing w:before="240" w:line="360" w:lineRule="auto"/>
              <w:jc w:val="center"/>
              <w:rPr>
                <w:rFonts w:ascii="宋体" w:hAnsi="宋体" w:cs="宋体"/>
                <w:color w:val="auto"/>
                <w:szCs w:val="21"/>
                <w:highlight w:val="none"/>
              </w:rPr>
            </w:pPr>
            <w:r>
              <w:rPr>
                <w:rFonts w:hint="eastAsia" w:ascii="宋体" w:hAnsi="宋体" w:cs="宋体"/>
                <w:color w:val="auto"/>
                <w:szCs w:val="21"/>
                <w:highlight w:val="none"/>
              </w:rPr>
              <w:t>4</w:t>
            </w:r>
          </w:p>
        </w:tc>
        <w:tc>
          <w:tcPr>
            <w:tcW w:w="5347" w:type="dxa"/>
            <w:tcBorders>
              <w:left w:val="single" w:color="000000" w:sz="4" w:space="0"/>
            </w:tcBorders>
            <w:vAlign w:val="center"/>
          </w:tcPr>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zh-CN"/>
              </w:rPr>
              <w:t xml:space="preserve">▲ </w:t>
            </w:r>
            <w:r>
              <w:rPr>
                <w:rFonts w:hint="eastAsia" w:asciiTheme="minorEastAsia" w:hAnsiTheme="minorEastAsia" w:eastAsiaTheme="minorEastAsia" w:cstheme="minorEastAsia"/>
                <w:color w:val="auto"/>
                <w:sz w:val="21"/>
                <w:szCs w:val="21"/>
                <w:highlight w:val="none"/>
              </w:rPr>
              <w:t>活性碳吸附器</w:t>
            </w:r>
          </w:p>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（1）、产品结构</w:t>
            </w:r>
          </w:p>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本活性碳吸附器采用≥10mm厚PP材质塑料板加工制作，采用卧式结构，抽屉式装碳装置，设两层蜂窝状活性炭过滤板，放≥150mm厚/层≥ 6块活性炭吸附板，采用单侧或双侧活动盖板门，便于安装检修，强度高，占地面积小。</w:t>
            </w:r>
          </w:p>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（2）、技术参数：</w:t>
            </w:r>
          </w:p>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1)处理风量≥10000m3/h，采用≥10mm厚PP材质外箱尺寸≥1800*1500*1200mm，</w:t>
            </w:r>
          </w:p>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2)处理风量≥15000m3/h，采用≥10mm厚PP材质外箱尺寸≥2400*1500*1200mm</w:t>
            </w:r>
          </w:p>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（3)、工作原理</w:t>
            </w:r>
          </w:p>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活性碳吸附器的实质是利用活性碳吸附的特性把低浓度大风量废气中的有机溶剂和有机废气吸附到活性碳中并浓缩，经活性碳吸附净化后的气体直接排到空中，其实质是一个吸附浓缩过程。吸附过程具有可逆性，易于脱附再生。由于固体表面存在着不平衡和未饱和的分子引力或化学键力，因此，当废气与大表面积的多孔性固体物质相接触，废气中的污染物便被吸附在固体表面上，使其与气体混合物分离，达到净化目的。</w:t>
            </w:r>
          </w:p>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这一原理，吸附装置采用活性碳作为吸附剂。活性碳比表面积达700-1500㎡/g，孔径分布广（2-20nm），吸附容量大，吸附速度快，而且再生容易，脱附彻底，经多次吸附后仍保持原有的吸附性能（达95%以上），因此对有机废气的净化率高。</w:t>
            </w:r>
          </w:p>
        </w:tc>
        <w:tc>
          <w:tcPr>
            <w:tcW w:w="1088" w:type="dxa"/>
            <w:vAlign w:val="center"/>
          </w:tcPr>
          <w:p>
            <w:pPr>
              <w:spacing w:before="240" w:line="360" w:lineRule="auto"/>
              <w:ind w:left="902" w:hanging="902"/>
              <w:jc w:val="center"/>
              <w:rPr>
                <w:rFonts w:ascii="宋体" w:hAnsi="宋体" w:cs="宋体"/>
                <w:color w:val="auto"/>
                <w:szCs w:val="21"/>
                <w:highlight w:val="none"/>
              </w:rPr>
            </w:pPr>
          </w:p>
        </w:tc>
        <w:tc>
          <w:tcPr>
            <w:tcW w:w="1187" w:type="dxa"/>
            <w:vAlign w:val="center"/>
          </w:tcPr>
          <w:p>
            <w:pPr>
              <w:spacing w:before="240" w:line="360" w:lineRule="auto"/>
              <w:ind w:left="902" w:hanging="902"/>
              <w:jc w:val="center"/>
              <w:rPr>
                <w:rFonts w:ascii="宋体" w:hAnsi="宋体" w:cs="宋体"/>
                <w:color w:val="auto"/>
                <w:szCs w:val="21"/>
                <w:highlight w:val="none"/>
              </w:rPr>
            </w:pPr>
          </w:p>
        </w:tc>
        <w:tc>
          <w:tcPr>
            <w:tcW w:w="1105"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738" w:type="dxa"/>
            <w:vAlign w:val="center"/>
          </w:tcPr>
          <w:p>
            <w:pPr>
              <w:spacing w:before="240" w:line="360" w:lineRule="auto"/>
              <w:jc w:val="center"/>
              <w:rPr>
                <w:rFonts w:ascii="宋体" w:hAnsi="宋体" w:cs="宋体"/>
                <w:color w:val="auto"/>
                <w:szCs w:val="21"/>
                <w:highlight w:val="none"/>
              </w:rPr>
            </w:pPr>
            <w:r>
              <w:rPr>
                <w:rFonts w:hint="eastAsia" w:ascii="宋体" w:hAnsi="宋体" w:cs="宋体"/>
                <w:color w:val="auto"/>
                <w:szCs w:val="21"/>
                <w:highlight w:val="none"/>
              </w:rPr>
              <w:t>5</w:t>
            </w:r>
          </w:p>
        </w:tc>
        <w:tc>
          <w:tcPr>
            <w:tcW w:w="5347" w:type="dxa"/>
            <w:tcBorders>
              <w:left w:val="single" w:color="000000" w:sz="4" w:space="0"/>
            </w:tcBorders>
            <w:vAlign w:val="center"/>
          </w:tcPr>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▲换气次数*：十万级区≥15次；万级区≥25次；</w:t>
            </w:r>
          </w:p>
        </w:tc>
        <w:tc>
          <w:tcPr>
            <w:tcW w:w="1088" w:type="dxa"/>
            <w:vAlign w:val="center"/>
          </w:tcPr>
          <w:p>
            <w:pPr>
              <w:spacing w:before="240" w:line="360" w:lineRule="auto"/>
              <w:ind w:left="902" w:hanging="902"/>
              <w:jc w:val="center"/>
              <w:rPr>
                <w:rFonts w:ascii="宋体" w:hAnsi="宋体" w:cs="宋体"/>
                <w:color w:val="auto"/>
                <w:szCs w:val="21"/>
                <w:highlight w:val="none"/>
              </w:rPr>
            </w:pPr>
          </w:p>
        </w:tc>
        <w:tc>
          <w:tcPr>
            <w:tcW w:w="1187" w:type="dxa"/>
            <w:vAlign w:val="center"/>
          </w:tcPr>
          <w:p>
            <w:pPr>
              <w:spacing w:before="240" w:line="360" w:lineRule="auto"/>
              <w:ind w:left="902" w:hanging="902"/>
              <w:jc w:val="center"/>
              <w:rPr>
                <w:rFonts w:ascii="宋体" w:hAnsi="宋体" w:cs="宋体"/>
                <w:color w:val="auto"/>
                <w:szCs w:val="21"/>
                <w:highlight w:val="none"/>
              </w:rPr>
            </w:pPr>
          </w:p>
        </w:tc>
        <w:tc>
          <w:tcPr>
            <w:tcW w:w="1105" w:type="dxa"/>
            <w:vAlign w:val="center"/>
          </w:tcPr>
          <w:p>
            <w:pPr>
              <w:spacing w:before="240" w:line="360" w:lineRule="auto"/>
              <w:ind w:left="902" w:hanging="902"/>
              <w:jc w:val="center"/>
              <w:rPr>
                <w:rFonts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38" w:type="dxa"/>
            <w:vAlign w:val="center"/>
          </w:tcPr>
          <w:p>
            <w:pPr>
              <w:spacing w:before="240" w:line="360" w:lineRule="auto"/>
              <w:jc w:val="center"/>
              <w:rPr>
                <w:rFonts w:ascii="宋体" w:hAnsi="宋体" w:cs="宋体"/>
                <w:color w:val="auto"/>
                <w:szCs w:val="21"/>
                <w:highlight w:val="none"/>
              </w:rPr>
            </w:pPr>
            <w:r>
              <w:rPr>
                <w:rFonts w:hint="eastAsia" w:ascii="宋体" w:hAnsi="宋体" w:cs="宋体"/>
                <w:color w:val="auto"/>
                <w:szCs w:val="21"/>
                <w:highlight w:val="none"/>
              </w:rPr>
              <w:t>6</w:t>
            </w:r>
          </w:p>
        </w:tc>
        <w:tc>
          <w:tcPr>
            <w:tcW w:w="5347" w:type="dxa"/>
            <w:tcBorders>
              <w:left w:val="single" w:color="000000" w:sz="4" w:space="0"/>
            </w:tcBorders>
            <w:vAlign w:val="center"/>
          </w:tcPr>
          <w:p>
            <w:pPr>
              <w:pStyle w:val="2"/>
              <w:widowControl/>
              <w:spacing w:line="280" w:lineRule="exact"/>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▲要求提供国家权威机构出具的净化机组检验报告；认证证书，保证选型结果的可靠性；净化机组须具备通过中国制冷空调工业协会CRAA产品认证证书；</w:t>
            </w:r>
          </w:p>
        </w:tc>
        <w:tc>
          <w:tcPr>
            <w:tcW w:w="1088" w:type="dxa"/>
            <w:vAlign w:val="center"/>
          </w:tcPr>
          <w:p>
            <w:pPr>
              <w:spacing w:before="240" w:line="360" w:lineRule="auto"/>
              <w:ind w:left="902" w:hanging="902"/>
              <w:jc w:val="center"/>
              <w:rPr>
                <w:rFonts w:ascii="宋体" w:hAnsi="宋体" w:cs="宋体"/>
                <w:color w:val="auto"/>
                <w:szCs w:val="21"/>
                <w:highlight w:val="none"/>
              </w:rPr>
            </w:pPr>
          </w:p>
        </w:tc>
        <w:tc>
          <w:tcPr>
            <w:tcW w:w="1187" w:type="dxa"/>
            <w:vAlign w:val="center"/>
          </w:tcPr>
          <w:p>
            <w:pPr>
              <w:spacing w:before="240" w:line="360" w:lineRule="auto"/>
              <w:ind w:left="902" w:hanging="902"/>
              <w:jc w:val="center"/>
              <w:rPr>
                <w:rFonts w:ascii="宋体" w:hAnsi="宋体" w:cs="宋体"/>
                <w:color w:val="auto"/>
                <w:szCs w:val="21"/>
                <w:highlight w:val="none"/>
              </w:rPr>
            </w:pPr>
          </w:p>
        </w:tc>
        <w:tc>
          <w:tcPr>
            <w:tcW w:w="1105" w:type="dxa"/>
            <w:vAlign w:val="center"/>
          </w:tcPr>
          <w:p>
            <w:pPr>
              <w:spacing w:before="240" w:line="360" w:lineRule="auto"/>
              <w:ind w:left="902" w:hanging="902"/>
              <w:jc w:val="center"/>
              <w:rPr>
                <w:rFonts w:ascii="宋体" w:hAnsi="宋体" w:cs="宋体"/>
                <w:color w:val="auto"/>
                <w:szCs w:val="21"/>
                <w:highlight w:val="none"/>
              </w:rPr>
            </w:pPr>
          </w:p>
        </w:tc>
      </w:tr>
    </w:tbl>
    <w:p>
      <w:pPr>
        <w:spacing w:line="360" w:lineRule="auto"/>
        <w:rPr>
          <w:rFonts w:ascii="宋体" w:hAnsi="宋体" w:cs="宋体"/>
          <w:b/>
          <w:bCs/>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说明：1、报价人必须对应采购文件的 “</w:t>
      </w:r>
      <w:r>
        <w:rPr>
          <w:rFonts w:hint="eastAsia" w:ascii="宋体" w:hAnsi="宋体" w:cs="宋体"/>
          <w:color w:val="auto"/>
          <w:szCs w:val="21"/>
          <w:highlight w:val="none"/>
        </w:rPr>
        <w:t>▲</w:t>
      </w:r>
      <w:r>
        <w:rPr>
          <w:rFonts w:hint="eastAsia" w:ascii="宋体" w:hAnsi="宋体" w:cs="宋体"/>
          <w:b/>
          <w:bCs/>
          <w:color w:val="auto"/>
          <w:szCs w:val="21"/>
          <w:highlight w:val="none"/>
        </w:rPr>
        <w:t>”号条款逐条应答并按要求填写下表。</w:t>
      </w:r>
    </w:p>
    <w:p>
      <w:pPr>
        <w:rPr>
          <w:rFonts w:ascii="宋体" w:hAnsi="宋体" w:cs="宋体"/>
          <w:b/>
          <w:bCs/>
          <w:color w:val="auto"/>
          <w:kern w:val="0"/>
          <w:sz w:val="24"/>
          <w:highlight w:val="none"/>
        </w:rPr>
      </w:pPr>
      <w:r>
        <w:rPr>
          <w:rFonts w:hint="eastAsia" w:ascii="宋体" w:hAnsi="宋体" w:cs="宋体"/>
          <w:b/>
          <w:bCs/>
          <w:color w:val="auto"/>
          <w:szCs w:val="21"/>
          <w:highlight w:val="none"/>
        </w:rPr>
        <w:t>2、对完全响应的条目在下表相应列中标注“○”。对有偏离的条目在下表相应列中标注“×”，并简述偏离内容。</w:t>
      </w:r>
    </w:p>
    <w:p>
      <w:pPr>
        <w:rPr>
          <w:rFonts w:ascii="宋体" w:hAnsi="宋体" w:cs="宋体"/>
          <w:b/>
          <w:bCs/>
          <w:color w:val="auto"/>
          <w:kern w:val="0"/>
          <w:sz w:val="24"/>
          <w:highlight w:val="none"/>
        </w:rPr>
      </w:pPr>
    </w:p>
    <w:p>
      <w:pPr>
        <w:rPr>
          <w:rFonts w:ascii="宋体" w:hAnsi="宋体" w:cs="宋体"/>
          <w:b/>
          <w:bCs/>
          <w:color w:val="auto"/>
          <w:kern w:val="0"/>
          <w:sz w:val="24"/>
          <w:highlight w:val="none"/>
        </w:rPr>
      </w:pPr>
    </w:p>
    <w:p>
      <w:pPr>
        <w:rPr>
          <w:rFonts w:ascii="宋体" w:hAnsi="宋体" w:cs="宋体"/>
          <w:b/>
          <w:bCs/>
          <w:color w:val="auto"/>
          <w:kern w:val="0"/>
          <w:sz w:val="24"/>
          <w:highlight w:val="none"/>
        </w:rPr>
      </w:pPr>
    </w:p>
    <w:p>
      <w:pPr>
        <w:rPr>
          <w:rFonts w:ascii="宋体" w:hAnsi="宋体" w:cs="宋体"/>
          <w:b/>
          <w:bCs/>
          <w:color w:val="auto"/>
          <w:kern w:val="0"/>
          <w:sz w:val="24"/>
          <w:highlight w:val="none"/>
        </w:rPr>
      </w:pPr>
    </w:p>
    <w:p>
      <w:pPr>
        <w:spacing w:line="360" w:lineRule="auto"/>
        <w:rPr>
          <w:rFonts w:ascii="宋体" w:hAnsi="宋体" w:cs="宋体"/>
          <w:bCs/>
          <w:color w:val="auto"/>
          <w:szCs w:val="21"/>
          <w:highlight w:val="none"/>
        </w:rPr>
      </w:pPr>
      <w:r>
        <w:rPr>
          <w:rFonts w:hint="eastAsia" w:ascii="宋体" w:hAnsi="宋体" w:cs="宋体"/>
          <w:bCs/>
          <w:color w:val="auto"/>
          <w:szCs w:val="21"/>
          <w:highlight w:val="none"/>
        </w:rPr>
        <w:t>报价人全称（加盖公章）:</w:t>
      </w:r>
    </w:p>
    <w:p>
      <w:pPr>
        <w:spacing w:line="360" w:lineRule="auto"/>
        <w:rPr>
          <w:rFonts w:ascii="宋体" w:hAnsi="宋体" w:cs="宋体"/>
          <w:bCs/>
          <w:color w:val="auto"/>
          <w:szCs w:val="21"/>
          <w:highlight w:val="none"/>
        </w:rPr>
      </w:pPr>
      <w:r>
        <w:rPr>
          <w:rFonts w:hint="eastAsia" w:ascii="宋体" w:hAnsi="宋体" w:cs="宋体"/>
          <w:bCs/>
          <w:color w:val="auto"/>
          <w:szCs w:val="21"/>
          <w:highlight w:val="none"/>
        </w:rPr>
        <w:t>法定代表或其授权代表(</w:t>
      </w:r>
      <w:r>
        <w:rPr>
          <w:rFonts w:hint="eastAsia" w:ascii="宋体" w:hAnsi="宋体" w:cs="宋体"/>
          <w:color w:val="auto"/>
          <w:szCs w:val="21"/>
          <w:highlight w:val="none"/>
        </w:rPr>
        <w:t>签字或签章</w:t>
      </w:r>
      <w:r>
        <w:rPr>
          <w:rFonts w:hint="eastAsia" w:ascii="宋体" w:hAnsi="宋体" w:cs="宋体"/>
          <w:bCs/>
          <w:color w:val="auto"/>
          <w:szCs w:val="21"/>
          <w:highlight w:val="none"/>
        </w:rPr>
        <w:t>)：</w:t>
      </w:r>
    </w:p>
    <w:p>
      <w:pPr>
        <w:rPr>
          <w:rFonts w:ascii="宋体" w:hAnsi="宋体"/>
          <w:b/>
          <w:bCs/>
          <w:color w:val="auto"/>
          <w:kern w:val="0"/>
          <w:sz w:val="28"/>
          <w:szCs w:val="28"/>
          <w:highlight w:val="none"/>
        </w:rPr>
      </w:pPr>
      <w:r>
        <w:rPr>
          <w:rFonts w:hint="eastAsia" w:ascii="宋体" w:hAnsi="宋体" w:cs="宋体"/>
          <w:bCs/>
          <w:color w:val="auto"/>
          <w:szCs w:val="21"/>
          <w:highlight w:val="none"/>
        </w:rPr>
        <w:t>日    期：     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附件22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报价人</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附件23报价人认为有必要说明的其他文件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文鼎CS书宋二">
    <w:altName w:val="宋体"/>
    <w:panose1 w:val="0201060901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6"/>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vsYzPEBAADIAwAADgAAAAAAAAABACAAAAAeAQAAZHJzL2Uyb0RvYy54bWxQSwUGAAAAAAYABgBZ&#10;AQAAgQUAAAAA&#10;">
              <v:fill on="f" focussize="0,0"/>
              <v:stroke on="f"/>
              <v:imagedata o:title=""/>
              <o:lock v:ext="edit" aspectratio="f"/>
              <v:textbox inset="0mm,0mm,0mm,0mm" style="mso-fit-shape-to-text:t;">
                <w:txbxContent>
                  <w:p>
                    <w:pPr>
                      <w:pStyle w:val="56"/>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framePr w:wrap="around" w:vAnchor="text" w:hAnchor="margin" w:xAlign="right" w:y="1"/>
      <w:rPr>
        <w:rStyle w:val="93"/>
      </w:rPr>
    </w:pPr>
    <w:r>
      <w:fldChar w:fldCharType="begin"/>
    </w:r>
    <w:r>
      <w:rPr>
        <w:rStyle w:val="93"/>
      </w:rPr>
      <w:instrText xml:space="preserve">PAGE  </w:instrText>
    </w:r>
    <w:r>
      <w:fldChar w:fldCharType="end"/>
    </w:r>
  </w:p>
  <w:p>
    <w:pPr>
      <w:pStyle w:val="5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6"/>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yB2bHfUBAADGAwAADgAAAAAAAAABACAAAAAgAQAAZHJzL2Uyb0RvYy54bWxQSwUGAAAA&#10;AAYABgBZAQAAhwUAAAAA&#10;">
              <v:fill on="f" focussize="0,0"/>
              <v:stroke on="f"/>
              <v:imagedata o:title=""/>
              <o:lock v:ext="edit" aspectratio="f"/>
              <v:textbox inset="0mm,0mm,0mm,0mm" style="mso-fit-shape-to-text:t;">
                <w:txbxContent>
                  <w:p>
                    <w:pPr>
                      <w:pStyle w:val="56"/>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6"/>
                            <w:rPr>
                              <w:rStyle w:val="93"/>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TZkhFvUBAADGAwAADgAAAAAAAAABACAAAAAgAQAAZHJzL2Uyb0RvYy54bWxQSwUGAAAA&#10;AAYABgBZAQAAhwUAAAAA&#10;">
              <v:fill on="f" focussize="0,0"/>
              <v:stroke on="f"/>
              <v:imagedata o:title=""/>
              <o:lock v:ext="edit" aspectratio="f"/>
              <v:textbox inset="0mm,0mm,0mm,0mm" style="mso-fit-shape-to-text:t;">
                <w:txbxContent>
                  <w:p>
                    <w:pPr>
                      <w:pStyle w:val="56"/>
                      <w:rPr>
                        <w:rStyle w:val="93"/>
                      </w:rPr>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6"/>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FMuvfEBAADIAwAADgAAAAAAAAABACAAAAAeAQAAZHJzL2Uyb0RvYy54bWxQSwUGAAAAAAYABgBZ&#10;AQAAgQUAAAAA&#10;">
              <v:fill on="f" focussize="0,0"/>
              <v:stroke on="f"/>
              <v:imagedata o:title=""/>
              <o:lock v:ext="edit" aspectratio="f"/>
              <v:textbox inset="0mm,0mm,0mm,0mm" style="mso-fit-shape-to-text:t;">
                <w:txbxContent>
                  <w:p>
                    <w:pPr>
                      <w:pStyle w:val="5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6"/>
                          </w:pPr>
                          <w:r>
                            <w:fldChar w:fldCharType="begin"/>
                          </w:r>
                          <w:r>
                            <w:instrText xml:space="preserve"> PAGE  \* MERGEFORMAT </w:instrText>
                          </w:r>
                          <w:r>
                            <w:fldChar w:fldCharType="separate"/>
                          </w:r>
                          <w:r>
                            <w:t>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Chc7u0QAAAAMBAAAPAAAAAAAAAAEAIAAAACIAAABkcnMvZG93bnJldi54bWxQSwECFAAUAAAA&#10;CACHTuJAUNe21/UBAADGAwAADgAAAAAAAAABACAAAAAgAQAAZHJzL2Uyb0RvYy54bWxQSwUGAAAA&#10;AAYABgBZAQAAhwUAAAAA&#10;">
              <v:fill on="f" focussize="0,0"/>
              <v:stroke on="f"/>
              <v:imagedata o:title=""/>
              <o:lock v:ext="edit" aspectratio="f"/>
              <v:textbox inset="0mm,0mm,0mm,0mm" style="mso-fit-shape-to-text:t;">
                <w:txbxContent>
                  <w:p>
                    <w:pPr>
                      <w:pStyle w:val="56"/>
                    </w:pPr>
                    <w:r>
                      <w:fldChar w:fldCharType="begin"/>
                    </w:r>
                    <w:r>
                      <w:instrText xml:space="preserve"> PAGE  \* MERGEFORMAT </w:instrText>
                    </w:r>
                    <w:r>
                      <w:fldChar w:fldCharType="separate"/>
                    </w:r>
                    <w:r>
                      <w:t>54</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894998"/>
    <w:multiLevelType w:val="singleLevel"/>
    <w:tmpl w:val="DC894998"/>
    <w:lvl w:ilvl="0" w:tentative="0">
      <w:start w:val="4"/>
      <w:numFmt w:val="chineseCounting"/>
      <w:suff w:val="nothing"/>
      <w:lvlText w:val="%1、"/>
      <w:lvlJc w:val="left"/>
      <w:rPr>
        <w:rFonts w:hint="eastAsia"/>
      </w:rPr>
    </w:lvl>
  </w:abstractNum>
  <w:abstractNum w:abstractNumId="1">
    <w:nsid w:val="E1F586E8"/>
    <w:multiLevelType w:val="singleLevel"/>
    <w:tmpl w:val="E1F586E8"/>
    <w:lvl w:ilvl="0" w:tentative="0">
      <w:start w:val="1"/>
      <w:numFmt w:val="decimal"/>
      <w:suff w:val="nothing"/>
      <w:lvlText w:val="（%1）"/>
      <w:lvlJc w:val="left"/>
      <w:pPr>
        <w:ind w:left="945" w:firstLine="0"/>
      </w:pPr>
    </w:lvl>
  </w:abstractNum>
  <w:abstractNum w:abstractNumId="2">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4">
    <w:nsid w:val="07545C4A"/>
    <w:multiLevelType w:val="multilevel"/>
    <w:tmpl w:val="07545C4A"/>
    <w:lvl w:ilvl="0" w:tentative="0">
      <w:start w:val="1"/>
      <w:numFmt w:val="decimal"/>
      <w:lvlText w:val="%1、"/>
      <w:lvlJc w:val="left"/>
      <w:pPr>
        <w:tabs>
          <w:tab w:val="left" w:pos="1005"/>
        </w:tabs>
        <w:ind w:left="1005" w:hanging="720"/>
      </w:pPr>
      <w:rPr>
        <w:rFonts w:hint="eastAsia"/>
      </w:rPr>
    </w:lvl>
    <w:lvl w:ilvl="1" w:tentative="0">
      <w:start w:val="1"/>
      <w:numFmt w:val="decimal"/>
      <w:lvlText w:val="%2）"/>
      <w:lvlJc w:val="left"/>
      <w:pPr>
        <w:tabs>
          <w:tab w:val="left" w:pos="1425"/>
        </w:tabs>
        <w:ind w:left="1425" w:hanging="720"/>
      </w:pPr>
      <w:rPr>
        <w:rFonts w:hint="eastAsia"/>
      </w:rPr>
    </w:lvl>
    <w:lvl w:ilvl="2" w:tentative="0">
      <w:start w:val="0"/>
      <w:numFmt w:val="bullet"/>
      <w:lvlText w:val="▲"/>
      <w:lvlJc w:val="left"/>
      <w:pPr>
        <w:tabs>
          <w:tab w:val="left" w:pos="1485"/>
        </w:tabs>
        <w:ind w:left="1485" w:hanging="360"/>
      </w:pPr>
      <w:rPr>
        <w:rFonts w:hint="eastAsia" w:ascii="宋体" w:hAnsi="宋体" w:eastAsia="宋体" w:cs="Times New Roman"/>
      </w:rPr>
    </w:lvl>
    <w:lvl w:ilvl="3" w:tentative="0">
      <w:start w:val="1"/>
      <w:numFmt w:val="decimal"/>
      <w:lvlText w:val="%4."/>
      <w:lvlJc w:val="left"/>
      <w:pPr>
        <w:tabs>
          <w:tab w:val="left" w:pos="1965"/>
        </w:tabs>
        <w:ind w:left="1965" w:hanging="420"/>
      </w:pPr>
    </w:lvl>
    <w:lvl w:ilvl="4" w:tentative="0">
      <w:start w:val="1"/>
      <w:numFmt w:val="lowerLetter"/>
      <w:lvlText w:val="%5)"/>
      <w:lvlJc w:val="left"/>
      <w:pPr>
        <w:tabs>
          <w:tab w:val="left" w:pos="2385"/>
        </w:tabs>
        <w:ind w:left="2385" w:hanging="420"/>
      </w:pPr>
    </w:lvl>
    <w:lvl w:ilvl="5" w:tentative="0">
      <w:start w:val="1"/>
      <w:numFmt w:val="lowerRoman"/>
      <w:lvlText w:val="%6."/>
      <w:lvlJc w:val="right"/>
      <w:pPr>
        <w:tabs>
          <w:tab w:val="left" w:pos="2805"/>
        </w:tabs>
        <w:ind w:left="2805" w:hanging="420"/>
      </w:pPr>
    </w:lvl>
    <w:lvl w:ilvl="6" w:tentative="0">
      <w:start w:val="1"/>
      <w:numFmt w:val="decimal"/>
      <w:lvlText w:val="%7."/>
      <w:lvlJc w:val="left"/>
      <w:pPr>
        <w:tabs>
          <w:tab w:val="left" w:pos="3225"/>
        </w:tabs>
        <w:ind w:left="3225" w:hanging="420"/>
      </w:pPr>
    </w:lvl>
    <w:lvl w:ilvl="7" w:tentative="0">
      <w:start w:val="1"/>
      <w:numFmt w:val="lowerLetter"/>
      <w:lvlText w:val="%8)"/>
      <w:lvlJc w:val="left"/>
      <w:pPr>
        <w:tabs>
          <w:tab w:val="left" w:pos="3645"/>
        </w:tabs>
        <w:ind w:left="3645" w:hanging="420"/>
      </w:pPr>
    </w:lvl>
    <w:lvl w:ilvl="8" w:tentative="0">
      <w:start w:val="1"/>
      <w:numFmt w:val="lowerRoman"/>
      <w:lvlText w:val="%9."/>
      <w:lvlJc w:val="right"/>
      <w:pPr>
        <w:tabs>
          <w:tab w:val="left" w:pos="4065"/>
        </w:tabs>
        <w:ind w:left="4065" w:hanging="420"/>
      </w:pPr>
    </w:lvl>
  </w:abstractNum>
  <w:abstractNum w:abstractNumId="5">
    <w:nsid w:val="0AAD48F0"/>
    <w:multiLevelType w:val="multilevel"/>
    <w:tmpl w:val="0AAD48F0"/>
    <w:lvl w:ilvl="0" w:tentative="0">
      <w:start w:val="1"/>
      <w:numFmt w:val="decimal"/>
      <w:lvlText w:val="%1)"/>
      <w:lvlJc w:val="left"/>
      <w:pPr>
        <w:tabs>
          <w:tab w:val="left" w:pos="1215"/>
        </w:tabs>
        <w:ind w:left="1215" w:hanging="420"/>
      </w:pPr>
      <w:rPr>
        <w:rFonts w:hint="eastAsia"/>
        <w:color w:val="auto"/>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6">
    <w:nsid w:val="15B21310"/>
    <w:multiLevelType w:val="multilevel"/>
    <w:tmpl w:val="15B21310"/>
    <w:lvl w:ilvl="0" w:tentative="0">
      <w:start w:val="1"/>
      <w:numFmt w:val="decimal"/>
      <w:lvlText w:val="%1)"/>
      <w:lvlJc w:val="left"/>
      <w:pPr>
        <w:tabs>
          <w:tab w:val="left" w:pos="1215"/>
        </w:tabs>
        <w:ind w:left="1215" w:hanging="4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7">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1D0B7790"/>
    <w:multiLevelType w:val="multilevel"/>
    <w:tmpl w:val="1D0B7790"/>
    <w:lvl w:ilvl="0" w:tentative="0">
      <w:start w:val="1"/>
      <w:numFmt w:val="decimal"/>
      <w:lvlText w:val="8.%1"/>
      <w:lvlJc w:val="left"/>
      <w:pPr>
        <w:tabs>
          <w:tab w:val="left" w:pos="720"/>
        </w:tabs>
        <w:ind w:left="720" w:hanging="720"/>
      </w:pPr>
      <w:rPr>
        <w:rFonts w:hint="eastAsia" w:eastAsia="楷体_GB231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0">
    <w:nsid w:val="27FB0DF5"/>
    <w:multiLevelType w:val="multilevel"/>
    <w:tmpl w:val="27FB0DF5"/>
    <w:lvl w:ilvl="0" w:tentative="0">
      <w:start w:val="1"/>
      <w:numFmt w:val="decimal"/>
      <w:lvlText w:val="%1)"/>
      <w:lvlJc w:val="left"/>
      <w:pPr>
        <w:tabs>
          <w:tab w:val="left" w:pos="1352"/>
        </w:tabs>
        <w:ind w:left="1352" w:hanging="420"/>
      </w:pPr>
      <w:rPr>
        <w:rFonts w:hint="eastAsia"/>
      </w:rPr>
    </w:lvl>
    <w:lvl w:ilvl="1" w:tentative="0">
      <w:start w:val="1"/>
      <w:numFmt w:val="lowerLetter"/>
      <w:lvlText w:val="%2)"/>
      <w:lvlJc w:val="left"/>
      <w:pPr>
        <w:tabs>
          <w:tab w:val="left" w:pos="1457"/>
        </w:tabs>
        <w:ind w:left="1457" w:hanging="420"/>
      </w:pPr>
    </w:lvl>
    <w:lvl w:ilvl="2" w:tentative="0">
      <w:start w:val="1"/>
      <w:numFmt w:val="lowerRoman"/>
      <w:lvlText w:val="%3."/>
      <w:lvlJc w:val="right"/>
      <w:pPr>
        <w:tabs>
          <w:tab w:val="left" w:pos="1877"/>
        </w:tabs>
        <w:ind w:left="1877" w:hanging="420"/>
      </w:pPr>
    </w:lvl>
    <w:lvl w:ilvl="3" w:tentative="0">
      <w:start w:val="1"/>
      <w:numFmt w:val="decimal"/>
      <w:lvlText w:val="%4."/>
      <w:lvlJc w:val="left"/>
      <w:pPr>
        <w:tabs>
          <w:tab w:val="left" w:pos="2297"/>
        </w:tabs>
        <w:ind w:left="2297" w:hanging="420"/>
      </w:pPr>
    </w:lvl>
    <w:lvl w:ilvl="4" w:tentative="0">
      <w:start w:val="1"/>
      <w:numFmt w:val="lowerLetter"/>
      <w:lvlText w:val="%5)"/>
      <w:lvlJc w:val="left"/>
      <w:pPr>
        <w:tabs>
          <w:tab w:val="left" w:pos="2717"/>
        </w:tabs>
        <w:ind w:left="2717" w:hanging="420"/>
      </w:pPr>
    </w:lvl>
    <w:lvl w:ilvl="5" w:tentative="0">
      <w:start w:val="1"/>
      <w:numFmt w:val="lowerRoman"/>
      <w:lvlText w:val="%6."/>
      <w:lvlJc w:val="right"/>
      <w:pPr>
        <w:tabs>
          <w:tab w:val="left" w:pos="3137"/>
        </w:tabs>
        <w:ind w:left="3137" w:hanging="420"/>
      </w:pPr>
    </w:lvl>
    <w:lvl w:ilvl="6" w:tentative="0">
      <w:start w:val="1"/>
      <w:numFmt w:val="decimal"/>
      <w:lvlText w:val="%7."/>
      <w:lvlJc w:val="left"/>
      <w:pPr>
        <w:tabs>
          <w:tab w:val="left" w:pos="3557"/>
        </w:tabs>
        <w:ind w:left="3557" w:hanging="420"/>
      </w:pPr>
    </w:lvl>
    <w:lvl w:ilvl="7" w:tentative="0">
      <w:start w:val="1"/>
      <w:numFmt w:val="lowerLetter"/>
      <w:lvlText w:val="%8)"/>
      <w:lvlJc w:val="left"/>
      <w:pPr>
        <w:tabs>
          <w:tab w:val="left" w:pos="3977"/>
        </w:tabs>
        <w:ind w:left="3977" w:hanging="420"/>
      </w:pPr>
    </w:lvl>
    <w:lvl w:ilvl="8" w:tentative="0">
      <w:start w:val="1"/>
      <w:numFmt w:val="lowerRoman"/>
      <w:lvlText w:val="%9."/>
      <w:lvlJc w:val="right"/>
      <w:pPr>
        <w:tabs>
          <w:tab w:val="left" w:pos="4397"/>
        </w:tabs>
        <w:ind w:left="4397" w:hanging="420"/>
      </w:pPr>
    </w:lvl>
  </w:abstractNum>
  <w:abstractNum w:abstractNumId="11">
    <w:nsid w:val="3F491570"/>
    <w:multiLevelType w:val="multilevel"/>
    <w:tmpl w:val="3F491570"/>
    <w:lvl w:ilvl="0" w:tentative="0">
      <w:start w:val="1"/>
      <w:numFmt w:val="decimal"/>
      <w:lvlText w:val="（%1）"/>
      <w:lvlJc w:val="left"/>
      <w:pPr>
        <w:ind w:left="720" w:hanging="720"/>
      </w:pPr>
      <w:rPr>
        <w:rFonts w:hint="default"/>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440C510B"/>
    <w:multiLevelType w:val="multilevel"/>
    <w:tmpl w:val="440C510B"/>
    <w:lvl w:ilvl="0" w:tentative="0">
      <w:start w:val="7"/>
      <w:numFmt w:val="decimal"/>
      <w:lvlText w:val="%1"/>
      <w:lvlJc w:val="left"/>
      <w:pPr>
        <w:tabs>
          <w:tab w:val="left" w:pos="360"/>
        </w:tabs>
        <w:ind w:left="360" w:hanging="360"/>
      </w:pPr>
      <w:rPr>
        <w:rFonts w:hint="default"/>
      </w:rPr>
    </w:lvl>
    <w:lvl w:ilvl="1" w:tentative="0">
      <w:start w:val="5"/>
      <w:numFmt w:val="decimal"/>
      <w:lvlText w:val="%1.%2"/>
      <w:lvlJc w:val="left"/>
      <w:pPr>
        <w:tabs>
          <w:tab w:val="left" w:pos="675"/>
        </w:tabs>
        <w:ind w:left="675" w:hanging="360"/>
      </w:pPr>
      <w:rPr>
        <w:rFonts w:hint="default"/>
      </w:rPr>
    </w:lvl>
    <w:lvl w:ilvl="2" w:tentative="0">
      <w:start w:val="1"/>
      <w:numFmt w:val="decimal"/>
      <w:lvlText w:val="%1.%2.%3"/>
      <w:lvlJc w:val="left"/>
      <w:pPr>
        <w:tabs>
          <w:tab w:val="left" w:pos="1350"/>
        </w:tabs>
        <w:ind w:left="1350" w:hanging="720"/>
      </w:pPr>
      <w:rPr>
        <w:rFonts w:hint="default"/>
      </w:rPr>
    </w:lvl>
    <w:lvl w:ilvl="3" w:tentative="0">
      <w:start w:val="1"/>
      <w:numFmt w:val="decimal"/>
      <w:lvlText w:val="%1.%2.%3.%4"/>
      <w:lvlJc w:val="left"/>
      <w:pPr>
        <w:tabs>
          <w:tab w:val="left" w:pos="2025"/>
        </w:tabs>
        <w:ind w:left="2025" w:hanging="1080"/>
      </w:pPr>
      <w:rPr>
        <w:rFonts w:hint="default"/>
      </w:rPr>
    </w:lvl>
    <w:lvl w:ilvl="4" w:tentative="0">
      <w:start w:val="1"/>
      <w:numFmt w:val="decimal"/>
      <w:lvlText w:val="%1.%2.%3.%4.%5"/>
      <w:lvlJc w:val="left"/>
      <w:pPr>
        <w:tabs>
          <w:tab w:val="left" w:pos="2340"/>
        </w:tabs>
        <w:ind w:left="2340" w:hanging="1080"/>
      </w:pPr>
      <w:rPr>
        <w:rFonts w:hint="default"/>
      </w:rPr>
    </w:lvl>
    <w:lvl w:ilvl="5" w:tentative="0">
      <w:start w:val="1"/>
      <w:numFmt w:val="decimal"/>
      <w:lvlText w:val="%1.%2.%3.%4.%5.%6"/>
      <w:lvlJc w:val="left"/>
      <w:pPr>
        <w:tabs>
          <w:tab w:val="left" w:pos="3015"/>
        </w:tabs>
        <w:ind w:left="3015" w:hanging="1440"/>
      </w:pPr>
      <w:rPr>
        <w:rFonts w:hint="default"/>
      </w:rPr>
    </w:lvl>
    <w:lvl w:ilvl="6" w:tentative="0">
      <w:start w:val="1"/>
      <w:numFmt w:val="decimal"/>
      <w:lvlText w:val="%1.%2.%3.%4.%5.%6.%7"/>
      <w:lvlJc w:val="left"/>
      <w:pPr>
        <w:tabs>
          <w:tab w:val="left" w:pos="3690"/>
        </w:tabs>
        <w:ind w:left="3690" w:hanging="1800"/>
      </w:pPr>
      <w:rPr>
        <w:rFonts w:hint="default"/>
      </w:rPr>
    </w:lvl>
    <w:lvl w:ilvl="7" w:tentative="0">
      <w:start w:val="1"/>
      <w:numFmt w:val="decimal"/>
      <w:lvlText w:val="%1.%2.%3.%4.%5.%6.%7.%8"/>
      <w:lvlJc w:val="left"/>
      <w:pPr>
        <w:tabs>
          <w:tab w:val="left" w:pos="4005"/>
        </w:tabs>
        <w:ind w:left="4005" w:hanging="1800"/>
      </w:pPr>
      <w:rPr>
        <w:rFonts w:hint="default"/>
      </w:rPr>
    </w:lvl>
    <w:lvl w:ilvl="8" w:tentative="0">
      <w:start w:val="1"/>
      <w:numFmt w:val="decimal"/>
      <w:lvlText w:val="%1.%2.%3.%4.%5.%6.%7.%8.%9"/>
      <w:lvlJc w:val="left"/>
      <w:pPr>
        <w:tabs>
          <w:tab w:val="left" w:pos="4680"/>
        </w:tabs>
        <w:ind w:left="4680" w:hanging="2160"/>
      </w:pPr>
      <w:rPr>
        <w:rFonts w:hint="default"/>
      </w:rPr>
    </w:lvl>
  </w:abstractNum>
  <w:abstractNum w:abstractNumId="13">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4">
    <w:nsid w:val="4ADC2A19"/>
    <w:multiLevelType w:val="multilevel"/>
    <w:tmpl w:val="4ADC2A19"/>
    <w:lvl w:ilvl="0" w:tentative="0">
      <w:start w:val="2"/>
      <w:numFmt w:val="decimal"/>
      <w:lvlText w:val="（%1）"/>
      <w:lvlJc w:val="left"/>
      <w:pPr>
        <w:ind w:left="720" w:hanging="72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55392391"/>
    <w:multiLevelType w:val="multilevel"/>
    <w:tmpl w:val="55392391"/>
    <w:lvl w:ilvl="0" w:tentative="0">
      <w:start w:val="1"/>
      <w:numFmt w:val="decimal"/>
      <w:lvlText w:val="%1)"/>
      <w:lvlJc w:val="left"/>
      <w:pPr>
        <w:tabs>
          <w:tab w:val="left" w:pos="1215"/>
        </w:tabs>
        <w:ind w:left="1215" w:hanging="4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6">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7">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779E4400"/>
    <w:multiLevelType w:val="multilevel"/>
    <w:tmpl w:val="779E4400"/>
    <w:lvl w:ilvl="0" w:tentative="0">
      <w:start w:val="1"/>
      <w:numFmt w:val="decimal"/>
      <w:lvlText w:val="7.%1"/>
      <w:lvlJc w:val="left"/>
      <w:pPr>
        <w:tabs>
          <w:tab w:val="left" w:pos="720"/>
        </w:tabs>
        <w:ind w:left="720" w:hanging="720"/>
      </w:pPr>
      <w:rPr>
        <w:rFonts w:hint="eastAsia" w:eastAsia="楷体_GB231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0">
    <w:nsid w:val="7E5E3B11"/>
    <w:multiLevelType w:val="multilevel"/>
    <w:tmpl w:val="7E5E3B11"/>
    <w:lvl w:ilvl="0" w:tentative="0">
      <w:start w:val="1"/>
      <w:numFmt w:val="decimal"/>
      <w:lvlText w:val="%1)"/>
      <w:lvlJc w:val="left"/>
      <w:pPr>
        <w:tabs>
          <w:tab w:val="left" w:pos="1215"/>
        </w:tabs>
        <w:ind w:left="1215" w:hanging="420"/>
      </w:pPr>
      <w:rPr>
        <w:rFonts w:hint="eastAsia"/>
      </w:rPr>
    </w:lvl>
    <w:lvl w:ilvl="1" w:tentative="0">
      <w:start w:val="1"/>
      <w:numFmt w:val="decimal"/>
      <w:lvlText w:val="%2）"/>
      <w:lvlJc w:val="left"/>
      <w:pPr>
        <w:tabs>
          <w:tab w:val="left" w:pos="1260"/>
        </w:tabs>
        <w:ind w:left="1260" w:hanging="360"/>
      </w:pPr>
      <w:rPr>
        <w:rFonts w:hint="default"/>
      </w:rPr>
    </w:lvl>
    <w:lvl w:ilvl="2" w:tentative="0">
      <w:start w:val="1"/>
      <w:numFmt w:val="decimal"/>
      <w:lvlText w:val="%3."/>
      <w:lvlJc w:val="left"/>
      <w:pPr>
        <w:tabs>
          <w:tab w:val="left" w:pos="1680"/>
        </w:tabs>
        <w:ind w:left="1680" w:hanging="360"/>
      </w:pPr>
      <w:rPr>
        <w:rFonts w:hint="default"/>
      </w:r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2"/>
    <w:lvlOverride w:ilvl="0">
      <w:startOverride w:val="1"/>
    </w:lvlOverride>
  </w:num>
  <w:num w:numId="2">
    <w:abstractNumId w:val="1"/>
  </w:num>
  <w:num w:numId="3">
    <w:abstractNumId w:val="3"/>
  </w:num>
  <w:num w:numId="4">
    <w:abstractNumId w:val="17"/>
  </w:num>
  <w:num w:numId="5">
    <w:abstractNumId w:val="16"/>
  </w:num>
  <w:num w:numId="6">
    <w:abstractNumId w:val="13"/>
  </w:num>
  <w:num w:numId="7">
    <w:abstractNumId w:val="0"/>
  </w:num>
  <w:num w:numId="8">
    <w:abstractNumId w:val="14"/>
  </w:num>
  <w:num w:numId="9">
    <w:abstractNumId w:val="4"/>
  </w:num>
  <w:num w:numId="10">
    <w:abstractNumId w:val="12"/>
  </w:num>
  <w:num w:numId="11">
    <w:abstractNumId w:val="11"/>
  </w:num>
  <w:num w:numId="12">
    <w:abstractNumId w:val="10"/>
  </w:num>
  <w:num w:numId="13">
    <w:abstractNumId w:val="20"/>
  </w:num>
  <w:num w:numId="14">
    <w:abstractNumId w:val="5"/>
  </w:num>
  <w:num w:numId="15">
    <w:abstractNumId w:val="18"/>
  </w:num>
  <w:num w:numId="16">
    <w:abstractNumId w:val="8"/>
  </w:num>
  <w:num w:numId="17">
    <w:abstractNumId w:val="15"/>
  </w:num>
  <w:num w:numId="18">
    <w:abstractNumId w:val="6"/>
  </w:num>
  <w:num w:numId="19">
    <w:abstractNumId w:val="19"/>
  </w:num>
  <w:num w:numId="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151E"/>
    <w:rsid w:val="000B73FB"/>
    <w:rsid w:val="001D6D92"/>
    <w:rsid w:val="001F053A"/>
    <w:rsid w:val="002075A9"/>
    <w:rsid w:val="00422C1A"/>
    <w:rsid w:val="004544BB"/>
    <w:rsid w:val="005054B5"/>
    <w:rsid w:val="00511485"/>
    <w:rsid w:val="00542854"/>
    <w:rsid w:val="00545874"/>
    <w:rsid w:val="00553854"/>
    <w:rsid w:val="006E4DAE"/>
    <w:rsid w:val="007A5220"/>
    <w:rsid w:val="007C756C"/>
    <w:rsid w:val="00801945"/>
    <w:rsid w:val="00822326"/>
    <w:rsid w:val="00845AC9"/>
    <w:rsid w:val="008E4121"/>
    <w:rsid w:val="009F7297"/>
    <w:rsid w:val="00A50D6E"/>
    <w:rsid w:val="00C56CAD"/>
    <w:rsid w:val="00C86501"/>
    <w:rsid w:val="00CD3B18"/>
    <w:rsid w:val="00D71D8C"/>
    <w:rsid w:val="00D75658"/>
    <w:rsid w:val="00D908A5"/>
    <w:rsid w:val="00E6627F"/>
    <w:rsid w:val="00FA526C"/>
    <w:rsid w:val="01980809"/>
    <w:rsid w:val="05006FA0"/>
    <w:rsid w:val="06421AB1"/>
    <w:rsid w:val="07161791"/>
    <w:rsid w:val="084429CB"/>
    <w:rsid w:val="08694ADA"/>
    <w:rsid w:val="09407E21"/>
    <w:rsid w:val="0A9A3C00"/>
    <w:rsid w:val="0AE11E48"/>
    <w:rsid w:val="0BF136BB"/>
    <w:rsid w:val="0C045CD2"/>
    <w:rsid w:val="0CDF06FD"/>
    <w:rsid w:val="0D8152E8"/>
    <w:rsid w:val="0D8D2929"/>
    <w:rsid w:val="0E294FAB"/>
    <w:rsid w:val="0E4105B3"/>
    <w:rsid w:val="105C59F3"/>
    <w:rsid w:val="10D149BD"/>
    <w:rsid w:val="11A42212"/>
    <w:rsid w:val="137179C0"/>
    <w:rsid w:val="167654DF"/>
    <w:rsid w:val="16A36F9A"/>
    <w:rsid w:val="199B7D6D"/>
    <w:rsid w:val="1A251978"/>
    <w:rsid w:val="1A3C0A9F"/>
    <w:rsid w:val="1A4C5B34"/>
    <w:rsid w:val="1B62425E"/>
    <w:rsid w:val="1B9B22B5"/>
    <w:rsid w:val="1C245DE6"/>
    <w:rsid w:val="1D461912"/>
    <w:rsid w:val="1D633DE0"/>
    <w:rsid w:val="1F1539B4"/>
    <w:rsid w:val="1F9E3FD7"/>
    <w:rsid w:val="20630372"/>
    <w:rsid w:val="210359FE"/>
    <w:rsid w:val="210C2156"/>
    <w:rsid w:val="216E2E07"/>
    <w:rsid w:val="22535329"/>
    <w:rsid w:val="22BF6C29"/>
    <w:rsid w:val="22C869D7"/>
    <w:rsid w:val="2301305E"/>
    <w:rsid w:val="233D3FD3"/>
    <w:rsid w:val="242C59D1"/>
    <w:rsid w:val="24EE7B33"/>
    <w:rsid w:val="255A3784"/>
    <w:rsid w:val="261C0F45"/>
    <w:rsid w:val="2988523F"/>
    <w:rsid w:val="2A1810D7"/>
    <w:rsid w:val="2A4464A6"/>
    <w:rsid w:val="2B8F5A11"/>
    <w:rsid w:val="2CC3315B"/>
    <w:rsid w:val="2E306885"/>
    <w:rsid w:val="32711968"/>
    <w:rsid w:val="348E0D5D"/>
    <w:rsid w:val="354A32AA"/>
    <w:rsid w:val="35504E75"/>
    <w:rsid w:val="370D4E81"/>
    <w:rsid w:val="39144DD2"/>
    <w:rsid w:val="39613E61"/>
    <w:rsid w:val="3A817547"/>
    <w:rsid w:val="3B91650A"/>
    <w:rsid w:val="3C47493F"/>
    <w:rsid w:val="3D116FAF"/>
    <w:rsid w:val="40B056D5"/>
    <w:rsid w:val="40F2232A"/>
    <w:rsid w:val="413E03B5"/>
    <w:rsid w:val="422B07EA"/>
    <w:rsid w:val="433C464F"/>
    <w:rsid w:val="45816D95"/>
    <w:rsid w:val="45BC0B50"/>
    <w:rsid w:val="47F7074A"/>
    <w:rsid w:val="48BB5163"/>
    <w:rsid w:val="498664A7"/>
    <w:rsid w:val="4BA44348"/>
    <w:rsid w:val="4BC27EF0"/>
    <w:rsid w:val="4BD95E6C"/>
    <w:rsid w:val="4DBE3804"/>
    <w:rsid w:val="4E5221B2"/>
    <w:rsid w:val="4ECA1C10"/>
    <w:rsid w:val="500819AE"/>
    <w:rsid w:val="52A95F17"/>
    <w:rsid w:val="54A35848"/>
    <w:rsid w:val="55137FB5"/>
    <w:rsid w:val="56A0651B"/>
    <w:rsid w:val="5CE9656C"/>
    <w:rsid w:val="5DE55A9A"/>
    <w:rsid w:val="5E363818"/>
    <w:rsid w:val="5E421EBB"/>
    <w:rsid w:val="5F4F61BA"/>
    <w:rsid w:val="5F9100C4"/>
    <w:rsid w:val="61C679A6"/>
    <w:rsid w:val="62113364"/>
    <w:rsid w:val="629F1549"/>
    <w:rsid w:val="633406B9"/>
    <w:rsid w:val="65FE204E"/>
    <w:rsid w:val="66CD6C6A"/>
    <w:rsid w:val="68BC1C18"/>
    <w:rsid w:val="6C3237AC"/>
    <w:rsid w:val="6CF57457"/>
    <w:rsid w:val="6D6E5707"/>
    <w:rsid w:val="6D757E5C"/>
    <w:rsid w:val="6DBB2FB8"/>
    <w:rsid w:val="6E7252CC"/>
    <w:rsid w:val="7151618F"/>
    <w:rsid w:val="73E10AC3"/>
    <w:rsid w:val="76AC3FB9"/>
    <w:rsid w:val="77D008D6"/>
    <w:rsid w:val="785574EC"/>
    <w:rsid w:val="78E967AD"/>
    <w:rsid w:val="79C925F3"/>
    <w:rsid w:val="7B0503DB"/>
    <w:rsid w:val="7B2E0E6C"/>
    <w:rsid w:val="7CC65E6E"/>
    <w:rsid w:val="7CE37D39"/>
    <w:rsid w:val="7D8D6193"/>
    <w:rsid w:val="7E7E2AD4"/>
    <w:rsid w:val="7F141DD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7"/>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8"/>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99"/>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0"/>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1"/>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2"/>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3"/>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4"/>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5"/>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1">
    <w:name w:val="Default Paragraph Font"/>
    <w:semiHidden/>
    <w:unhideWhenUsed/>
    <w:qFormat/>
    <w:uiPriority w:val="1"/>
  </w:style>
  <w:style w:type="table" w:default="1" w:styleId="89">
    <w:name w:val="Normal Table"/>
    <w:semiHidden/>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0"/>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3"/>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4"/>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0"/>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5"/>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3"/>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1"/>
    <w:qFormat/>
    <w:uiPriority w:val="0"/>
  </w:style>
  <w:style w:type="paragraph" w:styleId="32">
    <w:name w:val="Body Text 3"/>
    <w:basedOn w:val="1"/>
    <w:link w:val="118"/>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2"/>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09"/>
    <w:qFormat/>
    <w:uiPriority w:val="0"/>
    <w:pPr>
      <w:spacing w:after="120"/>
    </w:pPr>
    <w:rPr>
      <w:rFonts w:asciiTheme="minorHAnsi" w:hAnsiTheme="minorHAnsi" w:cstheme="minorBidi"/>
    </w:rPr>
  </w:style>
  <w:style w:type="paragraph" w:styleId="36">
    <w:name w:val="Body Text Indent"/>
    <w:basedOn w:val="1"/>
    <w:link w:val="126"/>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5"/>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1"/>
    <w:link w:val="108"/>
    <w:qFormat/>
    <w:uiPriority w:val="0"/>
    <w:rPr>
      <w:rFonts w:ascii="宋体" w:hAnsi="Courier New" w:cstheme="minorBidi"/>
      <w:szCs w:val="22"/>
    </w:rPr>
  </w:style>
  <w:style w:type="paragraph" w:styleId="47">
    <w:name w:val="List Bullet 5"/>
    <w:basedOn w:val="1"/>
    <w:qFormat/>
    <w:uiPriority w:val="0"/>
    <w:pPr>
      <w:tabs>
        <w:tab w:val="left" w:pos="2040"/>
      </w:tabs>
      <w:ind w:left="2040" w:hanging="360"/>
    </w:pPr>
  </w:style>
  <w:style w:type="paragraph" w:styleId="48">
    <w:name w:val="List Number 4"/>
    <w:basedOn w:val="1"/>
    <w:qFormat/>
    <w:uiPriority w:val="0"/>
    <w:pPr>
      <w:tabs>
        <w:tab w:val="left" w:pos="1620"/>
      </w:tabs>
      <w:ind w:left="1620" w:hanging="360"/>
    </w:pPr>
  </w:style>
  <w:style w:type="paragraph" w:styleId="49">
    <w:name w:val="toc 8"/>
    <w:basedOn w:val="1"/>
    <w:next w:val="1"/>
    <w:qFormat/>
    <w:uiPriority w:val="0"/>
    <w:pPr>
      <w:ind w:left="1470"/>
      <w:jc w:val="left"/>
    </w:pPr>
    <w:rPr>
      <w:sz w:val="18"/>
      <w:szCs w:val="18"/>
    </w:rPr>
  </w:style>
  <w:style w:type="paragraph" w:styleId="50">
    <w:name w:val="index 3"/>
    <w:basedOn w:val="1"/>
    <w:next w:val="1"/>
    <w:semiHidden/>
    <w:qFormat/>
    <w:uiPriority w:val="0"/>
    <w:pPr>
      <w:ind w:left="400" w:leftChars="400"/>
    </w:pPr>
  </w:style>
  <w:style w:type="paragraph" w:styleId="51">
    <w:name w:val="Date"/>
    <w:basedOn w:val="1"/>
    <w:next w:val="1"/>
    <w:link w:val="137"/>
    <w:qFormat/>
    <w:uiPriority w:val="0"/>
    <w:pPr>
      <w:autoSpaceDE w:val="0"/>
      <w:autoSpaceDN w:val="0"/>
      <w:adjustRightInd w:val="0"/>
      <w:spacing w:line="312" w:lineRule="atLeast"/>
      <w:textAlignment w:val="baseline"/>
    </w:pPr>
    <w:rPr>
      <w:kern w:val="0"/>
      <w:sz w:val="32"/>
      <w:szCs w:val="20"/>
    </w:rPr>
  </w:style>
  <w:style w:type="paragraph" w:styleId="52">
    <w:name w:val="Body Text Indent 2"/>
    <w:basedOn w:val="1"/>
    <w:link w:val="134"/>
    <w:qFormat/>
    <w:uiPriority w:val="0"/>
    <w:pPr>
      <w:spacing w:line="360" w:lineRule="auto"/>
      <w:ind w:left="718" w:leftChars="342"/>
    </w:pPr>
    <w:rPr>
      <w:rFonts w:ascii="宋体" w:hAnsi="宋体"/>
      <w:sz w:val="24"/>
    </w:rPr>
  </w:style>
  <w:style w:type="paragraph" w:styleId="53">
    <w:name w:val="endnote text"/>
    <w:basedOn w:val="1"/>
    <w:link w:val="141"/>
    <w:semiHidden/>
    <w:qFormat/>
    <w:uiPriority w:val="0"/>
    <w:pPr>
      <w:snapToGrid w:val="0"/>
      <w:jc w:val="left"/>
    </w:pPr>
  </w:style>
  <w:style w:type="paragraph" w:styleId="54">
    <w:name w:val="List Continue 5"/>
    <w:basedOn w:val="1"/>
    <w:qFormat/>
    <w:uiPriority w:val="0"/>
    <w:pPr>
      <w:spacing w:after="120"/>
      <w:ind w:left="2100" w:leftChars="1000"/>
    </w:pPr>
  </w:style>
  <w:style w:type="paragraph" w:styleId="55">
    <w:name w:val="Balloon Text"/>
    <w:basedOn w:val="1"/>
    <w:link w:val="114"/>
    <w:qFormat/>
    <w:uiPriority w:val="0"/>
    <w:rPr>
      <w:rFonts w:asciiTheme="minorHAnsi" w:hAnsiTheme="minorHAnsi" w:eastAsiaTheme="minorEastAsia" w:cstheme="minorBidi"/>
      <w:sz w:val="18"/>
      <w:szCs w:val="18"/>
    </w:rPr>
  </w:style>
  <w:style w:type="paragraph" w:styleId="56">
    <w:name w:val="footer"/>
    <w:basedOn w:val="1"/>
    <w:link w:val="111"/>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7">
    <w:name w:val="envelope return"/>
    <w:basedOn w:val="1"/>
    <w:qFormat/>
    <w:uiPriority w:val="0"/>
    <w:pPr>
      <w:snapToGrid w:val="0"/>
    </w:pPr>
    <w:rPr>
      <w:rFonts w:ascii="Arial" w:hAnsi="Arial" w:cs="Arial"/>
    </w:rPr>
  </w:style>
  <w:style w:type="paragraph" w:styleId="58">
    <w:name w:val="header"/>
    <w:basedOn w:val="1"/>
    <w:link w:val="112"/>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9">
    <w:name w:val="Signature"/>
    <w:basedOn w:val="1"/>
    <w:link w:val="146"/>
    <w:qFormat/>
    <w:uiPriority w:val="0"/>
    <w:pPr>
      <w:ind w:left="100" w:leftChars="2100"/>
    </w:pPr>
  </w:style>
  <w:style w:type="paragraph" w:styleId="60">
    <w:name w:val="toc 1"/>
    <w:basedOn w:val="1"/>
    <w:next w:val="1"/>
    <w:qFormat/>
    <w:uiPriority w:val="39"/>
    <w:pPr>
      <w:spacing w:before="120" w:after="120"/>
      <w:jc w:val="left"/>
    </w:pPr>
    <w:rPr>
      <w:b/>
      <w:bCs/>
      <w:caps/>
      <w:sz w:val="20"/>
      <w:szCs w:val="20"/>
    </w:rPr>
  </w:style>
  <w:style w:type="paragraph" w:styleId="61">
    <w:name w:val="List Continue 4"/>
    <w:basedOn w:val="1"/>
    <w:qFormat/>
    <w:uiPriority w:val="0"/>
    <w:pPr>
      <w:spacing w:after="120"/>
      <w:ind w:left="1680" w:leftChars="800"/>
    </w:pPr>
  </w:style>
  <w:style w:type="paragraph" w:styleId="62">
    <w:name w:val="toc 4"/>
    <w:basedOn w:val="1"/>
    <w:next w:val="1"/>
    <w:qFormat/>
    <w:uiPriority w:val="0"/>
    <w:pPr>
      <w:ind w:left="630"/>
      <w:jc w:val="left"/>
    </w:pPr>
    <w:rPr>
      <w:sz w:val="18"/>
      <w:szCs w:val="18"/>
    </w:rPr>
  </w:style>
  <w:style w:type="paragraph" w:styleId="63">
    <w:name w:val="index heading"/>
    <w:basedOn w:val="1"/>
    <w:next w:val="64"/>
    <w:semiHidden/>
    <w:qFormat/>
    <w:uiPriority w:val="0"/>
    <w:rPr>
      <w:rFonts w:ascii="Arial" w:hAnsi="Arial" w:cs="Arial"/>
      <w:b/>
      <w:bCs/>
    </w:rPr>
  </w:style>
  <w:style w:type="paragraph" w:styleId="64">
    <w:name w:val="index 1"/>
    <w:basedOn w:val="1"/>
    <w:next w:val="1"/>
    <w:semiHidden/>
    <w:qFormat/>
    <w:uiPriority w:val="0"/>
  </w:style>
  <w:style w:type="paragraph" w:styleId="65">
    <w:name w:val="Subtitle"/>
    <w:basedOn w:val="1"/>
    <w:link w:val="133"/>
    <w:qFormat/>
    <w:uiPriority w:val="0"/>
    <w:pPr>
      <w:spacing w:before="240" w:after="60" w:line="312" w:lineRule="auto"/>
      <w:jc w:val="center"/>
      <w:outlineLvl w:val="1"/>
    </w:pPr>
    <w:rPr>
      <w:rFonts w:ascii="Arial" w:hAnsi="Arial" w:cs="Arial"/>
      <w:b/>
      <w:bCs/>
      <w:kern w:val="28"/>
      <w:sz w:val="32"/>
      <w:szCs w:val="32"/>
    </w:rPr>
  </w:style>
  <w:style w:type="paragraph" w:styleId="66">
    <w:name w:val="List Number 5"/>
    <w:basedOn w:val="1"/>
    <w:qFormat/>
    <w:uiPriority w:val="0"/>
    <w:pPr>
      <w:tabs>
        <w:tab w:val="left" w:pos="2040"/>
      </w:tabs>
      <w:ind w:left="2040" w:hanging="360"/>
    </w:pPr>
  </w:style>
  <w:style w:type="paragraph" w:styleId="67">
    <w:name w:val="List"/>
    <w:basedOn w:val="1"/>
    <w:qFormat/>
    <w:uiPriority w:val="0"/>
    <w:pPr>
      <w:tabs>
        <w:tab w:val="left" w:pos="360"/>
        <w:tab w:val="left" w:pos="709"/>
      </w:tabs>
      <w:spacing w:line="300" w:lineRule="auto"/>
      <w:ind w:left="363" w:hanging="170"/>
    </w:pPr>
    <w:rPr>
      <w:spacing w:val="20"/>
      <w:szCs w:val="20"/>
    </w:rPr>
  </w:style>
  <w:style w:type="paragraph" w:styleId="68">
    <w:name w:val="footnote text"/>
    <w:basedOn w:val="1"/>
    <w:link w:val="156"/>
    <w:semiHidden/>
    <w:qFormat/>
    <w:uiPriority w:val="0"/>
    <w:pPr>
      <w:snapToGrid w:val="0"/>
      <w:jc w:val="left"/>
    </w:pPr>
    <w:rPr>
      <w:sz w:val="18"/>
      <w:szCs w:val="18"/>
    </w:rPr>
  </w:style>
  <w:style w:type="paragraph" w:styleId="69">
    <w:name w:val="toc 6"/>
    <w:basedOn w:val="1"/>
    <w:next w:val="1"/>
    <w:qFormat/>
    <w:uiPriority w:val="0"/>
    <w:pPr>
      <w:ind w:left="1050"/>
      <w:jc w:val="left"/>
    </w:pPr>
    <w:rPr>
      <w:sz w:val="18"/>
      <w:szCs w:val="18"/>
    </w:rPr>
  </w:style>
  <w:style w:type="paragraph" w:styleId="70">
    <w:name w:val="List 5"/>
    <w:basedOn w:val="1"/>
    <w:qFormat/>
    <w:uiPriority w:val="0"/>
    <w:pPr>
      <w:ind w:left="100" w:leftChars="800" w:hanging="200" w:hangingChars="200"/>
    </w:pPr>
  </w:style>
  <w:style w:type="paragraph" w:styleId="71">
    <w:name w:val="Body Text Indent 3"/>
    <w:basedOn w:val="1"/>
    <w:link w:val="157"/>
    <w:qFormat/>
    <w:uiPriority w:val="0"/>
    <w:pPr>
      <w:spacing w:line="360" w:lineRule="auto"/>
      <w:ind w:firstLine="480" w:firstLineChars="200"/>
    </w:pPr>
    <w:rPr>
      <w:rFonts w:ascii="宋体" w:hAnsi="宋体"/>
      <w:sz w:val="24"/>
    </w:rPr>
  </w:style>
  <w:style w:type="paragraph" w:styleId="72">
    <w:name w:val="index 7"/>
    <w:basedOn w:val="1"/>
    <w:next w:val="1"/>
    <w:semiHidden/>
    <w:qFormat/>
    <w:uiPriority w:val="0"/>
    <w:pPr>
      <w:ind w:left="1200" w:leftChars="1200"/>
    </w:pPr>
  </w:style>
  <w:style w:type="paragraph" w:styleId="73">
    <w:name w:val="index 9"/>
    <w:basedOn w:val="1"/>
    <w:next w:val="1"/>
    <w:semiHidden/>
    <w:qFormat/>
    <w:uiPriority w:val="0"/>
    <w:pPr>
      <w:ind w:left="1600" w:leftChars="1600"/>
    </w:pPr>
  </w:style>
  <w:style w:type="paragraph" w:styleId="74">
    <w:name w:val="table of figures"/>
    <w:basedOn w:val="1"/>
    <w:next w:val="1"/>
    <w:semiHidden/>
    <w:qFormat/>
    <w:uiPriority w:val="0"/>
    <w:pPr>
      <w:ind w:left="200" w:leftChars="200" w:hanging="200" w:hangingChars="200"/>
    </w:pPr>
  </w:style>
  <w:style w:type="paragraph" w:styleId="75">
    <w:name w:val="toc 2"/>
    <w:basedOn w:val="1"/>
    <w:next w:val="1"/>
    <w:qFormat/>
    <w:uiPriority w:val="0"/>
    <w:pPr>
      <w:ind w:left="210"/>
      <w:jc w:val="left"/>
    </w:pPr>
    <w:rPr>
      <w:smallCaps/>
      <w:sz w:val="20"/>
      <w:szCs w:val="20"/>
    </w:rPr>
  </w:style>
  <w:style w:type="paragraph" w:styleId="76">
    <w:name w:val="toc 9"/>
    <w:basedOn w:val="1"/>
    <w:next w:val="1"/>
    <w:qFormat/>
    <w:uiPriority w:val="0"/>
    <w:pPr>
      <w:ind w:left="1680"/>
      <w:jc w:val="left"/>
    </w:pPr>
    <w:rPr>
      <w:sz w:val="18"/>
      <w:szCs w:val="18"/>
    </w:rPr>
  </w:style>
  <w:style w:type="paragraph" w:styleId="77">
    <w:name w:val="Body Text 2"/>
    <w:basedOn w:val="1"/>
    <w:link w:val="119"/>
    <w:qFormat/>
    <w:uiPriority w:val="0"/>
    <w:rPr>
      <w:rFonts w:asciiTheme="minorHAnsi" w:hAnsiTheme="minorHAnsi" w:eastAsiaTheme="minorEastAsia" w:cstheme="minorBidi"/>
      <w:sz w:val="18"/>
    </w:rPr>
  </w:style>
  <w:style w:type="paragraph" w:styleId="78">
    <w:name w:val="List 4"/>
    <w:basedOn w:val="1"/>
    <w:qFormat/>
    <w:uiPriority w:val="0"/>
    <w:pPr>
      <w:ind w:left="100" w:leftChars="600" w:hanging="200" w:hangingChars="200"/>
    </w:pPr>
  </w:style>
  <w:style w:type="paragraph" w:styleId="79">
    <w:name w:val="List Continue 2"/>
    <w:basedOn w:val="1"/>
    <w:qFormat/>
    <w:uiPriority w:val="0"/>
    <w:pPr>
      <w:spacing w:after="120"/>
      <w:ind w:left="840" w:leftChars="400"/>
    </w:pPr>
  </w:style>
  <w:style w:type="paragraph" w:styleId="80">
    <w:name w:val="Message Header"/>
    <w:basedOn w:val="1"/>
    <w:link w:val="147"/>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1">
    <w:name w:val="HTML Preformatted"/>
    <w:basedOn w:val="1"/>
    <w:link w:val="12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2">
    <w:name w:val="Normal (Web)"/>
    <w:basedOn w:val="1"/>
    <w:qFormat/>
    <w:uiPriority w:val="0"/>
    <w:pPr>
      <w:widowControl/>
      <w:spacing w:before="100" w:beforeAutospacing="1" w:after="100" w:afterAutospacing="1"/>
      <w:jc w:val="left"/>
    </w:pPr>
    <w:rPr>
      <w:rFonts w:ascii="宋体" w:hAnsi="宋体"/>
      <w:kern w:val="0"/>
      <w:sz w:val="24"/>
    </w:rPr>
  </w:style>
  <w:style w:type="paragraph" w:styleId="83">
    <w:name w:val="List Continue 3"/>
    <w:basedOn w:val="1"/>
    <w:qFormat/>
    <w:uiPriority w:val="0"/>
    <w:pPr>
      <w:spacing w:after="120"/>
      <w:ind w:left="1260" w:leftChars="600"/>
    </w:pPr>
  </w:style>
  <w:style w:type="paragraph" w:styleId="84">
    <w:name w:val="index 2"/>
    <w:basedOn w:val="1"/>
    <w:next w:val="1"/>
    <w:semiHidden/>
    <w:qFormat/>
    <w:uiPriority w:val="0"/>
    <w:pPr>
      <w:ind w:left="200" w:leftChars="200"/>
    </w:pPr>
  </w:style>
  <w:style w:type="paragraph" w:styleId="85">
    <w:name w:val="Title"/>
    <w:basedOn w:val="1"/>
    <w:link w:val="123"/>
    <w:qFormat/>
    <w:uiPriority w:val="0"/>
    <w:pPr>
      <w:spacing w:before="240" w:after="60"/>
      <w:jc w:val="center"/>
      <w:outlineLvl w:val="0"/>
    </w:pPr>
    <w:rPr>
      <w:rFonts w:ascii="Arial" w:hAnsi="Arial" w:eastAsiaTheme="minorEastAsia" w:cstheme="minorBidi"/>
      <w:b/>
      <w:bCs/>
      <w:sz w:val="32"/>
      <w:szCs w:val="32"/>
    </w:rPr>
  </w:style>
  <w:style w:type="paragraph" w:styleId="86">
    <w:name w:val="annotation subject"/>
    <w:basedOn w:val="29"/>
    <w:next w:val="29"/>
    <w:link w:val="116"/>
    <w:qFormat/>
    <w:uiPriority w:val="0"/>
    <w:rPr>
      <w:rFonts w:eastAsiaTheme="minorEastAsia"/>
      <w:b/>
      <w:bCs/>
    </w:rPr>
  </w:style>
  <w:style w:type="paragraph" w:styleId="87">
    <w:name w:val="Body Text First Indent"/>
    <w:basedOn w:val="35"/>
    <w:link w:val="117"/>
    <w:qFormat/>
    <w:uiPriority w:val="0"/>
    <w:pPr>
      <w:widowControl/>
      <w:ind w:firstLine="420" w:firstLineChars="100"/>
      <w:jc w:val="left"/>
    </w:pPr>
    <w:rPr>
      <w:rFonts w:ascii="楷体_GB2312" w:eastAsia="楷体_GB2312"/>
      <w:b/>
      <w:sz w:val="30"/>
    </w:rPr>
  </w:style>
  <w:style w:type="paragraph" w:styleId="88">
    <w:name w:val="Body Text First Indent 2"/>
    <w:basedOn w:val="36"/>
    <w:link w:val="127"/>
    <w:qFormat/>
    <w:uiPriority w:val="0"/>
    <w:pPr>
      <w:ind w:firstLine="420" w:firstLineChars="200"/>
    </w:pPr>
    <w:rPr>
      <w:rFonts w:ascii="Times New Roman" w:hAnsi="Times New Roman"/>
    </w:rPr>
  </w:style>
  <w:style w:type="table" w:styleId="90">
    <w:name w:val="Table Grid"/>
    <w:basedOn w:val="89"/>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2">
    <w:name w:val="Strong"/>
    <w:qFormat/>
    <w:uiPriority w:val="0"/>
    <w:rPr>
      <w:rFonts w:eastAsia="黑体"/>
      <w:b/>
      <w:bCs/>
      <w:sz w:val="44"/>
    </w:rPr>
  </w:style>
  <w:style w:type="character" w:styleId="93">
    <w:name w:val="page number"/>
    <w:basedOn w:val="91"/>
    <w:qFormat/>
    <w:uiPriority w:val="0"/>
  </w:style>
  <w:style w:type="character" w:styleId="94">
    <w:name w:val="Hyperlink"/>
    <w:qFormat/>
    <w:uiPriority w:val="99"/>
    <w:rPr>
      <w:color w:val="0000FF"/>
      <w:u w:val="single"/>
    </w:rPr>
  </w:style>
  <w:style w:type="character" w:styleId="95">
    <w:name w:val="annotation reference"/>
    <w:qFormat/>
    <w:uiPriority w:val="0"/>
    <w:rPr>
      <w:sz w:val="21"/>
      <w:szCs w:val="21"/>
    </w:rPr>
  </w:style>
  <w:style w:type="paragraph" w:customStyle="1" w:styleId="9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97">
    <w:name w:val="标题 1 Char"/>
    <w:basedOn w:val="91"/>
    <w:link w:val="4"/>
    <w:qFormat/>
    <w:uiPriority w:val="0"/>
    <w:rPr>
      <w:rFonts w:ascii="宋体" w:hAnsi="宋体" w:eastAsia="宋体" w:cs="Times New Roman"/>
      <w:b/>
      <w:bCs/>
      <w:sz w:val="48"/>
      <w:szCs w:val="24"/>
    </w:rPr>
  </w:style>
  <w:style w:type="character" w:customStyle="1" w:styleId="98">
    <w:name w:val="标题 2 Char"/>
    <w:basedOn w:val="91"/>
    <w:link w:val="5"/>
    <w:qFormat/>
    <w:uiPriority w:val="0"/>
    <w:rPr>
      <w:rFonts w:ascii="宋体" w:hAnsi="宋体" w:eastAsia="宋体" w:cs="Times New Roman"/>
      <w:b/>
      <w:kern w:val="0"/>
      <w:sz w:val="30"/>
      <w:szCs w:val="20"/>
    </w:rPr>
  </w:style>
  <w:style w:type="character" w:customStyle="1" w:styleId="99">
    <w:name w:val="标题 3 Char"/>
    <w:basedOn w:val="91"/>
    <w:link w:val="6"/>
    <w:qFormat/>
    <w:uiPriority w:val="0"/>
    <w:rPr>
      <w:rFonts w:ascii="宋体" w:hAnsi="宋体" w:eastAsia="宋体" w:cs="Times New Roman"/>
      <w:b/>
      <w:kern w:val="0"/>
      <w:sz w:val="28"/>
      <w:szCs w:val="20"/>
    </w:rPr>
  </w:style>
  <w:style w:type="character" w:customStyle="1" w:styleId="100">
    <w:name w:val="标题 4 Char"/>
    <w:basedOn w:val="91"/>
    <w:link w:val="7"/>
    <w:qFormat/>
    <w:uiPriority w:val="0"/>
    <w:rPr>
      <w:rFonts w:ascii="Arial" w:hAnsi="Arial" w:eastAsia="黑体" w:cs="Times New Roman"/>
      <w:b/>
      <w:bCs/>
      <w:sz w:val="28"/>
      <w:szCs w:val="28"/>
    </w:rPr>
  </w:style>
  <w:style w:type="character" w:customStyle="1" w:styleId="101">
    <w:name w:val="标题 5 Char"/>
    <w:basedOn w:val="91"/>
    <w:link w:val="8"/>
    <w:qFormat/>
    <w:uiPriority w:val="0"/>
    <w:rPr>
      <w:rFonts w:ascii="Arial" w:hAnsi="Arial" w:eastAsia="宋体" w:cs="Times New Roman"/>
      <w:kern w:val="0"/>
      <w:sz w:val="22"/>
      <w:szCs w:val="20"/>
    </w:rPr>
  </w:style>
  <w:style w:type="character" w:customStyle="1" w:styleId="102">
    <w:name w:val="标题 6 Char"/>
    <w:basedOn w:val="91"/>
    <w:link w:val="9"/>
    <w:qFormat/>
    <w:uiPriority w:val="0"/>
    <w:rPr>
      <w:rFonts w:ascii="Calibri" w:hAnsi="Arial" w:eastAsia="宋体" w:cs="Times New Roman"/>
      <w:i/>
      <w:kern w:val="0"/>
      <w:sz w:val="22"/>
      <w:szCs w:val="20"/>
    </w:rPr>
  </w:style>
  <w:style w:type="character" w:customStyle="1" w:styleId="103">
    <w:name w:val="标题 7 Char"/>
    <w:basedOn w:val="91"/>
    <w:link w:val="10"/>
    <w:qFormat/>
    <w:uiPriority w:val="0"/>
    <w:rPr>
      <w:rFonts w:ascii="Arial" w:hAnsi="Arial" w:eastAsia="宋体" w:cs="Times New Roman"/>
      <w:kern w:val="0"/>
      <w:sz w:val="20"/>
      <w:szCs w:val="20"/>
    </w:rPr>
  </w:style>
  <w:style w:type="character" w:customStyle="1" w:styleId="104">
    <w:name w:val="标题 8 Char"/>
    <w:basedOn w:val="91"/>
    <w:link w:val="11"/>
    <w:qFormat/>
    <w:uiPriority w:val="0"/>
    <w:rPr>
      <w:rFonts w:ascii="Arial" w:hAnsi="Arial" w:eastAsia="宋体" w:cs="Times New Roman"/>
      <w:i/>
      <w:kern w:val="0"/>
      <w:sz w:val="20"/>
      <w:szCs w:val="20"/>
    </w:rPr>
  </w:style>
  <w:style w:type="character" w:customStyle="1" w:styleId="105">
    <w:name w:val="标题 9 Char"/>
    <w:basedOn w:val="91"/>
    <w:link w:val="12"/>
    <w:qFormat/>
    <w:uiPriority w:val="0"/>
    <w:rPr>
      <w:rFonts w:ascii="Arial" w:hAnsi="Arial" w:eastAsia="宋体" w:cs="Times New Roman"/>
      <w:b/>
      <w:i/>
      <w:kern w:val="0"/>
      <w:sz w:val="18"/>
      <w:szCs w:val="20"/>
    </w:rPr>
  </w:style>
  <w:style w:type="character" w:customStyle="1" w:styleId="106">
    <w:name w:val="页脚2 Char"/>
    <w:link w:val="107"/>
    <w:qFormat/>
    <w:uiPriority w:val="0"/>
    <w:rPr>
      <w:rFonts w:ascii="宋体" w:hAnsi="宋体" w:eastAsia="宋体"/>
      <w:sz w:val="18"/>
      <w:szCs w:val="18"/>
    </w:rPr>
  </w:style>
  <w:style w:type="paragraph" w:customStyle="1" w:styleId="107">
    <w:name w:val="页脚2"/>
    <w:basedOn w:val="1"/>
    <w:link w:val="106"/>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8">
    <w:name w:val="纯文本 Char"/>
    <w:link w:val="46"/>
    <w:qFormat/>
    <w:locked/>
    <w:uiPriority w:val="0"/>
    <w:rPr>
      <w:rFonts w:ascii="宋体" w:hAnsi="Courier New" w:eastAsia="宋体"/>
    </w:rPr>
  </w:style>
  <w:style w:type="character" w:customStyle="1" w:styleId="109">
    <w:name w:val="正文文本 Char"/>
    <w:link w:val="35"/>
    <w:qFormat/>
    <w:uiPriority w:val="0"/>
    <w:rPr>
      <w:rFonts w:eastAsia="宋体"/>
      <w:szCs w:val="24"/>
    </w:rPr>
  </w:style>
  <w:style w:type="character" w:customStyle="1" w:styleId="110">
    <w:name w:val="正文文本缩进 Char"/>
    <w:qFormat/>
    <w:uiPriority w:val="0"/>
    <w:rPr>
      <w:rFonts w:ascii="Arial" w:hAnsi="Arial" w:eastAsia="宋体"/>
      <w:kern w:val="2"/>
      <w:sz w:val="21"/>
      <w:szCs w:val="24"/>
      <w:lang w:val="en-US" w:eastAsia="zh-CN" w:bidi="ar-SA"/>
    </w:rPr>
  </w:style>
  <w:style w:type="character" w:customStyle="1" w:styleId="111">
    <w:name w:val="页脚 Char"/>
    <w:link w:val="56"/>
    <w:qFormat/>
    <w:uiPriority w:val="0"/>
    <w:rPr>
      <w:sz w:val="18"/>
    </w:rPr>
  </w:style>
  <w:style w:type="character" w:customStyle="1" w:styleId="112">
    <w:name w:val="页眉 Char"/>
    <w:link w:val="58"/>
    <w:qFormat/>
    <w:uiPriority w:val="0"/>
    <w:rPr>
      <w:sz w:val="18"/>
      <w:szCs w:val="18"/>
    </w:rPr>
  </w:style>
  <w:style w:type="character" w:customStyle="1" w:styleId="113">
    <w:name w:val="批注文字 Char"/>
    <w:link w:val="29"/>
    <w:semiHidden/>
    <w:qFormat/>
    <w:uiPriority w:val="0"/>
    <w:rPr>
      <w:rFonts w:eastAsia="宋体"/>
      <w:szCs w:val="24"/>
    </w:rPr>
  </w:style>
  <w:style w:type="character" w:customStyle="1" w:styleId="114">
    <w:name w:val="批注框文本 Char"/>
    <w:link w:val="55"/>
    <w:qFormat/>
    <w:uiPriority w:val="0"/>
    <w:rPr>
      <w:sz w:val="18"/>
      <w:szCs w:val="18"/>
    </w:rPr>
  </w:style>
  <w:style w:type="character" w:customStyle="1" w:styleId="115">
    <w:name w:val="文档结构图 Char"/>
    <w:link w:val="27"/>
    <w:qFormat/>
    <w:uiPriority w:val="0"/>
    <w:rPr>
      <w:szCs w:val="24"/>
      <w:shd w:val="clear" w:color="auto" w:fill="000080"/>
    </w:rPr>
  </w:style>
  <w:style w:type="character" w:customStyle="1" w:styleId="116">
    <w:name w:val="批注主题 Char"/>
    <w:link w:val="86"/>
    <w:qFormat/>
    <w:uiPriority w:val="0"/>
    <w:rPr>
      <w:b/>
      <w:bCs/>
      <w:szCs w:val="24"/>
    </w:rPr>
  </w:style>
  <w:style w:type="character" w:customStyle="1" w:styleId="117">
    <w:name w:val="正文首行缩进 Char"/>
    <w:link w:val="87"/>
    <w:qFormat/>
    <w:uiPriority w:val="0"/>
    <w:rPr>
      <w:rFonts w:ascii="楷体_GB2312" w:eastAsia="楷体_GB2312"/>
      <w:b/>
      <w:sz w:val="30"/>
      <w:szCs w:val="24"/>
    </w:rPr>
  </w:style>
  <w:style w:type="character" w:customStyle="1" w:styleId="118">
    <w:name w:val="正文文本 3 Char"/>
    <w:link w:val="32"/>
    <w:qFormat/>
    <w:uiPriority w:val="0"/>
    <w:rPr>
      <w:sz w:val="24"/>
    </w:rPr>
  </w:style>
  <w:style w:type="character" w:customStyle="1" w:styleId="119">
    <w:name w:val="正文文本 2 Char"/>
    <w:link w:val="77"/>
    <w:qFormat/>
    <w:uiPriority w:val="0"/>
    <w:rPr>
      <w:sz w:val="18"/>
      <w:szCs w:val="24"/>
    </w:rPr>
  </w:style>
  <w:style w:type="character" w:customStyle="1" w:styleId="120">
    <w:name w:val="正文缩进 Char"/>
    <w:link w:val="22"/>
    <w:qFormat/>
    <w:uiPriority w:val="0"/>
  </w:style>
  <w:style w:type="character" w:customStyle="1" w:styleId="121">
    <w:name w:val="列出段落 Char"/>
    <w:link w:val="122"/>
    <w:qFormat/>
    <w:uiPriority w:val="0"/>
    <w:rPr>
      <w:rFonts w:ascii="Calibri" w:hAnsi="Calibri"/>
    </w:rPr>
  </w:style>
  <w:style w:type="paragraph" w:customStyle="1" w:styleId="122">
    <w:name w:val="列出段落1"/>
    <w:basedOn w:val="1"/>
    <w:link w:val="121"/>
    <w:qFormat/>
    <w:uiPriority w:val="0"/>
    <w:pPr>
      <w:ind w:firstLine="420" w:firstLineChars="200"/>
    </w:pPr>
    <w:rPr>
      <w:rFonts w:eastAsiaTheme="minorEastAsia" w:cstheme="minorBidi"/>
      <w:szCs w:val="22"/>
    </w:rPr>
  </w:style>
  <w:style w:type="character" w:customStyle="1" w:styleId="123">
    <w:name w:val="标题 Char"/>
    <w:link w:val="85"/>
    <w:qFormat/>
    <w:uiPriority w:val="0"/>
    <w:rPr>
      <w:rFonts w:ascii="Arial" w:hAnsi="Arial"/>
      <w:b/>
      <w:bCs/>
      <w:sz w:val="32"/>
      <w:szCs w:val="32"/>
    </w:rPr>
  </w:style>
  <w:style w:type="character" w:customStyle="1" w:styleId="124">
    <w:name w:val="页眉 Char1"/>
    <w:basedOn w:val="91"/>
    <w:semiHidden/>
    <w:qFormat/>
    <w:uiPriority w:val="99"/>
    <w:rPr>
      <w:rFonts w:ascii="Calibri" w:hAnsi="Calibri" w:eastAsia="宋体" w:cs="Times New Roman"/>
      <w:sz w:val="18"/>
      <w:szCs w:val="18"/>
    </w:rPr>
  </w:style>
  <w:style w:type="character" w:customStyle="1" w:styleId="125">
    <w:name w:val="HTML 预设格式 Char"/>
    <w:basedOn w:val="91"/>
    <w:link w:val="81"/>
    <w:qFormat/>
    <w:uiPriority w:val="0"/>
    <w:rPr>
      <w:rFonts w:ascii="黑体" w:hAnsi="Courier New" w:eastAsia="黑体" w:cs="Courier New"/>
      <w:kern w:val="0"/>
      <w:sz w:val="20"/>
      <w:szCs w:val="20"/>
    </w:rPr>
  </w:style>
  <w:style w:type="character" w:customStyle="1" w:styleId="126">
    <w:name w:val="正文文本缩进 Char1"/>
    <w:basedOn w:val="91"/>
    <w:link w:val="36"/>
    <w:semiHidden/>
    <w:qFormat/>
    <w:uiPriority w:val="99"/>
    <w:rPr>
      <w:rFonts w:ascii="Calibri" w:hAnsi="Calibri" w:eastAsia="宋体" w:cs="Times New Roman"/>
      <w:szCs w:val="24"/>
    </w:rPr>
  </w:style>
  <w:style w:type="character" w:customStyle="1" w:styleId="127">
    <w:name w:val="正文首行缩进 2 Char"/>
    <w:basedOn w:val="126"/>
    <w:link w:val="88"/>
    <w:qFormat/>
    <w:uiPriority w:val="0"/>
    <w:rPr>
      <w:rFonts w:ascii="Times New Roman" w:hAnsi="Times New Roman" w:eastAsia="宋体" w:cs="Times New Roman"/>
      <w:szCs w:val="24"/>
    </w:rPr>
  </w:style>
  <w:style w:type="character" w:customStyle="1" w:styleId="128">
    <w:name w:val="正文文本 3 Char1"/>
    <w:basedOn w:val="91"/>
    <w:semiHidden/>
    <w:qFormat/>
    <w:uiPriority w:val="99"/>
    <w:rPr>
      <w:rFonts w:ascii="Calibri" w:hAnsi="Calibri" w:eastAsia="宋体" w:cs="Times New Roman"/>
      <w:sz w:val="16"/>
      <w:szCs w:val="16"/>
    </w:rPr>
  </w:style>
  <w:style w:type="paragraph" w:customStyle="1" w:styleId="129">
    <w:name w:val="Char Char2 Char1"/>
    <w:basedOn w:val="1"/>
    <w:qFormat/>
    <w:uiPriority w:val="0"/>
  </w:style>
  <w:style w:type="character" w:customStyle="1" w:styleId="130">
    <w:name w:val="正文文本 Char1"/>
    <w:basedOn w:val="91"/>
    <w:semiHidden/>
    <w:qFormat/>
    <w:uiPriority w:val="99"/>
    <w:rPr>
      <w:rFonts w:ascii="Calibri" w:hAnsi="Calibri" w:eastAsia="宋体" w:cs="Times New Roman"/>
      <w:szCs w:val="24"/>
    </w:rPr>
  </w:style>
  <w:style w:type="character" w:customStyle="1" w:styleId="131">
    <w:name w:val="称呼 Char"/>
    <w:basedOn w:val="91"/>
    <w:link w:val="31"/>
    <w:qFormat/>
    <w:uiPriority w:val="0"/>
    <w:rPr>
      <w:rFonts w:ascii="Calibri" w:hAnsi="Calibri" w:eastAsia="宋体" w:cs="Times New Roman"/>
      <w:szCs w:val="24"/>
    </w:rPr>
  </w:style>
  <w:style w:type="character" w:customStyle="1" w:styleId="132">
    <w:name w:val="正文文本 2 Char1"/>
    <w:basedOn w:val="91"/>
    <w:semiHidden/>
    <w:qFormat/>
    <w:uiPriority w:val="99"/>
    <w:rPr>
      <w:rFonts w:ascii="Calibri" w:hAnsi="Calibri" w:eastAsia="宋体" w:cs="Times New Roman"/>
      <w:szCs w:val="24"/>
    </w:rPr>
  </w:style>
  <w:style w:type="character" w:customStyle="1" w:styleId="133">
    <w:name w:val="副标题 Char"/>
    <w:basedOn w:val="91"/>
    <w:link w:val="65"/>
    <w:qFormat/>
    <w:uiPriority w:val="0"/>
    <w:rPr>
      <w:rFonts w:ascii="Arial" w:hAnsi="Arial" w:eastAsia="宋体" w:cs="Arial"/>
      <w:b/>
      <w:bCs/>
      <w:kern w:val="28"/>
      <w:sz w:val="32"/>
      <w:szCs w:val="32"/>
    </w:rPr>
  </w:style>
  <w:style w:type="character" w:customStyle="1" w:styleId="134">
    <w:name w:val="正文文本缩进 2 Char"/>
    <w:basedOn w:val="91"/>
    <w:link w:val="52"/>
    <w:qFormat/>
    <w:uiPriority w:val="0"/>
    <w:rPr>
      <w:rFonts w:ascii="宋体" w:hAnsi="宋体" w:eastAsia="宋体" w:cs="Times New Roman"/>
      <w:sz w:val="24"/>
      <w:szCs w:val="24"/>
    </w:rPr>
  </w:style>
  <w:style w:type="character" w:customStyle="1" w:styleId="135">
    <w:name w:val="HTML 地址 Char"/>
    <w:basedOn w:val="91"/>
    <w:link w:val="42"/>
    <w:qFormat/>
    <w:uiPriority w:val="0"/>
    <w:rPr>
      <w:rFonts w:ascii="Calibri" w:hAnsi="Calibri" w:eastAsia="宋体" w:cs="Times New Roman"/>
      <w:i/>
      <w:iCs/>
      <w:szCs w:val="24"/>
    </w:rPr>
  </w:style>
  <w:style w:type="character" w:customStyle="1" w:styleId="136">
    <w:name w:val="批注文字 Char1"/>
    <w:basedOn w:val="91"/>
    <w:semiHidden/>
    <w:qFormat/>
    <w:uiPriority w:val="99"/>
    <w:rPr>
      <w:rFonts w:ascii="Calibri" w:hAnsi="Calibri" w:eastAsia="宋体" w:cs="Times New Roman"/>
      <w:szCs w:val="24"/>
    </w:rPr>
  </w:style>
  <w:style w:type="character" w:customStyle="1" w:styleId="137">
    <w:name w:val="日期 Char"/>
    <w:basedOn w:val="91"/>
    <w:link w:val="51"/>
    <w:qFormat/>
    <w:uiPriority w:val="0"/>
    <w:rPr>
      <w:rFonts w:ascii="Calibri" w:hAnsi="Calibri" w:eastAsia="宋体" w:cs="Times New Roman"/>
      <w:kern w:val="0"/>
      <w:sz w:val="32"/>
      <w:szCs w:val="20"/>
    </w:rPr>
  </w:style>
  <w:style w:type="paragraph" w:customStyle="1" w:styleId="138">
    <w:name w:val="Char Char Char Char"/>
    <w:basedOn w:val="1"/>
    <w:qFormat/>
    <w:uiPriority w:val="0"/>
    <w:pPr>
      <w:widowControl/>
      <w:spacing w:after="160" w:line="240" w:lineRule="exact"/>
      <w:jc w:val="left"/>
    </w:pPr>
    <w:rPr>
      <w:szCs w:val="20"/>
    </w:rPr>
  </w:style>
  <w:style w:type="character" w:customStyle="1" w:styleId="139">
    <w:name w:val="文档结构图 Char1"/>
    <w:basedOn w:val="91"/>
    <w:semiHidden/>
    <w:qFormat/>
    <w:uiPriority w:val="99"/>
    <w:rPr>
      <w:rFonts w:ascii="宋体" w:hAnsi="Calibri" w:eastAsia="宋体" w:cs="Times New Roman"/>
      <w:sz w:val="18"/>
      <w:szCs w:val="18"/>
    </w:rPr>
  </w:style>
  <w:style w:type="paragraph" w:customStyle="1" w:styleId="140">
    <w:name w:val="Char Char Char Char Char Char Char Char Char Char Char Char Char"/>
    <w:basedOn w:val="27"/>
    <w:qFormat/>
    <w:uiPriority w:val="0"/>
    <w:rPr>
      <w:szCs w:val="20"/>
    </w:rPr>
  </w:style>
  <w:style w:type="character" w:customStyle="1" w:styleId="141">
    <w:name w:val="尾注文本 Char"/>
    <w:basedOn w:val="91"/>
    <w:link w:val="53"/>
    <w:semiHidden/>
    <w:qFormat/>
    <w:uiPriority w:val="0"/>
    <w:rPr>
      <w:rFonts w:ascii="Calibri" w:hAnsi="Calibri" w:eastAsia="宋体" w:cs="Times New Roman"/>
      <w:szCs w:val="24"/>
    </w:rPr>
  </w:style>
  <w:style w:type="character" w:customStyle="1" w:styleId="142">
    <w:name w:val="结束语 Char"/>
    <w:basedOn w:val="91"/>
    <w:link w:val="33"/>
    <w:qFormat/>
    <w:uiPriority w:val="0"/>
    <w:rPr>
      <w:rFonts w:ascii="Calibri" w:hAnsi="Calibri" w:eastAsia="宋体" w:cs="Times New Roman"/>
      <w:szCs w:val="24"/>
    </w:rPr>
  </w:style>
  <w:style w:type="character" w:customStyle="1" w:styleId="143">
    <w:name w:val="注释标题 Char"/>
    <w:basedOn w:val="91"/>
    <w:link w:val="17"/>
    <w:qFormat/>
    <w:uiPriority w:val="0"/>
    <w:rPr>
      <w:rFonts w:ascii="Calibri" w:hAnsi="Calibri" w:eastAsia="宋体" w:cs="Times New Roman"/>
      <w:szCs w:val="24"/>
    </w:rPr>
  </w:style>
  <w:style w:type="paragraph" w:customStyle="1" w:styleId="144">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5">
    <w:name w:val="标题 Char1"/>
    <w:basedOn w:val="91"/>
    <w:qFormat/>
    <w:uiPriority w:val="10"/>
    <w:rPr>
      <w:rFonts w:eastAsia="宋体" w:asciiTheme="majorHAnsi" w:hAnsiTheme="majorHAnsi" w:cstheme="majorBidi"/>
      <w:b/>
      <w:bCs/>
      <w:sz w:val="32"/>
      <w:szCs w:val="32"/>
    </w:rPr>
  </w:style>
  <w:style w:type="character" w:customStyle="1" w:styleId="146">
    <w:name w:val="签名 Char"/>
    <w:basedOn w:val="91"/>
    <w:link w:val="59"/>
    <w:qFormat/>
    <w:uiPriority w:val="0"/>
    <w:rPr>
      <w:rFonts w:ascii="Calibri" w:hAnsi="Calibri" w:eastAsia="宋体" w:cs="Times New Roman"/>
      <w:szCs w:val="24"/>
    </w:rPr>
  </w:style>
  <w:style w:type="character" w:customStyle="1" w:styleId="147">
    <w:name w:val="信息标题 Char"/>
    <w:basedOn w:val="91"/>
    <w:link w:val="80"/>
    <w:qFormat/>
    <w:uiPriority w:val="0"/>
    <w:rPr>
      <w:rFonts w:ascii="Arial" w:hAnsi="Arial" w:eastAsia="宋体" w:cs="Arial"/>
      <w:sz w:val="24"/>
      <w:szCs w:val="24"/>
      <w:shd w:val="pct20" w:color="auto" w:fill="auto"/>
    </w:rPr>
  </w:style>
  <w:style w:type="character" w:customStyle="1" w:styleId="148">
    <w:name w:val="批注框文本 Char1"/>
    <w:basedOn w:val="91"/>
    <w:semiHidden/>
    <w:qFormat/>
    <w:uiPriority w:val="99"/>
    <w:rPr>
      <w:rFonts w:ascii="Calibri" w:hAnsi="Calibri" w:eastAsia="宋体" w:cs="Times New Roman"/>
      <w:sz w:val="18"/>
      <w:szCs w:val="18"/>
    </w:rPr>
  </w:style>
  <w:style w:type="character" w:customStyle="1" w:styleId="149">
    <w:name w:val="正文首行缩进 Char1"/>
    <w:basedOn w:val="130"/>
    <w:semiHidden/>
    <w:qFormat/>
    <w:uiPriority w:val="99"/>
    <w:rPr>
      <w:rFonts w:ascii="Calibri" w:hAnsi="Calibri" w:eastAsia="宋体" w:cs="Times New Roman"/>
      <w:szCs w:val="24"/>
    </w:rPr>
  </w:style>
  <w:style w:type="character" w:customStyle="1" w:styleId="150">
    <w:name w:val="宏文本 Char"/>
    <w:basedOn w:val="91"/>
    <w:link w:val="3"/>
    <w:semiHidden/>
    <w:qFormat/>
    <w:uiPriority w:val="0"/>
    <w:rPr>
      <w:rFonts w:ascii="Courier New" w:hAnsi="Courier New" w:eastAsia="宋体" w:cs="Courier New"/>
      <w:sz w:val="24"/>
      <w:szCs w:val="24"/>
    </w:rPr>
  </w:style>
  <w:style w:type="character" w:customStyle="1" w:styleId="151">
    <w:name w:val="页脚 Char1"/>
    <w:basedOn w:val="91"/>
    <w:semiHidden/>
    <w:qFormat/>
    <w:uiPriority w:val="99"/>
    <w:rPr>
      <w:rFonts w:ascii="Calibri" w:hAnsi="Calibri" w:eastAsia="宋体" w:cs="Times New Roman"/>
      <w:sz w:val="18"/>
      <w:szCs w:val="18"/>
    </w:rPr>
  </w:style>
  <w:style w:type="character" w:customStyle="1" w:styleId="152">
    <w:name w:val="批注主题 Char1"/>
    <w:basedOn w:val="136"/>
    <w:semiHidden/>
    <w:qFormat/>
    <w:uiPriority w:val="99"/>
    <w:rPr>
      <w:rFonts w:ascii="Calibri" w:hAnsi="Calibri" w:eastAsia="宋体" w:cs="Times New Roman"/>
      <w:b/>
      <w:bCs/>
      <w:szCs w:val="24"/>
    </w:rPr>
  </w:style>
  <w:style w:type="character" w:customStyle="1" w:styleId="153">
    <w:name w:val="纯文本 Char1"/>
    <w:basedOn w:val="91"/>
    <w:semiHidden/>
    <w:qFormat/>
    <w:uiPriority w:val="99"/>
    <w:rPr>
      <w:rFonts w:ascii="宋体" w:hAnsi="Courier New" w:eastAsia="宋体" w:cs="Courier New"/>
      <w:szCs w:val="21"/>
    </w:rPr>
  </w:style>
  <w:style w:type="character" w:customStyle="1" w:styleId="154">
    <w:name w:val="电子邮件签名 Char"/>
    <w:basedOn w:val="91"/>
    <w:link w:val="20"/>
    <w:qFormat/>
    <w:uiPriority w:val="0"/>
    <w:rPr>
      <w:rFonts w:ascii="Calibri" w:hAnsi="Calibri" w:eastAsia="宋体" w:cs="Times New Roman"/>
      <w:szCs w:val="24"/>
    </w:rPr>
  </w:style>
  <w:style w:type="paragraph" w:customStyle="1" w:styleId="155">
    <w:name w:val="样式4"/>
    <w:basedOn w:val="1"/>
    <w:qFormat/>
    <w:uiPriority w:val="0"/>
    <w:pPr>
      <w:tabs>
        <w:tab w:val="left" w:pos="2328"/>
      </w:tabs>
      <w:ind w:left="2328" w:hanging="708"/>
    </w:pPr>
  </w:style>
  <w:style w:type="character" w:customStyle="1" w:styleId="156">
    <w:name w:val="脚注文本 Char"/>
    <w:basedOn w:val="91"/>
    <w:link w:val="68"/>
    <w:semiHidden/>
    <w:qFormat/>
    <w:uiPriority w:val="0"/>
    <w:rPr>
      <w:rFonts w:ascii="Calibri" w:hAnsi="Calibri" w:eastAsia="宋体" w:cs="Times New Roman"/>
      <w:sz w:val="18"/>
      <w:szCs w:val="18"/>
    </w:rPr>
  </w:style>
  <w:style w:type="character" w:customStyle="1" w:styleId="157">
    <w:name w:val="正文文本缩进 3 Char"/>
    <w:basedOn w:val="91"/>
    <w:link w:val="71"/>
    <w:qFormat/>
    <w:uiPriority w:val="0"/>
    <w:rPr>
      <w:rFonts w:ascii="宋体" w:hAnsi="宋体" w:eastAsia="宋体" w:cs="Times New Roman"/>
      <w:sz w:val="24"/>
      <w:szCs w:val="24"/>
    </w:rPr>
  </w:style>
  <w:style w:type="paragraph" w:customStyle="1" w:styleId="158">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59">
    <w:name w:val="Char2"/>
    <w:basedOn w:val="1"/>
    <w:qFormat/>
    <w:uiPriority w:val="0"/>
    <w:rPr>
      <w:rFonts w:ascii="Tahoma" w:hAnsi="Tahoma"/>
      <w:sz w:val="24"/>
      <w:szCs w:val="20"/>
    </w:rPr>
  </w:style>
  <w:style w:type="paragraph" w:customStyle="1" w:styleId="160">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1">
    <w:name w:val="列出段落112"/>
    <w:basedOn w:val="1"/>
    <w:qFormat/>
    <w:uiPriority w:val="0"/>
    <w:pPr>
      <w:ind w:firstLine="420" w:firstLineChars="200"/>
    </w:pPr>
  </w:style>
  <w:style w:type="paragraph" w:customStyle="1" w:styleId="162">
    <w:name w:val="内正文"/>
    <w:basedOn w:val="1"/>
    <w:qFormat/>
    <w:uiPriority w:val="0"/>
    <w:pPr>
      <w:ind w:firstLine="420"/>
    </w:pPr>
    <w:rPr>
      <w:rFonts w:eastAsia="文鼎CS书宋二"/>
      <w:szCs w:val="20"/>
    </w:rPr>
  </w:style>
  <w:style w:type="paragraph" w:customStyle="1" w:styleId="163">
    <w:name w:val="Char Char Char Char Char Char Char Char Char Char"/>
    <w:basedOn w:val="1"/>
    <w:qFormat/>
    <w:uiPriority w:val="0"/>
    <w:rPr>
      <w:rFonts w:ascii="Tahoma" w:hAnsi="Tahoma"/>
      <w:sz w:val="24"/>
      <w:szCs w:val="20"/>
    </w:rPr>
  </w:style>
  <w:style w:type="paragraph" w:customStyle="1" w:styleId="164">
    <w:name w:val="5"/>
    <w:basedOn w:val="1"/>
    <w:qFormat/>
    <w:uiPriority w:val="0"/>
    <w:rPr>
      <w:rFonts w:ascii="Tahoma" w:hAnsi="Tahoma"/>
      <w:sz w:val="24"/>
      <w:szCs w:val="20"/>
    </w:rPr>
  </w:style>
  <w:style w:type="paragraph" w:customStyle="1" w:styleId="165">
    <w:name w:val="Char"/>
    <w:basedOn w:val="1"/>
    <w:qFormat/>
    <w:uiPriority w:val="0"/>
    <w:pPr>
      <w:adjustRightInd w:val="0"/>
      <w:spacing w:line="360" w:lineRule="auto"/>
    </w:pPr>
    <w:rPr>
      <w:kern w:val="0"/>
      <w:sz w:val="24"/>
      <w:szCs w:val="20"/>
    </w:rPr>
  </w:style>
  <w:style w:type="paragraph" w:customStyle="1" w:styleId="166">
    <w:name w:val="Char Char Char1"/>
    <w:basedOn w:val="1"/>
    <w:qFormat/>
    <w:uiPriority w:val="0"/>
    <w:rPr>
      <w:rFonts w:ascii="宋体" w:hAnsi="宋体"/>
      <w:b/>
      <w:sz w:val="28"/>
      <w:szCs w:val="28"/>
    </w:rPr>
  </w:style>
  <w:style w:type="paragraph" w:customStyle="1" w:styleId="167">
    <w:name w:val="表"/>
    <w:basedOn w:val="1"/>
    <w:qFormat/>
    <w:uiPriority w:val="0"/>
    <w:pPr>
      <w:spacing w:line="460" w:lineRule="exact"/>
    </w:pPr>
    <w:rPr>
      <w:rFonts w:ascii="宋体" w:hAnsi="宋体"/>
      <w:b/>
      <w:bCs/>
      <w:szCs w:val="20"/>
    </w:rPr>
  </w:style>
  <w:style w:type="paragraph" w:customStyle="1" w:styleId="168">
    <w:name w:val="样式"/>
    <w:basedOn w:val="1"/>
    <w:next w:val="36"/>
    <w:qFormat/>
    <w:uiPriority w:val="0"/>
    <w:pPr>
      <w:jc w:val="center"/>
    </w:pPr>
    <w:rPr>
      <w:rFonts w:ascii="宋体" w:hAnsi="宋体"/>
      <w:color w:val="FF0000"/>
      <w:sz w:val="24"/>
    </w:rPr>
  </w:style>
  <w:style w:type="paragraph" w:customStyle="1" w:styleId="169">
    <w:name w:val="Char1 Char Char Char"/>
    <w:basedOn w:val="1"/>
    <w:qFormat/>
    <w:uiPriority w:val="0"/>
    <w:rPr>
      <w:szCs w:val="20"/>
    </w:rPr>
  </w:style>
  <w:style w:type="paragraph" w:customStyle="1" w:styleId="170">
    <w:name w:val="列出段落111"/>
    <w:basedOn w:val="1"/>
    <w:qFormat/>
    <w:uiPriority w:val="0"/>
    <w:pPr>
      <w:ind w:firstLine="420" w:firstLineChars="200"/>
    </w:pPr>
  </w:style>
  <w:style w:type="paragraph" w:customStyle="1" w:styleId="171">
    <w:name w:val="默认段落字体 Para Char Char Char Char Char Char Char"/>
    <w:basedOn w:val="1"/>
    <w:qFormat/>
    <w:uiPriority w:val="0"/>
    <w:rPr>
      <w:rFonts w:ascii="Tahoma" w:hAnsi="Tahoma"/>
      <w:sz w:val="24"/>
      <w:szCs w:val="20"/>
    </w:rPr>
  </w:style>
  <w:style w:type="paragraph" w:customStyle="1" w:styleId="172">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3">
    <w:name w:val="Table Paragraph"/>
    <w:basedOn w:val="1"/>
    <w:qFormat/>
    <w:uiPriority w:val="0"/>
    <w:pPr>
      <w:jc w:val="left"/>
    </w:pPr>
    <w:rPr>
      <w:kern w:val="0"/>
      <w:sz w:val="22"/>
      <w:szCs w:val="22"/>
      <w:lang w:eastAsia="en-US"/>
    </w:rPr>
  </w:style>
  <w:style w:type="paragraph" w:customStyle="1" w:styleId="174">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5">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6">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7">
    <w:name w:val="样式1"/>
    <w:basedOn w:val="1"/>
    <w:qFormat/>
    <w:uiPriority w:val="0"/>
    <w:pPr>
      <w:spacing w:line="440" w:lineRule="atLeast"/>
      <w:outlineLvl w:val="0"/>
    </w:pPr>
    <w:rPr>
      <w:rFonts w:ascii="宋体" w:hAnsi="宋体"/>
      <w:sz w:val="24"/>
    </w:rPr>
  </w:style>
  <w:style w:type="paragraph" w:customStyle="1" w:styleId="178">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7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0">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1">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2">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3">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4">
    <w:name w:val="列出段落11"/>
    <w:basedOn w:val="1"/>
    <w:qFormat/>
    <w:uiPriority w:val="0"/>
    <w:pPr>
      <w:ind w:firstLine="420" w:firstLineChars="200"/>
    </w:pPr>
    <w:rPr>
      <w:szCs w:val="22"/>
    </w:rPr>
  </w:style>
  <w:style w:type="paragraph" w:customStyle="1" w:styleId="185">
    <w:name w:val="表格和图形名称"/>
    <w:basedOn w:val="1"/>
    <w:next w:val="1"/>
    <w:qFormat/>
    <w:uiPriority w:val="0"/>
    <w:pPr>
      <w:widowControl/>
      <w:spacing w:afterLines="50" w:line="360" w:lineRule="auto"/>
      <w:jc w:val="center"/>
    </w:pPr>
    <w:rPr>
      <w:kern w:val="0"/>
      <w:szCs w:val="20"/>
    </w:rPr>
  </w:style>
  <w:style w:type="paragraph" w:customStyle="1" w:styleId="18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7">
    <w:name w:val="正文1"/>
    <w:basedOn w:val="1"/>
    <w:qFormat/>
    <w:uiPriority w:val="0"/>
    <w:pPr>
      <w:adjustRightInd w:val="0"/>
      <w:spacing w:line="312" w:lineRule="atLeast"/>
    </w:pPr>
    <w:rPr>
      <w:kern w:val="0"/>
      <w:sz w:val="28"/>
      <w:szCs w:val="20"/>
    </w:rPr>
  </w:style>
  <w:style w:type="paragraph" w:customStyle="1" w:styleId="188">
    <w:name w:val="排列"/>
    <w:basedOn w:val="67"/>
    <w:next w:val="67"/>
    <w:qFormat/>
    <w:uiPriority w:val="0"/>
    <w:pPr>
      <w:tabs>
        <w:tab w:val="left" w:pos="1261"/>
        <w:tab w:val="clear" w:pos="360"/>
      </w:tabs>
      <w:ind w:left="1261" w:hanging="420"/>
    </w:pPr>
  </w:style>
  <w:style w:type="paragraph" w:customStyle="1" w:styleId="189">
    <w:name w:val="Char1 Char Char Char1"/>
    <w:basedOn w:val="1"/>
    <w:qFormat/>
    <w:uiPriority w:val="0"/>
    <w:pPr>
      <w:ind w:left="420" w:hanging="420"/>
    </w:pPr>
    <w:rPr>
      <w:sz w:val="24"/>
    </w:rPr>
  </w:style>
  <w:style w:type="paragraph" w:customStyle="1" w:styleId="190">
    <w:name w:val="修订1"/>
    <w:semiHidden/>
    <w:qFormat/>
    <w:uiPriority w:val="0"/>
    <w:rPr>
      <w:rFonts w:ascii="Calibri" w:hAnsi="Calibri" w:eastAsia="宋体" w:cs="Times New Roman"/>
      <w:kern w:val="2"/>
      <w:sz w:val="21"/>
      <w:szCs w:val="24"/>
      <w:lang w:val="en-US" w:eastAsia="zh-CN" w:bidi="ar-SA"/>
    </w:rPr>
  </w:style>
  <w:style w:type="paragraph" w:customStyle="1" w:styleId="191">
    <w:name w:val="Char Char Char Char Char Char Char Char Char Char Char Char Char1"/>
    <w:basedOn w:val="27"/>
    <w:qFormat/>
    <w:uiPriority w:val="0"/>
    <w:rPr>
      <w:szCs w:val="20"/>
    </w:rPr>
  </w:style>
  <w:style w:type="paragraph" w:customStyle="1" w:styleId="192">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3">
    <w:name w:val="封面2"/>
    <w:basedOn w:val="1"/>
    <w:qFormat/>
    <w:uiPriority w:val="0"/>
    <w:pPr>
      <w:spacing w:line="360" w:lineRule="auto"/>
      <w:jc w:val="center"/>
    </w:pPr>
    <w:rPr>
      <w:rFonts w:ascii="黑体" w:hAnsi="宋体" w:eastAsia="黑体"/>
      <w:b/>
      <w:spacing w:val="-30"/>
      <w:sz w:val="96"/>
    </w:rPr>
  </w:style>
  <w:style w:type="paragraph" w:customStyle="1" w:styleId="194">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5">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6">
    <w:name w:val="Char Char2 Char"/>
    <w:basedOn w:val="1"/>
    <w:qFormat/>
    <w:uiPriority w:val="0"/>
  </w:style>
  <w:style w:type="paragraph" w:customStyle="1" w:styleId="197">
    <w:name w:val="Char Char Char Char Char Char Char Char Char Char1"/>
    <w:basedOn w:val="1"/>
    <w:qFormat/>
    <w:uiPriority w:val="0"/>
    <w:rPr>
      <w:rFonts w:ascii="Tahoma" w:hAnsi="Tahoma"/>
      <w:sz w:val="24"/>
      <w:szCs w:val="20"/>
    </w:rPr>
  </w:style>
  <w:style w:type="paragraph" w:customStyle="1" w:styleId="198">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199">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0">
    <w:name w:val="Char Char Char"/>
    <w:basedOn w:val="1"/>
    <w:qFormat/>
    <w:uiPriority w:val="0"/>
    <w:rPr>
      <w:rFonts w:ascii="宋体" w:hAnsi="宋体"/>
      <w:b/>
      <w:sz w:val="28"/>
      <w:szCs w:val="28"/>
    </w:rPr>
  </w:style>
  <w:style w:type="paragraph" w:customStyle="1" w:styleId="201">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2">
    <w:name w:val="Char Char Char1 Char"/>
    <w:basedOn w:val="1"/>
    <w:qFormat/>
    <w:uiPriority w:val="0"/>
    <w:pPr>
      <w:tabs>
        <w:tab w:val="left" w:pos="425"/>
      </w:tabs>
      <w:ind w:left="425" w:hanging="425"/>
    </w:pPr>
    <w:rPr>
      <w:rFonts w:eastAsia="仿宋_GB2312"/>
      <w:kern w:val="24"/>
      <w:sz w:val="24"/>
    </w:rPr>
  </w:style>
  <w:style w:type="paragraph" w:customStyle="1" w:styleId="203">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4">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5">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6">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7">
    <w:name w:val="网格型1"/>
    <w:basedOn w:val="8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8">
    <w:name w:val="网格型2"/>
    <w:basedOn w:val="89"/>
    <w:qFormat/>
    <w:uiPriority w:val="0"/>
    <w:pPr>
      <w:spacing w:beforeAutospacing="1" w:afterAutospacing="1"/>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09">
    <w:name w:val="修订2"/>
    <w:hidden/>
    <w:semiHidden/>
    <w:qFormat/>
    <w:uiPriority w:val="99"/>
    <w:rPr>
      <w:rFonts w:ascii="Calibri" w:hAnsi="Calibri" w:eastAsia="宋体" w:cs="Times New Roman"/>
      <w:kern w:val="2"/>
      <w:sz w:val="21"/>
      <w:szCs w:val="24"/>
      <w:lang w:val="en-US" w:eastAsia="zh-CN" w:bidi="ar-SA"/>
    </w:rPr>
  </w:style>
  <w:style w:type="paragraph" w:customStyle="1" w:styleId="210">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1">
    <w:name w:val="font31"/>
    <w:basedOn w:val="91"/>
    <w:qFormat/>
    <w:uiPriority w:val="0"/>
    <w:rPr>
      <w:rFonts w:hint="eastAsia" w:ascii="宋体" w:hAnsi="宋体" w:eastAsia="宋体" w:cs="宋体"/>
      <w:color w:val="000000"/>
      <w:sz w:val="22"/>
      <w:szCs w:val="22"/>
      <w:u w:val="none"/>
    </w:rPr>
  </w:style>
  <w:style w:type="character" w:customStyle="1" w:styleId="212">
    <w:name w:val="font01"/>
    <w:basedOn w:val="91"/>
    <w:qFormat/>
    <w:uiPriority w:val="0"/>
    <w:rPr>
      <w:rFonts w:hint="eastAsia" w:ascii="宋体" w:hAnsi="宋体" w:eastAsia="宋体" w:cs="宋体"/>
      <w:color w:val="333333"/>
      <w:sz w:val="22"/>
      <w:szCs w:val="22"/>
      <w:u w:val="none"/>
    </w:rPr>
  </w:style>
  <w:style w:type="character" w:customStyle="1" w:styleId="213">
    <w:name w:val="font51"/>
    <w:basedOn w:val="91"/>
    <w:qFormat/>
    <w:uiPriority w:val="0"/>
    <w:rPr>
      <w:rFonts w:hint="eastAsia" w:ascii="宋体" w:hAnsi="宋体" w:eastAsia="宋体" w:cs="宋体"/>
      <w:color w:val="000000"/>
      <w:sz w:val="22"/>
      <w:szCs w:val="22"/>
      <w:u w:val="none"/>
    </w:rPr>
  </w:style>
  <w:style w:type="paragraph" w:customStyle="1" w:styleId="214">
    <w:name w:val="文一"/>
    <w:basedOn w:val="1"/>
    <w:qFormat/>
    <w:uiPriority w:val="0"/>
    <w:pPr>
      <w:topLinePunct/>
      <w:adjustRightInd w:val="0"/>
      <w:snapToGrid w:val="0"/>
      <w:spacing w:line="360" w:lineRule="auto"/>
      <w:ind w:firstLine="200" w:firstLineChars="200"/>
    </w:pPr>
    <w:rPr>
      <w:spacing w:val="4"/>
      <w:kern w:val="0"/>
      <w:sz w:val="24"/>
    </w:rPr>
  </w:style>
  <w:style w:type="character" w:customStyle="1" w:styleId="215">
    <w:name w:val="font41"/>
    <w:basedOn w:val="91"/>
    <w:qFormat/>
    <w:uiPriority w:val="0"/>
    <w:rPr>
      <w:rFonts w:hint="eastAsia" w:ascii="宋体" w:hAnsi="宋体" w:eastAsia="宋体" w:cs="宋体"/>
      <w:color w:val="000000"/>
      <w:sz w:val="22"/>
      <w:szCs w:val="22"/>
      <w:u w:val="none"/>
    </w:rPr>
  </w:style>
  <w:style w:type="character" w:customStyle="1" w:styleId="216">
    <w:name w:val="font61"/>
    <w:basedOn w:val="91"/>
    <w:qFormat/>
    <w:uiPriority w:val="0"/>
    <w:rPr>
      <w:rFonts w:hint="eastAsia" w:ascii="宋体" w:hAnsi="宋体" w:eastAsia="宋体" w:cs="宋体"/>
      <w:color w:val="000000"/>
      <w:sz w:val="22"/>
      <w:szCs w:val="22"/>
      <w:u w:val="none"/>
    </w:rPr>
  </w:style>
  <w:style w:type="character" w:customStyle="1" w:styleId="217">
    <w:name w:val="font21"/>
    <w:basedOn w:val="91"/>
    <w:qFormat/>
    <w:uiPriority w:val="0"/>
    <w:rPr>
      <w:rFonts w:hint="eastAsia" w:ascii="宋体" w:hAnsi="宋体" w:eastAsia="宋体" w:cs="宋体"/>
      <w:color w:val="000000"/>
      <w:sz w:val="22"/>
      <w:szCs w:val="22"/>
      <w:u w:val="none"/>
    </w:rPr>
  </w:style>
  <w:style w:type="character" w:customStyle="1" w:styleId="218">
    <w:name w:val="font151"/>
    <w:basedOn w:val="91"/>
    <w:qFormat/>
    <w:uiPriority w:val="0"/>
    <w:rPr>
      <w:rFonts w:hint="default" w:ascii="Times New Roman" w:hAnsi="Times New Roman" w:cs="Times New Roman"/>
      <w:color w:val="000000"/>
      <w:sz w:val="20"/>
      <w:szCs w:val="20"/>
      <w:u w:val="none"/>
    </w:rPr>
  </w:style>
  <w:style w:type="character" w:customStyle="1" w:styleId="219">
    <w:name w:val="font71"/>
    <w:basedOn w:val="91"/>
    <w:qFormat/>
    <w:uiPriority w:val="0"/>
    <w:rPr>
      <w:rFonts w:hint="default" w:ascii="Times New Roman" w:hAnsi="Times New Roman" w:cs="Times New Roman"/>
      <w:color w:val="000000"/>
      <w:sz w:val="20"/>
      <w:szCs w:val="20"/>
      <w:u w:val="none"/>
    </w:rPr>
  </w:style>
  <w:style w:type="character" w:customStyle="1" w:styleId="220">
    <w:name w:val="font11"/>
    <w:basedOn w:val="91"/>
    <w:qFormat/>
    <w:uiPriority w:val="0"/>
    <w:rPr>
      <w:rFonts w:hint="eastAsia" w:ascii="宋体" w:hAnsi="宋体" w:eastAsia="宋体" w:cs="宋体"/>
      <w:color w:val="000000"/>
      <w:sz w:val="22"/>
      <w:szCs w:val="22"/>
      <w:u w:val="none"/>
    </w:rPr>
  </w:style>
  <w:style w:type="character" w:customStyle="1" w:styleId="221">
    <w:name w:val="font101"/>
    <w:basedOn w:val="91"/>
    <w:qFormat/>
    <w:uiPriority w:val="0"/>
    <w:rPr>
      <w:rFonts w:hint="eastAsia" w:ascii="宋体" w:hAnsi="宋体" w:eastAsia="宋体" w:cs="宋体"/>
      <w:color w:val="000000"/>
      <w:sz w:val="22"/>
      <w:szCs w:val="22"/>
      <w:u w:val="none"/>
    </w:rPr>
  </w:style>
  <w:style w:type="character" w:customStyle="1" w:styleId="222">
    <w:name w:val="font81"/>
    <w:basedOn w:val="91"/>
    <w:qFormat/>
    <w:uiPriority w:val="0"/>
    <w:rPr>
      <w:rFonts w:hint="eastAsia" w:ascii="宋体" w:hAnsi="宋体" w:eastAsia="宋体" w:cs="宋体"/>
      <w:color w:val="000000"/>
      <w:sz w:val="20"/>
      <w:szCs w:val="20"/>
      <w:u w:val="none"/>
    </w:rPr>
  </w:style>
  <w:style w:type="character" w:customStyle="1" w:styleId="223">
    <w:name w:val="font131"/>
    <w:basedOn w:val="9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0" Type="http://schemas.openxmlformats.org/officeDocument/2006/relationships/fontTable" Target="fontTable.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jpeg"/><Relationship Id="rId22" Type="http://schemas.openxmlformats.org/officeDocument/2006/relationships/image" Target="media/image9.jpeg"/><Relationship Id="rId21" Type="http://schemas.openxmlformats.org/officeDocument/2006/relationships/image" Target="media/image8.jpeg"/><Relationship Id="rId20" Type="http://schemas.openxmlformats.org/officeDocument/2006/relationships/image" Target="media/image7.jpe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jpeg"/><Relationship Id="rId17" Type="http://schemas.openxmlformats.org/officeDocument/2006/relationships/image" Target="media/image4.jpe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101</Pages>
  <Words>9918</Words>
  <Characters>56537</Characters>
  <Lines>471</Lines>
  <Paragraphs>132</Paragraphs>
  <TotalTime>39</TotalTime>
  <ScaleCrop>false</ScaleCrop>
  <LinksUpToDate>false</LinksUpToDate>
  <CharactersWithSpaces>66323</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cp:lastPrinted>2020-02-27T05:24:00Z</cp:lastPrinted>
  <dcterms:modified xsi:type="dcterms:W3CDTF">2020-09-14T03:18:05Z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