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广东省农业科学院畜牧研究所畜禽育种国家重点实验室洁净设备采购及配套服务项目</w:t>
      </w:r>
    </w:p>
    <w:p>
      <w:pPr>
        <w:spacing w:line="360" w:lineRule="auto"/>
        <w:jc w:val="center"/>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202007-184098-0051</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广东省农业科学院畜牧研究所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4"/>
          <w:rFonts w:hint="eastAsia" w:ascii="宋体" w:hAnsi="宋体"/>
          <w:b/>
          <w:color w:val="auto"/>
          <w:sz w:val="30"/>
          <w:szCs w:val="30"/>
          <w:highlight w:val="none"/>
          <w:u w:val="none"/>
        </w:rPr>
        <w:t xml:space="preserve"> 二○二○年</w:t>
      </w:r>
      <w:r>
        <w:rPr>
          <w:rStyle w:val="94"/>
          <w:rFonts w:hint="eastAsia" w:ascii="宋体" w:hAnsi="宋体"/>
          <w:b/>
          <w:color w:val="auto"/>
          <w:sz w:val="30"/>
          <w:szCs w:val="30"/>
          <w:highlight w:val="none"/>
          <w:u w:val="none"/>
          <w:lang w:eastAsia="zh-CN"/>
        </w:rPr>
        <w:t>十一</w:t>
      </w:r>
      <w:r>
        <w:rPr>
          <w:rStyle w:val="94"/>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w:t>
      </w:r>
      <w:r>
        <w:rPr>
          <w:rFonts w:hint="eastAsia" w:ascii="宋体" w:hAnsi="宋体"/>
          <w:color w:val="auto"/>
          <w:szCs w:val="21"/>
          <w:highlight w:val="none"/>
          <w:lang w:eastAsia="zh-CN"/>
        </w:rPr>
        <w:t>竞争性磋商文件</w:t>
      </w:r>
      <w:r>
        <w:rPr>
          <w:rFonts w:hint="eastAsia" w:ascii="宋体" w:hAnsi="宋体"/>
          <w:color w:val="auto"/>
          <w:szCs w:val="21"/>
          <w:highlight w:val="none"/>
        </w:rPr>
        <w:t>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报价报价人以非独立法人注册的分公司名义代表总公司盖章和签署文件的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投标/报价报价人为中型、小型、微型企业的，请提交《中小企业声明函》。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w:t>
      </w:r>
      <w:r>
        <w:rPr>
          <w:rFonts w:hint="eastAsia" w:ascii="宋体" w:hAnsi="宋体"/>
          <w:color w:val="auto"/>
          <w:szCs w:val="21"/>
          <w:highlight w:val="none"/>
          <w:lang w:eastAsia="zh-CN"/>
        </w:rPr>
        <w:t>竞争性磋商文件</w:t>
      </w:r>
      <w:r>
        <w:rPr>
          <w:rFonts w:hint="eastAsia" w:ascii="宋体" w:hAnsi="宋体"/>
          <w:color w:val="auto"/>
          <w:szCs w:val="21"/>
          <w:highlight w:val="none"/>
        </w:rPr>
        <w:t>而决定不参加本次投标/报价的报价人，在投标/报价文件递交截止时间的3日前，按《投标/报价邀请函》中的联系方式，以书面形式告知采购代理机构。对您的支持与配合，谨此致谢。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w:t>
      </w:r>
      <w:r>
        <w:rPr>
          <w:rFonts w:hint="eastAsia" w:ascii="宋体" w:hAnsi="宋体"/>
          <w:color w:val="auto"/>
          <w:szCs w:val="21"/>
          <w:highlight w:val="none"/>
          <w:lang w:eastAsia="zh-CN"/>
        </w:rPr>
        <w:t>竞争性磋商文件</w:t>
      </w:r>
      <w:r>
        <w:rPr>
          <w:rFonts w:hint="eastAsia" w:ascii="宋体" w:hAnsi="宋体"/>
          <w:color w:val="auto"/>
          <w:szCs w:val="21"/>
          <w:highlight w:val="none"/>
        </w:rPr>
        <w:t>的组成部分，仅为善意提醒。如有不一致，以</w:t>
      </w:r>
      <w:r>
        <w:rPr>
          <w:rFonts w:hint="eastAsia" w:ascii="宋体" w:hAnsi="宋体"/>
          <w:color w:val="auto"/>
          <w:szCs w:val="21"/>
          <w:highlight w:val="none"/>
          <w:lang w:eastAsia="zh-CN"/>
        </w:rPr>
        <w:t>竞争性磋商文件</w:t>
      </w:r>
      <w:r>
        <w:rPr>
          <w:rFonts w:hint="eastAsia" w:ascii="宋体" w:hAnsi="宋体"/>
          <w:color w:val="auto"/>
          <w:szCs w:val="21"/>
          <w:highlight w:val="none"/>
        </w:rPr>
        <w:t>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8</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7"/>
      <w:bookmarkStart w:id="6" w:name="_Hlt510014036"/>
      <w:r>
        <w:rPr>
          <w:rStyle w:val="94"/>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25</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39</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09932461"/>
      <w:bookmarkStart w:id="14" w:name="_Hlt509932460"/>
      <w:bookmarkStart w:id="15" w:name="_Hlt510014093"/>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09992254"/>
      <w:bookmarkStart w:id="18" w:name="_Hlt510014176"/>
      <w:r>
        <w:rPr>
          <w:rStyle w:val="94"/>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44</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52</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rPr>
        <w:t>公告</w:t>
      </w:r>
    </w:p>
    <w:p>
      <w:pPr>
        <w:spacing w:line="480" w:lineRule="auto"/>
        <w:jc w:val="center"/>
        <w:rPr>
          <w:rFonts w:ascii="宋体" w:hAnsi="宋体"/>
          <w:b/>
          <w:color w:val="auto"/>
          <w:sz w:val="30"/>
          <w:szCs w:val="30"/>
          <w:highlight w:val="none"/>
        </w:rPr>
      </w:pPr>
      <w:r>
        <w:rPr>
          <w:rFonts w:ascii="宋体" w:hAnsi="宋体"/>
          <w:color w:val="auto"/>
          <w:highlight w:val="none"/>
        </w:rPr>
        <w:br w:type="page"/>
      </w:r>
      <w:bookmarkStart w:id="372" w:name="_GoBack"/>
      <w:bookmarkEnd w:id="372"/>
      <w:r>
        <w:rPr>
          <w:rFonts w:hint="eastAsia" w:ascii="宋体" w:hAnsi="宋体"/>
          <w:b/>
          <w:color w:val="auto"/>
          <w:sz w:val="30"/>
          <w:szCs w:val="30"/>
          <w:highlight w:val="none"/>
        </w:rPr>
        <w:t>竞争性磋商公告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eastAsia="zh-CN"/>
        </w:rPr>
        <w:t>广东省农业科学院畜牧研究所畜禽育种国家重点实验室洁净设备采购及配套服务项目</w:t>
      </w:r>
      <w:r>
        <w:rPr>
          <w:rFonts w:hint="eastAsia" w:ascii="宋体" w:hAnsi="宋体" w:cs="宋体"/>
          <w:color w:val="auto"/>
          <w:szCs w:val="21"/>
          <w:highlight w:val="none"/>
        </w:rPr>
        <w:t xml:space="preserve"> 招标项目的潜在报价人应在广州市海珠区红卫新村西路29号UP智谷D栋503房获取竞争性磋商文件，并于2020年</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202007-184098-0051</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广东省农业科学院畜牧研究所畜禽育种国家重点实验室洁净设备采购及配套服务项目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461366.40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461366.40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广东省农业科学院畜牧研究所畜禽育种国家重点实验室洁净设备采购及配套服务项目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89"/>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广东省农业科学院畜牧研究所畜禽育种国家重点实验室洁净设备采购及配套服务项目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461366.40</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461366.40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广东省农业科学院畜牧研究所畜禽育种国家重点实验室洁净设备采购及配套服务项目</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60</w:t>
      </w:r>
      <w:r>
        <w:rPr>
          <w:rFonts w:hint="eastAsia" w:ascii="宋体" w:hAnsi="宋体" w:cs="宋体"/>
          <w:bCs/>
          <w:color w:val="auto"/>
          <w:szCs w:val="20"/>
          <w:highlight w:val="none"/>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2018年或2019年的财务状况报告或基本开户行（提供开户许可证）出具的资信证明复印件。如报价人为新注册的，提供成立至今的月或季度财务状况报告复印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（2）报价人《公平竞争承诺书》原件。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三、获取</w:t>
      </w:r>
      <w:r>
        <w:rPr>
          <w:rFonts w:hint="eastAsia" w:ascii="宋体" w:hAnsi="宋体" w:cs="宋体"/>
          <w:b/>
          <w:bCs/>
          <w:color w:val="auto"/>
          <w:szCs w:val="20"/>
          <w:highlight w:val="none"/>
          <w:lang w:eastAsia="zh-CN"/>
        </w:rPr>
        <w:t>竞争性磋商文件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10</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rPr>
        <w:t>09</w:t>
      </w:r>
      <w:r>
        <w:rPr>
          <w:rFonts w:ascii="宋体" w:hAnsi="宋体" w:cs="宋体"/>
          <w:bCs/>
          <w:color w:val="auto"/>
          <w:szCs w:val="20"/>
          <w:highlight w:val="none"/>
        </w:rPr>
        <w:t>:</w:t>
      </w:r>
      <w:r>
        <w:rPr>
          <w:rFonts w:hint="eastAsia" w:ascii="宋体" w:hAnsi="宋体" w:cs="宋体"/>
          <w:bCs/>
          <w:color w:val="auto"/>
          <w:szCs w:val="20"/>
          <w:highlight w:val="none"/>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16</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w:t>
      </w:r>
      <w:r>
        <w:rPr>
          <w:rFonts w:hint="eastAsia" w:ascii="宋体" w:hAnsi="宋体" w:cs="宋体"/>
          <w:bCs/>
          <w:color w:val="auto"/>
          <w:szCs w:val="20"/>
          <w:highlight w:val="none"/>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28359016"/>
      <w:bookmarkStart w:id="27" w:name="_Toc28359093"/>
      <w:bookmarkStart w:id="28" w:name="_Toc35393802"/>
      <w:bookmarkStart w:id="29" w:name="_Toc35393633"/>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16</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w:t>
      </w:r>
      <w:r>
        <w:rPr>
          <w:rFonts w:hint="eastAsia" w:ascii="宋体" w:hAnsi="宋体" w:cs="宋体"/>
          <w:bCs/>
          <w:color w:val="auto"/>
          <w:szCs w:val="20"/>
          <w:highlight w:val="none"/>
        </w:rPr>
        <w:t>（北京时间）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的报价人投标。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的报价人参加投标的，不代表通过资格性、符合性审查。投标资格最终根据报价人投标文件中的资格审查资料作出的结论为准。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而决定不参加本项目投标的报价人，应在开标前三日以书面形式（书面材料、信函或传真加盖报价人公章）通知采购代理机构。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的公示，根据《广东省实施〈中华人民共和国政府采购法〉办法》第三十五条的规定，报价人认为政府</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内容损害其权益的，可以在公示期间或者自期满之日起七个工作日内以书面形式向采购人或者代理机构提出质疑。质疑书应当署名。质疑报价人为自然人的，应当由本人签字；质疑报价人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广东省农业科学院畜牧研究所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w:t>
      </w:r>
      <w:r>
        <w:rPr>
          <w:rFonts w:hint="eastAsia" w:ascii="宋体" w:hAnsi="宋体" w:cs="宋体"/>
          <w:bCs/>
          <w:color w:val="auto"/>
          <w:szCs w:val="20"/>
          <w:highlight w:val="none"/>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w:t>
      </w:r>
      <w:r>
        <w:rPr>
          <w:rFonts w:hint="eastAsia" w:ascii="宋体" w:hAnsi="宋体" w:cs="宋体"/>
          <w:bCs/>
          <w:color w:val="auto"/>
          <w:szCs w:val="20"/>
          <w:highlight w:val="none"/>
        </w:rPr>
        <w:t>6</w:t>
      </w:r>
    </w:p>
    <w:p>
      <w:pPr>
        <w:pStyle w:val="46"/>
        <w:rPr>
          <w:rFonts w:hAnsi="宋体" w:cs="宋体"/>
          <w:bCs/>
          <w:color w:val="auto"/>
          <w:szCs w:val="20"/>
          <w:highlight w:val="none"/>
        </w:rPr>
      </w:pPr>
    </w:p>
    <w:p>
      <w:pPr>
        <w:pStyle w:val="96"/>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w:t>
      </w:r>
      <w:bookmarkStart w:id="30" w:name="_Toc14450807"/>
      <w:bookmarkStart w:id="31" w:name="_Toc28489434"/>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ascii="宋体" w:hAnsi="宋体" w:cs="宋体"/>
          <w:bCs/>
          <w:color w:val="auto"/>
          <w:szCs w:val="20"/>
          <w:highlight w:val="none"/>
        </w:rPr>
        <w:t>日</w:t>
      </w:r>
    </w:p>
    <w:p>
      <w:pPr>
        <w:rPr>
          <w:rFonts w:ascii="宋体" w:hAnsi="宋体"/>
          <w:color w:val="auto"/>
          <w:sz w:val="28"/>
          <w:highlight w:val="none"/>
        </w:rPr>
      </w:pPr>
      <w:r>
        <w:rPr>
          <w:rFonts w:ascii="宋体" w:hAnsi="宋体"/>
          <w:color w:val="auto"/>
          <w:sz w:val="28"/>
          <w:highlight w:val="none"/>
        </w:rPr>
        <w:br w:type="page"/>
      </w: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spacing w:line="300" w:lineRule="exac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olor w:val="auto"/>
                <w:szCs w:val="21"/>
                <w:highlight w:val="none"/>
              </w:rPr>
            </w:pPr>
            <w:r>
              <w:rPr>
                <w:rFonts w:hint="eastAsia" w:ascii="宋体" w:hAnsi="宋体" w:cs="宋体"/>
                <w:color w:val="auto"/>
                <w:szCs w:val="21"/>
                <w:highlight w:val="none"/>
              </w:rPr>
              <w:t>成交人在领取《中标通知书》前直接一次性向采购代理机构足额支付招标代理服务费及专家费（专家费按实进行结算）。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自从磋商响应文件递交截止日起90天，成交报价人的响应有效期自动延长至合同终止为止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报价人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详见报价人须知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2680342"/>
      <w:bookmarkStart w:id="37" w:name="_Toc315793450"/>
      <w:bookmarkStart w:id="38" w:name="_Toc475104468"/>
      <w:bookmarkStart w:id="39" w:name="_Toc320515016"/>
      <w:bookmarkStart w:id="40" w:name="_Toc320515065"/>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15793451"/>
      <w:bookmarkStart w:id="43" w:name="_Toc475104469"/>
      <w:bookmarkStart w:id="44" w:name="_Toc320515066"/>
      <w:bookmarkStart w:id="45" w:name="_Toc323110976"/>
      <w:bookmarkStart w:id="46" w:name="_Toc320515017"/>
      <w:bookmarkStart w:id="47" w:name="_Toc322680343"/>
      <w:bookmarkStart w:id="48" w:name="_Toc36373768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20515018"/>
      <w:bookmarkStart w:id="50" w:name="_Toc323110977"/>
      <w:bookmarkStart w:id="51" w:name="_Toc475104470"/>
      <w:bookmarkStart w:id="52" w:name="_Toc363737684"/>
      <w:bookmarkStart w:id="53" w:name="_Toc322680344"/>
      <w:bookmarkStart w:id="54" w:name="_Toc32051506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广东省农业科学院畜牧研究所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“乙方”系指成交报价人。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“成交报价人”系指</w:t>
      </w:r>
      <w:r>
        <w:rPr>
          <w:rFonts w:hint="eastAsia" w:ascii="宋体" w:hAnsi="宋体"/>
          <w:color w:val="auto"/>
          <w:szCs w:val="21"/>
          <w:highlight w:val="none"/>
        </w:rPr>
        <w:t>法定程序确定并授予合同的</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19"/>
      <w:bookmarkStart w:id="56" w:name="_Toc323110978"/>
      <w:bookmarkStart w:id="57" w:name="_Toc322680345"/>
      <w:bookmarkStart w:id="58" w:name="_Toc315793453"/>
      <w:bookmarkStart w:id="59" w:name="_Toc320515068"/>
      <w:bookmarkStart w:id="60" w:name="_Toc475104471"/>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邀请“报价人资格”要求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报价人</w:t>
      </w:r>
      <w:r>
        <w:rPr>
          <w:rFonts w:hint="eastAsia" w:ascii="宋体" w:hAnsi="宋体"/>
          <w:color w:val="auto"/>
          <w:szCs w:val="21"/>
          <w:highlight w:val="none"/>
        </w:rPr>
        <w:t>参加竞争，但只作为一家</w:t>
      </w:r>
      <w:r>
        <w:rPr>
          <w:rFonts w:hint="eastAsia" w:ascii="宋体" w:hAnsi="宋体"/>
          <w:color w:val="auto"/>
          <w:highlight w:val="none"/>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rPr>
        <w:t>报价人</w:t>
      </w:r>
      <w:r>
        <w:rPr>
          <w:rFonts w:hint="eastAsia" w:ascii="宋体" w:hAnsi="宋体"/>
          <w:color w:val="auto"/>
          <w:szCs w:val="21"/>
          <w:highlight w:val="none"/>
        </w:rPr>
        <w:t>参加竞争，作为不同的</w:t>
      </w:r>
      <w:r>
        <w:rPr>
          <w:rFonts w:hint="eastAsia" w:ascii="宋体" w:hAnsi="宋体"/>
          <w:color w:val="auto"/>
          <w:highlight w:val="none"/>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33236630"/>
      <w:bookmarkStart w:id="63" w:name="_Toc475104472"/>
      <w:bookmarkStart w:id="64" w:name="_Toc363737686"/>
      <w:bookmarkStart w:id="65" w:name="_Toc315793455"/>
      <w:bookmarkStart w:id="66" w:name="_Toc323110980"/>
      <w:bookmarkStart w:id="67" w:name="_Toc320515021"/>
      <w:bookmarkStart w:id="68" w:name="_Toc322680347"/>
      <w:bookmarkStart w:id="69" w:name="_Toc32051507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0515022"/>
      <w:bookmarkStart w:id="74" w:name="_Toc320515071"/>
      <w:bookmarkStart w:id="75" w:name="_Toc323110981"/>
      <w:bookmarkStart w:id="76" w:name="_Toc315793456"/>
      <w:r>
        <w:rPr>
          <w:rFonts w:hint="eastAsia" w:ascii="宋体" w:hAnsi="宋体"/>
          <w:color w:val="auto"/>
          <w:highlight w:val="none"/>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15793458"/>
      <w:bookmarkStart w:id="79" w:name="_Toc363737689"/>
      <w:bookmarkStart w:id="80" w:name="_Toc320515073"/>
      <w:bookmarkStart w:id="81" w:name="_Toc322680350"/>
      <w:bookmarkStart w:id="82" w:name="_Toc475104475"/>
      <w:bookmarkStart w:id="83" w:name="_Toc323110983"/>
      <w:bookmarkStart w:id="84" w:name="_Toc320515024"/>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0515025"/>
      <w:bookmarkStart w:id="86" w:name="_Toc320515074"/>
      <w:bookmarkStart w:id="87" w:name="_Toc323110984"/>
      <w:bookmarkStart w:id="88" w:name="_Toc322680351"/>
      <w:bookmarkStart w:id="89" w:name="_Toc475104476"/>
      <w:bookmarkStart w:id="90" w:name="_Toc315793459"/>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3110985"/>
      <w:bookmarkStart w:id="93" w:name="_Toc320515075"/>
      <w:bookmarkStart w:id="94" w:name="_Toc363737691"/>
      <w:bookmarkStart w:id="95" w:name="_Toc315793460"/>
      <w:bookmarkStart w:id="96" w:name="_Toc475104477"/>
      <w:bookmarkStart w:id="97" w:name="_Toc320515026"/>
      <w:bookmarkStart w:id="98" w:name="_Toc322680352"/>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报价人</w:t>
      </w:r>
      <w:r>
        <w:rPr>
          <w:rFonts w:hint="eastAsia" w:ascii="宋体" w:hAnsi="宋体"/>
          <w:bCs/>
          <w:color w:val="auto"/>
          <w:szCs w:val="21"/>
          <w:highlight w:val="none"/>
        </w:rPr>
        <w:t>，</w:t>
      </w:r>
      <w:r>
        <w:rPr>
          <w:rFonts w:hint="eastAsia" w:ascii="宋体" w:hAnsi="宋体"/>
          <w:color w:val="auto"/>
          <w:highlight w:val="none"/>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报价人</w:t>
      </w:r>
      <w:r>
        <w:rPr>
          <w:rFonts w:hint="eastAsia" w:ascii="宋体" w:hAnsi="宋体" w:cs="宋体"/>
          <w:color w:val="auto"/>
          <w:szCs w:val="21"/>
          <w:highlight w:val="none"/>
        </w:rPr>
        <w:t>，并对潜在</w:t>
      </w:r>
      <w:r>
        <w:rPr>
          <w:rFonts w:hint="eastAsia" w:ascii="宋体" w:hAnsi="宋体"/>
          <w:color w:val="auto"/>
          <w:highlight w:val="none"/>
        </w:rPr>
        <w:t>报价人</w:t>
      </w:r>
      <w:r>
        <w:rPr>
          <w:rFonts w:hint="eastAsia" w:ascii="宋体" w:hAnsi="宋体" w:cs="宋体"/>
          <w:color w:val="auto"/>
          <w:szCs w:val="21"/>
          <w:highlight w:val="none"/>
        </w:rPr>
        <w:t>具有约束力。潜在</w:t>
      </w:r>
      <w:r>
        <w:rPr>
          <w:rFonts w:hint="eastAsia" w:ascii="宋体" w:hAnsi="宋体"/>
          <w:color w:val="auto"/>
          <w:highlight w:val="none"/>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0515027"/>
      <w:bookmarkStart w:id="101" w:name="_Toc315793461"/>
      <w:bookmarkStart w:id="102" w:name="_Toc363737692"/>
      <w:bookmarkStart w:id="103" w:name="_Toc322680353"/>
      <w:bookmarkStart w:id="104" w:name="_Toc323110986"/>
      <w:bookmarkStart w:id="105" w:name="_Toc320515076"/>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63737693"/>
      <w:bookmarkStart w:id="107" w:name="_Toc322680354"/>
      <w:bookmarkStart w:id="108" w:name="_Toc475104479"/>
      <w:bookmarkStart w:id="109" w:name="_Toc323110987"/>
      <w:bookmarkStart w:id="110" w:name="_Toc320515077"/>
      <w:bookmarkStart w:id="111" w:name="_Toc315793462"/>
      <w:bookmarkStart w:id="112" w:name="_Toc320515028"/>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提交的磋商响应文件以及</w:t>
      </w:r>
      <w:r>
        <w:rPr>
          <w:rFonts w:hint="eastAsia" w:ascii="宋体" w:hAnsi="宋体"/>
          <w:color w:val="auto"/>
          <w:highlight w:val="none"/>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63737694"/>
      <w:bookmarkStart w:id="114" w:name="_Toc315793463"/>
      <w:bookmarkStart w:id="115" w:name="_Toc320515029"/>
      <w:bookmarkStart w:id="116" w:name="_Toc320515078"/>
      <w:bookmarkStart w:id="117" w:name="_Toc323110988"/>
      <w:bookmarkStart w:id="118" w:name="_Toc322680355"/>
      <w:bookmarkStart w:id="119" w:name="_Toc475104480"/>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商务部分文件是指报价人提交的证明报价人的资格合格，且获得成交资格后有能力履行合同的文件。服务部分文件是指证明报价人提供的服务和货物是合格的，而且符合本竞争性磋商文件规定的文件。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320515030"/>
      <w:bookmarkStart w:id="123" w:name="_Toc475104482"/>
      <w:bookmarkStart w:id="124" w:name="_Toc322680356"/>
      <w:bookmarkStart w:id="125" w:name="_Toc315793464"/>
      <w:bookmarkStart w:id="126" w:name="_Toc363737695"/>
      <w:bookmarkStart w:id="127" w:name="_Toc323110989"/>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475104483"/>
      <w:bookmarkStart w:id="129" w:name="_Toc363737696"/>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3110991"/>
      <w:bookmarkStart w:id="132" w:name="_Toc320515032"/>
      <w:bookmarkStart w:id="133" w:name="_Toc320515081"/>
      <w:bookmarkStart w:id="134" w:name="_Toc322680358"/>
      <w:bookmarkStart w:id="135" w:name="_Toc315793468"/>
      <w:r>
        <w:rPr>
          <w:rFonts w:hint="eastAsia" w:cs="宋体"/>
          <w:color w:val="auto"/>
          <w:szCs w:val="21"/>
          <w:highlight w:val="none"/>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rPr>
        <w:t>报价人</w:t>
      </w:r>
      <w:r>
        <w:rPr>
          <w:rFonts w:hint="eastAsia" w:ascii="宋体" w:hAnsi="宋体" w:cs="宋体"/>
          <w:color w:val="auto"/>
          <w:szCs w:val="21"/>
          <w:highlight w:val="none"/>
        </w:rPr>
        <w:t>不能合理说明或者不能提供相关证明材料的，由磋商小组认定该报价人以低于成本报价竞标其报价应作无效竞标处理。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报价人</w:t>
      </w:r>
      <w:r>
        <w:rPr>
          <w:rFonts w:hint="eastAsia" w:ascii="宋体" w:hAnsi="宋体" w:cs="宋体"/>
          <w:color w:val="auto"/>
          <w:szCs w:val="21"/>
          <w:highlight w:val="none"/>
        </w:rPr>
        <w:t>在获得成交资格并签署合同后，服务期限内出现的任何遗漏，均由成交报价人负责，采购人将不再支付任何费用。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证明报价人合格和资格的文件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报价人提交的资格证明文件应证明其满足本须知定义的合格</w:t>
      </w:r>
      <w:r>
        <w:rPr>
          <w:rFonts w:hint="eastAsia" w:cs="宋体"/>
          <w:color w:val="auto"/>
          <w:szCs w:val="21"/>
          <w:highlight w:val="none"/>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475104485"/>
      <w:bookmarkStart w:id="139" w:name="_Toc320515033"/>
      <w:bookmarkStart w:id="140" w:name="_Toc315793469"/>
      <w:bookmarkStart w:id="141" w:name="_Toc333236642"/>
      <w:bookmarkStart w:id="142" w:name="_Toc363737698"/>
      <w:bookmarkStart w:id="143" w:name="_Toc320515082"/>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394926941"/>
      <w:bookmarkStart w:id="148" w:name="_Toc475104487"/>
      <w:bookmarkStart w:id="149" w:name="_Toc315793471"/>
      <w:bookmarkStart w:id="150" w:name="_Toc322680361"/>
      <w:bookmarkStart w:id="151" w:name="_Toc323110994"/>
      <w:bookmarkStart w:id="152" w:name="_Toc363737700"/>
      <w:bookmarkStart w:id="153" w:name="_Toc320515084"/>
      <w:bookmarkStart w:id="154" w:name="_Toc320515035"/>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报价人</w:t>
      </w:r>
      <w:r>
        <w:rPr>
          <w:rFonts w:hint="eastAsia"/>
          <w:color w:val="auto"/>
          <w:szCs w:val="21"/>
          <w:highlight w:val="none"/>
        </w:rPr>
        <w:t>向银行融资提供的保证担保。</w:t>
      </w:r>
      <w:r>
        <w:rPr>
          <w:rFonts w:hint="eastAsia" w:cs="宋体"/>
          <w:color w:val="auto"/>
          <w:szCs w:val="21"/>
          <w:highlight w:val="none"/>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85"/>
      <w:bookmarkStart w:id="160" w:name="_Toc363737701"/>
      <w:bookmarkStart w:id="161" w:name="_Toc320515036"/>
      <w:bookmarkStart w:id="162" w:name="_Toc475104494"/>
      <w:bookmarkStart w:id="163" w:name="_Toc315793472"/>
      <w:bookmarkStart w:id="164" w:name="_Toc323110996"/>
      <w:bookmarkStart w:id="165" w:name="_Toc322680363"/>
      <w:bookmarkStart w:id="166" w:name="_Toc315793473"/>
      <w:bookmarkStart w:id="167" w:name="_Toc320515037"/>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磋商响应文件正本每一页均要求加盖报价人公章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38"/>
      <w:bookmarkStart w:id="172" w:name="_Toc315793474"/>
      <w:bookmarkStart w:id="173" w:name="_Toc363737703"/>
      <w:bookmarkStart w:id="174" w:name="_Toc320515087"/>
      <w:bookmarkStart w:id="175" w:name="_Toc475104496"/>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年月日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15793476"/>
      <w:bookmarkStart w:id="177" w:name="_Toc320515040"/>
      <w:bookmarkStart w:id="178" w:name="_Toc323110999"/>
      <w:bookmarkStart w:id="179" w:name="_Toc322680366"/>
      <w:bookmarkStart w:id="180" w:name="_Toc320515089"/>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475104500"/>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报价人</w:t>
      </w:r>
      <w:r>
        <w:rPr>
          <w:rFonts w:hint="eastAsia" w:ascii="宋体" w:hAnsi="宋体" w:cs="宋体"/>
          <w:color w:val="auto"/>
          <w:kern w:val="0"/>
          <w:szCs w:val="21"/>
          <w:highlight w:val="none"/>
        </w:rPr>
        <w:t>授权代表作为全体</w:t>
      </w:r>
      <w:r>
        <w:rPr>
          <w:rFonts w:hint="eastAsia" w:cs="宋体"/>
          <w:color w:val="auto"/>
          <w:szCs w:val="21"/>
          <w:highlight w:val="none"/>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475104501"/>
      <w:bookmarkStart w:id="190" w:name="_Toc323111002"/>
      <w:bookmarkStart w:id="191" w:name="_Toc363737708"/>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0515044"/>
      <w:bookmarkStart w:id="193" w:name="_Toc320515093"/>
      <w:bookmarkStart w:id="194" w:name="_Toc322680370"/>
      <w:bookmarkStart w:id="195" w:name="_Toc323111003"/>
      <w:bookmarkStart w:id="196" w:name="_Toc315793480"/>
      <w:bookmarkStart w:id="197" w:name="_Toc363737709"/>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63737710"/>
      <w:bookmarkStart w:id="201" w:name="_Toc351716665"/>
      <w:bookmarkStart w:id="202" w:name="_Toc475104503"/>
      <w:bookmarkStart w:id="203" w:name="_Toc322680372"/>
      <w:bookmarkStart w:id="204" w:name="_Toc320515096"/>
      <w:bookmarkStart w:id="205" w:name="_Toc320515047"/>
      <w:bookmarkStart w:id="206" w:name="_Toc315793483"/>
      <w:bookmarkStart w:id="207"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报价人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报价人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报价人</w:t>
      </w:r>
      <w:r>
        <w:rPr>
          <w:rFonts w:hint="eastAsia" w:ascii="宋体" w:hAnsi="宋体"/>
          <w:color w:val="auto"/>
          <w:szCs w:val="21"/>
          <w:highlight w:val="none"/>
        </w:rPr>
        <w:t>提交的澄清文件和最后报价文件，由</w:t>
      </w:r>
      <w:r>
        <w:rPr>
          <w:rFonts w:hint="eastAsia" w:cs="宋体"/>
          <w:color w:val="auto"/>
          <w:szCs w:val="21"/>
          <w:highlight w:val="none"/>
        </w:rPr>
        <w:t>报价人</w:t>
      </w:r>
      <w:r>
        <w:rPr>
          <w:rFonts w:hint="eastAsia" w:ascii="宋体" w:hAnsi="宋体"/>
          <w:color w:val="auto"/>
          <w:szCs w:val="21"/>
          <w:highlight w:val="none"/>
        </w:rPr>
        <w:t>法人代表或其授权代表签字或加盖公章后生效。报价人为自然人的，应当由本人签字并附身份证明。</w:t>
      </w:r>
      <w:r>
        <w:rPr>
          <w:rFonts w:hint="eastAsia" w:cs="宋体"/>
          <w:color w:val="auto"/>
          <w:szCs w:val="21"/>
          <w:highlight w:val="none"/>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经磋商确定最终采购需求和提交最后报价的报价人后，由磋商小组采用综合评分法对提交最后报价的报价人的响应文件和最后报价进行综合评分。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475104504"/>
      <w:bookmarkStart w:id="212" w:name="_Toc363737711"/>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27.9报价人同时为小型、微型企业和监狱企业的，评审中只享受一次价格扣除。不重复进行价格扣除。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20515048"/>
      <w:bookmarkStart w:id="217" w:name="_Toc315793484"/>
      <w:bookmarkStart w:id="218" w:name="_Toc363737713"/>
      <w:bookmarkStart w:id="219" w:name="_Toc320515097"/>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报价人，也可以事先授权磋商小组直接确定成交报价人。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布成交公告。不在成交名单之列者即为未成交报价人，政府采购代理机构不再以其他方式另行通知。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报价人放弃成交、成交资格被依法确认无效的，采购人可以与排位在成交报价人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报价人的姓名或者名称、地址、邮编、联系人及联系电话；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质疑书应当署名。报价人为自然人的，应当由本人签字；报价人为法人或者其他组织的，应当由法定代表人、主要负责人，或者其授权代表签字或者盖章，并加盖公章。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22" w:name="_Toc475104509"/>
      <w:bookmarkStart w:id="223" w:name="_Toc363737714"/>
      <w:r>
        <w:rPr>
          <w:rFonts w:hint="eastAsia" w:ascii="宋体" w:hAnsi="宋体" w:cs="宋体"/>
          <w:b/>
          <w:bCs/>
          <w:color w:val="auto"/>
          <w:sz w:val="24"/>
          <w:highlight w:val="none"/>
        </w:rPr>
        <w:t>报价人询问的途径、接收质疑函的方式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询问和质疑接收机构名称：广州市信怡招标代理有限公司</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询问和质疑接收机构地址：广州市海珠区红卫新村西路29号UP智谷D栋503房</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询问和质疑接收部门联系人：胡先生</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询问和质疑接收机构电话：020-89001296（工作/接收时间：9：00-17：00）</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质疑接收机构传真：020-89001292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20515099"/>
      <w:bookmarkStart w:id="226" w:name="_Toc315793486"/>
      <w:bookmarkStart w:id="227" w:name="_Toc363737715"/>
      <w:bookmarkStart w:id="228" w:name="_Toc32051505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20515051"/>
      <w:bookmarkStart w:id="234" w:name="_Toc363737716"/>
      <w:bookmarkStart w:id="235" w:name="_Toc320515100"/>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15793488"/>
      <w:bookmarkStart w:id="238" w:name="_Toc320515052"/>
      <w:bookmarkStart w:id="239" w:name="_Toc363737717"/>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招标采购单位不得向成交报价人提出任何不合理的要求，作为签订合同的条件，不得与成交报价人私下订立背离合同实质性内容的协议。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本项目相关公告在以下媒体发布：中国采购与招标网（网址：www.chinabidding.com.cn）、广州市信怡招标代理有限公司网站（www.gzxyzb.com）和</w:t>
      </w:r>
      <w:r>
        <w:rPr>
          <w:rFonts w:hint="eastAsia" w:ascii="宋体" w:hAnsi="宋体" w:cs="宋体"/>
          <w:color w:val="auto"/>
          <w:szCs w:val="21"/>
          <w:highlight w:val="none"/>
          <w:lang w:eastAsia="zh-CN"/>
        </w:rPr>
        <w:t>广东省农业科学院畜牧研究所</w:t>
      </w:r>
      <w:r>
        <w:rPr>
          <w:rFonts w:hint="eastAsia" w:ascii="宋体" w:hAnsi="宋体" w:cs="宋体"/>
          <w:color w:val="auto"/>
          <w:szCs w:val="21"/>
          <w:highlight w:val="none"/>
        </w:rPr>
        <w:t>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说明：本部分格式为报价人提交询问函、质疑函时使用，不属于响应文件格式的组成部分。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询问函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于年月日组织的政府采购活动。根据《政府采购法》和《政府采购报价人投诉处理办法》等规定，我公司认为</w:t>
      </w:r>
      <w:r>
        <w:rPr>
          <w:rFonts w:hint="eastAsia" w:ascii="宋体" w:hAnsi="宋体"/>
          <w:color w:val="auto"/>
          <w:szCs w:val="21"/>
          <w:highlight w:val="none"/>
          <w:u w:val="single"/>
        </w:rPr>
        <w:t>（采购项目名称）（采购项目编号：）</w:t>
      </w:r>
      <w:r>
        <w:rPr>
          <w:rFonts w:hint="eastAsia" w:ascii="宋体" w:hAnsi="宋体"/>
          <w:color w:val="auto"/>
          <w:szCs w:val="21"/>
          <w:highlight w:val="none"/>
        </w:rPr>
        <w:t>项目的采购活动中，</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hint="eastAsia" w:ascii="宋体" w:eastAsia="宋体"/>
          <w:b/>
          <w:color w:val="auto"/>
          <w:szCs w:val="21"/>
          <w:highlight w:val="none"/>
          <w:lang w:eastAsia="zh-CN"/>
        </w:rPr>
      </w:pPr>
      <w:r>
        <w:rPr>
          <w:rFonts w:hint="eastAsia" w:ascii="宋体" w:hAnsi="宋体"/>
          <w:b/>
          <w:color w:val="auto"/>
          <w:szCs w:val="21"/>
          <w:highlight w:val="none"/>
        </w:rPr>
        <w:t>质疑</w:t>
      </w:r>
      <w:r>
        <w:rPr>
          <w:rFonts w:hint="eastAsia" w:ascii="宋体" w:hAnsi="宋体"/>
          <w:b/>
          <w:color w:val="auto"/>
          <w:szCs w:val="21"/>
          <w:highlight w:val="none"/>
          <w:lang w:eastAsia="zh-CN"/>
        </w:rPr>
        <w:t>竞争性磋商文件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w:t>
      </w:r>
      <w:r>
        <w:rPr>
          <w:rFonts w:hint="eastAsia" w:ascii="宋体" w:hAnsi="宋体"/>
          <w:color w:val="auto"/>
          <w:szCs w:val="21"/>
          <w:highlight w:val="none"/>
          <w:lang w:eastAsia="zh-CN"/>
        </w:rPr>
        <w:t>竞争性磋商文件</w:t>
      </w:r>
      <w:r>
        <w:rPr>
          <w:rFonts w:hint="eastAsia" w:ascii="宋体" w:hAnsi="宋体"/>
          <w:color w:val="auto"/>
          <w:szCs w:val="21"/>
          <w:highlight w:val="none"/>
        </w:rPr>
        <w:t>页，内容“”损害了我公司权益，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r>
        <w:rPr>
          <w:rFonts w:hint="eastAsia" w:ascii="宋体" w:hAnsi="宋体"/>
          <w:color w:val="auto"/>
          <w:szCs w:val="21"/>
          <w:highlight w:val="none"/>
          <w:lang w:eastAsia="zh-CN"/>
        </w:rPr>
        <w:t>竞争性磋商文件</w:t>
      </w:r>
      <w:r>
        <w:rPr>
          <w:rFonts w:hint="eastAsia" w:ascii="宋体" w:hAnsi="宋体"/>
          <w:color w:val="auto"/>
          <w:szCs w:val="21"/>
          <w:highlight w:val="none"/>
        </w:rPr>
        <w:t>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w:t>
      </w:r>
      <w:r>
        <w:rPr>
          <w:rFonts w:hint="eastAsia" w:ascii="宋体" w:hAnsi="宋体"/>
          <w:color w:val="auto"/>
          <w:szCs w:val="21"/>
          <w:highlight w:val="none"/>
          <w:lang w:eastAsia="zh-CN"/>
        </w:rPr>
        <w:t>竞争性磋商文件</w:t>
      </w:r>
      <w:r>
        <w:rPr>
          <w:rFonts w:hint="eastAsia" w:ascii="宋体" w:hAnsi="宋体"/>
          <w:color w:val="auto"/>
          <w:szCs w:val="21"/>
          <w:highlight w:val="none"/>
        </w:rPr>
        <w:t>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．于年月日，在进行的（收取</w:t>
      </w:r>
      <w:r>
        <w:rPr>
          <w:rFonts w:hint="eastAsia" w:ascii="宋体" w:hAnsi="宋体"/>
          <w:color w:val="auto"/>
          <w:szCs w:val="21"/>
          <w:highlight w:val="none"/>
          <w:lang w:eastAsia="zh-CN"/>
        </w:rPr>
        <w:t>竞争性磋商文件</w:t>
      </w:r>
      <w:r>
        <w:rPr>
          <w:rFonts w:hint="eastAsia" w:ascii="宋体" w:hAnsi="宋体"/>
          <w:color w:val="auto"/>
          <w:szCs w:val="21"/>
          <w:highlight w:val="none"/>
        </w:rPr>
        <w:t>（样品）、开标、谈判）过程，发生损害了我公司权益的事项，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质疑报价人</w:t>
      </w:r>
      <w:r>
        <w:rPr>
          <w:rFonts w:hint="eastAsia" w:ascii="宋体" w:hAnsi="宋体"/>
          <w:color w:val="auto"/>
          <w:szCs w:val="21"/>
          <w:highlight w:val="none"/>
          <w:u w:val="single"/>
        </w:rPr>
        <w:t>：（签章）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报价人质疑、投诉应当有明确的请求和必要的证明材料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报价人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21"/>
      <w:bookmarkEnd w:id="254"/>
      <w:bookmarkStart w:id="255" w:name="_Toc321815819"/>
      <w:bookmarkEnd w:id="255"/>
      <w:bookmarkStart w:id="256" w:name="_Toc321815825"/>
      <w:bookmarkEnd w:id="256"/>
      <w:bookmarkStart w:id="257" w:name="_Toc321815807"/>
      <w:bookmarkEnd w:id="257"/>
      <w:bookmarkStart w:id="258" w:name="_Toc321815820"/>
      <w:bookmarkEnd w:id="258"/>
      <w:bookmarkStart w:id="259" w:name="_Toc321815805"/>
      <w:bookmarkEnd w:id="259"/>
      <w:bookmarkStart w:id="260" w:name="_Toc321815824"/>
      <w:bookmarkEnd w:id="260"/>
      <w:bookmarkStart w:id="261" w:name="_Toc321815826"/>
      <w:bookmarkEnd w:id="261"/>
      <w:bookmarkStart w:id="262" w:name="_Toc321815815"/>
      <w:bookmarkEnd w:id="262"/>
      <w:bookmarkStart w:id="263" w:name="_Toc321815816"/>
      <w:bookmarkEnd w:id="263"/>
      <w:bookmarkStart w:id="264" w:name="_Toc321815810"/>
      <w:bookmarkEnd w:id="264"/>
      <w:bookmarkStart w:id="265" w:name="_Toc321815808"/>
      <w:bookmarkEnd w:id="265"/>
      <w:bookmarkStart w:id="266" w:name="_Toc321815818"/>
      <w:bookmarkEnd w:id="266"/>
      <w:bookmarkStart w:id="267" w:name="_Toc321815822"/>
      <w:bookmarkEnd w:id="267"/>
      <w:bookmarkStart w:id="268" w:name="_Toc321815817"/>
      <w:bookmarkEnd w:id="268"/>
      <w:bookmarkStart w:id="269" w:name="_Toc321815812"/>
      <w:bookmarkEnd w:id="269"/>
      <w:bookmarkStart w:id="270" w:name="_Toc321815814"/>
      <w:bookmarkEnd w:id="270"/>
      <w:bookmarkStart w:id="271" w:name="_Toc321815804"/>
      <w:bookmarkEnd w:id="271"/>
      <w:bookmarkStart w:id="272" w:name="_Toc321815811"/>
      <w:bookmarkEnd w:id="272"/>
      <w:bookmarkStart w:id="273" w:name="_Toc321815806"/>
      <w:bookmarkEnd w:id="273"/>
      <w:bookmarkStart w:id="274" w:name="_Toc321815802"/>
      <w:bookmarkEnd w:id="274"/>
      <w:bookmarkStart w:id="275" w:name="_Toc321815823"/>
      <w:bookmarkEnd w:id="275"/>
      <w:bookmarkStart w:id="276" w:name="_Toc321815801"/>
      <w:bookmarkEnd w:id="276"/>
      <w:bookmarkStart w:id="277" w:name="_Toc321815813"/>
      <w:bookmarkEnd w:id="277"/>
      <w:bookmarkStart w:id="278" w:name="_Toc321815809"/>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p>
      <w:pPr>
        <w:pStyle w:val="2"/>
        <w:rPr>
          <w:color w:val="auto"/>
          <w:highlight w:val="none"/>
        </w:rPr>
      </w:pPr>
    </w:p>
    <w:bookmarkEnd w:id="252"/>
    <w:bookmarkEnd w:id="253"/>
    <w:bookmarkEnd w:id="279"/>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80" w:name="_Toc483158260"/>
      <w:r>
        <w:rPr>
          <w:rFonts w:hint="eastAsia" w:asciiTheme="minorEastAsia" w:hAnsiTheme="minorEastAsia" w:eastAsiaTheme="minorEastAsia" w:cstheme="minorEastAsia"/>
          <w:b/>
          <w:color w:val="auto"/>
          <w:sz w:val="21"/>
          <w:szCs w:val="21"/>
          <w:highlight w:val="none"/>
          <w:lang w:val="zh-CN"/>
        </w:rPr>
        <w:t>一、项目情况介绍</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（一）项目名称：广东省农业科学院畜牧研究所畜禽育种国家重点实验室洁净设备采购及配套服务项目</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（二）采购人：广东省农业科学院畜牧研究所</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（三）项目实施地点：天河区大丰一街1号动科所内</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（四）采购预算：人民币461366.40元</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二、商务要求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bookmarkStart w:id="281" w:name="_Toc317609047"/>
      <w:r>
        <w:rPr>
          <w:rFonts w:hint="eastAsia" w:asciiTheme="minorEastAsia" w:hAnsiTheme="minorEastAsia" w:eastAsiaTheme="minorEastAsia" w:cstheme="minorEastAsia"/>
          <w:color w:val="auto"/>
          <w:sz w:val="21"/>
          <w:szCs w:val="21"/>
          <w:highlight w:val="none"/>
          <w:lang w:val="zh-CN"/>
        </w:rPr>
        <w:t>1</w:t>
      </w:r>
      <w:bookmarkEnd w:id="281"/>
      <w:r>
        <w:rPr>
          <w:rFonts w:hint="eastAsia" w:asciiTheme="minorEastAsia" w:hAnsiTheme="minorEastAsia" w:eastAsiaTheme="minorEastAsia" w:cstheme="minorEastAsia"/>
          <w:color w:val="auto"/>
          <w:sz w:val="21"/>
          <w:szCs w:val="21"/>
          <w:highlight w:val="none"/>
          <w:lang w:val="zh-CN"/>
        </w:rPr>
        <w:t>、合同履行期限：</w:t>
      </w:r>
      <w:r>
        <w:rPr>
          <w:rFonts w:hint="eastAsia" w:asciiTheme="minorEastAsia" w:hAnsiTheme="minorEastAsia" w:eastAsiaTheme="minorEastAsia" w:cstheme="minorEastAsia"/>
          <w:color w:val="auto"/>
          <w:sz w:val="21"/>
          <w:szCs w:val="21"/>
          <w:highlight w:val="none"/>
          <w:lang w:val="en-US" w:eastAsia="zh-CN"/>
        </w:rPr>
        <w:t>60</w:t>
      </w:r>
      <w:r>
        <w:rPr>
          <w:rFonts w:hint="eastAsia" w:asciiTheme="minorEastAsia" w:hAnsiTheme="minorEastAsia" w:eastAsiaTheme="minorEastAsia" w:cstheme="minorEastAsia"/>
          <w:color w:val="auto"/>
          <w:sz w:val="21"/>
          <w:szCs w:val="21"/>
          <w:highlight w:val="none"/>
          <w:lang w:val="zh-CN"/>
        </w:rPr>
        <w:t>日历天内。</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bookmarkStart w:id="282" w:name="_Toc317609048"/>
      <w:r>
        <w:rPr>
          <w:rFonts w:hint="eastAsia" w:asciiTheme="minorEastAsia" w:hAnsiTheme="minorEastAsia" w:eastAsiaTheme="minorEastAsia" w:cstheme="minorEastAsia"/>
          <w:color w:val="auto"/>
          <w:sz w:val="21"/>
          <w:szCs w:val="21"/>
          <w:highlight w:val="none"/>
          <w:lang w:val="zh-CN"/>
        </w:rPr>
        <w:t>2、质量要求：按国家相关规范规程一次性验收达到合格标准。</w:t>
      </w:r>
      <w:bookmarkEnd w:id="282"/>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bookmarkStart w:id="283" w:name="_Toc317609049"/>
      <w:r>
        <w:rPr>
          <w:rFonts w:hint="eastAsia" w:asciiTheme="minorEastAsia" w:hAnsiTheme="minorEastAsia" w:eastAsiaTheme="minorEastAsia" w:cstheme="minorEastAsia"/>
          <w:color w:val="auto"/>
          <w:sz w:val="21"/>
          <w:szCs w:val="21"/>
          <w:highlight w:val="none"/>
          <w:lang w:val="zh-CN"/>
        </w:rPr>
        <w:t>3、安全文明安装要求：按广州市的相关规定执行。</w:t>
      </w:r>
      <w:bookmarkEnd w:id="283"/>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84" w:name="_Toc399775094"/>
      <w:r>
        <w:rPr>
          <w:rFonts w:hint="eastAsia" w:asciiTheme="minorEastAsia" w:hAnsiTheme="minorEastAsia" w:eastAsiaTheme="minorEastAsia" w:cstheme="minorEastAsia"/>
          <w:b/>
          <w:color w:val="auto"/>
          <w:sz w:val="21"/>
          <w:szCs w:val="21"/>
          <w:highlight w:val="none"/>
          <w:lang w:val="zh-CN"/>
        </w:rPr>
        <w:t>三、项目范围</w:t>
      </w:r>
      <w:bookmarkEnd w:id="284"/>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广东省农业科学院畜牧研究所畜禽育种国家重点实验室洁净设备采购及配套服务项目</w:t>
      </w:r>
      <w:r>
        <w:rPr>
          <w:rFonts w:hint="eastAsia" w:ascii="宋体" w:hAnsi="宋体" w:cs="宋体"/>
          <w:color w:val="auto"/>
          <w:szCs w:val="21"/>
          <w:highlight w:val="none"/>
        </w:rPr>
        <w:t>：包含深化设计，室内围护、地面、天花、洁净空调，管道，洁净照明、风阀、电气、压力表，控制系统等设备的采购，安装、施工、调试，验收，维护。</w:t>
      </w:r>
    </w:p>
    <w:p>
      <w:pPr>
        <w:pStyle w:val="46"/>
        <w:keepNext w:val="0"/>
        <w:keepLines w:val="0"/>
        <w:pageBreakBefore w:val="0"/>
        <w:numPr>
          <w:ilvl w:val="0"/>
          <w:numId w:val="7"/>
        </w:numPr>
        <w:tabs>
          <w:tab w:val="left" w:pos="7740"/>
        </w:tabs>
        <w:kinsoku/>
        <w:wordWrap/>
        <w:overflowPunct/>
        <w:topLinePunct w:val="0"/>
        <w:bidi w:val="0"/>
        <w:adjustRightInd w:val="0"/>
        <w:snapToGrid w:val="0"/>
        <w:spacing w:beforeLines="50" w:line="440" w:lineRule="exact"/>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技术范围</w:t>
      </w:r>
    </w:p>
    <w:p>
      <w:pPr>
        <w:keepNext w:val="0"/>
        <w:keepLines w:val="0"/>
        <w:pageBreakBefore w:val="0"/>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（一）技术标准</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1、依据设计文件的要求，本项目的材料、设备、施工必须达到现行中华人民共和国以及地方或行业的工程建设标准、技术规范的要求。</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2、本工程主要验收规范</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《生物安全实验室建筑技术规范》（GB50346-2004)</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《实验室生物安全通用要求》（GB19489-2004)</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《洁净厂房设计规范》（GB50073-2001）</w:t>
      </w:r>
    </w:p>
    <w:p>
      <w:pPr>
        <w:keepNext w:val="0"/>
        <w:keepLines w:val="0"/>
        <w:pageBreakBefore w:val="0"/>
        <w:tabs>
          <w:tab w:val="left" w:pos="900"/>
          <w:tab w:val="left" w:pos="1920"/>
        </w:tabs>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《建筑设计防火规范》GB50016-2006</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《洁净室设计及验收规范》（JG71-90)</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《综合医院建筑设计规范》</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《办公建筑设计规范》（JGJ67-89)</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《建筑地面设计规范》（GB50037-96)</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《建筑给水排水设计规范》（GBJ15-88)</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《污水综合排放标准》（GB1981-89）</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《通风及空调工程施工及验收规范》GB50243-2002</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《建筑内部装修设计防火规范》（GB50222-95）（1999年版）</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《建筑装饰工程设计及验收规范》（JG73-91表7．7．8)</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《通风及空调工程设计及验收规范》GB50243-2002</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《采暖通风与空气调节设计规范》（GBJ19-2003）</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《工业管道工程设计设计及验收规范》（GBJ235-82）</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《低压配电设计规范》（GB50054-95)</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《低压配电系统设计规范》（GB50052-95）</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《电器装置安装工程设计照明装置工程设计和验收规范》（GB50259-96）</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《电器装置安装工程设计接地装置设计及验收规范》（GB50169-92）</w:t>
      </w:r>
    </w:p>
    <w:p>
      <w:pPr>
        <w:keepNext w:val="0"/>
        <w:keepLines w:val="0"/>
        <w:pageBreakBefore w:val="0"/>
        <w:kinsoku/>
        <w:wordWrap/>
        <w:overflowPunct/>
        <w:topLinePunct w:val="0"/>
        <w:autoSpaceDE w:val="0"/>
        <w:autoSpaceDN w:val="0"/>
        <w:bidi w:val="0"/>
        <w:adjustRightInd w:val="0"/>
        <w:snapToGrid/>
        <w:spacing w:line="440" w:lineRule="exact"/>
        <w:ind w:firstLine="420" w:firstLineChars="200"/>
        <w:jc w:val="left"/>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《电器装置安装工程设计低压电器设计及验收规范》（GB50245-96）</w:t>
      </w:r>
    </w:p>
    <w:p>
      <w:pPr>
        <w:keepNext w:val="0"/>
        <w:keepLines w:val="0"/>
        <w:pageBreakBefore w:val="0"/>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bookmarkStart w:id="285" w:name="_Toc399775098"/>
      <w:r>
        <w:rPr>
          <w:rFonts w:hint="eastAsia" w:asciiTheme="minorEastAsia" w:hAnsiTheme="minorEastAsia" w:eastAsiaTheme="minorEastAsia" w:cstheme="minorEastAsia"/>
          <w:b/>
          <w:color w:val="auto"/>
          <w:sz w:val="21"/>
          <w:szCs w:val="21"/>
          <w:highlight w:val="none"/>
        </w:rPr>
        <w:t>（二）建设要求</w:t>
      </w:r>
      <w:bookmarkEnd w:id="285"/>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本建设项目的基本要求</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1、符合实验室相关国家规范及标准要求。</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2、人文建筑与生态环境相结合，充分体现其人性化设计。</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3、设计理念的先进性、功能分区的合理性、基础设施的实用性、实验室管理的协调性、与检验流程的合理匹配性及实验室环境设施安全性。</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4、安全可靠:从授权准入、功能布局、气流控制、安全设施等角度，确保人员、样品、数据和仪器等安全。</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5、设计规范:实验室设计参照或执行欧美和国家相关实验室建设要求及标准。</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6、实用美观:装饰设计和家具布置充分体现行业特点和独特风格，选材符合实验室环境要求；风格明快，大方美观，富有现代感。</w:t>
      </w:r>
    </w:p>
    <w:p>
      <w:pPr>
        <w:keepNext w:val="0"/>
        <w:keepLines w:val="0"/>
        <w:pageBreakBefore w:val="0"/>
        <w:kinsoku/>
        <w:wordWrap/>
        <w:overflowPunct/>
        <w:topLinePunct w:val="0"/>
        <w:bidi w:val="0"/>
        <w:adjustRightInd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7、环境舒适:设计以人为本，各专业相互协调，互为补充，营造一个舒适的实验环境。</w:t>
      </w:r>
    </w:p>
    <w:p>
      <w:pPr>
        <w:keepNext w:val="0"/>
        <w:keepLines w:val="0"/>
        <w:pageBreakBefore w:val="0"/>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（三）技术要求</w:t>
      </w:r>
    </w:p>
    <w:p>
      <w:pPr>
        <w:keepNext w:val="0"/>
        <w:keepLines w:val="0"/>
        <w:pageBreakBefore w:val="0"/>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1、整体洁净技术要求</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A、压力梯度要求：正</w:t>
      </w:r>
      <w:r>
        <w:rPr>
          <w:rFonts w:hint="eastAsia" w:asciiTheme="minorEastAsia" w:hAnsiTheme="minorEastAsia" w:eastAsiaTheme="minorEastAsia" w:cstheme="minorEastAsia"/>
          <w:color w:val="auto"/>
          <w:sz w:val="21"/>
          <w:szCs w:val="21"/>
          <w:highlight w:val="none"/>
        </w:rPr>
        <w:t>压主实验室约+15Pa，负压主实验室</w:t>
      </w:r>
      <w:r>
        <w:rPr>
          <w:rFonts w:hint="eastAsia" w:asciiTheme="minorEastAsia" w:hAnsiTheme="minorEastAsia" w:eastAsiaTheme="minorEastAsia" w:cstheme="minorEastAsia"/>
          <w:color w:val="auto"/>
          <w:sz w:val="21"/>
          <w:szCs w:val="21"/>
          <w:highlight w:val="none"/>
          <w:lang w:eastAsia="zh-CN"/>
        </w:rPr>
        <w:t>约</w:t>
      </w:r>
      <w:r>
        <w:rPr>
          <w:rFonts w:hint="eastAsia" w:asciiTheme="minorEastAsia" w:hAnsiTheme="minorEastAsia" w:eastAsiaTheme="minorEastAsia" w:cstheme="minorEastAsia"/>
          <w:color w:val="auto"/>
          <w:sz w:val="21"/>
          <w:szCs w:val="21"/>
          <w:highlight w:val="none"/>
        </w:rPr>
        <w:t>-10Pa 。在不同压力要求的相邻隔断上安装压差计，量程0—60Pa。</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B、主要技术指标：</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（1）漏风率：万级环境≤2﹪；十万级环境应无漏光。</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（2）高效过滤器泄漏率≤0.03﹪（过滤效率≥99.97﹪）。 </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（3）风速：实验室内平均风速在设计风速100-120﹪；出口处风速≥0.35m/s，风速不均匀度≤0.25﹪。</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（4）风量：实测新风量应为设计新风量的90-110﹪，各风口风量应为设计风量的85-115﹪。</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sz w:val="21"/>
          <w:szCs w:val="21"/>
          <w:highlight w:val="none"/>
        </w:rPr>
        <w:t xml:space="preserve">（5）换气次数*：十万级区≥15次；万级区≥25次； </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（6）压差*：相邻不同级别区域静压差绝对值≥5Pa；洁净区与室外压差≥10Pa。</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（7）侵入粒子：通过大门侵入粒子的浓度小于测得的室外离子浓度的0.1﹪。</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（8）自净时间：≤25分钟。</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（9）房间温度*、相对湿度*：温度18-26℃；相对湿度45-65﹪。</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（10）噪声*、照度*：噪声≤65dB；照度：万级区为300-600Lx </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（11）悬浮粒子*：万级区：≥5μm的粒子≤2.9×103粒/m3，  ≥0.5μm的粒子≤3.5×105万粒/m3。十万级区：≥5μm的粒子≤29.2×106粒/m3，  ≥0.5μm的粒子≤35.2×105万粒/m3。</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（12）浮游菌*：万级区动态≤100cfu/m3； </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（13）沉降菌*：直径9cm平皿，暴露4h,万级区动态≤3cfu/m3； </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（14）表面微生物：用表面擦试法测定，万级区关键表面≤5cfu/cm2，一般表面≤25cfu/cm2，地面≤50cfu/25cm2。 </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2、 洁净空调系统项目规格技术要求</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（1）洁净式空调机技术要求：</w:t>
      </w:r>
    </w:p>
    <w:p>
      <w:pPr>
        <w:keepNext w:val="0"/>
        <w:keepLines w:val="0"/>
        <w:pageBreakBefore w:val="0"/>
        <w:kinsoku/>
        <w:wordWrap/>
        <w:overflowPunct/>
        <w:topLinePunct w:val="0"/>
        <w:bidi w:val="0"/>
        <w:snapToGrid/>
        <w:spacing w:line="440" w:lineRule="exact"/>
        <w:ind w:firstLine="420"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要求</w:t>
      </w:r>
      <w:r>
        <w:rPr>
          <w:rFonts w:hint="eastAsia" w:ascii="宋体" w:hAnsi="宋体"/>
          <w:b w:val="0"/>
          <w:bCs w:val="0"/>
          <w:color w:val="auto"/>
          <w:szCs w:val="21"/>
          <w:highlight w:val="none"/>
          <w:lang w:eastAsia="zh-CN"/>
        </w:rPr>
        <w:t>提供所投产品在地级市以上产品质量监督检验部门出具的检验报告</w:t>
      </w:r>
      <w:r>
        <w:rPr>
          <w:rFonts w:hint="eastAsia" w:asciiTheme="minorEastAsia" w:hAnsiTheme="minorEastAsia" w:eastAsiaTheme="minorEastAsia" w:cstheme="minorEastAsia"/>
          <w:color w:val="auto"/>
          <w:sz w:val="21"/>
          <w:szCs w:val="21"/>
          <w:highlight w:val="none"/>
        </w:rPr>
        <w:t>；需具有3C认证，以保证选型结果的可靠性；空调机组须具备通过中国制冷空调工业协会CRAA产品认证证书；</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1.1基本要求</w:t>
      </w:r>
    </w:p>
    <w:p>
      <w:pPr>
        <w:keepNext w:val="0"/>
        <w:keepLines w:val="0"/>
        <w:pageBreakBefore w:val="0"/>
        <w:tabs>
          <w:tab w:val="left" w:pos="567"/>
        </w:tabs>
        <w:kinsoku/>
        <w:wordWrap/>
        <w:overflowPunct/>
        <w:topLinePunct w:val="0"/>
        <w:bidi w:val="0"/>
        <w:snapToGrid/>
        <w:spacing w:line="440" w:lineRule="exact"/>
        <w:ind w:left="1063" w:leftChars="256"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（1）恒温恒湿型机组温度控制：约18～24℃；湿度控制约45-65%。</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（2）电源：3N-50Hz  380V（三相四线）</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参数：额定风量、机外余压、制冷量、制热量、电机功率（参照具体设计要求）制冷设备整体要求带变频装置、全自动控制；初效过滤器：板式无纺布材质G4，中效过滤器：袋式、无纺布材质F8；功能段：新风回风混合段、初效过滤段、表冷段 中间段、风机出风段、中效过滤段、均流段机组有效减震处理，电源采用三相四线的</w:t>
      </w:r>
      <w:r>
        <w:rPr>
          <w:rFonts w:hint="eastAsia" w:asciiTheme="minorEastAsia" w:hAnsiTheme="minorEastAsia" w:eastAsiaTheme="minorEastAsia" w:cstheme="minorEastAsia"/>
          <w:color w:val="auto"/>
          <w:sz w:val="21"/>
          <w:szCs w:val="21"/>
          <w:highlight w:val="none"/>
        </w:rPr>
        <w:t>电压为380V，电功率为50HZ的电源。</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1.2设备性能要求：</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1.2.1 总则：</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（1）投标方提供设备，应满足招标方提出的有关设计参数，并确保在招标方提出的厂址，气象条件下长期安全可靠运行。</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 除了轴承，制冷压缩机及转动部件含皮带正常寿命期间更换外，其余材料和部件应在正常情况下运行15年。</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（3）直接蒸发盘管、风冷式冷凝器的制造和检验应符合国家标准或制造厂标准。</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（4）机组应在额定电压的额定定值（AC三相、380伏、50赫兹）的±10%范围内能正常启动和运转。</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1.2.2设计要求</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（1）机组的实测风量在标准空气工况下应不小于额定风量（空气标准工况是指空气温度20℃、压力约101.3kPa，密度为约1.2kg/m3时的空气状态）。</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（2）机组在标准空气工况下，实测值应不小于额定值。</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（3）在机组内外压差为额定余压约1.2倍时，漏风率应不大于3%。</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 机组在名义工况下的供冷量（供热量）的实测值应不小于额定值。</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1.2.3空调机性能</w:t>
      </w:r>
    </w:p>
    <w:p>
      <w:pPr>
        <w:keepNext w:val="0"/>
        <w:keepLines w:val="0"/>
        <w:pageBreakBefore w:val="0"/>
        <w:tabs>
          <w:tab w:val="left" w:pos="567"/>
        </w:tabs>
        <w:kinsoku/>
        <w:wordWrap/>
        <w:overflowPunct/>
        <w:topLinePunct w:val="0"/>
        <w:bidi w:val="0"/>
        <w:snapToGrid/>
        <w:spacing w:line="440" w:lineRule="exact"/>
        <w:ind w:left="1063" w:leftChars="256"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（1）室内机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结构为防冷桥铝合金型材配双层发泡面板，内衬有钢制骨架，确保了高静压下的强度以及刚度。</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层发泡面板，外层采用冷轧钢板静电喷塑防腐处理，厚度不小于1.0mm，内层板采用镀锌钢板厚度不小于0.8mm，内充填发泡聚氨脂直接发泡（密度≥48kg/m3），保温层厚度不小于30mm，导热系数小于0.02W/m℃。应无冷桥现象出现。机组在最大静压下，面板和框架应能承受持久的扭曲但不产生永久变形；底层面板应有足够的强度，满足检修，安装要求。全部面板都是可拆卸的，以便于检修。</w:t>
      </w:r>
    </w:p>
    <w:p>
      <w:pPr>
        <w:keepNext w:val="0"/>
        <w:keepLines w:val="0"/>
        <w:pageBreakBefore w:val="0"/>
        <w:tabs>
          <w:tab w:val="left" w:pos="567"/>
        </w:tabs>
        <w:kinsoku/>
        <w:wordWrap/>
        <w:overflowPunct/>
        <w:topLinePunct w:val="0"/>
        <w:bidi w:val="0"/>
        <w:snapToGrid/>
        <w:spacing w:line="440" w:lineRule="exact"/>
        <w:ind w:left="1063" w:leftChars="256"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（2）制冷压缩机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压缩机选用国内外知名品牌全封闭涡旋式压缩机。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压缩机置于室外机。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1）压缩机为全封闭型，并稳妥地安装地隔振器上。</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2）压缩机电机应为吸入式，采用冷媒气冷却。</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3）电动机的绕阻应为通过埋入里面的热敏电阻保护，防止超温。</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4)制冷压缩机的生产、试验、检验应按国家标准或制造厂标准进行。</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（3）直接蒸发盘管</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直接蒸发盘管应由紫铜管外胀铝翅片制成。</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1)无缝紫铜管</w:t>
      </w:r>
      <w:r>
        <w:rPr>
          <w:rFonts w:hint="eastAsia" w:asciiTheme="minorEastAsia" w:hAnsiTheme="minorEastAsia" w:eastAsiaTheme="minorEastAsia" w:cstheme="minorEastAsia"/>
          <w:color w:val="auto"/>
          <w:sz w:val="21"/>
          <w:szCs w:val="21"/>
          <w:highlight w:val="none"/>
        </w:rPr>
        <w:t>管径为≥9.52mm，壁厚至</w:t>
      </w:r>
      <w:r>
        <w:rPr>
          <w:rFonts w:hint="eastAsia" w:asciiTheme="minorEastAsia" w:hAnsiTheme="minorEastAsia" w:eastAsiaTheme="minorEastAsia" w:cstheme="minorEastAsia"/>
          <w:color w:val="auto"/>
          <w:sz w:val="21"/>
          <w:szCs w:val="21"/>
          <w:highlight w:val="none"/>
        </w:rPr>
        <w:t>少为0.27mm。</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2)翅片含铝至少95%。铝翅片的厚度至少为0.11mm。翅片采用机械固定方法与紫铜管连接。</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3)冷冻剂膨胀阀应采用固定在制冷盘管分布器上。对于一台压缩机以上的组装机组，每台压缩机都应有单独的冷冻剂管路。</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4)空气通过制冷盘管的最大迎风面风速不应超过2.5m/s。最大盘管排数不宜超过约8排。</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5)制冷盘管设计、安装应使空气与冷媒成逆向交叉流动，即使冷媒入口处于出风侧，冷媒出口处处于进风侧，以便得到较大到对数温差，运行较好的换热。</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（4）室内机风机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风机选用离心式风机。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1)配有一组或多组前倾叶轮，安装在尺寸合适到实心轴上。风机叶轮和轴应在制造厂内做静平衡和动平衡试验。轴在制造厂加工后应刷一度防锈涂层。</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2)前倾叶轮采用铝合金或镀锌钢板制成。外壳由镀锌钢板制成。</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3)风机轴承应为自行对准的滚珠或滚轴轴承，其应能有效的封闭以防止润滑剂流失或赃物侵入。</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4)离心风机的设计、制造、测试应按国家标准或制造厂标准进行。</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（5）空气过滤器（初效过滤器、高中效过滤器）</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▲机组回风口设有初效过滤器，过滤材料为阻燃型无纺布，过滤效率达到G4，对高中效过滤器起到良好的前置保护作用，安装在机组滑框上，能自由抽出清冼。</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▲机组出风口设高中效过滤器，高中效过滤器在机组内采用螺丝压条压紧方式。高中效过滤器的过滤材料为超细聚丙烯纤维滤料（W型），袋式结构，过滤效率达到F8（比色法90%至95%）。</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过滤器装有风压压差报警装置，方便提醒用户清洗更换过滤器。</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（6）滴水盘</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滴水盘大小及容量应设计成能使制冷盘管之冷凝水全部流入滴水盘中，并应能畅通的排水功能。</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滴水盘采用不锈钢材料。</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1)滴水盘的两端设有直径为≥25mm的排水接头。</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2)滴水盘的外表面应铺上厚度为≥25mm的不燃性保温材料。</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 室外机</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冷凝器应由紫铜管外胀铝翅片制成。</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室外机为四周进风顶排风。</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 制冷剂管路系统</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1)机组应配置由工厂安装的机组内部所有部件之间的冷剂管道。</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2)每台压缩机有一独立的制冷剂管路系统。</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3)系统管道连接完成后，应经过≥2.24MPa干燥氮气的耐压试验和检漏试验。</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（9）控制要求</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1)机组自带控制箱，自动控制温度，控制压缩机、风机启停工作、故障状态。 </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2)整个电路系统装有多种保护装置：压缩机过流保护、风机过流保护、系统高低压保护、风机欠风保护、滤器清洗报警等。</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1.2.4 保温</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1)室内机机柜面板保温均由投标方在工厂内负责进行。</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2)保温材料采用不燃性保温材料，其传热系数K值应不大于0.36W/m2·℃。</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3)保温层外设置隔汽层和保护层，以防止保温层受潮和受损。</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1.2.5材料及焊接</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1)机组所采用的钢板、型材、管材等应符合投标方国国家标准规定。</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2)垫圈、涂料、保温材料、过滤器及设备其它结构应是有防火特性，并符合投标方国国家防火协会的等级及其试验要求。</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3)机组各部件材料之间的焊接工艺、方法、材料应符合投标方国国家标准。</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1.2.6 噪音控制</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在距离机组</w:t>
      </w:r>
      <w:r>
        <w:rPr>
          <w:rFonts w:hint="eastAsia" w:asciiTheme="minorEastAsia" w:hAnsiTheme="minorEastAsia" w:eastAsiaTheme="minorEastAsia" w:cstheme="minorEastAsia"/>
          <w:color w:val="auto"/>
          <w:sz w:val="21"/>
          <w:szCs w:val="21"/>
          <w:highlight w:val="none"/>
        </w:rPr>
        <w:t>室内机外壳≥1.5mm和地面以上≥1.0m处</w:t>
      </w:r>
      <w:r>
        <w:rPr>
          <w:rFonts w:hint="eastAsia" w:asciiTheme="minorEastAsia" w:hAnsiTheme="minorEastAsia" w:eastAsiaTheme="minorEastAsia" w:cstheme="minorEastAsia"/>
          <w:color w:val="auto"/>
          <w:sz w:val="21"/>
          <w:szCs w:val="21"/>
          <w:highlight w:val="none"/>
        </w:rPr>
        <w:t>测得的噪声值应不大于75dB(A)。</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1.2.7机组振动值</w:t>
      </w:r>
    </w:p>
    <w:p>
      <w:pPr>
        <w:keepNext w:val="0"/>
        <w:keepLines w:val="0"/>
        <w:pageBreakBefore w:val="0"/>
        <w:tabs>
          <w:tab w:val="left" w:pos="567"/>
        </w:tabs>
        <w:kinsoku/>
        <w:wordWrap/>
        <w:overflowPunct/>
        <w:topLinePunct w:val="0"/>
        <w:bidi w:val="0"/>
        <w:snapToGrid/>
        <w:spacing w:line="440" w:lineRule="exact"/>
        <w:ind w:firstLine="53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机组室内、外机运转动时的垂直振动不超过15μm。</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（四）净化空调方案说明</w:t>
      </w:r>
    </w:p>
    <w:p>
      <w:pPr>
        <w:keepNext w:val="0"/>
        <w:keepLines w:val="0"/>
        <w:pageBreakBefore w:val="0"/>
        <w:numPr>
          <w:ilvl w:val="0"/>
          <w:numId w:val="8"/>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洁净室送风量的确定：洁净室送风量应取下列两项中的最大者：</w:t>
      </w:r>
    </w:p>
    <w:p>
      <w:pPr>
        <w:keepNext w:val="0"/>
        <w:keepLines w:val="0"/>
        <w:pageBreakBefore w:val="0"/>
        <w:kinsoku/>
        <w:wordWrap/>
        <w:overflowPunct/>
        <w:topLinePunct w:val="0"/>
        <w:bidi w:val="0"/>
        <w:snapToGrid/>
        <w:spacing w:line="440" w:lineRule="exact"/>
        <w:ind w:left="108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A、保证空气洁净度等级和补充室内排风量所需风量；</w:t>
      </w:r>
    </w:p>
    <w:p>
      <w:pPr>
        <w:keepNext w:val="0"/>
        <w:keepLines w:val="0"/>
        <w:pageBreakBefore w:val="0"/>
        <w:kinsoku/>
        <w:wordWrap/>
        <w:overflowPunct/>
        <w:topLinePunct w:val="0"/>
        <w:bidi w:val="0"/>
        <w:snapToGrid/>
        <w:spacing w:line="440" w:lineRule="exact"/>
        <w:ind w:left="108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B、满足洁净室温、湿度要求和补充室内排风量所需风量。</w:t>
      </w:r>
    </w:p>
    <w:p>
      <w:pPr>
        <w:keepNext w:val="0"/>
        <w:keepLines w:val="0"/>
        <w:pageBreakBefore w:val="0"/>
        <w:numPr>
          <w:ilvl w:val="0"/>
          <w:numId w:val="8"/>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洁净室新风量的确定：新风量应取下列两项中的最大者：</w:t>
      </w:r>
    </w:p>
    <w:p>
      <w:pPr>
        <w:keepNext w:val="0"/>
        <w:keepLines w:val="0"/>
        <w:pageBreakBefore w:val="0"/>
        <w:kinsoku/>
        <w:wordWrap/>
        <w:overflowPunct/>
        <w:topLinePunct w:val="0"/>
        <w:bidi w:val="0"/>
        <w:snapToGrid/>
        <w:spacing w:line="440" w:lineRule="exact"/>
        <w:ind w:left="108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A、保持室内正压值和补偿室内排风量所需新风量</w:t>
      </w:r>
    </w:p>
    <w:p>
      <w:pPr>
        <w:keepNext w:val="0"/>
        <w:keepLines w:val="0"/>
        <w:pageBreakBefore w:val="0"/>
        <w:kinsoku/>
        <w:wordWrap/>
        <w:overflowPunct/>
        <w:topLinePunct w:val="0"/>
        <w:bidi w:val="0"/>
        <w:snapToGrid/>
        <w:spacing w:line="440" w:lineRule="exact"/>
        <w:ind w:left="108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B、满足洁净室内人员新风量的要求约40 m</w:t>
      </w:r>
      <w:r>
        <w:rPr>
          <w:rFonts w:hint="eastAsia" w:asciiTheme="minorEastAsia" w:hAnsiTheme="minorEastAsia" w:eastAsiaTheme="minorEastAsia" w:cstheme="minorEastAsia"/>
          <w:color w:val="auto"/>
          <w:sz w:val="21"/>
          <w:szCs w:val="21"/>
          <w:highlight w:val="none"/>
          <w:vertAlign w:val="superscript"/>
        </w:rPr>
        <w:t>3</w:t>
      </w:r>
      <w:r>
        <w:rPr>
          <w:rFonts w:hint="eastAsia" w:asciiTheme="minorEastAsia" w:hAnsiTheme="minorEastAsia" w:eastAsiaTheme="minorEastAsia" w:cstheme="minorEastAsia"/>
          <w:color w:val="auto"/>
          <w:sz w:val="21"/>
          <w:szCs w:val="21"/>
          <w:highlight w:val="none"/>
        </w:rPr>
        <w:t>/h.人。</w:t>
      </w:r>
    </w:p>
    <w:p>
      <w:pPr>
        <w:keepNext w:val="0"/>
        <w:keepLines w:val="0"/>
        <w:pageBreakBefore w:val="0"/>
        <w:numPr>
          <w:ilvl w:val="0"/>
          <w:numId w:val="8"/>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气流组织形式：顶送、侧下回。采用高效过滤器风口，均匀地布置在顶棚上，空气经高效过滤器送出，工作区气流分布比较均匀；回风口选用带过滤网的铝合金双层百叶风口，回风口设在洁净区回风竖井下部，空气通过百叶风口回至回风竖井、回风支干管，然后回至净化机组中。</w:t>
      </w:r>
    </w:p>
    <w:p>
      <w:pPr>
        <w:keepNext w:val="0"/>
        <w:keepLines w:val="0"/>
        <w:pageBreakBefore w:val="0"/>
        <w:numPr>
          <w:ilvl w:val="0"/>
          <w:numId w:val="8"/>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压差控制：回风口控制，通过调节回风口上的百叶改变其阻力来调整回风量。</w:t>
      </w:r>
    </w:p>
    <w:p>
      <w:pPr>
        <w:keepNext w:val="0"/>
        <w:keepLines w:val="0"/>
        <w:pageBreakBefore w:val="0"/>
        <w:numPr>
          <w:ilvl w:val="0"/>
          <w:numId w:val="8"/>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风管系统设计：本工程按洁净室噪声要求小于65dB（A），风管风速按下列数据选择：总风管为6-10m/s，无送回风口的支风管为4-6m/s，有送回风口的支风管为2-5 m/s。</w:t>
      </w:r>
    </w:p>
    <w:p>
      <w:pPr>
        <w:keepNext w:val="0"/>
        <w:keepLines w:val="0"/>
        <w:pageBreakBefore w:val="0"/>
        <w:widowControl/>
        <w:tabs>
          <w:tab w:val="left" w:pos="1375"/>
          <w:tab w:val="left" w:pos="1440"/>
        </w:tabs>
        <w:kinsoku/>
        <w:wordWrap/>
        <w:overflowPunct/>
        <w:topLinePunct w:val="0"/>
        <w:bidi w:val="0"/>
        <w:snapToGrid/>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(五）电气说明部分</w:t>
      </w:r>
    </w:p>
    <w:p>
      <w:pPr>
        <w:keepNext w:val="0"/>
        <w:keepLines w:val="0"/>
        <w:pageBreakBefore w:val="0"/>
        <w:numPr>
          <w:ilvl w:val="0"/>
          <w:numId w:val="9"/>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采用3N，50HZ，220/380V电源供电。</w:t>
      </w:r>
    </w:p>
    <w:p>
      <w:pPr>
        <w:keepNext w:val="0"/>
        <w:keepLines w:val="0"/>
        <w:pageBreakBefore w:val="0"/>
        <w:numPr>
          <w:ilvl w:val="0"/>
          <w:numId w:val="9"/>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接地极要求：采用约50×5×2500mm 镀锌角钢，连接线采用φ10圆钢，接地型式TN-S,在配电箱内重复接地，接地线采用φ10圆钢与基础内钢筋焊接引来。保护接地电阻不大于4Ω。</w:t>
      </w:r>
    </w:p>
    <w:p>
      <w:pPr>
        <w:keepNext w:val="0"/>
        <w:keepLines w:val="0"/>
        <w:pageBreakBefore w:val="0"/>
        <w:numPr>
          <w:ilvl w:val="0"/>
          <w:numId w:val="9"/>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配电箱(含空调、照明、插座、设备及备用)距地≥1.5m安装，开关距地≥1.5m安装，插座距地≥0.3m安装。</w:t>
      </w:r>
    </w:p>
    <w:p>
      <w:pPr>
        <w:keepNext w:val="0"/>
        <w:keepLines w:val="0"/>
        <w:pageBreakBefore w:val="0"/>
        <w:numPr>
          <w:ilvl w:val="0"/>
          <w:numId w:val="9"/>
        </w:numPr>
        <w:kinsoku/>
        <w:wordWrap/>
        <w:overflowPunct/>
        <w:topLinePunct w:val="0"/>
        <w:bidi w:val="0"/>
        <w:snapToGrid/>
        <w:spacing w:line="440" w:lineRule="exac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根据净化照明要求，本工程选用2×28W/14W净化荧光灯，采用吸顶式安装。净化灯于顶棚接缝处应用密封胶密封。净化灯的布置应避免与送、回、排风口冲突，尽量做到布置均匀，美观大方。</w:t>
      </w:r>
    </w:p>
    <w:p>
      <w:pPr>
        <w:keepNext w:val="0"/>
        <w:keepLines w:val="0"/>
        <w:pageBreakBefore w:val="0"/>
        <w:numPr>
          <w:ilvl w:val="0"/>
          <w:numId w:val="9"/>
        </w:numPr>
        <w:kinsoku/>
        <w:wordWrap/>
        <w:overflowPunct/>
        <w:topLinePunct w:val="0"/>
        <w:bidi w:val="0"/>
        <w:snapToGrid/>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1"/>
          <w:szCs w:val="21"/>
          <w:highlight w:val="none"/>
        </w:rPr>
        <w:t>在一般区域内塑料线槽布线安装的，其线槽规格如下原则选取：动力</w:t>
      </w:r>
      <w:r>
        <w:rPr>
          <w:rFonts w:hint="eastAsia" w:asciiTheme="minorEastAsia" w:hAnsiTheme="minorEastAsia" w:eastAsiaTheme="minorEastAsia" w:cstheme="minorEastAsia"/>
          <w:color w:val="auto"/>
          <w:szCs w:val="21"/>
          <w:highlight w:val="none"/>
        </w:rPr>
        <w:t>和照明按分别线槽布线的原则执行。在槽满率不超过40％的情况下允许多个回路同槽布线安装。</w:t>
      </w:r>
    </w:p>
    <w:p>
      <w:pPr>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br w:type="page"/>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五、现场踏勘</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本项目不集中组织</w:t>
      </w:r>
      <w:r>
        <w:rPr>
          <w:rFonts w:hint="eastAsia" w:asciiTheme="minorEastAsia" w:hAnsiTheme="minorEastAsia" w:eastAsiaTheme="minorEastAsia" w:cstheme="minorEastAsia"/>
          <w:color w:val="auto"/>
          <w:szCs w:val="21"/>
          <w:highlight w:val="none"/>
        </w:rPr>
        <w:t>现场踏勘</w:t>
      </w:r>
      <w:r>
        <w:rPr>
          <w:rFonts w:hint="eastAsia" w:asciiTheme="minorEastAsia" w:hAnsiTheme="minorEastAsia" w:eastAsiaTheme="minorEastAsia" w:cstheme="minorEastAsia"/>
          <w:color w:val="auto"/>
          <w:szCs w:val="21"/>
          <w:highlight w:val="none"/>
          <w:lang w:val="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pStyle w:val="2"/>
        <w:rPr>
          <w:rFonts w:hint="eastAsia" w:asciiTheme="minorEastAsia" w:hAnsiTheme="minorEastAsia" w:eastAsiaTheme="minorEastAsia" w:cstheme="minorEastAsia"/>
          <w:color w:val="auto"/>
          <w:sz w:val="21"/>
          <w:szCs w:val="21"/>
          <w:highlight w:val="none"/>
          <w:lang w:val="zh-CN"/>
        </w:rPr>
      </w:pPr>
    </w:p>
    <w:p>
      <w:pPr>
        <w:tabs>
          <w:tab w:val="left" w:pos="840"/>
        </w:tabs>
        <w:spacing w:line="360" w:lineRule="auto"/>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六、主要材料采购一览表</w:t>
      </w:r>
    </w:p>
    <w:tbl>
      <w:tblPr>
        <w:tblStyle w:val="89"/>
        <w:tblW w:w="9846" w:type="dxa"/>
        <w:jc w:val="center"/>
        <w:tblLayout w:type="fixed"/>
        <w:tblCellMar>
          <w:top w:w="0" w:type="dxa"/>
          <w:left w:w="108" w:type="dxa"/>
          <w:bottom w:w="0" w:type="dxa"/>
          <w:right w:w="108" w:type="dxa"/>
        </w:tblCellMar>
      </w:tblPr>
      <w:tblGrid>
        <w:gridCol w:w="782"/>
        <w:gridCol w:w="1762"/>
        <w:gridCol w:w="4725"/>
        <w:gridCol w:w="688"/>
        <w:gridCol w:w="687"/>
        <w:gridCol w:w="1202"/>
      </w:tblGrid>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序号</w:t>
            </w:r>
          </w:p>
        </w:tc>
        <w:tc>
          <w:tcPr>
            <w:tcW w:w="1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货物名称</w:t>
            </w:r>
          </w:p>
        </w:tc>
        <w:tc>
          <w:tcPr>
            <w:tcW w:w="47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型号规格</w:t>
            </w:r>
          </w:p>
        </w:tc>
        <w:tc>
          <w:tcPr>
            <w:tcW w:w="6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数量</w:t>
            </w:r>
          </w:p>
        </w:tc>
        <w:tc>
          <w:tcPr>
            <w:tcW w:w="6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单位</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备注</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直膨组合式空气处理机组室内机组</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xml:space="preserve">吊顶式，额定风量：≥1400m3/h  机外余压：≥650Pa 电机功率：≥3Kw ，初效过滤器：板式无纺布材质 G4 ， 中效过滤器：袋式、无纺布材质 F8，功能段：新风回风混合段、初效过滤段、表冷段 中间段、风机出风段、中效过滤段、 均流段  机组有效减震处理 </w:t>
            </w:r>
            <w:r>
              <w:rPr>
                <w:rFonts w:hint="eastAsia" w:asciiTheme="minorEastAsia" w:hAnsiTheme="minorEastAsia" w:eastAsiaTheme="minorEastAsia" w:cstheme="minorEastAsia"/>
                <w:color w:val="auto"/>
                <w:szCs w:val="21"/>
                <w:highlight w:val="none"/>
              </w:rPr>
              <w:t>电源采用三相四线的电压为380V，电功率为50HZ的电源</w:t>
            </w:r>
            <w:r>
              <w:rPr>
                <w:rFonts w:hint="eastAsia" w:asciiTheme="minorEastAsia" w:hAnsiTheme="minorEastAsia" w:eastAsiaTheme="minorEastAsia" w:cstheme="minorEastAsia"/>
                <w:color w:val="auto"/>
                <w:kern w:val="0"/>
                <w:szCs w:val="21"/>
                <w:highlight w:val="none"/>
              </w:rPr>
              <w:t>，内机外形尺寸（宽*深*高）≤950*1800*650mm，吊顶安装。</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台</w:t>
            </w:r>
          </w:p>
        </w:tc>
        <w:tc>
          <w:tcPr>
            <w:tcW w:w="1202" w:type="dxa"/>
            <w:vMerge w:val="restart"/>
            <w:tcBorders>
              <w:top w:val="nil"/>
              <w:left w:val="nil"/>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宋体" w:hAnsi="宋体"/>
                <w:b w:val="0"/>
                <w:bCs w:val="0"/>
                <w:color w:val="auto"/>
                <w:szCs w:val="21"/>
                <w:highlight w:val="none"/>
                <w:lang w:eastAsia="zh-CN"/>
              </w:rPr>
              <w:t>提供所投产品在地级市以上产品质量监督检验部门出具的检验报告</w:t>
            </w:r>
            <w:r>
              <w:rPr>
                <w:rFonts w:hint="eastAsia" w:ascii="宋体" w:hAnsi="宋体"/>
                <w:color w:val="auto"/>
                <w:szCs w:val="21"/>
                <w:highlight w:val="none"/>
              </w:rPr>
              <w:t>、3C认证及CRAA产品认</w:t>
            </w:r>
            <w:r>
              <w:rPr>
                <w:rFonts w:hint="eastAsia" w:ascii="宋体" w:hAnsi="宋体"/>
                <w:color w:val="auto"/>
                <w:szCs w:val="21"/>
                <w:highlight w:val="none"/>
              </w:rPr>
              <w:t>证证书</w:t>
            </w:r>
            <w:r>
              <w:rPr>
                <w:rFonts w:hint="eastAsia" w:asciiTheme="minorEastAsia" w:hAnsiTheme="minorEastAsia" w:eastAsiaTheme="minorEastAsia" w:cstheme="minorEastAsia"/>
                <w:color w:val="auto"/>
                <w:kern w:val="0"/>
                <w:szCs w:val="21"/>
                <w:highlight w:val="none"/>
              </w:rPr>
              <w:t>　</w:t>
            </w:r>
          </w:p>
          <w:p>
            <w:pPr>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直膨组合式空气处理机组室内机组</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xml:space="preserve">吊顶式，额定风量：≥1200m3/h  机外余压：≥650Pa 电机功率：≥3Kw ，初效过滤器：板式无纺布材质 G4 ， 中效过滤器：袋式、无纺布材质 F8，功能段：新风回风混合段、初效过滤段、表冷段 中间段、风机出风段、中效过滤段、 均流段  机组有效减震处理 </w:t>
            </w:r>
            <w:r>
              <w:rPr>
                <w:rFonts w:hint="eastAsia" w:asciiTheme="minorEastAsia" w:hAnsiTheme="minorEastAsia" w:eastAsiaTheme="minorEastAsia" w:cstheme="minorEastAsia"/>
                <w:color w:val="auto"/>
                <w:szCs w:val="21"/>
                <w:highlight w:val="none"/>
              </w:rPr>
              <w:t>电源采用三相四线的电压为380V，电功率为50HZ的电源</w:t>
            </w:r>
            <w:r>
              <w:rPr>
                <w:rFonts w:hint="eastAsia" w:asciiTheme="minorEastAsia" w:hAnsiTheme="minorEastAsia" w:eastAsiaTheme="minorEastAsia" w:cstheme="minorEastAsia"/>
                <w:color w:val="auto"/>
                <w:kern w:val="0"/>
                <w:szCs w:val="21"/>
                <w:highlight w:val="none"/>
              </w:rPr>
              <w:t>，内机外形尺寸（宽*深*高）≤950*1800*650mm，吊顶安装。</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台</w:t>
            </w:r>
          </w:p>
        </w:tc>
        <w:tc>
          <w:tcPr>
            <w:tcW w:w="1202" w:type="dxa"/>
            <w:vMerge w:val="continue"/>
            <w:tcBorders>
              <w:left w:val="nil"/>
              <w:right w:val="single" w:color="auto" w:sz="4" w:space="0"/>
            </w:tcBorders>
            <w:shd w:val="clear" w:color="auto" w:fill="auto"/>
            <w:vAlign w:val="center"/>
          </w:tcPr>
          <w:p>
            <w:pPr>
              <w:jc w:val="center"/>
              <w:rPr>
                <w:rFonts w:asciiTheme="minorEastAsia" w:hAnsiTheme="minorEastAsia" w:eastAsiaTheme="minorEastAsia" w:cstheme="minorEastAsia"/>
                <w:color w:val="auto"/>
                <w:kern w:val="0"/>
                <w:szCs w:val="21"/>
                <w:highlight w:val="none"/>
              </w:rPr>
            </w:pP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风冷直膨式空调室外机（AHU-1、2）</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xml:space="preserve"> 制冷量：≥7.5Kw 制热量：≥8Kw  </w:t>
            </w:r>
            <w:r>
              <w:rPr>
                <w:rFonts w:hint="eastAsia" w:asciiTheme="minorEastAsia" w:hAnsiTheme="minorEastAsia" w:eastAsiaTheme="minorEastAsia" w:cstheme="minorEastAsia"/>
                <w:color w:val="auto"/>
                <w:szCs w:val="21"/>
                <w:highlight w:val="none"/>
              </w:rPr>
              <w:t>电源采用三相四线的电压为380V，电功率为50HZ的电源</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台</w:t>
            </w:r>
          </w:p>
        </w:tc>
        <w:tc>
          <w:tcPr>
            <w:tcW w:w="1202" w:type="dxa"/>
            <w:vMerge w:val="continue"/>
            <w:tcBorders>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设备基础</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现浇水泥砂浆</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项</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指针式压差表</w:t>
            </w:r>
          </w:p>
        </w:tc>
        <w:tc>
          <w:tcPr>
            <w:tcW w:w="4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压差0-60PA，1/8口内牙常温常压双高低压接口，精度约21°C全刻度±4%，温度范围-7至60%</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12</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套</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w:t>
            </w:r>
          </w:p>
        </w:tc>
        <w:tc>
          <w:tcPr>
            <w:tcW w:w="1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高效过滤器</w:t>
            </w:r>
          </w:p>
        </w:tc>
        <w:tc>
          <w:tcPr>
            <w:tcW w:w="4725"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处理风量≥1000m3/h，冷板制作、静电喷塑、铝散流板小孔约484×484×220(mm)，过滤效率≥99.99。</w:t>
            </w:r>
          </w:p>
        </w:tc>
        <w:tc>
          <w:tcPr>
            <w:tcW w:w="6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w:t>
            </w:r>
          </w:p>
        </w:tc>
        <w:tc>
          <w:tcPr>
            <w:tcW w:w="6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套</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高效过滤器</w:t>
            </w:r>
          </w:p>
        </w:tc>
        <w:tc>
          <w:tcPr>
            <w:tcW w:w="4725" w:type="dxa"/>
            <w:tcBorders>
              <w:top w:val="nil"/>
              <w:left w:val="nil"/>
              <w:bottom w:val="single" w:color="auto" w:sz="4" w:space="0"/>
              <w:right w:val="single" w:color="auto" w:sz="4" w:space="0"/>
            </w:tcBorders>
            <w:shd w:val="clear" w:color="000000" w:fill="FFFFFF"/>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处理风量≥500m3/h，冷板制作、静电喷塑、铝散流板小孔约320×320×220(mm)，过滤效率≥99.99。</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套</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镀锌风管</w:t>
            </w:r>
          </w:p>
        </w:tc>
        <w:tc>
          <w:tcPr>
            <w:tcW w:w="4725" w:type="dxa"/>
            <w:tcBorders>
              <w:top w:val="nil"/>
              <w:left w:val="nil"/>
              <w:bottom w:val="single" w:color="auto" w:sz="4" w:space="0"/>
              <w:right w:val="single" w:color="auto" w:sz="4" w:space="0"/>
            </w:tcBorders>
            <w:shd w:val="clear" w:color="000000" w:fill="FFFFFF"/>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δ约0.8mm，符合Q/BQB430-1999标准。防锈。</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260</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m</w:t>
            </w:r>
            <w:r>
              <w:rPr>
                <w:rFonts w:hint="eastAsia" w:asciiTheme="minorEastAsia" w:hAnsiTheme="minorEastAsia" w:eastAsiaTheme="minorEastAsia" w:cstheme="minorEastAsia"/>
                <w:color w:val="auto"/>
                <w:kern w:val="0"/>
                <w:szCs w:val="21"/>
                <w:highlight w:val="none"/>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9</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风管保温</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采用≥20mm厚发泡橡胶板,阻燃效果达到国家B1级</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260</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m</w:t>
            </w:r>
            <w:r>
              <w:rPr>
                <w:rFonts w:hint="eastAsia" w:asciiTheme="minorEastAsia" w:hAnsiTheme="minorEastAsia" w:eastAsiaTheme="minorEastAsia" w:cstheme="minorEastAsia"/>
                <w:color w:val="auto"/>
                <w:kern w:val="0"/>
                <w:szCs w:val="21"/>
                <w:highlight w:val="none"/>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10</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xml:space="preserve">消声静压箱  </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约800×400×320mm.表层约0.8mm厚镀锌钢板制作，第二层约20mm消音棉，第三层为纱网布，第四层约为0.8mm厚镀锌钢板冲孔网</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11</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手动风量调节阀</w:t>
            </w:r>
          </w:p>
        </w:tc>
        <w:tc>
          <w:tcPr>
            <w:tcW w:w="4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约200*200mm，法兰连接,手动调节</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12</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手动风量调节阀</w:t>
            </w:r>
          </w:p>
        </w:tc>
        <w:tc>
          <w:tcPr>
            <w:tcW w:w="4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约320*200mm，法兰连接,手动调节</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22</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13</w:t>
            </w:r>
          </w:p>
        </w:tc>
        <w:tc>
          <w:tcPr>
            <w:tcW w:w="1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电动风量调节阀</w:t>
            </w:r>
          </w:p>
        </w:tc>
        <w:tc>
          <w:tcPr>
            <w:tcW w:w="472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约200*200mm，法兰连接,执行电机通过连杆机构操作叶片的闭合角度来控制风量,带名优电动执行器，压力环境：≥15（Mpa</w:t>
            </w:r>
          </w:p>
        </w:tc>
        <w:tc>
          <w:tcPr>
            <w:tcW w:w="6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6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14</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电动风量调节阀</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约320*200mm，法兰连接,执行电机通过连杆机构操作叶片的闭合角度来控制风量,带名优电动执行器，压力环境：≥15（Mpa</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22</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15</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防火调节阀(70℃)</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约400×320mm，常开，温度≥70℃易熔片动作使阀门自动关闭</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16</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防火调节阀(70℃)</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约320×250mm，常开，温度≥70℃易熔片动作使阀门自动关闭</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17</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止回阀</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约320×250mm</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18</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铝合金排风百叶</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约400x250mm,材质：铝合金，叶片为固定式，带初效过滤网</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16</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个</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19</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风管支架</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优质镀锌钢材</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项</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20</w:t>
            </w:r>
          </w:p>
        </w:tc>
        <w:tc>
          <w:tcPr>
            <w:tcW w:w="176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空调铜管及保温</w:t>
            </w:r>
          </w:p>
        </w:tc>
        <w:tc>
          <w:tcPr>
            <w:tcW w:w="4725"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≤20米范围内</w:t>
            </w:r>
          </w:p>
        </w:tc>
        <w:tc>
          <w:tcPr>
            <w:tcW w:w="68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套</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21</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压力传感器</w:t>
            </w:r>
          </w:p>
        </w:tc>
        <w:tc>
          <w:tcPr>
            <w:tcW w:w="4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精度：0.5”&amp;0.25”w.c.; ±1%；0.1”w.c.:±2%。100&amp;50Pa:±1%;25Pa:±2%</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稳定性：±1%满量程/年</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温度范围: (-18 to 66°C).</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压力极限：最大耐压：1 psi（连续），安全极限压力：10 psi</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电源：10-35VDC（2 线）；17-36VDC 或隔离的21.6-33VAC(3 线)</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输出信号：4-20mA（2 线）；0-10V（3 线）</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只</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22</w:t>
            </w:r>
          </w:p>
        </w:tc>
        <w:tc>
          <w:tcPr>
            <w:tcW w:w="1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风速传感器</w:t>
            </w:r>
          </w:p>
        </w:tc>
        <w:tc>
          <w:tcPr>
            <w:tcW w:w="472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量程：约0-10m/s; 0-15m/s; 0-25m/s</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精度：0.2%fs</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电源：24VAC；24VDC</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频率：50Hz</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输出信号：0-10VDC;4-20mA;0-5V订制 RS485信号</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工作环境：温度：-5~+70 湿度：0-90%RH不凝露</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探头长度：标准220mm 可定制1500mm以下长度或非常规5000mm以下长度</w:t>
            </w:r>
          </w:p>
        </w:tc>
        <w:tc>
          <w:tcPr>
            <w:tcW w:w="6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只</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23</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温湿度传感器</w:t>
            </w:r>
          </w:p>
        </w:tc>
        <w:tc>
          <w:tcPr>
            <w:tcW w:w="4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外壳材料：塑料(PC+ABS)，阻燃，符合标准UL94-V0</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接线端子排：螺旋式接线柱，最Da导线尺寸为1.5mm2或AWG16</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电源：24，18～40Vdc/24Vac</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输出：4～20mA/0～10V</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量程：0～1OO%RH</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温度：-5到55℃，0℃到70℃。零下25℃到60℃三档跳线选择</w:t>
            </w:r>
            <w:r>
              <w:rPr>
                <w:rFonts w:hint="eastAsia" w:asciiTheme="minorEastAsia" w:hAnsiTheme="minorEastAsia" w:eastAsiaTheme="minorEastAsia" w:cstheme="minorEastAsia"/>
                <w:color w:val="auto"/>
                <w:kern w:val="0"/>
                <w:szCs w:val="21"/>
                <w:highlight w:val="none"/>
              </w:rPr>
              <w:br w:type="textWrapping"/>
            </w:r>
            <w:r>
              <w:rPr>
                <w:rFonts w:hint="eastAsia" w:asciiTheme="minorEastAsia" w:hAnsiTheme="minorEastAsia" w:eastAsiaTheme="minorEastAsia" w:cstheme="minorEastAsia"/>
                <w:color w:val="auto"/>
                <w:kern w:val="0"/>
                <w:szCs w:val="21"/>
                <w:highlight w:val="none"/>
              </w:rPr>
              <w:t>精度：±2%RH,±4%RH 可选</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只</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r>
        <w:tblPrEx>
          <w:tblCellMar>
            <w:top w:w="0" w:type="dxa"/>
            <w:left w:w="108" w:type="dxa"/>
            <w:bottom w:w="0" w:type="dxa"/>
            <w:right w:w="108" w:type="dxa"/>
          </w:tblCellMar>
        </w:tblPrEx>
        <w:trPr>
          <w:trHeight w:val="1134" w:hRule="atLeast"/>
          <w:jc w:val="center"/>
        </w:trPr>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24</w:t>
            </w:r>
          </w:p>
        </w:tc>
        <w:tc>
          <w:tcPr>
            <w:tcW w:w="1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空调风机控制箱(AP)</w:t>
            </w:r>
          </w:p>
        </w:tc>
        <w:tc>
          <w:tcPr>
            <w:tcW w:w="472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PLC洁净空调控制柜(含人机界面、控制箱、控制线、传感器等元件）</w:t>
            </w:r>
          </w:p>
        </w:tc>
        <w:tc>
          <w:tcPr>
            <w:tcW w:w="6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6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套</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　</w:t>
            </w:r>
          </w:p>
        </w:tc>
      </w:tr>
    </w:tbl>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注：</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本</w:t>
      </w:r>
      <w:r>
        <w:rPr>
          <w:rFonts w:hint="eastAsia" w:asciiTheme="minorEastAsia" w:hAnsiTheme="minorEastAsia" w:eastAsiaTheme="minorEastAsia" w:cstheme="minorEastAsia"/>
          <w:color w:val="auto"/>
          <w:sz w:val="21"/>
          <w:szCs w:val="21"/>
          <w:highlight w:val="none"/>
          <w:lang w:val="zh-CN"/>
        </w:rPr>
        <w:t>主要材料采购一览表</w:t>
      </w:r>
      <w:r>
        <w:rPr>
          <w:rFonts w:hint="eastAsia" w:asciiTheme="minorEastAsia" w:hAnsiTheme="minorEastAsia" w:eastAsiaTheme="minorEastAsia" w:cstheme="minorEastAsia"/>
          <w:color w:val="auto"/>
          <w:sz w:val="21"/>
          <w:szCs w:val="21"/>
          <w:highlight w:val="none"/>
        </w:rPr>
        <w:t>中所列的性能参数、规格、型号为基准符合参数，</w:t>
      </w:r>
      <w:r>
        <w:rPr>
          <w:rFonts w:hint="eastAsia" w:asciiTheme="minorEastAsia" w:hAnsiTheme="minorEastAsia" w:eastAsiaTheme="minorEastAsia" w:cstheme="minorEastAsia"/>
          <w:color w:val="auto"/>
          <w:sz w:val="21"/>
          <w:szCs w:val="21"/>
          <w:highlight w:val="none"/>
          <w:lang w:eastAsia="zh-CN"/>
        </w:rPr>
        <w:t>报价人</w:t>
      </w:r>
      <w:r>
        <w:rPr>
          <w:rFonts w:hint="eastAsia" w:asciiTheme="minorEastAsia" w:hAnsiTheme="minorEastAsia" w:eastAsiaTheme="minorEastAsia" w:cstheme="minorEastAsia"/>
          <w:color w:val="auto"/>
          <w:sz w:val="21"/>
          <w:szCs w:val="21"/>
          <w:highlight w:val="none"/>
        </w:rPr>
        <w:t>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2、以上需求清单为基本配置清单，报价人须依据工艺设计进行细化，具体数量及规格必须按照工艺设计及建设方技术要求进行详细列表说明与施工。</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 3、凡在“技术参数要求”中表述为“标配”或“标准配置”的设备，报价人应按第五章“投标文件格式”规定的格式在“磋商分项报价表”中将其参数详细列明。</w:t>
      </w:r>
    </w:p>
    <w:p>
      <w:pPr>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br w:type="page"/>
      </w:r>
    </w:p>
    <w:p>
      <w:pPr>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七、平面图</w:t>
      </w:r>
    </w:p>
    <w:p>
      <w:pPr>
        <w:pStyle w:val="2"/>
        <w:rPr>
          <w:rFonts w:hint="eastAsia" w:asciiTheme="minorEastAsia" w:hAnsiTheme="minorEastAsia" w:eastAsiaTheme="minorEastAsia" w:cstheme="minorEastAsia"/>
          <w:color w:val="auto"/>
          <w:sz w:val="21"/>
          <w:szCs w:val="21"/>
          <w:highlight w:val="none"/>
          <w:lang w:val="zh-CN"/>
        </w:rPr>
      </w:pPr>
    </w:p>
    <w:p>
      <w:pPr>
        <w:pStyle w:val="2"/>
        <w:rPr>
          <w:rFonts w:hint="eastAsia" w:asciiTheme="minorEastAsia" w:hAnsiTheme="minorEastAsia" w:eastAsiaTheme="minorEastAsia" w:cstheme="minorEastAsia"/>
          <w:color w:val="auto"/>
          <w:sz w:val="21"/>
          <w:szCs w:val="21"/>
          <w:highlight w:val="none"/>
          <w:lang w:val="zh-CN"/>
        </w:rPr>
      </w:pPr>
      <w:r>
        <w:rPr>
          <w:color w:val="auto"/>
          <w:highlight w:val="none"/>
        </w:rPr>
        <w:drawing>
          <wp:inline distT="0" distB="0" distL="114300" distR="114300">
            <wp:extent cx="6120130" cy="7258050"/>
            <wp:effectExtent l="0" t="0" r="139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6120130" cy="7258050"/>
                    </a:xfrm>
                    <a:prstGeom prst="rect">
                      <a:avLst/>
                    </a:prstGeom>
                    <a:noFill/>
                    <a:ln>
                      <a:noFill/>
                    </a:ln>
                  </pic:spPr>
                </pic:pic>
              </a:graphicData>
            </a:graphic>
          </wp:inline>
        </w:drawing>
      </w:r>
      <w:r>
        <w:rPr>
          <w:color w:val="auto"/>
          <w:highlight w:val="none"/>
        </w:rPr>
        <w:drawing>
          <wp:inline distT="0" distB="0" distL="114300" distR="114300">
            <wp:extent cx="6113780" cy="7282180"/>
            <wp:effectExtent l="0" t="0" r="1270"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6113780" cy="7282180"/>
                    </a:xfrm>
                    <a:prstGeom prst="rect">
                      <a:avLst/>
                    </a:prstGeom>
                    <a:noFill/>
                    <a:ln>
                      <a:noFill/>
                    </a:ln>
                  </pic:spPr>
                </pic:pic>
              </a:graphicData>
            </a:graphic>
          </wp:inline>
        </w:drawing>
      </w:r>
    </w:p>
    <w:p>
      <w:pPr>
        <w:pStyle w:val="2"/>
        <w:rPr>
          <w:rFonts w:hint="eastAsia" w:asciiTheme="minorEastAsia" w:hAnsiTheme="minorEastAsia" w:eastAsiaTheme="minorEastAsia" w:cstheme="minorEastAsia"/>
          <w:color w:val="auto"/>
          <w:sz w:val="21"/>
          <w:szCs w:val="21"/>
          <w:highlight w:val="none"/>
        </w:rPr>
      </w:pPr>
    </w:p>
    <w:p>
      <w:pPr>
        <w:tabs>
          <w:tab w:val="left" w:pos="840"/>
        </w:tabs>
        <w:spacing w:line="440" w:lineRule="exact"/>
        <w:rPr>
          <w:rFonts w:asciiTheme="minorEastAsia" w:hAnsiTheme="minorEastAsia" w:eastAsiaTheme="minorEastAsia" w:cstheme="minorEastAsia"/>
          <w:b/>
          <w:color w:val="auto"/>
          <w:szCs w:val="21"/>
          <w:highlight w:val="none"/>
          <w:lang w:val="zh-CN"/>
        </w:rPr>
      </w:pPr>
      <w:r>
        <w:rPr>
          <w:rFonts w:hint="eastAsia" w:asciiTheme="minorEastAsia" w:hAnsiTheme="minorEastAsia" w:eastAsiaTheme="minorEastAsia" w:cstheme="minorEastAsia"/>
          <w:b/>
          <w:color w:val="auto"/>
          <w:szCs w:val="21"/>
          <w:highlight w:val="none"/>
        </w:rPr>
        <w:t>八</w:t>
      </w:r>
      <w:r>
        <w:rPr>
          <w:rFonts w:hint="eastAsia" w:asciiTheme="minorEastAsia" w:hAnsiTheme="minorEastAsia" w:eastAsiaTheme="minorEastAsia" w:cstheme="minorEastAsia"/>
          <w:b/>
          <w:color w:val="auto"/>
          <w:szCs w:val="21"/>
          <w:highlight w:val="none"/>
          <w:lang w:val="zh-CN"/>
        </w:rPr>
        <w:t>、其他</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3.各报价人必须给出产品的详细资料，包括技术标准、产品配置、尺寸等，以便采购人综合进行评定。</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4.报价人必须保证：报价所列内容使得整个工程在功能上的完整性，并正常运行，验收合格。</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5.成交人责任:成交人在施工过程中需要负责处理好与周边的关系及经济问题，发生任何纠纷以及产生所有费用均由成交人自行承担。</w:t>
      </w:r>
    </w:p>
    <w:p>
      <w:pPr>
        <w:tabs>
          <w:tab w:val="left" w:pos="840"/>
        </w:tabs>
        <w:spacing w:line="440" w:lineRule="exact"/>
        <w:rPr>
          <w:rFonts w:asciiTheme="minorEastAsia" w:hAnsiTheme="minorEastAsia" w:eastAsiaTheme="minorEastAsia" w:cstheme="minorEastAsia"/>
          <w:b/>
          <w:color w:val="auto"/>
          <w:szCs w:val="21"/>
          <w:highlight w:val="none"/>
          <w:lang w:val="zh-CN"/>
        </w:rPr>
      </w:pPr>
      <w:r>
        <w:rPr>
          <w:rFonts w:hint="eastAsia" w:asciiTheme="minorEastAsia" w:hAnsiTheme="minorEastAsia" w:eastAsiaTheme="minorEastAsia" w:cstheme="minorEastAsia"/>
          <w:b/>
          <w:color w:val="auto"/>
          <w:szCs w:val="21"/>
          <w:highlight w:val="none"/>
        </w:rPr>
        <w:t>九、</w:t>
      </w:r>
      <w:r>
        <w:rPr>
          <w:rFonts w:hint="eastAsia" w:asciiTheme="minorEastAsia" w:hAnsiTheme="minorEastAsia" w:eastAsiaTheme="minorEastAsia" w:cstheme="minorEastAsia"/>
          <w:b/>
          <w:color w:val="auto"/>
          <w:szCs w:val="21"/>
          <w:highlight w:val="none"/>
          <w:lang w:val="zh-CN"/>
        </w:rPr>
        <w:t>质量保修期及售后服务要求</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1、免费质保期期限（自验收合格之日起计）：</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质量保修期至少一年。</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若国家或生产厂家对本项目所涉及货物及其服务的质保期规定高于本项目要求的，应按照国家或生产厂家的规定执行。</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质量保修期内成交人对所供项目内容实行包修、包换、包维护保养</w:t>
      </w:r>
      <w:r>
        <w:rPr>
          <w:rFonts w:hint="eastAsia" w:asciiTheme="minorEastAsia" w:hAnsiTheme="minorEastAsia" w:eastAsiaTheme="minorEastAsia" w:cstheme="minorEastAsia"/>
          <w:color w:val="auto"/>
          <w:szCs w:val="21"/>
          <w:highlight w:val="none"/>
        </w:rPr>
        <w:t>，结合具体工程要求</w:t>
      </w:r>
      <w:r>
        <w:rPr>
          <w:rFonts w:hint="eastAsia" w:asciiTheme="minorEastAsia" w:hAnsiTheme="minorEastAsia" w:eastAsiaTheme="minorEastAsia" w:cstheme="minorEastAsia"/>
          <w:color w:val="auto"/>
          <w:szCs w:val="21"/>
          <w:highlight w:val="none"/>
          <w:lang w:val="zh-CN"/>
        </w:rPr>
        <w:t>。免费质保期所涉及服务的一切费用均包含在投标报价中。</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5、配件：报价人承诺在质保期内免费提供有效的常用配件。</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6、培训：报价人承诺在合同签订后，组织采购人相关管理人员进行产品使用和日常保养的知识培训，培训费用由报价人承担。</w:t>
      </w:r>
    </w:p>
    <w:bookmarkEnd w:id="280"/>
    <w:p>
      <w:pPr>
        <w:tabs>
          <w:tab w:val="left" w:pos="840"/>
        </w:tabs>
        <w:spacing w:line="440" w:lineRule="exact"/>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w:t>
      </w:r>
      <w:r>
        <w:rPr>
          <w:rFonts w:hint="eastAsia" w:asciiTheme="minorEastAsia" w:hAnsiTheme="minorEastAsia" w:eastAsiaTheme="minorEastAsia" w:cstheme="minorEastAsia"/>
          <w:b/>
          <w:color w:val="auto"/>
          <w:szCs w:val="21"/>
          <w:highlight w:val="none"/>
          <w:lang w:val="zh-CN"/>
        </w:rPr>
        <w:t>、支付方式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1.支付方式：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采购人按下述进度以转账方式支付相应款项。</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2.支付进度：</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（一）付款采用 分期付款方式；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（二）具体付款方式：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（1）合同签订生效后，采购人支付成交人合同金额30%预付款；</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（2）所有货物到达安装现场并经采购人确认后，采购人按合同金额向成交人支付至80%的款项；</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项目完成并经采购人及上级主管部门验收合格等手续，采购人自收到发票后30日内将资金支付到成交人账户，支付至结算金额的95%，余下5%作为本项目质保金，质保期到期后无责免息支付给成交人。若成交人在质量保证期内未完全履行缺陷保修义务的，采购人有权扣除质量保证金，并保留进一步索赔的权利。</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（三）成交人向采购人申请支付货款时需提供：</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（2）成交人开具正式全额发票；</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（3）验收调试报告加盖采购人公章；</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（4）中标（成交）通知书。</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86" w:name="_Toc303110406"/>
      <w:bookmarkStart w:id="287" w:name="_Toc293341641"/>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w:t>
      </w:r>
      <w:r>
        <w:rPr>
          <w:rFonts w:hint="eastAsia" w:ascii="宋体" w:hAnsi="宋体"/>
          <w:color w:val="auto"/>
          <w:szCs w:val="21"/>
          <w:highlight w:val="none"/>
          <w:lang w:eastAsia="zh-CN"/>
        </w:rPr>
        <w:t>竞争性磋商文件</w:t>
      </w:r>
      <w:r>
        <w:rPr>
          <w:rFonts w:hint="eastAsia" w:ascii="宋体" w:hAnsi="宋体"/>
          <w:color w:val="auto"/>
          <w:szCs w:val="21"/>
          <w:highlight w:val="none"/>
        </w:rPr>
        <w:t>作实质性修改。</w:t>
      </w:r>
    </w:p>
    <w:p>
      <w:pPr>
        <w:jc w:val="center"/>
        <w:rPr>
          <w:rFonts w:asciiTheme="minorEastAsia" w:hAnsiTheme="minorEastAsia" w:eastAsiaTheme="minorEastAsia" w:cstheme="minorEastAsia"/>
          <w:b/>
          <w:color w:val="auto"/>
          <w:sz w:val="52"/>
          <w:szCs w:val="52"/>
          <w:highlight w:val="none"/>
        </w:rPr>
      </w:pPr>
    </w:p>
    <w:p>
      <w:pPr>
        <w:jc w:val="center"/>
        <w:rPr>
          <w:rFonts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asciiTheme="minorEastAsia" w:hAnsiTheme="minorEastAsia" w:eastAsiaTheme="minorEastAsia" w:cstheme="minorEastAsia"/>
          <w:color w:val="auto"/>
          <w:sz w:val="28"/>
          <w:highlight w:val="none"/>
        </w:rPr>
      </w:pP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b/>
          <w:color w:val="auto"/>
          <w:highlight w:val="none"/>
          <w:u w:val="single"/>
          <w:lang w:val="en-US" w:eastAsia="zh-CN"/>
        </w:rPr>
      </w:pPr>
      <w:r>
        <w:rPr>
          <w:rFonts w:hint="eastAsia" w:asciiTheme="minorEastAsia" w:hAnsiTheme="minorEastAsia" w:eastAsiaTheme="minorEastAsia" w:cstheme="minorEastAsia"/>
          <w:b/>
          <w:color w:val="auto"/>
          <w:highlight w:val="none"/>
        </w:rPr>
        <w:t>甲  方：</w:t>
      </w:r>
      <w:r>
        <w:rPr>
          <w:rFonts w:hint="eastAsia" w:asciiTheme="minorEastAsia" w:hAnsiTheme="minorEastAsia" w:eastAsiaTheme="minorEastAsia" w:cstheme="minorEastAsia"/>
          <w:b/>
          <w:color w:val="auto"/>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440" w:lineRule="exact"/>
        <w:textAlignment w:val="auto"/>
        <w:rPr>
          <w:rFonts w:hint="default" w:asciiTheme="minorEastAsia" w:hAnsiTheme="minorEastAsia" w:eastAsiaTheme="minorEastAsia" w:cstheme="minorEastAsia"/>
          <w:b/>
          <w:color w:val="auto"/>
          <w:highlight w:val="none"/>
          <w:u w:val="single"/>
          <w:lang w:val="en-US" w:eastAsia="zh-CN"/>
        </w:rPr>
      </w:pPr>
      <w:r>
        <w:rPr>
          <w:rFonts w:hint="eastAsia" w:asciiTheme="minorEastAsia" w:hAnsiTheme="minorEastAsia" w:eastAsiaTheme="minorEastAsia" w:cstheme="minorEastAsia"/>
          <w:b/>
          <w:color w:val="auto"/>
          <w:highlight w:val="none"/>
        </w:rPr>
        <w:t>乙  方：</w:t>
      </w:r>
      <w:r>
        <w:rPr>
          <w:rFonts w:hint="eastAsia" w:asciiTheme="minorEastAsia" w:hAnsiTheme="minorEastAsia" w:eastAsiaTheme="minorEastAsia" w:cstheme="minorEastAsia"/>
          <w:b/>
          <w:color w:val="auto"/>
          <w:highlight w:val="none"/>
          <w:u w:val="single"/>
          <w:lang w:val="en-US" w:eastAsia="zh-CN"/>
        </w:rPr>
        <w:t xml:space="preserve">                      </w:t>
      </w:r>
      <w:r>
        <w:rPr>
          <w:rFonts w:hint="eastAsia" w:asciiTheme="minorEastAsia" w:hAnsiTheme="minorEastAsia" w:eastAsiaTheme="minorEastAsia" w:cstheme="minorEastAsia"/>
          <w:b/>
          <w:color w:val="auto"/>
          <w:highlight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根据《中华人民共和国采购法》、《中华人民共和国合同法》及年月日竞争性磋商文件（招标编号：</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）、投标文件的要求，经双方协商一致，签订本合同。具体条款如下：</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sz w:val="24"/>
          <w:highlight w:val="none"/>
        </w:rPr>
        <w:t>1. 合同设备</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乙方负责向甲方提供下表中所列采购项目和相关的安装调试服务。</w:t>
      </w:r>
    </w:p>
    <w:tbl>
      <w:tblPr>
        <w:tblStyle w:val="89"/>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ind w:left="-2" w:firstLine="2"/>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bl>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2. 合同总价</w:t>
      </w:r>
    </w:p>
    <w:p>
      <w:pPr>
        <w:keepNext w:val="0"/>
        <w:keepLines w:val="0"/>
        <w:pageBreakBefore w:val="0"/>
        <w:widowControl w:val="0"/>
        <w:kinsoku/>
        <w:wordWrap/>
        <w:overflowPunct/>
        <w:topLinePunct w:val="0"/>
        <w:autoSpaceDE/>
        <w:autoSpaceDN/>
        <w:bidi w:val="0"/>
        <w:adjustRightInd/>
        <w:spacing w:line="440" w:lineRule="exact"/>
        <w:ind w:left="315" w:leftChars="15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总价为：（大写</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eastAsiaTheme="minorEastAsia" w:cstheme="minorEastAsia"/>
          <w:color w:val="auto"/>
          <w:highlight w:val="none"/>
          <w:lang w:val="en-US" w:eastAsia="zh-CN"/>
        </w:rPr>
        <w:t xml:space="preserve"> </w:t>
      </w:r>
      <w:r>
        <w:rPr>
          <w:rFonts w:hint="eastAsia" w:asciiTheme="minorEastAsia" w:hAnsiTheme="minorEastAsia" w:eastAsiaTheme="minorEastAsia" w:cstheme="minorEastAsia"/>
          <w:color w:val="auto"/>
          <w:highlight w:val="none"/>
        </w:rPr>
        <w:t>） ，即RMB￥</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eastAsiaTheme="minorEastAsia" w:cstheme="minorEastAsia"/>
          <w:color w:val="auto"/>
          <w:highlight w:val="none"/>
        </w:rPr>
        <w:t>元，</w:t>
      </w:r>
      <w:r>
        <w:rPr>
          <w:rFonts w:hint="eastAsia" w:ascii="宋体" w:hAnsi="宋体" w:cs="宋体"/>
          <w:color w:val="auto"/>
          <w:szCs w:val="21"/>
          <w:highlight w:val="none"/>
        </w:rPr>
        <w:t>本项目是交钥匙工程，</w:t>
      </w:r>
      <w:r>
        <w:rPr>
          <w:rFonts w:hint="eastAsia" w:asciiTheme="minorEastAsia" w:hAnsiTheme="minorEastAsia" w:eastAsiaTheme="minorEastAsia" w:cstheme="minorEastAsia"/>
          <w:color w:val="auto"/>
          <w:highlight w:val="none"/>
        </w:rPr>
        <w:t>该合同总金额</w:t>
      </w:r>
      <w:r>
        <w:rPr>
          <w:rFonts w:hint="eastAsia" w:ascii="宋体" w:hAnsi="宋体" w:cs="宋体"/>
          <w:color w:val="auto"/>
          <w:szCs w:val="21"/>
          <w:highlight w:val="none"/>
        </w:rPr>
        <w:t>包括设备采购及相关运输、设计、安装、调试、培训、售后等服务</w:t>
      </w:r>
      <w:r>
        <w:rPr>
          <w:rFonts w:hint="eastAsia" w:asciiTheme="minorEastAsia" w:hAnsiTheme="minorEastAsia" w:eastAsiaTheme="minorEastAsia" w:cstheme="minorEastAsia"/>
          <w:color w:val="auto"/>
          <w:highlight w:val="none"/>
        </w:rPr>
        <w:t>。本合同执行期间合同总金额不变。</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3．2.2.1合同签订生效后，甲方支付乙方合同金额30%预付款</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3.2.2.2</w:t>
      </w:r>
      <w:r>
        <w:rPr>
          <w:rFonts w:hint="eastAsia" w:cs="Calibri"/>
          <w:color w:val="auto"/>
          <w:szCs w:val="21"/>
          <w:highlight w:val="none"/>
        </w:rPr>
        <w:t>所有货物到达安装现场</w:t>
      </w:r>
      <w:r>
        <w:rPr>
          <w:rFonts w:hint="eastAsia" w:ascii="宋体" w:hAnsi="宋体"/>
          <w:color w:val="auto"/>
          <w:szCs w:val="21"/>
          <w:highlight w:val="none"/>
        </w:rPr>
        <w:t>并经甲方确认后，甲方按合同金额向乙方支付至80%的款项；</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3.2.2.3</w:t>
      </w:r>
      <w:r>
        <w:rPr>
          <w:rFonts w:hint="eastAsia" w:ascii="宋体" w:hAnsi="宋体" w:cs="宋体"/>
          <w:color w:val="auto"/>
          <w:szCs w:val="21"/>
          <w:highlight w:val="none"/>
        </w:rPr>
        <w:t>项目完成并经</w:t>
      </w:r>
      <w:r>
        <w:rPr>
          <w:rFonts w:hint="eastAsia" w:asciiTheme="minorEastAsia" w:hAnsiTheme="minorEastAsia" w:eastAsiaTheme="minorEastAsia" w:cstheme="minorEastAsia"/>
          <w:color w:val="auto"/>
          <w:szCs w:val="21"/>
          <w:highlight w:val="none"/>
        </w:rPr>
        <w:t>甲方及上级主管部门</w:t>
      </w:r>
      <w:r>
        <w:rPr>
          <w:rFonts w:hint="eastAsia" w:ascii="宋体" w:hAnsi="宋体" w:cs="宋体"/>
          <w:color w:val="auto"/>
          <w:szCs w:val="21"/>
          <w:highlight w:val="none"/>
        </w:rPr>
        <w:t>验收合格等手续，甲方自收到发票后30日内将资金支付到乙方账户，支付至结算金额的95%，余下5%作为本项目质保金，质保期到期后无责免息支付给乙方。若乙方在质量保证期内未完全履行缺陷保修义务的，甲方有权扣除质量保证金，并保留进一步索赔的权利。</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3.3乙方向</w:t>
      </w:r>
      <w:r>
        <w:rPr>
          <w:rFonts w:hint="eastAsia" w:asciiTheme="minorEastAsia" w:hAnsiTheme="minorEastAsia" w:eastAsiaTheme="minorEastAsia" w:cstheme="minorEastAsia"/>
          <w:b w:val="0"/>
          <w:bCs/>
          <w:color w:val="auto"/>
          <w:szCs w:val="21"/>
          <w:highlight w:val="none"/>
        </w:rPr>
        <w:t>甲方申请</w:t>
      </w:r>
      <w:r>
        <w:rPr>
          <w:rFonts w:hint="eastAsia" w:asciiTheme="minorEastAsia" w:hAnsiTheme="minorEastAsia" w:eastAsiaTheme="minorEastAsia" w:cstheme="minorEastAsia"/>
          <w:color w:val="auto"/>
          <w:szCs w:val="21"/>
          <w:highlight w:val="none"/>
        </w:rPr>
        <w:t>支付货款时需提供：</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（2）乙方开具正式全额发票；</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（3）验收调试报告加盖甲方公章；</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color w:val="auto"/>
          <w:highlight w:val="none"/>
        </w:rPr>
      </w:pPr>
      <w:r>
        <w:rPr>
          <w:rFonts w:hint="eastAsia" w:asciiTheme="minorEastAsia" w:hAnsiTheme="minorEastAsia" w:eastAsiaTheme="minorEastAsia" w:cstheme="minorEastAsia"/>
          <w:color w:val="auto"/>
          <w:szCs w:val="21"/>
          <w:highlight w:val="none"/>
        </w:rPr>
        <w:t>（4）中标（成交）通知书。</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keepNext w:val="0"/>
        <w:keepLines w:val="0"/>
        <w:pageBreakBefore w:val="0"/>
        <w:widowControl w:val="0"/>
        <w:kinsoku/>
        <w:wordWrap/>
        <w:overflowPunct/>
        <w:topLinePunct w:val="0"/>
        <w:autoSpaceDE/>
        <w:autoSpaceDN/>
        <w:bidi w:val="0"/>
        <w:adjustRightInd/>
        <w:spacing w:line="440" w:lineRule="exact"/>
        <w:ind w:left="420" w:left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keepNext w:val="0"/>
        <w:keepLines w:val="0"/>
        <w:pageBreakBefore w:val="0"/>
        <w:widowControl w:val="0"/>
        <w:kinsoku/>
        <w:wordWrap/>
        <w:overflowPunct/>
        <w:topLinePunct w:val="0"/>
        <w:autoSpaceDE/>
        <w:autoSpaceDN/>
        <w:bidi w:val="0"/>
        <w:adjustRightInd/>
        <w:spacing w:line="440" w:lineRule="exact"/>
        <w:ind w:left="315" w:leftChars="15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keepNext w:val="0"/>
        <w:keepLines w:val="0"/>
        <w:pageBreakBefore w:val="0"/>
        <w:widowControl w:val="0"/>
        <w:kinsoku/>
        <w:wordWrap/>
        <w:overflowPunct/>
        <w:topLinePunct w:val="0"/>
        <w:autoSpaceDE/>
        <w:autoSpaceDN/>
        <w:bidi w:val="0"/>
        <w:adjustRightInd/>
        <w:spacing w:line="440" w:lineRule="exact"/>
        <w:ind w:left="630" w:leftChars="300" w:firstLine="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keepNext w:val="0"/>
        <w:keepLines w:val="0"/>
        <w:pageBreakBefore w:val="0"/>
        <w:widowControl w:val="0"/>
        <w:numPr>
          <w:ilvl w:val="0"/>
          <w:numId w:val="10"/>
        </w:numPr>
        <w:tabs>
          <w:tab w:val="left" w:pos="945"/>
          <w:tab w:val="clear" w:pos="1352"/>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乙方交付使用时间：成交人签订合同后起天内完成全部货物的安装、调试和验收。</w:t>
      </w:r>
    </w:p>
    <w:p>
      <w:pPr>
        <w:keepNext w:val="0"/>
        <w:keepLines w:val="0"/>
        <w:pageBreakBefore w:val="0"/>
        <w:widowControl w:val="0"/>
        <w:numPr>
          <w:ilvl w:val="0"/>
          <w:numId w:val="10"/>
        </w:numPr>
        <w:tabs>
          <w:tab w:val="left" w:pos="945"/>
          <w:tab w:val="clear" w:pos="1352"/>
        </w:tabs>
        <w:kinsoku/>
        <w:wordWrap/>
        <w:overflowPunct/>
        <w:topLinePunct w:val="0"/>
        <w:autoSpaceDE/>
        <w:autoSpaceDN/>
        <w:bidi w:val="0"/>
        <w:adjustRightInd/>
        <w:spacing w:line="440" w:lineRule="exact"/>
        <w:ind w:hanging="827"/>
        <w:textAlignment w:val="auto"/>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keepNext w:val="0"/>
        <w:keepLines w:val="0"/>
        <w:pageBreakBefore w:val="0"/>
        <w:widowControl w:val="0"/>
        <w:numPr>
          <w:ilvl w:val="0"/>
          <w:numId w:val="11"/>
        </w:numPr>
        <w:tabs>
          <w:tab w:val="left" w:pos="945"/>
          <w:tab w:val="clear" w:pos="1215"/>
        </w:tabs>
        <w:kinsoku/>
        <w:wordWrap/>
        <w:overflowPunct/>
        <w:topLinePunct w:val="0"/>
        <w:autoSpaceDE/>
        <w:autoSpaceDN/>
        <w:bidi w:val="0"/>
        <w:adjustRightInd/>
        <w:spacing w:line="440" w:lineRule="exact"/>
        <w:ind w:hanging="69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keepNext w:val="0"/>
        <w:keepLines w:val="0"/>
        <w:pageBreakBefore w:val="0"/>
        <w:widowControl w:val="0"/>
        <w:numPr>
          <w:ilvl w:val="0"/>
          <w:numId w:val="11"/>
        </w:numPr>
        <w:tabs>
          <w:tab w:val="left" w:pos="945"/>
          <w:tab w:val="clear" w:pos="1215"/>
        </w:tabs>
        <w:kinsoku/>
        <w:wordWrap/>
        <w:overflowPunct/>
        <w:topLinePunct w:val="0"/>
        <w:autoSpaceDE/>
        <w:autoSpaceDN/>
        <w:bidi w:val="0"/>
        <w:adjustRightInd/>
        <w:spacing w:line="440" w:lineRule="exact"/>
        <w:ind w:hanging="69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keepNext w:val="0"/>
        <w:keepLines w:val="0"/>
        <w:pageBreakBefore w:val="0"/>
        <w:widowControl w:val="0"/>
        <w:numPr>
          <w:ilvl w:val="0"/>
          <w:numId w:val="12"/>
        </w:numPr>
        <w:tabs>
          <w:tab w:val="left" w:pos="945"/>
          <w:tab w:val="clear" w:pos="1215"/>
        </w:tabs>
        <w:kinsoku/>
        <w:wordWrap/>
        <w:overflowPunct/>
        <w:topLinePunct w:val="0"/>
        <w:autoSpaceDE/>
        <w:autoSpaceDN/>
        <w:bidi w:val="0"/>
        <w:adjustRightInd/>
        <w:spacing w:line="440" w:lineRule="exact"/>
        <w:ind w:left="945" w:right="-420" w:right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keepNext w:val="0"/>
        <w:keepLines w:val="0"/>
        <w:pageBreakBefore w:val="0"/>
        <w:widowControl w:val="0"/>
        <w:numPr>
          <w:ilvl w:val="0"/>
          <w:numId w:val="12"/>
        </w:numPr>
        <w:tabs>
          <w:tab w:val="left" w:pos="945"/>
          <w:tab w:val="clear" w:pos="1215"/>
        </w:tabs>
        <w:kinsoku/>
        <w:wordWrap/>
        <w:overflowPunct/>
        <w:topLinePunct w:val="0"/>
        <w:autoSpaceDE/>
        <w:autoSpaceDN/>
        <w:bidi w:val="0"/>
        <w:adjustRightInd/>
        <w:spacing w:line="440" w:lineRule="exact"/>
        <w:ind w:left="945" w:right="-420" w:right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keepNext w:val="0"/>
        <w:keepLines w:val="0"/>
        <w:pageBreakBefore w:val="0"/>
        <w:widowControl w:val="0"/>
        <w:numPr>
          <w:ilvl w:val="0"/>
          <w:numId w:val="12"/>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keepNext w:val="0"/>
        <w:keepLines w:val="0"/>
        <w:pageBreakBefore w:val="0"/>
        <w:widowControl w:val="0"/>
        <w:numPr>
          <w:ilvl w:val="0"/>
          <w:numId w:val="12"/>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keepNext w:val="0"/>
        <w:keepLines w:val="0"/>
        <w:pageBreakBefore w:val="0"/>
        <w:widowControl w:val="0"/>
        <w:numPr>
          <w:ilvl w:val="0"/>
          <w:numId w:val="12"/>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rPr>
        <w:t xml:space="preserve">7.1 </w:t>
      </w:r>
      <w:r>
        <w:rPr>
          <w:rFonts w:hint="eastAsia" w:asciiTheme="minorEastAsia" w:hAnsiTheme="minorEastAsia" w:eastAsiaTheme="minorEastAsia" w:cstheme="minorEastAsia"/>
          <w:color w:val="auto"/>
          <w:highlight w:val="none"/>
        </w:rPr>
        <w:t>乙方保</w:t>
      </w:r>
      <w:r>
        <w:rPr>
          <w:rFonts w:hint="eastAsia" w:asciiTheme="minorEastAsia" w:hAnsiTheme="minorEastAsia" w:eastAsiaTheme="minorEastAsia" w:cstheme="minorEastAsia"/>
          <w:color w:val="auto"/>
          <w:szCs w:val="21"/>
          <w:highlight w:val="none"/>
        </w:rPr>
        <w:t>证合同设备是全新、未曾使用过的，其质量、规格及技术特征符合合同附件的要求。保证备品配件在同机型设备停产后3年以上的供应。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7.2 </w:t>
      </w:r>
      <w:r>
        <w:rPr>
          <w:rFonts w:hint="eastAsia" w:asciiTheme="minorEastAsia" w:hAnsiTheme="minorEastAsia" w:eastAsiaTheme="minorEastAsia" w:cstheme="minorEastAsia"/>
          <w:color w:val="auto"/>
          <w:szCs w:val="21"/>
          <w:highlight w:val="none"/>
        </w:rPr>
        <w:t>合同设备保质保用期为设备最终验收合格并经本项目有关部门验收签字之日起不少于12个月。</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7.3 </w:t>
      </w:r>
      <w:r>
        <w:rPr>
          <w:rFonts w:hint="eastAsia" w:asciiTheme="minorEastAsia" w:hAnsiTheme="minorEastAsia" w:eastAsiaTheme="minorEastAsia" w:cstheme="minorEastAsia"/>
          <w:color w:val="auto"/>
          <w:szCs w:val="21"/>
          <w:highlight w:val="none"/>
        </w:rPr>
        <w:t>保质保用期内出现产品质量及安装问题，由乙方负责包修、包换或包退，并承担因此而产生的一切费用。乙方应在收到甲方通知后24小时内派员到现场免费维修(技术要求另有规定除外)。</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lang w:val="en-US" w:eastAsia="zh-CN"/>
        </w:rPr>
        <w:t xml:space="preserve">7.4 </w:t>
      </w:r>
      <w:r>
        <w:rPr>
          <w:rFonts w:hint="eastAsia" w:asciiTheme="minorEastAsia" w:hAnsiTheme="minorEastAsia" w:eastAsiaTheme="minorEastAsia" w:cstheme="minorEastAsia"/>
          <w:color w:val="auto"/>
          <w:szCs w:val="21"/>
          <w:highlight w:val="none"/>
        </w:rPr>
        <w:t>因设备的质量问题而发生争议，由广东省或广州市质检部门进行质量鉴定。设备符合质量标准的，鉴定费用由甲方</w:t>
      </w:r>
      <w:r>
        <w:rPr>
          <w:rFonts w:hint="eastAsia" w:asciiTheme="minorEastAsia" w:hAnsiTheme="minorEastAsia" w:eastAsiaTheme="minorEastAsia" w:cstheme="minorEastAsia"/>
          <w:color w:val="auto"/>
          <w:highlight w:val="none"/>
        </w:rPr>
        <w:t>承担；设备不符合质量标准的，鉴定费用由乙方承担。</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8.1 </w:t>
      </w:r>
      <w:r>
        <w:rPr>
          <w:rFonts w:hint="eastAsia" w:asciiTheme="minorEastAsia" w:hAnsiTheme="minorEastAsia" w:eastAsiaTheme="minorEastAsia" w:cstheme="minorEastAsia"/>
          <w:color w:val="auto"/>
          <w:szCs w:val="21"/>
          <w:highlight w:val="none"/>
        </w:rPr>
        <w:t>乙方应派员到甲方指定地点配合工作。</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8.2 </w:t>
      </w:r>
      <w:r>
        <w:rPr>
          <w:rFonts w:hint="eastAsia" w:asciiTheme="minorEastAsia" w:hAnsiTheme="minorEastAsia" w:eastAsiaTheme="minorEastAsia" w:cstheme="minorEastAsia"/>
          <w:color w:val="auto"/>
          <w:szCs w:val="21"/>
          <w:highlight w:val="none"/>
        </w:rPr>
        <w:t>乙方按甲方提供的合同执行进度计划，再配合甲方及有关单位，以此做好合同执行进度上的配合工作。</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keepNext w:val="0"/>
        <w:keepLines w:val="0"/>
        <w:pageBreakBefore w:val="0"/>
        <w:widowControl w:val="0"/>
        <w:kinsoku/>
        <w:wordWrap/>
        <w:overflowPunct/>
        <w:topLinePunct w:val="0"/>
        <w:autoSpaceDE/>
        <w:autoSpaceDN/>
        <w:bidi w:val="0"/>
        <w:adjustRightInd/>
        <w:spacing w:line="440" w:lineRule="exact"/>
        <w:ind w:left="528" w:leftChars="-57" w:hanging="648" w:hangingChars="269"/>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keepNext w:val="0"/>
        <w:keepLines w:val="0"/>
        <w:pageBreakBefore w:val="0"/>
        <w:widowControl w:val="0"/>
        <w:numPr>
          <w:ilvl w:val="0"/>
          <w:numId w:val="13"/>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keepNext w:val="0"/>
        <w:keepLines w:val="0"/>
        <w:pageBreakBefore w:val="0"/>
        <w:widowControl w:val="0"/>
        <w:numPr>
          <w:ilvl w:val="0"/>
          <w:numId w:val="13"/>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keepNext w:val="0"/>
        <w:keepLines w:val="0"/>
        <w:pageBreakBefore w:val="0"/>
        <w:widowControl w:val="0"/>
        <w:numPr>
          <w:ilvl w:val="0"/>
          <w:numId w:val="13"/>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keepNext w:val="0"/>
        <w:keepLines w:val="0"/>
        <w:pageBreakBefore w:val="0"/>
        <w:widowControl w:val="0"/>
        <w:kinsoku/>
        <w:wordWrap/>
        <w:overflowPunct/>
        <w:topLinePunct w:val="0"/>
        <w:autoSpaceDE/>
        <w:autoSpaceDN/>
        <w:bidi w:val="0"/>
        <w:adjustRightInd/>
        <w:spacing w:line="440" w:lineRule="exact"/>
        <w:ind w:left="528" w:leftChars="-57" w:hanging="648" w:hangingChars="269"/>
        <w:textAlignment w:val="auto"/>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11.1  甲方应依合同规定时间内，向乙方支付货款，每拖延一天乙方可向甲方加收合同金额的3‰的违约金。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乙方未能按时交货，每拖延一天，须向甲方支付合同金额的3‰的违约金。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乙方交付的货物不符合合同规定的，甲方有权拒收，乙方向甲方支付合同金额的5%的违约金。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甲方无正当理由拒收货物的，甲方向乙方支付合同金额的5%的违约金。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乙方未能交付货物，则向甲方支付合同金额的7.5%的违约金。</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keepNext w:val="0"/>
        <w:keepLines w:val="0"/>
        <w:pageBreakBefore w:val="0"/>
        <w:widowControl w:val="0"/>
        <w:kinsoku/>
        <w:wordWrap/>
        <w:overflowPunct/>
        <w:topLinePunct w:val="0"/>
        <w:autoSpaceDE/>
        <w:autoSpaceDN/>
        <w:bidi w:val="0"/>
        <w:adjustRightInd/>
        <w:spacing w:line="440" w:lineRule="exact"/>
        <w:ind w:left="525" w:leftChars="250" w:firstLine="12" w:firstLineChars="6"/>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keepNext w:val="0"/>
        <w:keepLines w:val="0"/>
        <w:pageBreakBefore w:val="0"/>
        <w:widowControl w:val="0"/>
        <w:kinsoku/>
        <w:wordWrap/>
        <w:overflowPunct/>
        <w:topLinePunct w:val="0"/>
        <w:autoSpaceDE/>
        <w:autoSpaceDN/>
        <w:bidi w:val="0"/>
        <w:adjustRightInd/>
        <w:spacing w:line="440" w:lineRule="exact"/>
        <w:ind w:left="630" w:leftChars="3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14.1 本合同正本四份，具有同等法律效力，甲、乙双方各执一份，省教育装备中心一份，采购代理机构一份。合同自签字之日起即时生效。</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keepNext w:val="0"/>
        <w:keepLines w:val="0"/>
        <w:pageBreakBefore w:val="0"/>
        <w:widowControl w:val="0"/>
        <w:numPr>
          <w:ilvl w:val="0"/>
          <w:numId w:val="14"/>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成交人提交的投标函和投标一览表；</w:t>
      </w:r>
    </w:p>
    <w:p>
      <w:pPr>
        <w:keepNext w:val="0"/>
        <w:keepLines w:val="0"/>
        <w:pageBreakBefore w:val="0"/>
        <w:widowControl w:val="0"/>
        <w:numPr>
          <w:ilvl w:val="0"/>
          <w:numId w:val="14"/>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keepNext w:val="0"/>
        <w:keepLines w:val="0"/>
        <w:pageBreakBefore w:val="0"/>
        <w:widowControl w:val="0"/>
        <w:numPr>
          <w:ilvl w:val="0"/>
          <w:numId w:val="14"/>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keepNext w:val="0"/>
        <w:keepLines w:val="0"/>
        <w:pageBreakBefore w:val="0"/>
        <w:widowControl w:val="0"/>
        <w:numPr>
          <w:ilvl w:val="0"/>
          <w:numId w:val="14"/>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pStyle w:val="2"/>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color w:val="auto"/>
          <w:szCs w:val="21"/>
          <w:highlight w:val="none"/>
        </w:rPr>
      </w:pPr>
    </w:p>
    <w:p>
      <w:pPr>
        <w:pStyle w:val="2"/>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keepNext w:val="0"/>
        <w:keepLines w:val="0"/>
        <w:pageBreakBefore w:val="0"/>
        <w:widowControl w:val="0"/>
        <w:kinsoku/>
        <w:wordWrap/>
        <w:overflowPunct/>
        <w:topLinePunct w:val="0"/>
        <w:autoSpaceDE/>
        <w:autoSpaceDN/>
        <w:bidi w:val="0"/>
        <w:adjustRightInd/>
        <w:spacing w:line="440" w:lineRule="exact"/>
        <w:ind w:firstLine="840" w:firstLineChars="400"/>
        <w:jc w:val="left"/>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 xml:space="preserve">日                     </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6"/>
    <w:bookmarkEnd w:id="287"/>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hAnsi="宋体" w:cs="宋体"/>
          <w:color w:val="auto"/>
          <w:kern w:val="0"/>
          <w:szCs w:val="21"/>
          <w:highlight w:val="none"/>
        </w:rPr>
      </w:pPr>
    </w:p>
    <w:p>
      <w:pPr>
        <w:pStyle w:val="96"/>
        <w:rPr>
          <w:rFonts w:hAnsi="宋体"/>
          <w:color w:val="auto"/>
          <w:szCs w:val="21"/>
          <w:highlight w:val="none"/>
        </w:rPr>
      </w:pPr>
    </w:p>
    <w:p>
      <w:pPr>
        <w:pStyle w:val="96"/>
        <w:rPr>
          <w:rFonts w:hAnsi="宋体"/>
          <w:color w:val="auto"/>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8" w:name="OLE_LINK4"/>
    </w:p>
    <w:p>
      <w:pPr>
        <w:pStyle w:val="4"/>
        <w:autoSpaceDE w:val="0"/>
        <w:rPr>
          <w:b w:val="0"/>
          <w:bCs w:val="0"/>
          <w:color w:val="auto"/>
          <w:sz w:val="44"/>
          <w:highlight w:val="none"/>
        </w:rPr>
      </w:pPr>
      <w:bookmarkStart w:id="289" w:name="_Toc475104528"/>
      <w:r>
        <w:rPr>
          <w:rFonts w:hint="eastAsia"/>
          <w:color w:val="auto"/>
          <w:sz w:val="44"/>
          <w:highlight w:val="none"/>
        </w:rPr>
        <w:t>第五章 评分体系与标准</w:t>
      </w:r>
      <w:bookmarkEnd w:id="289"/>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5"/>
        </w:numPr>
        <w:autoSpaceDE w:val="0"/>
        <w:autoSpaceDN w:val="0"/>
        <w:adjustRightInd w:val="0"/>
        <w:snapToGrid w:val="0"/>
        <w:spacing w:line="360" w:lineRule="auto"/>
        <w:outlineLvl w:val="0"/>
        <w:rPr>
          <w:rFonts w:ascii="宋体" w:hAnsi="宋体"/>
          <w:bCs/>
          <w:color w:val="auto"/>
          <w:szCs w:val="21"/>
          <w:highlight w:val="none"/>
        </w:rPr>
      </w:pPr>
      <w:bookmarkStart w:id="290" w:name="_Toc475104529"/>
      <w:bookmarkStart w:id="291" w:name="_Toc50276153"/>
      <w:bookmarkStart w:id="292" w:name="_Toc264203535"/>
      <w:bookmarkStart w:id="293" w:name="_Toc98579065"/>
      <w:bookmarkStart w:id="294" w:name="_Toc98579007"/>
      <w:bookmarkStart w:id="295" w:name="_Toc42394669"/>
      <w:bookmarkStart w:id="296" w:name="_Toc101775128"/>
      <w:bookmarkStart w:id="297" w:name="_Toc101843128"/>
      <w:bookmarkStart w:id="298" w:name="_Toc98579606"/>
      <w:bookmarkStart w:id="299" w:name="_Toc101771375"/>
      <w:bookmarkStart w:id="300" w:name="_Toc98580289"/>
      <w:bookmarkStart w:id="301" w:name="_Toc42394513"/>
      <w:bookmarkStart w:id="302" w:name="_Toc101951266"/>
      <w:bookmarkStart w:id="303" w:name="_Toc41884701"/>
      <w:bookmarkStart w:id="304" w:name="_Toc42313167"/>
      <w:bookmarkStart w:id="305" w:name="_Toc41723931"/>
      <w:bookmarkStart w:id="306" w:name="_Toc101553661"/>
      <w:bookmarkStart w:id="307" w:name="_Toc28142601"/>
      <w:bookmarkStart w:id="308" w:name="_Toc67911942"/>
      <w:bookmarkStart w:id="309" w:name="_Toc138568672"/>
      <w:bookmarkStart w:id="310" w:name="_Toc28489533"/>
      <w:bookmarkStart w:id="311" w:name="_Toc131922503"/>
      <w:bookmarkStart w:id="312" w:name="_Toc124646434"/>
      <w:bookmarkStart w:id="313" w:name="_Toc124570687"/>
      <w:bookmarkStart w:id="314" w:name="_Toc150050902"/>
      <w:bookmarkStart w:id="315" w:name="_Toc124401382"/>
      <w:bookmarkStart w:id="316" w:name="_Toc102211724"/>
      <w:bookmarkStart w:id="317" w:name="_Toc138506092"/>
      <w:bookmarkStart w:id="318" w:name="_Toc148060906"/>
      <w:bookmarkStart w:id="319" w:name="_Toc95304223"/>
      <w:bookmarkStart w:id="320" w:name="_Toc101553556"/>
      <w:bookmarkStart w:id="321" w:name="_Toc148420070"/>
      <w:bookmarkStart w:id="322" w:name="_Toc108243616"/>
      <w:bookmarkStart w:id="323" w:name="_Toc34535380"/>
      <w:bookmarkStart w:id="324" w:name="_Toc108001800"/>
      <w:bookmarkStart w:id="325" w:name="_Toc131904930"/>
      <w:bookmarkStart w:id="326" w:name="_Toc104902929"/>
      <w:bookmarkStart w:id="327" w:name="_Toc169334816"/>
      <w:bookmarkStart w:id="328" w:name="_Toc66722112"/>
      <w:bookmarkStart w:id="329" w:name="_Toc113277292"/>
      <w:bookmarkStart w:id="330" w:name="_Toc95249607"/>
      <w:bookmarkStart w:id="331" w:name="_Toc125770208"/>
      <w:bookmarkStart w:id="332" w:name="_Toc35834934"/>
      <w:bookmarkStart w:id="333" w:name="_Toc68620012"/>
      <w:bookmarkStart w:id="334" w:name="_Toc104874465"/>
      <w:r>
        <w:rPr>
          <w:rFonts w:hint="eastAsia" w:ascii="宋体" w:hAnsi="宋体"/>
          <w:bCs/>
          <w:color w:val="auto"/>
          <w:szCs w:val="21"/>
          <w:highlight w:val="none"/>
        </w:rPr>
        <w:t>本评审办法采用综合评分法。</w:t>
      </w:r>
      <w:bookmarkEnd w:id="290"/>
    </w:p>
    <w:p>
      <w:pPr>
        <w:numPr>
          <w:ilvl w:val="0"/>
          <w:numId w:val="15"/>
        </w:numPr>
        <w:autoSpaceDE w:val="0"/>
        <w:autoSpaceDN w:val="0"/>
        <w:adjustRightInd w:val="0"/>
        <w:snapToGrid w:val="0"/>
        <w:spacing w:line="360" w:lineRule="auto"/>
        <w:outlineLvl w:val="0"/>
        <w:rPr>
          <w:rFonts w:ascii="宋体" w:cs="宋体"/>
          <w:color w:val="auto"/>
          <w:highlight w:val="none"/>
        </w:rPr>
      </w:pPr>
      <w:bookmarkStart w:id="335" w:name="_Toc475104530"/>
      <w:bookmarkStart w:id="336"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1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通过资格性和符合性检查的有效报价人方有资格提交最后报价及进行技术、商务及价格的详细评审，最后磋商小组出具竞争性磋商报告。</w:t>
      </w:r>
      <w:bookmarkEnd w:id="335"/>
    </w:p>
    <w:bookmarkEnd w:id="291"/>
    <w:bookmarkEnd w:id="292"/>
    <w:bookmarkEnd w:id="293"/>
    <w:bookmarkEnd w:id="294"/>
    <w:bookmarkEnd w:id="295"/>
    <w:bookmarkEnd w:id="296"/>
    <w:bookmarkEnd w:id="297"/>
    <w:bookmarkEnd w:id="298"/>
    <w:bookmarkEnd w:id="299"/>
    <w:bookmarkEnd w:id="300"/>
    <w:bookmarkEnd w:id="301"/>
    <w:bookmarkEnd w:id="302"/>
    <w:bookmarkEnd w:id="336"/>
    <w:p>
      <w:pPr>
        <w:numPr>
          <w:ilvl w:val="0"/>
          <w:numId w:val="15"/>
        </w:numPr>
        <w:autoSpaceDE w:val="0"/>
        <w:autoSpaceDN w:val="0"/>
        <w:adjustRightInd w:val="0"/>
        <w:snapToGrid w:val="0"/>
        <w:spacing w:line="360" w:lineRule="auto"/>
        <w:outlineLvl w:val="0"/>
        <w:rPr>
          <w:rFonts w:ascii="宋体" w:hAnsi="宋体"/>
          <w:bCs/>
          <w:color w:val="auto"/>
          <w:szCs w:val="21"/>
          <w:highlight w:val="none"/>
        </w:rPr>
      </w:pPr>
      <w:bookmarkStart w:id="337"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7"/>
    </w:p>
    <w:tbl>
      <w:tblPr>
        <w:tblStyle w:val="89"/>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8" w:name="_Toc333236678"/>
            <w:bookmarkStart w:id="339"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40%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30%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30%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8"/>
    <w:bookmarkEnd w:id="339"/>
    <w:p>
      <w:pPr>
        <w:numPr>
          <w:ilvl w:val="0"/>
          <w:numId w:val="15"/>
        </w:numPr>
        <w:autoSpaceDE w:val="0"/>
        <w:autoSpaceDN w:val="0"/>
        <w:adjustRightInd w:val="0"/>
        <w:snapToGrid w:val="0"/>
        <w:spacing w:line="360" w:lineRule="auto"/>
        <w:outlineLvl w:val="0"/>
        <w:rPr>
          <w:rFonts w:ascii="宋体" w:hAnsi="宋体"/>
          <w:color w:val="auto"/>
          <w:szCs w:val="21"/>
          <w:highlight w:val="none"/>
        </w:rPr>
      </w:pPr>
      <w:bookmarkStart w:id="340" w:name="_Toc333236680"/>
      <w:bookmarkStart w:id="341"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磋商小组各成员应当独立对每个有效响应的文件进行评价、打分，然后汇总每个报价人每项评分因素的得分。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3"/>
    <w:bookmarkEnd w:id="304"/>
    <w:bookmarkEnd w:id="305"/>
    <w:bookmarkEnd w:id="340"/>
    <w:bookmarkEnd w:id="341"/>
    <w:p>
      <w:pPr>
        <w:numPr>
          <w:ilvl w:val="0"/>
          <w:numId w:val="15"/>
        </w:numPr>
        <w:autoSpaceDE w:val="0"/>
        <w:autoSpaceDN w:val="0"/>
        <w:adjustRightInd w:val="0"/>
        <w:snapToGrid w:val="0"/>
        <w:spacing w:line="360" w:lineRule="auto"/>
        <w:outlineLvl w:val="0"/>
        <w:rPr>
          <w:rFonts w:ascii="宋体" w:hAnsi="宋体"/>
          <w:color w:val="auto"/>
          <w:szCs w:val="21"/>
          <w:highlight w:val="none"/>
        </w:rPr>
      </w:pPr>
      <w:bookmarkStart w:id="342" w:name="_Toc475104535"/>
      <w:bookmarkStart w:id="343" w:name="_Toc333236685"/>
      <w:r>
        <w:rPr>
          <w:rFonts w:hint="eastAsia" w:ascii="宋体" w:hAnsi="宋体"/>
          <w:color w:val="auto"/>
          <w:szCs w:val="21"/>
          <w:highlight w:val="none"/>
        </w:rPr>
        <w:t>价格评定</w:t>
      </w:r>
    </w:p>
    <w:p>
      <w:pPr>
        <w:numPr>
          <w:ilvl w:val="1"/>
          <w:numId w:val="1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价格评分：综合评分法中的价格分统一采用低价优先法计算，即满足磋商文件要求且最后报价最低的报价人的价格为磋商基准价，其价格分为满分。其他报价人的价格分统一按照下列公式计算：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，以报价人第二次报价作为基准，计算价格扣减作为报价人的价格评分，评标价只作为分值的计算，最终成交价格按照报价人第二次响应报价为准。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如报价人为非制造商，其代理产品的制造商也应同时提交《中小企业声明函》，否则评审时不能享受相应的价格扣除。</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报价人提供的《残疾人福利性单位声明函》与事实不符的，依照《政府采购法》第七十七条第一款的规定追究法律责任。</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报价人公章）。</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42"/>
      <w:bookmarkEnd w:id="343"/>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4" w:name="_Toc475104536"/>
      <w:r>
        <w:rPr>
          <w:rFonts w:hint="eastAsia"/>
          <w:color w:val="auto"/>
          <w:sz w:val="24"/>
          <w:highlight w:val="none"/>
        </w:rPr>
        <w:t>资格性审查及符合性检查表</w:t>
      </w:r>
      <w:bookmarkEnd w:id="344"/>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89"/>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3.报价人的所有评审项均填写“○”才被视为“通过”，其中一项为“×”则被视为不通过。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102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5"/>
        <w:gridCol w:w="1938"/>
        <w:gridCol w:w="6818"/>
        <w:gridCol w:w="9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555"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93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81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912"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7" w:hRule="atLeast"/>
          <w:jc w:val="center"/>
        </w:trPr>
        <w:tc>
          <w:tcPr>
            <w:tcW w:w="555"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938"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ascii="宋体" w:hAnsi="宋体"/>
                <w:color w:val="auto"/>
                <w:szCs w:val="21"/>
                <w:highlight w:val="none"/>
                <w:lang w:val="zh-CN"/>
              </w:rPr>
              <w:t>对所投产品设备技术参数、性能指标、质量及特别带“▲”的响应情况和符合性</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技术指标</w:t>
            </w:r>
            <w:r>
              <w:rPr>
                <w:rFonts w:hint="eastAsia" w:cs="宋体"/>
                <w:color w:val="auto"/>
                <w:kern w:val="0"/>
                <w:szCs w:val="21"/>
                <w:highlight w:val="none"/>
              </w:rPr>
              <w:t>响应情况：完全满足或优于招标参数，得</w:t>
            </w:r>
            <w:r>
              <w:rPr>
                <w:rFonts w:hint="eastAsia" w:cs="宋体"/>
                <w:color w:val="auto"/>
                <w:kern w:val="0"/>
                <w:szCs w:val="21"/>
                <w:highlight w:val="none"/>
                <w:lang w:val="en-US" w:eastAsia="zh-CN"/>
              </w:rPr>
              <w:t>10</w:t>
            </w:r>
            <w:r>
              <w:rPr>
                <w:rFonts w:hint="eastAsia" w:cs="宋体"/>
                <w:color w:val="auto"/>
                <w:kern w:val="0"/>
                <w:szCs w:val="21"/>
                <w:highlight w:val="none"/>
              </w:rPr>
              <w:t>分，每负偏离一个“▲”的，扣</w:t>
            </w:r>
            <w:r>
              <w:rPr>
                <w:rFonts w:hint="eastAsia" w:cs="宋体"/>
                <w:color w:val="auto"/>
                <w:kern w:val="0"/>
                <w:szCs w:val="21"/>
                <w:highlight w:val="none"/>
                <w:lang w:val="en-US" w:eastAsia="zh-CN"/>
              </w:rPr>
              <w:t>2</w:t>
            </w:r>
            <w:r>
              <w:rPr>
                <w:rFonts w:hint="eastAsia" w:cs="宋体"/>
                <w:color w:val="auto"/>
                <w:kern w:val="0"/>
                <w:szCs w:val="21"/>
                <w:highlight w:val="none"/>
              </w:rPr>
              <w:t>分；每负偏离一个非“▲”条款的，扣1分，扣完为止。</w:t>
            </w:r>
          </w:p>
          <w:p>
            <w:pPr>
              <w:widowControl/>
              <w:jc w:val="left"/>
              <w:rPr>
                <w:color w:val="auto"/>
                <w:szCs w:val="21"/>
                <w:highlight w:val="none"/>
              </w:rPr>
            </w:pPr>
            <w:r>
              <w:rPr>
                <w:rFonts w:hint="eastAsia" w:hAnsi="宋体"/>
                <w:color w:val="auto"/>
                <w:szCs w:val="21"/>
                <w:highlight w:val="none"/>
                <w:lang w:val="zh-CN"/>
              </w:rPr>
              <w:t>（注：产品设备技术参数，需提供证明材料，证明材料必须逐项对应招标文件的技术条款</w:t>
            </w:r>
            <w:r>
              <w:rPr>
                <w:rFonts w:hint="eastAsia" w:hAnsi="宋体"/>
                <w:color w:val="auto"/>
                <w:szCs w:val="21"/>
                <w:highlight w:val="none"/>
                <w:lang w:val="zh-CN"/>
              </w:rPr>
              <w:t>。不能提供证明材料的，扣除该产品的全部技术分数；提供有漏项的，视为负偏离并扣除对应条款分数。）</w:t>
            </w:r>
          </w:p>
        </w:tc>
        <w:tc>
          <w:tcPr>
            <w:tcW w:w="912" w:type="dxa"/>
            <w:tcBorders>
              <w:top w:val="single" w:color="auto" w:sz="4" w:space="0"/>
              <w:bottom w:val="single" w:color="auto" w:sz="4" w:space="0"/>
            </w:tcBorders>
            <w:vAlign w:val="center"/>
          </w:tcPr>
          <w:p>
            <w:pPr>
              <w:pStyle w:val="210"/>
              <w:jc w:val="center"/>
              <w:rPr>
                <w:rFonts w:hint="default" w:ascii="宋体" w:hAnsi="宋体" w:eastAsia="宋体" w:cs="宋体"/>
                <w:bCs/>
                <w:color w:val="auto"/>
                <w:szCs w:val="21"/>
                <w:highlight w:val="none"/>
                <w:lang w:val="en-US" w:eastAsia="zh-CN"/>
              </w:rPr>
            </w:pPr>
            <w:r>
              <w:rPr>
                <w:rFonts w:hint="eastAsia" w:ascii="宋体" w:hAnsi="宋体" w:cs="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26"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2</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合同履行期进度计划承诺</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lang w:val="en-GB"/>
              </w:rPr>
              <w:t>本项目竞争性磋商文件规定的合同履行期限为</w:t>
            </w:r>
            <w:r>
              <w:rPr>
                <w:rFonts w:hint="eastAsia" w:cs="宋体"/>
                <w:color w:val="auto"/>
                <w:kern w:val="0"/>
                <w:szCs w:val="21"/>
                <w:highlight w:val="none"/>
              </w:rPr>
              <w:t>60日历天</w:t>
            </w:r>
            <w:r>
              <w:rPr>
                <w:rFonts w:hint="eastAsia" w:cs="宋体"/>
                <w:color w:val="auto"/>
                <w:kern w:val="0"/>
                <w:szCs w:val="21"/>
                <w:highlight w:val="none"/>
                <w:lang w:val="en-GB"/>
              </w:rPr>
              <w:t>，合同履行期限为</w:t>
            </w:r>
            <w:r>
              <w:rPr>
                <w:rFonts w:hint="eastAsia" w:cs="宋体"/>
                <w:color w:val="auto"/>
                <w:kern w:val="0"/>
                <w:szCs w:val="21"/>
                <w:highlight w:val="none"/>
              </w:rPr>
              <w:t>60日历天</w:t>
            </w:r>
            <w:r>
              <w:rPr>
                <w:rFonts w:hint="eastAsia" w:cs="宋体"/>
                <w:color w:val="auto"/>
                <w:kern w:val="0"/>
                <w:szCs w:val="21"/>
                <w:highlight w:val="none"/>
                <w:lang w:val="en-GB"/>
              </w:rPr>
              <w:t>的不得分，每承诺提前</w:t>
            </w:r>
            <w:r>
              <w:rPr>
                <w:rFonts w:hint="eastAsia" w:cs="宋体"/>
                <w:color w:val="auto"/>
                <w:kern w:val="0"/>
                <w:szCs w:val="21"/>
                <w:highlight w:val="none"/>
                <w:lang w:val="en-US" w:eastAsia="zh-CN"/>
              </w:rPr>
              <w:t>2</w:t>
            </w:r>
            <w:r>
              <w:rPr>
                <w:rFonts w:hint="eastAsia" w:cs="宋体"/>
                <w:color w:val="auto"/>
                <w:kern w:val="0"/>
                <w:szCs w:val="21"/>
                <w:highlight w:val="none"/>
              </w:rPr>
              <w:t>日历天</w:t>
            </w:r>
            <w:r>
              <w:rPr>
                <w:rFonts w:hint="eastAsia" w:cs="宋体"/>
                <w:color w:val="auto"/>
                <w:kern w:val="0"/>
                <w:szCs w:val="21"/>
                <w:highlight w:val="none"/>
                <w:lang w:val="en-GB"/>
              </w:rPr>
              <w:t>的得</w:t>
            </w:r>
            <w:r>
              <w:rPr>
                <w:rFonts w:hint="eastAsia" w:cs="宋体"/>
                <w:color w:val="auto"/>
                <w:kern w:val="0"/>
                <w:szCs w:val="21"/>
                <w:highlight w:val="none"/>
                <w:lang w:val="en-US" w:eastAsia="zh-CN"/>
              </w:rPr>
              <w:t>0.5</w:t>
            </w:r>
            <w:r>
              <w:rPr>
                <w:rFonts w:hint="eastAsia" w:cs="宋体"/>
                <w:color w:val="auto"/>
                <w:kern w:val="0"/>
                <w:szCs w:val="21"/>
                <w:highlight w:val="none"/>
                <w:lang w:val="en-GB"/>
              </w:rPr>
              <w:t>分，此项满分为</w:t>
            </w:r>
            <w:r>
              <w:rPr>
                <w:rFonts w:hint="eastAsia" w:cs="宋体"/>
                <w:color w:val="auto"/>
                <w:kern w:val="0"/>
                <w:szCs w:val="21"/>
                <w:highlight w:val="none"/>
                <w:lang w:val="en-US" w:eastAsia="zh-CN"/>
              </w:rPr>
              <w:t>5</w:t>
            </w:r>
            <w:r>
              <w:rPr>
                <w:rFonts w:hint="eastAsia" w:cs="宋体"/>
                <w:color w:val="auto"/>
                <w:kern w:val="0"/>
                <w:szCs w:val="21"/>
                <w:highlight w:val="none"/>
                <w:lang w:val="en-GB"/>
              </w:rPr>
              <w:t>分。</w:t>
            </w:r>
          </w:p>
        </w:tc>
        <w:tc>
          <w:tcPr>
            <w:tcW w:w="912" w:type="dxa"/>
            <w:tcBorders>
              <w:top w:val="single" w:color="auto" w:sz="4" w:space="0"/>
              <w:bottom w:val="single" w:color="auto" w:sz="4" w:space="0"/>
            </w:tcBorders>
            <w:vAlign w:val="center"/>
          </w:tcPr>
          <w:p>
            <w:pPr>
              <w:pStyle w:val="21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安装方案、安装组织设计及保证措施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1.有详细设备生产、安装、调试及验收等安装方案，方案全面完整，且具有很强的操作性和科学合理性。安装组织设计详尽、可靠、科学、实用，有切实可行的保证交货期的措施的，得</w:t>
            </w: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2.有设备生产、安装、调试及验收等安装方案，方案基本完整，可操作性一般。安装组织设计一般，有基本的保证交货期的措施的，得</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3.有设备生产、安装、调试及验收等安装方案，方案不完整，可操作性不强。安装组织设计较差，基本不能的保证交货期的，得1分；</w:t>
            </w:r>
          </w:p>
          <w:p>
            <w:pPr>
              <w:widowControl/>
              <w:jc w:val="left"/>
              <w:rPr>
                <w:rFonts w:cs="宋体"/>
                <w:color w:val="auto"/>
                <w:kern w:val="0"/>
                <w:szCs w:val="21"/>
                <w:highlight w:val="none"/>
              </w:rPr>
            </w:pPr>
            <w:r>
              <w:rPr>
                <w:rFonts w:hint="eastAsia" w:ascii="宋体" w:hAnsi="宋体" w:cs="宋体"/>
                <w:color w:val="auto"/>
                <w:kern w:val="0"/>
                <w:szCs w:val="21"/>
                <w:highlight w:val="none"/>
              </w:rPr>
              <w:t>4.其他不得分。</w:t>
            </w:r>
          </w:p>
        </w:tc>
        <w:tc>
          <w:tcPr>
            <w:tcW w:w="912" w:type="dxa"/>
            <w:tcBorders>
              <w:top w:val="single" w:color="auto" w:sz="4" w:space="0"/>
              <w:bottom w:val="single" w:color="auto" w:sz="4" w:space="0"/>
            </w:tcBorders>
            <w:vAlign w:val="center"/>
          </w:tcPr>
          <w:p>
            <w:pPr>
              <w:pStyle w:val="21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5"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4</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文明安全安装措施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1.具有详细的文明、安全安装保证措施的，得</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2.有文明、安全安装保证措施，叙述不强的，得2分；</w:t>
            </w:r>
          </w:p>
          <w:p>
            <w:pPr>
              <w:widowControl/>
              <w:jc w:val="left"/>
              <w:rPr>
                <w:rFonts w:cs="宋体"/>
                <w:color w:val="auto"/>
                <w:kern w:val="0"/>
                <w:szCs w:val="21"/>
                <w:highlight w:val="none"/>
              </w:rPr>
            </w:pPr>
            <w:r>
              <w:rPr>
                <w:rFonts w:hint="eastAsia" w:ascii="宋体" w:hAnsi="宋体" w:cs="宋体"/>
                <w:color w:val="auto"/>
                <w:kern w:val="0"/>
                <w:szCs w:val="21"/>
                <w:highlight w:val="none"/>
              </w:rPr>
              <w:t>3.其他不得分。</w:t>
            </w:r>
          </w:p>
        </w:tc>
        <w:tc>
          <w:tcPr>
            <w:tcW w:w="912" w:type="dxa"/>
            <w:tcBorders>
              <w:top w:val="single" w:color="auto" w:sz="4" w:space="0"/>
              <w:bottom w:val="single" w:color="auto" w:sz="4" w:space="0"/>
            </w:tcBorders>
            <w:vAlign w:val="center"/>
          </w:tcPr>
          <w:p>
            <w:pPr>
              <w:pStyle w:val="21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93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bCs/>
                <w:color w:val="auto"/>
                <w:szCs w:val="21"/>
                <w:highlight w:val="none"/>
                <w:lang w:val="zh-CN"/>
              </w:rPr>
              <w:t>深化设计方案</w:t>
            </w:r>
          </w:p>
        </w:tc>
        <w:tc>
          <w:tcPr>
            <w:tcW w:w="6818" w:type="dxa"/>
            <w:tcBorders>
              <w:top w:val="single" w:color="auto" w:sz="4" w:space="0"/>
              <w:bottom w:val="single" w:color="auto" w:sz="4" w:space="0"/>
            </w:tcBorders>
            <w:vAlign w:val="center"/>
          </w:tcPr>
          <w:p>
            <w:pPr>
              <w:pStyle w:val="29"/>
              <w:rPr>
                <w:color w:val="auto"/>
                <w:szCs w:val="21"/>
                <w:highlight w:val="none"/>
                <w:lang w:val="zh-CN"/>
              </w:rPr>
            </w:pPr>
            <w:r>
              <w:rPr>
                <w:rFonts w:hint="eastAsia"/>
                <w:color w:val="auto"/>
                <w:szCs w:val="21"/>
                <w:highlight w:val="none"/>
                <w:lang w:val="zh-CN"/>
              </w:rPr>
              <w:t>对比各投标人总体设计及效果方案（包括深化改良的合理化建议等）：</w:t>
            </w:r>
          </w:p>
          <w:p>
            <w:pPr>
              <w:pStyle w:val="29"/>
              <w:rPr>
                <w:color w:val="auto"/>
                <w:szCs w:val="21"/>
                <w:highlight w:val="none"/>
                <w:lang w:val="zh-CN"/>
              </w:rPr>
            </w:pPr>
            <w:r>
              <w:rPr>
                <w:rFonts w:hint="eastAsia"/>
                <w:color w:val="auto"/>
                <w:szCs w:val="21"/>
                <w:highlight w:val="none"/>
              </w:rPr>
              <w:t>1.</w:t>
            </w:r>
            <w:r>
              <w:rPr>
                <w:rFonts w:hint="eastAsia"/>
                <w:color w:val="auto"/>
                <w:szCs w:val="21"/>
                <w:highlight w:val="none"/>
                <w:lang w:val="zh-CN"/>
              </w:rPr>
              <w:t>所提供的设计款式大气优雅、各项工序检验标准合格、产品深化设计图及工程案例图科学、实用、可行的，得</w:t>
            </w:r>
            <w:r>
              <w:rPr>
                <w:rFonts w:hint="eastAsia"/>
                <w:color w:val="auto"/>
                <w:szCs w:val="21"/>
                <w:highlight w:val="none"/>
              </w:rPr>
              <w:t>10</w:t>
            </w:r>
            <w:r>
              <w:rPr>
                <w:rFonts w:hint="eastAsia"/>
                <w:color w:val="auto"/>
                <w:szCs w:val="21"/>
                <w:highlight w:val="none"/>
                <w:lang w:val="zh-CN"/>
              </w:rPr>
              <w:t>分；</w:t>
            </w:r>
          </w:p>
          <w:p>
            <w:pPr>
              <w:pStyle w:val="29"/>
              <w:rPr>
                <w:color w:val="auto"/>
                <w:szCs w:val="21"/>
                <w:highlight w:val="none"/>
                <w:lang w:val="zh-CN"/>
              </w:rPr>
            </w:pPr>
            <w:r>
              <w:rPr>
                <w:rFonts w:hint="eastAsia"/>
                <w:color w:val="auto"/>
                <w:szCs w:val="21"/>
                <w:highlight w:val="none"/>
              </w:rPr>
              <w:t>2.</w:t>
            </w:r>
            <w:r>
              <w:rPr>
                <w:rFonts w:hint="eastAsia"/>
                <w:color w:val="auto"/>
                <w:szCs w:val="21"/>
                <w:highlight w:val="none"/>
                <w:lang w:val="zh-CN"/>
              </w:rPr>
              <w:t>所提供的设计款式比较大气优雅、各项工序检验标准合格、产品深化设计图及工程案例图比较科学、实用、可行的，得</w:t>
            </w:r>
            <w:r>
              <w:rPr>
                <w:rFonts w:hint="eastAsia"/>
                <w:color w:val="auto"/>
                <w:szCs w:val="21"/>
                <w:highlight w:val="none"/>
              </w:rPr>
              <w:t>5</w:t>
            </w:r>
            <w:r>
              <w:rPr>
                <w:rFonts w:hint="eastAsia"/>
                <w:color w:val="auto"/>
                <w:szCs w:val="21"/>
                <w:highlight w:val="none"/>
                <w:lang w:val="zh-CN"/>
              </w:rPr>
              <w:t>分；</w:t>
            </w:r>
          </w:p>
          <w:p>
            <w:pPr>
              <w:jc w:val="left"/>
              <w:rPr>
                <w:color w:val="auto"/>
                <w:szCs w:val="21"/>
                <w:highlight w:val="none"/>
                <w:lang w:val="zh-CN"/>
              </w:rPr>
            </w:pPr>
            <w:r>
              <w:rPr>
                <w:rFonts w:hint="eastAsia"/>
                <w:color w:val="auto"/>
                <w:szCs w:val="21"/>
                <w:highlight w:val="none"/>
              </w:rPr>
              <w:t>3.</w:t>
            </w:r>
            <w:r>
              <w:rPr>
                <w:rFonts w:hint="eastAsia"/>
                <w:color w:val="auto"/>
                <w:szCs w:val="21"/>
                <w:highlight w:val="none"/>
                <w:lang w:val="zh-CN"/>
              </w:rPr>
              <w:t>所提供的设计款式不大气优雅、各项工序检验标准不合格、产品深化设计图及工程案例图不科学、实用、可行的，得</w:t>
            </w:r>
            <w:r>
              <w:rPr>
                <w:rFonts w:hint="eastAsia"/>
                <w:color w:val="auto"/>
                <w:szCs w:val="21"/>
                <w:highlight w:val="none"/>
              </w:rPr>
              <w:t>2</w:t>
            </w:r>
            <w:r>
              <w:rPr>
                <w:rFonts w:hint="eastAsia"/>
                <w:color w:val="auto"/>
                <w:szCs w:val="21"/>
                <w:highlight w:val="none"/>
                <w:lang w:val="zh-CN"/>
              </w:rPr>
              <w:t>分；</w:t>
            </w:r>
          </w:p>
          <w:p>
            <w:pPr>
              <w:widowControl/>
              <w:jc w:val="left"/>
              <w:rPr>
                <w:rFonts w:ascii="宋体" w:hAnsi="宋体" w:cs="宋体"/>
                <w:color w:val="auto"/>
                <w:kern w:val="0"/>
                <w:szCs w:val="21"/>
                <w:highlight w:val="none"/>
              </w:rPr>
            </w:pPr>
            <w:r>
              <w:rPr>
                <w:rFonts w:hint="eastAsia" w:hAnsi="宋体"/>
                <w:bCs/>
                <w:color w:val="auto"/>
                <w:szCs w:val="21"/>
                <w:highlight w:val="none"/>
              </w:rPr>
              <w:t>4.</w:t>
            </w:r>
            <w:r>
              <w:rPr>
                <w:rFonts w:hint="eastAsia" w:hAnsi="宋体" w:cs="宋体"/>
                <w:color w:val="auto"/>
                <w:kern w:val="0"/>
                <w:szCs w:val="21"/>
                <w:highlight w:val="none"/>
              </w:rPr>
              <w:t>其他不得分。</w:t>
            </w:r>
          </w:p>
        </w:tc>
        <w:tc>
          <w:tcPr>
            <w:tcW w:w="912"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9311"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912"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40</w:t>
            </w:r>
          </w:p>
        </w:tc>
      </w:tr>
    </w:tbl>
    <w:p>
      <w:pPr>
        <w:snapToGrid w:val="0"/>
        <w:spacing w:line="360" w:lineRule="auto"/>
        <w:rPr>
          <w:rFonts w:ascii="宋体" w:hAnsi="宋体" w:cs="宋体"/>
          <w:b/>
          <w:bCs/>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评委签名：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项目编号：                                                  </w:t>
      </w:r>
    </w:p>
    <w:p>
      <w:pPr>
        <w:snapToGrid w:val="0"/>
        <w:rPr>
          <w:rFonts w:ascii="宋体" w:hAnsi="宋体" w:cs="宋体"/>
          <w:b/>
          <w:bCs/>
          <w:color w:val="auto"/>
          <w:highlight w:val="none"/>
        </w:rPr>
      </w:pPr>
    </w:p>
    <w:tbl>
      <w:tblPr>
        <w:tblStyle w:val="89"/>
        <w:tblW w:w="1027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1"/>
        <w:gridCol w:w="1517"/>
        <w:gridCol w:w="7270"/>
        <w:gridCol w:w="9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8" w:hRule="atLeast"/>
          <w:tblHeader/>
          <w:jc w:val="center"/>
        </w:trPr>
        <w:tc>
          <w:tcPr>
            <w:tcW w:w="531"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17"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7270"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959"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1</w:t>
            </w:r>
          </w:p>
        </w:tc>
        <w:tc>
          <w:tcPr>
            <w:tcW w:w="1517"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lang w:val="en-GB"/>
              </w:rPr>
              <w:t>同类项目业绩</w:t>
            </w:r>
          </w:p>
        </w:tc>
        <w:tc>
          <w:tcPr>
            <w:tcW w:w="7270"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cs="宋体"/>
                <w:color w:val="auto"/>
                <w:kern w:val="0"/>
                <w:szCs w:val="21"/>
                <w:highlight w:val="none"/>
              </w:rPr>
              <w:t>提供2019年以来完成类似项目业绩（附</w:t>
            </w:r>
            <w:r>
              <w:rPr>
                <w:rFonts w:hint="eastAsia" w:ascii="宋体" w:hAnsi="宋体"/>
                <w:color w:val="auto"/>
                <w:szCs w:val="21"/>
                <w:highlight w:val="none"/>
              </w:rPr>
              <w:t>上成交/中标通知书或合同复印件</w:t>
            </w:r>
            <w:r>
              <w:rPr>
                <w:rFonts w:hint="eastAsia" w:cs="宋体"/>
                <w:color w:val="auto"/>
                <w:kern w:val="0"/>
                <w:szCs w:val="21"/>
                <w:highlight w:val="none"/>
              </w:rPr>
              <w:t>）每提供一份业绩得2分，满分6分。</w:t>
            </w:r>
          </w:p>
        </w:tc>
        <w:tc>
          <w:tcPr>
            <w:tcW w:w="959"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2</w:t>
            </w:r>
          </w:p>
        </w:tc>
        <w:tc>
          <w:tcPr>
            <w:tcW w:w="1517" w:type="dxa"/>
            <w:tcBorders>
              <w:top w:val="single" w:color="auto" w:sz="4" w:space="0"/>
              <w:bottom w:val="single" w:color="auto" w:sz="4" w:space="0"/>
            </w:tcBorders>
            <w:vAlign w:val="center"/>
          </w:tcPr>
          <w:p>
            <w:pPr>
              <w:pStyle w:val="183"/>
              <w:jc w:val="center"/>
              <w:rPr>
                <w:rFonts w:ascii="宋体" w:hAnsi="宋体"/>
                <w:color w:val="auto"/>
                <w:szCs w:val="21"/>
                <w:highlight w:val="none"/>
                <w:lang w:val="en-GB"/>
              </w:rPr>
            </w:pPr>
            <w:r>
              <w:rPr>
                <w:rFonts w:hint="eastAsia" w:ascii="宋体" w:hAnsi="宋体"/>
                <w:color w:val="auto"/>
                <w:szCs w:val="21"/>
                <w:highlight w:val="none"/>
                <w:lang w:val="en-GB"/>
              </w:rPr>
              <w:t>所选设备获得认证</w:t>
            </w:r>
          </w:p>
        </w:tc>
        <w:tc>
          <w:tcPr>
            <w:tcW w:w="7270" w:type="dxa"/>
            <w:tcBorders>
              <w:top w:val="single" w:color="auto" w:sz="4" w:space="0"/>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.提供所投产品在地级市以上产品质量监督检验部门出具的检验报告复印件加盖公章</w:t>
            </w:r>
          </w:p>
          <w:p>
            <w:pPr>
              <w:rPr>
                <w:rFonts w:hint="eastAsia" w:ascii="宋体" w:hAnsi="宋体"/>
                <w:color w:val="auto"/>
                <w:szCs w:val="21"/>
                <w:highlight w:val="none"/>
              </w:rPr>
            </w:pPr>
            <w:r>
              <w:rPr>
                <w:rFonts w:hint="eastAsia" w:ascii="宋体" w:hAnsi="宋体"/>
                <w:color w:val="auto"/>
                <w:szCs w:val="21"/>
                <w:highlight w:val="none"/>
                <w:lang w:val="en-US" w:eastAsia="zh-CN"/>
              </w:rPr>
              <w:t>2.提供</w:t>
            </w:r>
            <w:r>
              <w:rPr>
                <w:rFonts w:hint="eastAsia" w:ascii="宋体" w:hAnsi="宋体"/>
                <w:color w:val="auto"/>
                <w:szCs w:val="21"/>
                <w:highlight w:val="none"/>
              </w:rPr>
              <w:t>“3C”认证</w:t>
            </w:r>
            <w:r>
              <w:rPr>
                <w:rFonts w:hint="eastAsia" w:ascii="宋体" w:hAnsi="宋体"/>
                <w:color w:val="auto"/>
                <w:szCs w:val="21"/>
                <w:highlight w:val="none"/>
                <w:lang w:eastAsia="zh-CN"/>
              </w:rPr>
              <w:t>证书</w:t>
            </w:r>
            <w:r>
              <w:rPr>
                <w:rFonts w:hint="eastAsia" w:ascii="宋体" w:hAnsi="宋体"/>
                <w:color w:val="auto"/>
                <w:szCs w:val="21"/>
                <w:highlight w:val="none"/>
              </w:rPr>
              <w:t>；</w:t>
            </w:r>
          </w:p>
          <w:p>
            <w:pPr>
              <w:rPr>
                <w:color w:val="auto"/>
                <w:szCs w:val="22"/>
                <w:highlight w:val="none"/>
              </w:rPr>
            </w:pPr>
            <w:r>
              <w:rPr>
                <w:rFonts w:hint="eastAsia" w:ascii="宋体" w:hAnsi="宋体"/>
                <w:color w:val="auto"/>
                <w:szCs w:val="21"/>
                <w:highlight w:val="none"/>
                <w:lang w:val="en-US" w:eastAsia="zh-CN"/>
              </w:rPr>
              <w:t>3.提供</w:t>
            </w:r>
            <w:r>
              <w:rPr>
                <w:rFonts w:hint="eastAsia" w:ascii="宋体" w:hAnsi="宋体"/>
                <w:color w:val="auto"/>
                <w:szCs w:val="21"/>
                <w:highlight w:val="none"/>
              </w:rPr>
              <w:t>空调机组通过中国制冷空调工业协会CRAA产品认证证书；</w:t>
            </w:r>
          </w:p>
          <w:p>
            <w:pPr>
              <w:rPr>
                <w:rFonts w:cs="宋体"/>
                <w:color w:val="auto"/>
                <w:kern w:val="0"/>
                <w:szCs w:val="21"/>
                <w:highlight w:val="none"/>
              </w:rPr>
            </w:pPr>
            <w:r>
              <w:rPr>
                <w:rFonts w:hint="eastAsia" w:cs="宋体"/>
                <w:color w:val="auto"/>
                <w:kern w:val="0"/>
                <w:szCs w:val="21"/>
                <w:highlight w:val="none"/>
              </w:rPr>
              <w:t>以上证书每提供一个得1分，共3分，不提供不得分。</w:t>
            </w:r>
          </w:p>
        </w:tc>
        <w:tc>
          <w:tcPr>
            <w:tcW w:w="959"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售后服务方案</w:t>
            </w:r>
          </w:p>
        </w:tc>
        <w:tc>
          <w:tcPr>
            <w:tcW w:w="7270" w:type="dxa"/>
            <w:tcBorders>
              <w:top w:val="single" w:color="auto" w:sz="4" w:space="0"/>
              <w:bottom w:val="single" w:color="auto" w:sz="4" w:space="0"/>
            </w:tcBorders>
            <w:vAlign w:val="center"/>
          </w:tcPr>
          <w:p>
            <w:pPr>
              <w:widowControl/>
              <w:jc w:val="left"/>
              <w:rPr>
                <w:rFonts w:ascii="宋体" w:hAnsi="宋体"/>
                <w:color w:val="auto"/>
                <w:szCs w:val="21"/>
                <w:highlight w:val="none"/>
                <w:lang w:val="zh-CN"/>
              </w:rPr>
            </w:pPr>
            <w:r>
              <w:rPr>
                <w:rFonts w:hint="eastAsia" w:ascii="宋体" w:hAnsi="宋体"/>
                <w:color w:val="auto"/>
                <w:szCs w:val="21"/>
                <w:highlight w:val="none"/>
                <w:lang w:val="zh-CN"/>
              </w:rPr>
              <w:t>对比报价人对本项目售后服务要求的响应情况：</w:t>
            </w:r>
          </w:p>
          <w:p>
            <w:pPr>
              <w:widowControl/>
              <w:jc w:val="left"/>
              <w:rPr>
                <w:rFonts w:cs="宋体"/>
                <w:color w:val="auto"/>
                <w:kern w:val="0"/>
                <w:szCs w:val="21"/>
                <w:highlight w:val="none"/>
              </w:rPr>
            </w:pPr>
            <w:r>
              <w:rPr>
                <w:rFonts w:hint="eastAsia" w:ascii="宋体" w:hAnsi="宋体"/>
                <w:color w:val="auto"/>
                <w:szCs w:val="21"/>
                <w:highlight w:val="none"/>
              </w:rPr>
              <w:t>1.</w:t>
            </w:r>
            <w:r>
              <w:rPr>
                <w:rFonts w:hint="eastAsia" w:ascii="宋体" w:hAnsi="宋体" w:cs="宋体"/>
                <w:color w:val="auto"/>
                <w:szCs w:val="21"/>
                <w:highlight w:val="none"/>
                <w:lang w:val="zh-CN"/>
              </w:rPr>
              <w:t>完全满足或优于招标要求的，</w:t>
            </w:r>
            <w:r>
              <w:rPr>
                <w:rFonts w:hint="eastAsia" w:cs="宋体"/>
                <w:color w:val="auto"/>
                <w:kern w:val="0"/>
                <w:szCs w:val="21"/>
                <w:highlight w:val="none"/>
              </w:rPr>
              <w:t>提供详尽的售后服务方案，实施步骤清晰，承诺细致、满足用户要求，</w:t>
            </w:r>
            <w:r>
              <w:rPr>
                <w:rFonts w:hint="eastAsia" w:cs="宋体"/>
                <w:color w:val="auto"/>
                <w:kern w:val="0"/>
                <w:szCs w:val="21"/>
                <w:highlight w:val="none"/>
              </w:rPr>
              <w:t>得</w:t>
            </w:r>
            <w:r>
              <w:rPr>
                <w:rFonts w:hint="eastAsia" w:cs="宋体"/>
                <w:color w:val="auto"/>
                <w:kern w:val="0"/>
                <w:szCs w:val="21"/>
                <w:highlight w:val="none"/>
                <w:lang w:val="en-US" w:eastAsia="zh-CN"/>
              </w:rPr>
              <w:t>9</w:t>
            </w:r>
            <w:r>
              <w:rPr>
                <w:rFonts w:hint="eastAsia" w:cs="宋体"/>
                <w:color w:val="auto"/>
                <w:kern w:val="0"/>
                <w:szCs w:val="21"/>
                <w:highlight w:val="none"/>
              </w:rPr>
              <w:t>分</w:t>
            </w:r>
            <w:r>
              <w:rPr>
                <w:rFonts w:hint="eastAsia" w:cs="宋体"/>
                <w:color w:val="auto"/>
                <w:kern w:val="0"/>
                <w:szCs w:val="21"/>
                <w:highlight w:val="none"/>
              </w:rPr>
              <w:t>。</w:t>
            </w:r>
          </w:p>
          <w:p>
            <w:pPr>
              <w:widowControl/>
              <w:jc w:val="left"/>
              <w:rPr>
                <w:rFonts w:cs="宋体"/>
                <w:color w:val="auto"/>
                <w:kern w:val="0"/>
                <w:szCs w:val="21"/>
                <w:highlight w:val="none"/>
              </w:rPr>
            </w:pPr>
            <w:r>
              <w:rPr>
                <w:rFonts w:hint="eastAsia" w:cs="宋体"/>
                <w:color w:val="auto"/>
                <w:kern w:val="0"/>
                <w:szCs w:val="21"/>
                <w:highlight w:val="none"/>
              </w:rPr>
              <w:t>2.有提供售后服务方案，但叙述一般，步骤较清晰，承诺一般、满足用户要求一般，</w:t>
            </w:r>
            <w:r>
              <w:rPr>
                <w:rFonts w:hint="eastAsia" w:cs="宋体"/>
                <w:color w:val="auto"/>
                <w:kern w:val="0"/>
                <w:szCs w:val="21"/>
                <w:highlight w:val="none"/>
              </w:rPr>
              <w:t>得</w:t>
            </w:r>
            <w:r>
              <w:rPr>
                <w:rFonts w:hint="eastAsia" w:cs="宋体"/>
                <w:color w:val="auto"/>
                <w:kern w:val="0"/>
                <w:szCs w:val="21"/>
                <w:highlight w:val="none"/>
                <w:lang w:val="en-US" w:eastAsia="zh-CN"/>
              </w:rPr>
              <w:t>5</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3.有提供售后服务方案，但叙述不强，步骤不清晰，承诺不完整、满足用户要求较差，</w:t>
            </w:r>
            <w:r>
              <w:rPr>
                <w:rFonts w:hint="eastAsia" w:cs="宋体"/>
                <w:color w:val="auto"/>
                <w:kern w:val="0"/>
                <w:szCs w:val="21"/>
                <w:highlight w:val="none"/>
              </w:rPr>
              <w:t>得</w:t>
            </w:r>
            <w:r>
              <w:rPr>
                <w:rFonts w:hint="eastAsia" w:cs="宋体"/>
                <w:color w:val="auto"/>
                <w:kern w:val="0"/>
                <w:szCs w:val="21"/>
                <w:highlight w:val="none"/>
                <w:lang w:val="en-US" w:eastAsia="zh-CN"/>
              </w:rPr>
              <w:t>1</w:t>
            </w:r>
            <w:r>
              <w:rPr>
                <w:rFonts w:hint="eastAsia" w:cs="宋体"/>
                <w:color w:val="auto"/>
                <w:kern w:val="0"/>
                <w:szCs w:val="21"/>
                <w:highlight w:val="none"/>
              </w:rPr>
              <w:t>分。</w:t>
            </w:r>
          </w:p>
          <w:p>
            <w:pPr>
              <w:jc w:val="left"/>
              <w:rPr>
                <w:rFonts w:ascii="宋体" w:hAnsi="宋体" w:cs="宋体"/>
                <w:color w:val="auto"/>
                <w:szCs w:val="21"/>
                <w:highlight w:val="none"/>
              </w:rPr>
            </w:pPr>
            <w:r>
              <w:rPr>
                <w:rFonts w:hint="eastAsia" w:cs="宋体"/>
                <w:color w:val="auto"/>
                <w:kern w:val="0"/>
                <w:szCs w:val="21"/>
                <w:highlight w:val="none"/>
              </w:rPr>
              <w:t>4.其他不得分。</w:t>
            </w:r>
          </w:p>
        </w:tc>
        <w:tc>
          <w:tcPr>
            <w:tcW w:w="959"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质量保修期年限</w:t>
            </w:r>
          </w:p>
        </w:tc>
        <w:tc>
          <w:tcPr>
            <w:tcW w:w="7270"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本项目竞争性磋商文件规定的质量保修期不低于一年，每增加一年得1分。</w:t>
            </w:r>
          </w:p>
          <w:p>
            <w:pPr>
              <w:jc w:val="left"/>
              <w:rPr>
                <w:rFonts w:ascii="宋体" w:hAnsi="宋体" w:cs="宋体"/>
                <w:color w:val="auto"/>
                <w:szCs w:val="21"/>
                <w:highlight w:val="none"/>
              </w:rPr>
            </w:pPr>
            <w:r>
              <w:rPr>
                <w:rFonts w:hint="eastAsia" w:cs="宋体"/>
                <w:color w:val="auto"/>
                <w:kern w:val="0"/>
                <w:szCs w:val="21"/>
                <w:highlight w:val="none"/>
              </w:rPr>
              <w:t>此项满分为3分。</w:t>
            </w:r>
          </w:p>
        </w:tc>
        <w:tc>
          <w:tcPr>
            <w:tcW w:w="959"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5"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5</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售后服务响应时间</w:t>
            </w:r>
          </w:p>
        </w:tc>
        <w:tc>
          <w:tcPr>
            <w:tcW w:w="7270"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1.售后服务响应时间最快能到达现场的，得6分。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2.售后服务响应时间比较快能到达现场的，得3分。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3.售后服务响应时间一般，得1分。</w:t>
            </w:r>
          </w:p>
          <w:p>
            <w:pPr>
              <w:rPr>
                <w:rFonts w:cs="宋体"/>
                <w:color w:val="auto"/>
                <w:kern w:val="0"/>
                <w:szCs w:val="21"/>
                <w:highlight w:val="none"/>
              </w:rPr>
            </w:pPr>
            <w:r>
              <w:rPr>
                <w:rFonts w:hint="eastAsia" w:cs="宋体"/>
                <w:color w:val="auto"/>
                <w:kern w:val="0"/>
                <w:szCs w:val="21"/>
                <w:highlight w:val="none"/>
              </w:rPr>
              <w:t>4.其他不得分。</w:t>
            </w:r>
          </w:p>
        </w:tc>
        <w:tc>
          <w:tcPr>
            <w:tcW w:w="959"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3"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6</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培训计划</w:t>
            </w:r>
          </w:p>
        </w:tc>
        <w:tc>
          <w:tcPr>
            <w:tcW w:w="7270"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1.有提供免费培训计划,实施方案内容详尽可实施操作性强，得3分。</w:t>
            </w:r>
          </w:p>
          <w:p>
            <w:pPr>
              <w:widowControl/>
              <w:jc w:val="left"/>
              <w:rPr>
                <w:rFonts w:cs="宋体"/>
                <w:color w:val="auto"/>
                <w:kern w:val="0"/>
                <w:szCs w:val="21"/>
                <w:highlight w:val="none"/>
              </w:rPr>
            </w:pPr>
            <w:r>
              <w:rPr>
                <w:rFonts w:hint="eastAsia" w:cs="宋体"/>
                <w:color w:val="auto"/>
                <w:kern w:val="0"/>
                <w:szCs w:val="21"/>
                <w:highlight w:val="none"/>
              </w:rPr>
              <w:t>2.有提供免费培训计划，实施方案内容不详尽可操作性差，得1分。</w:t>
            </w:r>
          </w:p>
          <w:p>
            <w:pPr>
              <w:widowControl/>
              <w:jc w:val="left"/>
              <w:rPr>
                <w:rFonts w:cs="宋体"/>
                <w:color w:val="auto"/>
                <w:kern w:val="0"/>
                <w:szCs w:val="21"/>
                <w:highlight w:val="none"/>
              </w:rPr>
            </w:pPr>
            <w:r>
              <w:rPr>
                <w:rFonts w:hint="eastAsia" w:cs="宋体"/>
                <w:color w:val="auto"/>
                <w:kern w:val="0"/>
                <w:szCs w:val="21"/>
                <w:highlight w:val="none"/>
              </w:rPr>
              <w:t>3.其他不得分。</w:t>
            </w:r>
          </w:p>
        </w:tc>
        <w:tc>
          <w:tcPr>
            <w:tcW w:w="959"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9318"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959"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30</w:t>
            </w:r>
          </w:p>
        </w:tc>
      </w:tr>
    </w:tbl>
    <w:p>
      <w:pPr>
        <w:snapToGrid w:val="0"/>
        <w:rPr>
          <w:rFonts w:ascii="宋体" w:hAnsi="宋体" w:cs="宋体"/>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1、价格核准：磋商小组对有效报价人的详细报价进行复核，看其是否有计算错误或供货范围上的错误，修正错误的原则详见招标相关条款。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综合评分法中的价格分统一采用低价优先法计算，即满足磋商文件要求且最后报价最低的报价人的价格为磋商基准价，其价格分为满分。其他报价人的价格分统一按照下列公式计算：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5" w:name="_Toc475104537"/>
      <w:bookmarkStart w:id="346"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5"/>
      <w:bookmarkEnd w:id="346"/>
    </w:p>
    <w:p>
      <w:pPr>
        <w:spacing w:line="360" w:lineRule="auto"/>
        <w:rPr>
          <w:rFonts w:ascii="宋体" w:hAnsi="宋体"/>
          <w:bCs/>
          <w:color w:val="auto"/>
          <w:sz w:val="28"/>
          <w:highlight w:val="none"/>
        </w:rPr>
      </w:pPr>
      <w:bookmarkStart w:id="347" w:name="_Toc28489496"/>
      <w:bookmarkStart w:id="348" w:name="_Toc35834912"/>
      <w:bookmarkStart w:id="349" w:name="_Toc34535358"/>
      <w:bookmarkStart w:id="350" w:name="_Toc14450838"/>
      <w:bookmarkStart w:id="351" w:name="_Toc10946790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2" w:name="_Toc163481918"/>
      <w:r>
        <w:rPr>
          <w:rFonts w:hint="eastAsia"/>
          <w:color w:val="auto"/>
          <w:szCs w:val="30"/>
          <w:highlight w:val="none"/>
        </w:rPr>
        <w:br w:type="page"/>
      </w:r>
    </w:p>
    <w:p>
      <w:pPr>
        <w:pStyle w:val="5"/>
        <w:numPr>
          <w:ilvl w:val="0"/>
          <w:numId w:val="1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2"/>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公平竞争承诺书（附件6)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▲条款响应一览表（附件21）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报价人认为有必要说明的其他文件(附件23)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1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（报价人名称）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天有效，如被确定为报价人成交报价人，有效期将延至合同终止日为止；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6.我方如被确定为报价人成交报价人，将保证履行竞争性磋商文件以及竞争性磋商文件修改书（如有的话）中的全部责任和义务，按质、按量、按期完成《合同》中的全部任务；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报价人全称（加盖公章）：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3" w:name="_Toc14450839"/>
      <w:bookmarkStart w:id="354" w:name="_Toc55816096"/>
      <w:bookmarkStart w:id="355" w:name="_Toc41448359"/>
      <w:bookmarkStart w:id="356" w:name="_Toc86065029"/>
      <w:bookmarkStart w:id="357" w:name="_Toc35834913"/>
      <w:bookmarkStart w:id="358" w:name="_Toc28489497"/>
      <w:bookmarkStart w:id="359" w:name="_Toc34535359"/>
      <w:bookmarkStart w:id="360" w:name="_Toc25224019"/>
      <w:bookmarkStart w:id="361" w:name="_Toc10946790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2" w:name="_Toc223939105"/>
      <w:r>
        <w:rPr>
          <w:rFonts w:hint="eastAsia" w:hAnsi="宋体"/>
          <w:color w:val="auto"/>
          <w:szCs w:val="21"/>
          <w:highlight w:val="none"/>
        </w:rPr>
        <w:t>现任我单位职务，为法定代表人，特此证明。</w:t>
      </w:r>
      <w:bookmarkEnd w:id="362"/>
      <w:bookmarkStart w:id="363"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3"/>
      <w:bookmarkStart w:id="364"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4"/>
      <w:bookmarkStart w:id="365"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bookmarkEnd w:id="365"/>
      <w:bookmarkStart w:id="366"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6"/>
    </w:p>
    <w:p>
      <w:pPr>
        <w:pStyle w:val="46"/>
        <w:spacing w:line="360" w:lineRule="auto"/>
        <w:jc w:val="center"/>
        <w:rPr>
          <w:rFonts w:hAnsi="宋体"/>
          <w:color w:val="auto"/>
          <w:szCs w:val="21"/>
          <w:highlight w:val="none"/>
        </w:rPr>
      </w:pPr>
    </w:p>
    <w:tbl>
      <w:tblPr>
        <w:tblStyle w:val="89"/>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被授权人(报价人授权代表)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“报价信封”内。如是法定代表人作为报价人代表，则无需提交此资料。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一、本公司（企业）具备《中华人民共和国政府采购法》第二十二条资格条件：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提供2018年或2019年的财务状况报告或基本开户行（提供开户许可证）出具的资信证明复印件。如报价人为新注册的，提供成立至今的月或季度财务状况报告复印件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（六）法律、行政法规规定的其他条件。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根据《中华人民共和国政府采购法实施条例》的规定，本公司（企业）如为采购项目提供整体设计、规范编制或者项目管理、监理、检测等服务的报价人，不再参加该采购项目的其他采购活动。否则，由此所造成的损失、不良后果及法律责任，一律由我公司（企业）承担。</w:t>
      </w:r>
    </w:p>
    <w:p>
      <w:pPr>
        <w:snapToGrid w:val="0"/>
        <w:spacing w:beforeLines="50" w:line="360" w:lineRule="auto"/>
        <w:ind w:firstLine="525" w:firstLineChars="250"/>
        <w:rPr>
          <w:rFonts w:ascii="宋体" w:hAnsi="宋体" w:cs="宋体"/>
          <w:color w:val="auto"/>
          <w:highlight w:val="none"/>
        </w:rPr>
      </w:pPr>
      <w:r>
        <w:rPr>
          <w:rFonts w:hint="eastAsia" w:ascii="宋体" w:hAnsi="宋体" w:cs="宋体"/>
          <w:color w:val="auto"/>
          <w:szCs w:val="21"/>
          <w:highlight w:val="none"/>
        </w:rPr>
        <w:t>三、</w:t>
      </w:r>
      <w:r>
        <w:rPr>
          <w:rFonts w:hint="eastAsia" w:ascii="宋体" w:hAnsi="宋体" w:cs="宋体"/>
          <w:color w:val="auto"/>
          <w:highlight w:val="none"/>
        </w:rPr>
        <w:t>本公司（企业）的法定代表人或单位负责人与本项目其他报价人的法定代表人或单位负责人不为同一人且与其他报价人之间不存在直接控股、管理关系。</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cs="宋体"/>
          <w:color w:val="auto"/>
          <w:szCs w:val="21"/>
          <w:highlight w:val="none"/>
        </w:rPr>
        <w:t>本公司（企业）已清楚竞争性磋商文件的要求及有关文件规定，并承诺在本次招标采购活动中，如有违法、违规、弄虚作假行为，所造成的损失、不良后果及法律责任，一律由我公司（企业）承担。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报价人</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报价人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89"/>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报价人单位名称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注:1.报价人应按“采购人需求”的要求，根据实际情况进行报价。本表内的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2.报价人报价高于采购项目预算金额的报价响应无效；</w:t>
      </w:r>
    </w:p>
    <w:p>
      <w:pPr>
        <w:snapToGrid w:val="0"/>
        <w:spacing w:line="360" w:lineRule="auto"/>
        <w:ind w:left="515" w:leftChars="150" w:hanging="200" w:hangingChars="95"/>
        <w:rPr>
          <w:rFonts w:ascii="宋体" w:hAnsi="宋体" w:cs="宋体"/>
          <w:b/>
          <w:color w:val="auto"/>
          <w:szCs w:val="21"/>
          <w:highlight w:val="none"/>
        </w:rPr>
      </w:pPr>
      <w:r>
        <w:rPr>
          <w:rFonts w:hint="eastAsia" w:ascii="宋体" w:hAnsi="宋体" w:cs="宋体"/>
          <w:b/>
          <w:color w:val="auto"/>
          <w:szCs w:val="21"/>
          <w:highlight w:val="none"/>
        </w:rPr>
        <w:t>3.中文大写金额用汉字，如壹、贰、叁、肆、伍、陆、柒、捌、玖、拾、佰、仟、万、亿、元、角、分、零、整（正）等。如：小写： 1230000，大写：</w:t>
      </w:r>
      <w:r>
        <w:rPr>
          <w:rFonts w:hint="eastAsia" w:ascii="宋体" w:hAnsi="宋体" w:cs="宋体"/>
          <w:b/>
          <w:color w:val="auto"/>
          <w:szCs w:val="21"/>
          <w:highlight w:val="none"/>
          <w:u w:val="single"/>
        </w:rPr>
        <w:t>壹佰贰拾叁万元整</w:t>
      </w:r>
      <w:r>
        <w:rPr>
          <w:rFonts w:hint="eastAsia" w:ascii="宋体" w:hAnsi="宋体" w:cs="宋体"/>
          <w:b/>
          <w:color w:val="auto"/>
          <w:szCs w:val="21"/>
          <w:highlight w:val="none"/>
        </w:rPr>
        <w:t>。</w:t>
      </w:r>
    </w:p>
    <w:p>
      <w:pPr>
        <w:snapToGrid w:val="0"/>
        <w:spacing w:line="360" w:lineRule="auto"/>
        <w:ind w:left="512" w:leftChars="195" w:hanging="103" w:hangingChars="49"/>
        <w:rPr>
          <w:rFonts w:ascii="宋体" w:hAnsi="宋体" w:cs="宋体"/>
          <w:b/>
          <w:color w:val="auto"/>
          <w:szCs w:val="21"/>
          <w:highlight w:val="none"/>
        </w:rPr>
      </w:pPr>
      <w:r>
        <w:rPr>
          <w:rFonts w:hint="eastAsia" w:ascii="宋体" w:hAnsi="宋体" w:cs="宋体"/>
          <w:b/>
          <w:color w:val="auto"/>
          <w:szCs w:val="21"/>
          <w:highlight w:val="none"/>
        </w:rPr>
        <w:t>4.投标总报价应包含采购项目的全部费用，报价人不得再向采购人收取任何费用；</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5.报价以人民币元为单位，保留小数点后两位；</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6.投标报价要求具体见第二章“投标报价”及采购人需求要求；</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7.本表格须附在正副的投标文件中，并另封装一份在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89"/>
        <w:tblW w:w="93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9"/>
        <w:gridCol w:w="2029"/>
        <w:gridCol w:w="550"/>
        <w:gridCol w:w="550"/>
        <w:gridCol w:w="1875"/>
        <w:gridCol w:w="1575"/>
        <w:gridCol w:w="950"/>
        <w:gridCol w:w="13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序号</w:t>
            </w:r>
          </w:p>
        </w:tc>
        <w:tc>
          <w:tcPr>
            <w:tcW w:w="202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货物名称</w:t>
            </w:r>
          </w:p>
        </w:tc>
        <w:tc>
          <w:tcPr>
            <w:tcW w:w="55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数量</w:t>
            </w:r>
          </w:p>
        </w:tc>
        <w:tc>
          <w:tcPr>
            <w:tcW w:w="55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单位</w:t>
            </w:r>
          </w:p>
        </w:tc>
        <w:tc>
          <w:tcPr>
            <w:tcW w:w="187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综合单价报价（元）</w:t>
            </w:r>
          </w:p>
        </w:tc>
        <w:tc>
          <w:tcPr>
            <w:tcW w:w="157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金额合计（元）</w:t>
            </w:r>
          </w:p>
        </w:tc>
        <w:tc>
          <w:tcPr>
            <w:tcW w:w="95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备注</w:t>
            </w:r>
          </w:p>
        </w:tc>
        <w:tc>
          <w:tcPr>
            <w:tcW w:w="134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20"/>
                <w:szCs w:val="20"/>
                <w:highlight w:val="none"/>
                <w:u w:val="none"/>
                <w:lang w:val="en-US" w:eastAsia="zh-CN" w:bidi="ar"/>
              </w:rPr>
            </w:pPr>
            <w:r>
              <w:rPr>
                <w:rFonts w:hint="eastAsia" w:ascii="宋体" w:hAnsi="宋体" w:cs="宋体"/>
                <w:b/>
                <w:i w:val="0"/>
                <w:color w:val="auto"/>
                <w:kern w:val="0"/>
                <w:sz w:val="20"/>
                <w:szCs w:val="20"/>
                <w:highlight w:val="none"/>
                <w:u w:val="none"/>
                <w:lang w:val="en-US" w:eastAsia="zh-CN" w:bidi="ar"/>
              </w:rPr>
              <w:t>所投品牌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直膨组合式空气处理机组室内机组</w:t>
            </w:r>
          </w:p>
        </w:tc>
        <w:tc>
          <w:tcPr>
            <w:tcW w:w="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1</w:t>
            </w:r>
          </w:p>
        </w:tc>
        <w:tc>
          <w:tcPr>
            <w:tcW w:w="550" w:type="dxa"/>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台</w:t>
            </w:r>
          </w:p>
        </w:tc>
        <w:tc>
          <w:tcPr>
            <w:tcW w:w="1875" w:type="dxa"/>
            <w:tcBorders>
              <w:top w:val="single" w:color="000000" w:sz="4" w:space="0"/>
              <w:left w:val="single" w:color="auto"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直膨组合式空气处理机组室内机组</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3</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台</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风冷直膨式空调室外机（AHU-1、2）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台</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设备基础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1</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项</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指针式压差表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12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套</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高效过滤器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6</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套</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高效过滤器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8</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套</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镀锌风管</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260</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m</w:t>
            </w:r>
            <w:r>
              <w:rPr>
                <w:rFonts w:hint="eastAsia" w:asciiTheme="minorEastAsia" w:hAnsiTheme="minorEastAsia" w:eastAsiaTheme="minorEastAsia" w:cstheme="minorEastAsia"/>
                <w:color w:val="auto"/>
                <w:kern w:val="0"/>
                <w:szCs w:val="21"/>
                <w:highlight w:val="none"/>
                <w:vertAlign w:val="superscript"/>
              </w:rPr>
              <w:t>2</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风管保温</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260</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m</w:t>
            </w:r>
            <w:r>
              <w:rPr>
                <w:rFonts w:hint="eastAsia" w:asciiTheme="minorEastAsia" w:hAnsiTheme="minorEastAsia" w:eastAsiaTheme="minorEastAsia" w:cstheme="minorEastAsia"/>
                <w:color w:val="auto"/>
                <w:kern w:val="0"/>
                <w:szCs w:val="21"/>
                <w:highlight w:val="none"/>
                <w:vertAlign w:val="superscript"/>
              </w:rPr>
              <w:t>2</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 xml:space="preserve">消声静压箱  </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手动风量调节阀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8</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手动风量调节阀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电动风量调节阀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8</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电动风量调节阀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防火调节阀(70℃)</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防火调节阀(70℃)</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2</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止回阀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18</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铝合金排风百叶</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16</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19</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风管支架</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1</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项</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20</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空调铜管及保温</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套</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压力传感器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8</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风速传感器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23</w:t>
            </w:r>
          </w:p>
        </w:tc>
        <w:tc>
          <w:tcPr>
            <w:tcW w:w="20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温湿度传感器</w:t>
            </w:r>
          </w:p>
        </w:tc>
        <w:tc>
          <w:tcPr>
            <w:tcW w:w="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只</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24</w:t>
            </w:r>
          </w:p>
        </w:tc>
        <w:tc>
          <w:tcPr>
            <w:tcW w:w="20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空调风机控制箱(AP)</w:t>
            </w:r>
          </w:p>
        </w:tc>
        <w:tc>
          <w:tcPr>
            <w:tcW w:w="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4</w:t>
            </w:r>
          </w:p>
        </w:tc>
        <w:tc>
          <w:tcPr>
            <w:tcW w:w="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hint="eastAsia" w:ascii="宋体" w:hAnsi="宋体" w:eastAsia="宋体" w:cs="宋体"/>
                <w:i w:val="0"/>
                <w:color w:val="auto"/>
                <w:sz w:val="20"/>
                <w:szCs w:val="20"/>
                <w:highlight w:val="none"/>
                <w:u w:val="none"/>
              </w:rPr>
            </w:pPr>
            <w:r>
              <w:rPr>
                <w:rFonts w:hint="eastAsia" w:asciiTheme="minorEastAsia" w:hAnsiTheme="minorEastAsia" w:eastAsiaTheme="minorEastAsia" w:cstheme="minorEastAsia"/>
                <w:color w:val="auto"/>
                <w:kern w:val="0"/>
                <w:szCs w:val="21"/>
                <w:highlight w:val="none"/>
              </w:rPr>
              <w:t>套</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3578" w:type="dxa"/>
            <w:gridSpan w:val="4"/>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lang w:eastAsia="zh-CN"/>
              </w:rPr>
            </w:pPr>
            <w:r>
              <w:rPr>
                <w:rFonts w:hint="eastAsia" w:ascii="宋体" w:hAnsi="宋体" w:cs="宋体"/>
                <w:b/>
                <w:bCs/>
                <w:i w:val="0"/>
                <w:color w:val="auto"/>
                <w:sz w:val="20"/>
                <w:szCs w:val="20"/>
                <w:highlight w:val="none"/>
                <w:u w:val="none"/>
                <w:lang w:eastAsia="zh-CN"/>
              </w:rPr>
              <w:t>投标总报价</w:t>
            </w:r>
          </w:p>
        </w:tc>
        <w:tc>
          <w:tcPr>
            <w:tcW w:w="5749" w:type="dxa"/>
            <w:gridSpan w:val="4"/>
            <w:tcBorders>
              <w:top w:val="single" w:color="000000" w:sz="4" w:space="0"/>
              <w:left w:val="single" w:color="auto" w:sz="4" w:space="0"/>
              <w:bottom w:val="single" w:color="000000" w:sz="4" w:space="0"/>
              <w:right w:val="single" w:color="000000" w:sz="4" w:space="0"/>
            </w:tcBorders>
            <w:shd w:val="clear" w:color="auto" w:fill="FFFFFF"/>
            <w:vAlign w:val="center"/>
          </w:tcPr>
          <w:p>
            <w:pPr>
              <w:jc w:val="both"/>
              <w:rPr>
                <w:rFonts w:hint="eastAsia" w:ascii="宋体" w:hAnsi="宋体" w:eastAsia="宋体" w:cs="宋体"/>
                <w:b/>
                <w:i w:val="0"/>
                <w:color w:val="auto"/>
                <w:sz w:val="22"/>
                <w:szCs w:val="22"/>
                <w:highlight w:val="none"/>
                <w:u w:val="none"/>
                <w:lang w:eastAsia="zh-CN"/>
              </w:rPr>
            </w:pPr>
            <w:r>
              <w:rPr>
                <w:rFonts w:hint="eastAsia" w:ascii="宋体" w:hAnsi="宋体" w:eastAsia="宋体" w:cs="宋体"/>
                <w:b/>
                <w:i w:val="0"/>
                <w:color w:val="auto"/>
                <w:sz w:val="22"/>
                <w:szCs w:val="22"/>
                <w:highlight w:val="none"/>
                <w:u w:val="none"/>
                <w:lang w:eastAsia="zh-CN"/>
              </w:rPr>
              <w:t>小写：</w:t>
            </w:r>
          </w:p>
          <w:p>
            <w:pPr>
              <w:keepNext w:val="0"/>
              <w:keepLines w:val="0"/>
              <w:widowControl/>
              <w:suppressLineNumbers w:val="0"/>
              <w:jc w:val="both"/>
              <w:textAlignment w:val="center"/>
              <w:rPr>
                <w:rFonts w:hint="eastAsia" w:ascii="宋体" w:hAnsi="宋体" w:eastAsia="宋体" w:cs="宋体"/>
                <w:b/>
                <w:i w:val="0"/>
                <w:color w:val="auto"/>
                <w:sz w:val="22"/>
                <w:szCs w:val="22"/>
                <w:highlight w:val="none"/>
                <w:u w:val="none"/>
                <w:lang w:eastAsia="zh-CN"/>
              </w:rPr>
            </w:pPr>
            <w:r>
              <w:rPr>
                <w:rFonts w:hint="eastAsia" w:ascii="宋体" w:hAnsi="宋体" w:eastAsia="宋体" w:cs="宋体"/>
                <w:b/>
                <w:i w:val="0"/>
                <w:color w:val="auto"/>
                <w:sz w:val="22"/>
                <w:szCs w:val="22"/>
                <w:highlight w:val="none"/>
                <w:u w:val="none"/>
                <w:lang w:eastAsia="zh-CN"/>
              </w:rPr>
              <w:t>大写：</w:t>
            </w:r>
          </w:p>
        </w:tc>
      </w:tr>
    </w:tbl>
    <w:p>
      <w:pPr>
        <w:rPr>
          <w:rFonts w:hint="eastAsia" w:hAnsi="宋体" w:cs="宋体"/>
          <w:color w:val="auto"/>
          <w:kern w:val="0"/>
          <w:szCs w:val="21"/>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报价人自行设计。报价人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3.该表格式仅作参考，报价人的详细报价表格式可自定。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）小微企业投标且提供其它小型、微型企业产品的，请填写下表内容(如报价人为中小企业，请填写下面的《中小企业声明函》一起提交)：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tabs>
          <w:tab w:val="left" w:pos="0"/>
        </w:tabs>
        <w:spacing w:line="360" w:lineRule="auto"/>
        <w:ind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报价人</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7" w:name="OLE_LINK13"/>
      <w:bookmarkStart w:id="368" w:name="OLE_LINK14"/>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9"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9"/>
    </w:p>
    <w:p>
      <w:pPr>
        <w:rPr>
          <w:color w:val="auto"/>
          <w:highlight w:val="none"/>
        </w:rPr>
      </w:pPr>
    </w:p>
    <w:bookmarkEnd w:id="367"/>
    <w:bookmarkEnd w:id="368"/>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本单位郑重声明，根据《财政部 民政部 中国残疾人联合会关于促进残疾人就业政府采购政策的通知》（财库</w:t>
      </w:r>
      <w:r>
        <w:rPr>
          <w:rFonts w:hint="eastAsia" w:ascii="宋体" w:hAnsi="宋体"/>
          <w:color w:val="auto"/>
          <w:szCs w:val="21"/>
          <w:highlight w:val="none"/>
        </w:rPr>
        <w:t>〔2017〕 141</w:t>
      </w:r>
      <w:r>
        <w:rPr>
          <w:rFonts w:hint="eastAsia" w:ascii="宋体" w:hAnsi="宋体"/>
          <w:color w:val="auto"/>
          <w:spacing w:val="6"/>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Cs w:val="21"/>
          <w:highlight w:val="none"/>
        </w:rPr>
      </w:pPr>
    </w:p>
    <w:p>
      <w:pPr>
        <w:spacing w:line="360" w:lineRule="auto"/>
        <w:ind w:firstLine="444" w:firstLineChars="200"/>
        <w:rPr>
          <w:rFonts w:ascii="宋体" w:hAnsi="宋体"/>
          <w:color w:val="auto"/>
          <w:spacing w:val="6"/>
          <w:szCs w:val="21"/>
          <w:highlight w:val="none"/>
        </w:rPr>
      </w:pPr>
    </w:p>
    <w:p>
      <w:pPr>
        <w:tabs>
          <w:tab w:val="left" w:pos="4860"/>
        </w:tabs>
        <w:spacing w:line="360" w:lineRule="auto"/>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单位名称（盖章）：</w:t>
      </w:r>
    </w:p>
    <w:p>
      <w:pPr>
        <w:tabs>
          <w:tab w:val="left" w:pos="4860"/>
        </w:tabs>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报价人基本情况表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报价人</w:t>
      </w:r>
      <w:r>
        <w:rPr>
          <w:rFonts w:hint="eastAsia" w:ascii="宋体" w:hAnsi="宋体"/>
          <w:color w:val="auto"/>
          <w:szCs w:val="21"/>
          <w:highlight w:val="none"/>
        </w:rPr>
        <w:t>获得资质和荣誉证书复印件一览表（后附相关证书复印件加盖公章）</w:t>
      </w:r>
    </w:p>
    <w:tbl>
      <w:tblPr>
        <w:tblStyle w:val="89"/>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70" w:name="_Toc109467914"/>
      <w:bookmarkStart w:id="371"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89"/>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报价人全称（盖公章）：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2.采购人需求书中的服务要求仅为最低要求。报价人在磋商响应文件中必须列出具体报价响应内容。如果报价人只注明“符合”或“满足”，将被视为“不符合”，从而可能导致严重影响评标结果。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3.报价人没有在磋商响应文件中注明偏离（文字说明或在服务、商务偏离表注明）的参数、配置、条款视为报价人完全接受。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注：报价人对竞争性磋商文件的合同（样本）不允许实质性偏离，否则将视为不响应。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70"/>
    <w:bookmarkEnd w:id="371"/>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[说明]报价人应按照竞争性磋商文件的要求，根据采购人需求要求内容做出全面响应并编制服务方案。其内容应包括但不限于：</w:t>
      </w:r>
    </w:p>
    <w:p>
      <w:pPr>
        <w:spacing w:line="360" w:lineRule="auto"/>
        <w:ind w:left="420" w:leftChars="200" w:firstLine="105" w:firstLineChars="50"/>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（1）对所投产品设备技术参数、性能指标、质量及特别带“▲”的响应情况和符合性；</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2</w:t>
      </w:r>
      <w:r>
        <w:rPr>
          <w:rFonts w:hint="eastAsia" w:ascii="宋体" w:hAnsi="宋体"/>
          <w:bCs/>
          <w:color w:val="auto"/>
          <w:szCs w:val="21"/>
          <w:highlight w:val="none"/>
        </w:rPr>
        <w:t>）合同履行期进度计划承诺</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3</w:t>
      </w:r>
      <w:r>
        <w:rPr>
          <w:rFonts w:hint="eastAsia" w:ascii="宋体" w:hAnsi="宋体"/>
          <w:bCs/>
          <w:color w:val="auto"/>
          <w:szCs w:val="21"/>
          <w:highlight w:val="none"/>
        </w:rPr>
        <w:t>）安装方案、安装组织设计及保证措施</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4</w:t>
      </w:r>
      <w:r>
        <w:rPr>
          <w:rFonts w:hint="eastAsia" w:ascii="宋体" w:hAnsi="宋体"/>
          <w:bCs/>
          <w:color w:val="auto"/>
          <w:szCs w:val="21"/>
          <w:highlight w:val="none"/>
        </w:rPr>
        <w:t>）文明安全安装措施；</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5</w:t>
      </w:r>
      <w:r>
        <w:rPr>
          <w:rFonts w:hint="eastAsia" w:ascii="宋体" w:hAnsi="宋体"/>
          <w:bCs/>
          <w:color w:val="auto"/>
          <w:szCs w:val="21"/>
          <w:highlight w:val="none"/>
        </w:rPr>
        <w:t>）深化设计方案。</w:t>
      </w:r>
    </w:p>
    <w:p>
      <w:pPr>
        <w:pStyle w:val="46"/>
        <w:rPr>
          <w:color w:val="auto"/>
          <w:highlight w:val="none"/>
        </w:rPr>
      </w:pPr>
    </w:p>
    <w:p>
      <w:pPr>
        <w:rPr>
          <w:color w:val="auto"/>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szCs w:val="21"/>
          <w:highlight w:val="none"/>
        </w:rPr>
      </w:pPr>
    </w:p>
    <w:p>
      <w:pPr>
        <w:spacing w:line="360" w:lineRule="auto"/>
        <w:rPr>
          <w:rFonts w:ascii="宋体" w:hAnsi="宋体" w:cs="Tahoma"/>
          <w:color w:val="auto"/>
          <w:kern w:val="28"/>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bCs/>
          <w:color w:val="auto"/>
          <w:szCs w:val="21"/>
          <w:highlight w:val="none"/>
        </w:rPr>
      </w:pPr>
      <w:r>
        <w:rPr>
          <w:rFonts w:hint="eastAsia" w:cs="Tahoma"/>
          <w:color w:val="auto"/>
          <w:szCs w:val="21"/>
          <w:highlight w:val="none"/>
        </w:rPr>
        <w:t>项目编号：</w:t>
      </w:r>
    </w:p>
    <w:tbl>
      <w:tblPr>
        <w:tblStyle w:val="89"/>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heme="minorEastAsia" w:hAnsiTheme="minorEastAsia" w:eastAsiaTheme="minorEastAsia" w:cstheme="minorEastAsia"/>
                <w:color w:val="auto"/>
                <w:kern w:val="2"/>
                <w:sz w:val="21"/>
                <w:szCs w:val="21"/>
                <w:highlight w:val="none"/>
              </w:rPr>
            </w:pPr>
            <w:r>
              <w:rPr>
                <w:rFonts w:asciiTheme="minorEastAsia" w:hAnsiTheme="minorEastAsia" w:eastAsiaTheme="minorEastAsia" w:cstheme="minorEastAsia"/>
                <w:color w:val="auto"/>
                <w:kern w:val="2"/>
                <w:sz w:val="21"/>
                <w:szCs w:val="21"/>
                <w:highlight w:val="none"/>
              </w:rPr>
              <w:t>从事</w:t>
            </w:r>
            <w:r>
              <w:rPr>
                <w:rFonts w:asciiTheme="minorEastAsia" w:hAnsiTheme="minorEastAsia" w:eastAsiaTheme="minorEastAsia" w:cstheme="minorEastAsia"/>
                <w:color w:val="auto"/>
                <w:sz w:val="21"/>
                <w:szCs w:val="21"/>
                <w:highlight w:val="none"/>
              </w:rPr>
              <w:t>同类</w:t>
            </w:r>
            <w:r>
              <w:rPr>
                <w:rFonts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注：1.在合同执行期间，成交报价人须设立项目负责人和专业专职的主要技术及服务人员，并在上表中列明；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说明：1、报价人必须对应竞争性磋商文件的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8"/>
      <w:bookmarkEnd w:id="347"/>
      <w:bookmarkEnd w:id="348"/>
      <w:bookmarkEnd w:id="349"/>
      <w:bookmarkEnd w:id="350"/>
      <w:bookmarkEnd w:id="351"/>
      <w:bookmarkEnd w:id="353"/>
      <w:bookmarkEnd w:id="354"/>
      <w:bookmarkEnd w:id="355"/>
      <w:bookmarkEnd w:id="356"/>
      <w:bookmarkEnd w:id="357"/>
      <w:bookmarkEnd w:id="358"/>
      <w:bookmarkEnd w:id="359"/>
      <w:bookmarkEnd w:id="360"/>
      <w:bookmarkEnd w:id="361"/>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附件21   ▲条款响应一览表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项目名称</w:t>
      </w:r>
      <w:r>
        <w:rPr>
          <w:rFonts w:hint="eastAsia" w:ascii="宋体" w:hAnsi="宋体" w:cs="宋体"/>
          <w:color w:val="auto"/>
          <w:kern w:val="28"/>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p>
    <w:tbl>
      <w:tblPr>
        <w:tblStyle w:val="89"/>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347" w:type="dxa"/>
            <w:tcBorders>
              <w:left w:val="single" w:color="000000" w:sz="4" w:space="0"/>
            </w:tcBorders>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带“▲”号响应内容</w:t>
            </w:r>
          </w:p>
        </w:tc>
        <w:tc>
          <w:tcPr>
            <w:tcW w:w="108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是否响应</w:t>
            </w:r>
          </w:p>
        </w:tc>
        <w:tc>
          <w:tcPr>
            <w:tcW w:w="1187"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偏离说明</w:t>
            </w:r>
          </w:p>
        </w:tc>
        <w:tc>
          <w:tcPr>
            <w:tcW w:w="1105"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1</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▲换气次数*：十万级区≥15次；万级区≥25次；</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2</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▲机组回风口设有初效过滤器，过滤材料为阻燃型无纺布，过滤效率达到G4，对高中效过滤器起到良好的前置保护作用，安装在机组滑框上，能自由抽出清冼。</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3</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▲机组出风口设高中效过滤器，高中效过滤器在机组内采用螺丝压条压紧方式。高中效过滤器的过滤材料为超细聚丙烯纤维滤料（W型），袋式结构，过滤效率达到F8（比色法90%至95%）。</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说明：1、报价人必须对应</w:t>
      </w:r>
      <w:r>
        <w:rPr>
          <w:rFonts w:hint="eastAsia" w:ascii="宋体" w:hAnsi="宋体" w:cs="宋体"/>
          <w:b/>
          <w:bCs/>
          <w:color w:val="auto"/>
          <w:szCs w:val="21"/>
          <w:highlight w:val="none"/>
          <w:lang w:eastAsia="zh-CN"/>
        </w:rPr>
        <w:t>竞争性磋商文件</w:t>
      </w:r>
      <w:r>
        <w:rPr>
          <w:rFonts w:hint="eastAsia" w:ascii="宋体" w:hAnsi="宋体" w:cs="宋体"/>
          <w:b/>
          <w:bCs/>
          <w:color w:val="auto"/>
          <w:szCs w:val="21"/>
          <w:highlight w:val="none"/>
        </w:rPr>
        <w:t>的 “</w:t>
      </w:r>
      <w:r>
        <w:rPr>
          <w:rFonts w:hint="eastAsia" w:ascii="宋体" w:hAnsi="宋体" w:cs="宋体"/>
          <w:color w:val="auto"/>
          <w:szCs w:val="21"/>
          <w:highlight w:val="none"/>
        </w:rPr>
        <w:t>▲</w:t>
      </w:r>
      <w:r>
        <w:rPr>
          <w:rFonts w:hint="eastAsia" w:ascii="宋体" w:hAnsi="宋体" w:cs="宋体"/>
          <w:b/>
          <w:bCs/>
          <w:color w:val="auto"/>
          <w:szCs w:val="21"/>
          <w:highlight w:val="none"/>
        </w:rPr>
        <w:t>”号条款逐条应答并按要求填写下表。</w:t>
      </w:r>
    </w:p>
    <w:p>
      <w:pPr>
        <w:rPr>
          <w:rFonts w:ascii="宋体" w:hAnsi="宋体" w:cs="宋体"/>
          <w:b/>
          <w:bCs/>
          <w:color w:val="auto"/>
          <w:kern w:val="0"/>
          <w:sz w:val="24"/>
          <w:highlight w:val="none"/>
        </w:rPr>
      </w:pPr>
      <w:r>
        <w:rPr>
          <w:rFonts w:hint="eastAsia" w:ascii="宋体" w:hAnsi="宋体" w:cs="宋体"/>
          <w:b/>
          <w:bCs/>
          <w:color w:val="auto"/>
          <w:szCs w:val="21"/>
          <w:highlight w:val="none"/>
        </w:rPr>
        <w:t>2、对完全响应的条目在下表相应列中标注“○”。对有偏离的条目在下表相应列中标注“×”，并简述偏离内容。</w:t>
      </w: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报价人全称（加盖公章）:</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法定代表或其授权代表(</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p>
    <w:p>
      <w:pPr>
        <w:rPr>
          <w:rFonts w:ascii="宋体" w:hAnsi="宋体"/>
          <w:b/>
          <w:bCs/>
          <w:color w:val="auto"/>
          <w:kern w:val="0"/>
          <w:sz w:val="28"/>
          <w:szCs w:val="28"/>
          <w:highlight w:val="none"/>
        </w:rPr>
      </w:pPr>
      <w:r>
        <w:rPr>
          <w:rFonts w:hint="eastAsia" w:ascii="宋体" w:hAnsi="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附件22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附件23</w:t>
      </w:r>
      <w:r>
        <w:rPr>
          <w:rFonts w:hint="eastAsia" w:ascii="宋体" w:hAnsi="宋体"/>
          <w:b/>
          <w:bCs/>
          <w:color w:val="auto"/>
          <w:kern w:val="0"/>
          <w:sz w:val="28"/>
          <w:szCs w:val="28"/>
          <w:highlight w:val="none"/>
          <w:lang w:val="en-US" w:eastAsia="zh-CN"/>
        </w:rPr>
        <w:t xml:space="preserve"> </w:t>
      </w:r>
      <w:r>
        <w:rPr>
          <w:rFonts w:hint="eastAsia" w:ascii="宋体" w:hAnsi="宋体"/>
          <w:b/>
          <w:bCs/>
          <w:color w:val="auto"/>
          <w:kern w:val="0"/>
          <w:sz w:val="28"/>
          <w:szCs w:val="28"/>
          <w:highlight w:val="none"/>
        </w:rPr>
        <w:t>报价人认为有必要说明的其他文件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201060901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6"/>
                      <w:rPr>
                        <w:rStyle w:val="93"/>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6"/>
                          </w:pPr>
                          <w:r>
                            <w:fldChar w:fldCharType="begin"/>
                          </w:r>
                          <w:r>
                            <w:instrText xml:space="preserve"> PAGE  \* MERGEFORMAT </w:instrText>
                          </w:r>
                          <w:r>
                            <w:fldChar w:fldCharType="separate"/>
                          </w:r>
                          <w:r>
                            <w:t>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54</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894998"/>
    <w:multiLevelType w:val="singleLevel"/>
    <w:tmpl w:val="DC894998"/>
    <w:lvl w:ilvl="0" w:tentative="0">
      <w:start w:val="4"/>
      <w:numFmt w:val="chineseCounting"/>
      <w:suff w:val="nothing"/>
      <w:lvlText w:val="%1、"/>
      <w:lvlJc w:val="left"/>
      <w:rPr>
        <w:rFonts w:hint="eastAsia"/>
      </w:rPr>
    </w:lvl>
  </w:abstractNum>
  <w:abstractNum w:abstractNumId="1">
    <w:nsid w:val="E1F586E8"/>
    <w:multiLevelType w:val="singleLevel"/>
    <w:tmpl w:val="E1F586E8"/>
    <w:lvl w:ilvl="0" w:tentative="0">
      <w:start w:val="1"/>
      <w:numFmt w:val="decimal"/>
      <w:suff w:val="nothing"/>
      <w:lvlText w:val="（%1）"/>
      <w:lvlJc w:val="left"/>
      <w:pPr>
        <w:ind w:left="945" w:firstLine="0"/>
      </w:pPr>
    </w:lvl>
  </w:abstractNum>
  <w:abstractNum w:abstractNumId="2">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4">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9">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628427C8"/>
    <w:multiLevelType w:val="multilevel"/>
    <w:tmpl w:val="628427C8"/>
    <w:lvl w:ilvl="0" w:tentative="0">
      <w:start w:val="1"/>
      <w:numFmt w:val="decimal"/>
      <w:lvlText w:val="%1、"/>
      <w:lvlJc w:val="left"/>
      <w:pPr>
        <w:tabs>
          <w:tab w:val="left" w:pos="960"/>
        </w:tabs>
        <w:ind w:left="960" w:hanging="360"/>
      </w:pPr>
      <w:rPr>
        <w:rFonts w:hint="default"/>
      </w:rPr>
    </w:lvl>
    <w:lvl w:ilvl="1" w:tentative="0">
      <w:start w:val="7"/>
      <w:numFmt w:val="japaneseCounting"/>
      <w:lvlText w:val="%2、"/>
      <w:lvlJc w:val="left"/>
      <w:pPr>
        <w:tabs>
          <w:tab w:val="left" w:pos="720"/>
        </w:tabs>
        <w:ind w:left="720" w:hanging="720"/>
      </w:pPr>
      <w:rPr>
        <w:rFonts w:hint="default"/>
      </w:r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1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5">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7EAD15A1"/>
    <w:multiLevelType w:val="multilevel"/>
    <w:tmpl w:val="7EAD15A1"/>
    <w:lvl w:ilvl="0" w:tentative="0">
      <w:start w:val="1"/>
      <w:numFmt w:val="decimal"/>
      <w:lvlText w:val="%1、"/>
      <w:lvlJc w:val="left"/>
      <w:pPr>
        <w:tabs>
          <w:tab w:val="left" w:pos="1080"/>
        </w:tabs>
        <w:ind w:left="1080" w:hanging="360"/>
      </w:pPr>
      <w:rPr>
        <w:rFonts w:hint="default" w:ascii="宋体" w:hAnsi="宋体" w:eastAsia="宋体"/>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2"/>
    <w:lvlOverride w:ilvl="0">
      <w:startOverride w:val="1"/>
    </w:lvlOverride>
  </w:num>
  <w:num w:numId="2">
    <w:abstractNumId w:val="1"/>
  </w:num>
  <w:num w:numId="3">
    <w:abstractNumId w:val="3"/>
  </w:num>
  <w:num w:numId="4">
    <w:abstractNumId w:val="13"/>
  </w:num>
  <w:num w:numId="5">
    <w:abstractNumId w:val="11"/>
  </w:num>
  <w:num w:numId="6">
    <w:abstractNumId w:val="9"/>
  </w:num>
  <w:num w:numId="7">
    <w:abstractNumId w:val="0"/>
  </w:num>
  <w:num w:numId="8">
    <w:abstractNumId w:val="16"/>
  </w:num>
  <w:num w:numId="9">
    <w:abstractNumId w:val="12"/>
  </w:num>
  <w:num w:numId="10">
    <w:abstractNumId w:val="8"/>
  </w:num>
  <w:num w:numId="11">
    <w:abstractNumId w:val="15"/>
  </w:num>
  <w:num w:numId="12">
    <w:abstractNumId w:val="4"/>
  </w:num>
  <w:num w:numId="13">
    <w:abstractNumId w:val="10"/>
  </w:num>
  <w:num w:numId="14">
    <w:abstractNumId w:val="5"/>
  </w:num>
  <w:num w:numId="15">
    <w:abstractNumId w:val="14"/>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4544BB"/>
    <w:rsid w:val="005054B5"/>
    <w:rsid w:val="00511485"/>
    <w:rsid w:val="00542854"/>
    <w:rsid w:val="00545874"/>
    <w:rsid w:val="00553854"/>
    <w:rsid w:val="006E4DAE"/>
    <w:rsid w:val="007A5220"/>
    <w:rsid w:val="007C756C"/>
    <w:rsid w:val="00801945"/>
    <w:rsid w:val="00822326"/>
    <w:rsid w:val="00845AC9"/>
    <w:rsid w:val="008E4121"/>
    <w:rsid w:val="009F7297"/>
    <w:rsid w:val="00A50D6E"/>
    <w:rsid w:val="00C56CAD"/>
    <w:rsid w:val="00C86501"/>
    <w:rsid w:val="00CD3B18"/>
    <w:rsid w:val="00D71D8C"/>
    <w:rsid w:val="00D75658"/>
    <w:rsid w:val="00D908A5"/>
    <w:rsid w:val="00E6627F"/>
    <w:rsid w:val="00FA526C"/>
    <w:rsid w:val="01980809"/>
    <w:rsid w:val="05006FA0"/>
    <w:rsid w:val="06421AB1"/>
    <w:rsid w:val="07161791"/>
    <w:rsid w:val="084429CB"/>
    <w:rsid w:val="08694ADA"/>
    <w:rsid w:val="09407E21"/>
    <w:rsid w:val="0A9A3C00"/>
    <w:rsid w:val="0AE11E48"/>
    <w:rsid w:val="0BF136BB"/>
    <w:rsid w:val="0C045CD2"/>
    <w:rsid w:val="0CDF06FD"/>
    <w:rsid w:val="0D8152E8"/>
    <w:rsid w:val="0D8D2929"/>
    <w:rsid w:val="0E294FAB"/>
    <w:rsid w:val="0E4105B3"/>
    <w:rsid w:val="105C59F3"/>
    <w:rsid w:val="10D149BD"/>
    <w:rsid w:val="11A42212"/>
    <w:rsid w:val="137179C0"/>
    <w:rsid w:val="1617052D"/>
    <w:rsid w:val="167654DF"/>
    <w:rsid w:val="16A36F9A"/>
    <w:rsid w:val="199B7D6D"/>
    <w:rsid w:val="1A251978"/>
    <w:rsid w:val="1A3C0A9F"/>
    <w:rsid w:val="1A4C5B34"/>
    <w:rsid w:val="1B62425E"/>
    <w:rsid w:val="1B9B22B5"/>
    <w:rsid w:val="1C245DE6"/>
    <w:rsid w:val="1D461912"/>
    <w:rsid w:val="1D633DE0"/>
    <w:rsid w:val="1F1539B4"/>
    <w:rsid w:val="1F9E3FD7"/>
    <w:rsid w:val="20630372"/>
    <w:rsid w:val="210359FE"/>
    <w:rsid w:val="210C2156"/>
    <w:rsid w:val="216E2E07"/>
    <w:rsid w:val="22535329"/>
    <w:rsid w:val="22BF6C29"/>
    <w:rsid w:val="22C869D7"/>
    <w:rsid w:val="2301305E"/>
    <w:rsid w:val="233D3FD3"/>
    <w:rsid w:val="242C59D1"/>
    <w:rsid w:val="24EE7B33"/>
    <w:rsid w:val="255A3784"/>
    <w:rsid w:val="261C0F45"/>
    <w:rsid w:val="2988523F"/>
    <w:rsid w:val="2A1810D7"/>
    <w:rsid w:val="2A4464A6"/>
    <w:rsid w:val="2B8F5A11"/>
    <w:rsid w:val="2CC3315B"/>
    <w:rsid w:val="2E306885"/>
    <w:rsid w:val="32711968"/>
    <w:rsid w:val="34877BFC"/>
    <w:rsid w:val="348E0D5D"/>
    <w:rsid w:val="354A32AA"/>
    <w:rsid w:val="35504E75"/>
    <w:rsid w:val="370D4E81"/>
    <w:rsid w:val="39144DD2"/>
    <w:rsid w:val="39613E61"/>
    <w:rsid w:val="3A817547"/>
    <w:rsid w:val="3B91650A"/>
    <w:rsid w:val="3C47493F"/>
    <w:rsid w:val="3D116FAF"/>
    <w:rsid w:val="3FAD613F"/>
    <w:rsid w:val="40B056D5"/>
    <w:rsid w:val="40F2232A"/>
    <w:rsid w:val="413E03B5"/>
    <w:rsid w:val="422B07EA"/>
    <w:rsid w:val="433C464F"/>
    <w:rsid w:val="45816D95"/>
    <w:rsid w:val="45BC0B50"/>
    <w:rsid w:val="47F7074A"/>
    <w:rsid w:val="48BB5163"/>
    <w:rsid w:val="498664A7"/>
    <w:rsid w:val="4BA44348"/>
    <w:rsid w:val="4BC27EF0"/>
    <w:rsid w:val="4BD95E6C"/>
    <w:rsid w:val="4DBE3804"/>
    <w:rsid w:val="4E5221B2"/>
    <w:rsid w:val="4ECA1C10"/>
    <w:rsid w:val="500819AE"/>
    <w:rsid w:val="527065EF"/>
    <w:rsid w:val="52A95F17"/>
    <w:rsid w:val="53DE7831"/>
    <w:rsid w:val="54A35848"/>
    <w:rsid w:val="55137FB5"/>
    <w:rsid w:val="56A0651B"/>
    <w:rsid w:val="5A0E3D30"/>
    <w:rsid w:val="5A7B2ED9"/>
    <w:rsid w:val="5CE9656C"/>
    <w:rsid w:val="5DE55A9A"/>
    <w:rsid w:val="5E363818"/>
    <w:rsid w:val="5E421EBB"/>
    <w:rsid w:val="5F4F61BA"/>
    <w:rsid w:val="5F9100C4"/>
    <w:rsid w:val="61C679A6"/>
    <w:rsid w:val="62113364"/>
    <w:rsid w:val="629F1549"/>
    <w:rsid w:val="633406B9"/>
    <w:rsid w:val="634D7B2F"/>
    <w:rsid w:val="65FE204E"/>
    <w:rsid w:val="66CD6C6A"/>
    <w:rsid w:val="68BC1C18"/>
    <w:rsid w:val="6C3237AC"/>
    <w:rsid w:val="6CF57457"/>
    <w:rsid w:val="6D4939B5"/>
    <w:rsid w:val="6D6E5707"/>
    <w:rsid w:val="6D757E5C"/>
    <w:rsid w:val="6DBB2FB8"/>
    <w:rsid w:val="6E7252CC"/>
    <w:rsid w:val="7151618F"/>
    <w:rsid w:val="71EA1747"/>
    <w:rsid w:val="73E10AC3"/>
    <w:rsid w:val="7641621C"/>
    <w:rsid w:val="76AC3FB9"/>
    <w:rsid w:val="77D008D6"/>
    <w:rsid w:val="785574EC"/>
    <w:rsid w:val="78E967AD"/>
    <w:rsid w:val="79C925F3"/>
    <w:rsid w:val="7B0503DB"/>
    <w:rsid w:val="7B2E0E6C"/>
    <w:rsid w:val="7CC65E6E"/>
    <w:rsid w:val="7CE37D39"/>
    <w:rsid w:val="7D8D6193"/>
    <w:rsid w:val="7E7E2AD4"/>
    <w:rsid w:val="7F141D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1"/>
    <w:link w:val="108"/>
    <w:qFormat/>
    <w:uiPriority w:val="0"/>
    <w:rPr>
      <w:rFonts w:ascii="宋体" w:hAnsi="Courier New" w:cstheme="minorBidi"/>
      <w:szCs w:val="22"/>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4"/>
    <w:qFormat/>
    <w:uiPriority w:val="0"/>
    <w:pPr>
      <w:spacing w:line="360" w:lineRule="auto"/>
      <w:ind w:left="718" w:leftChars="342"/>
    </w:pPr>
    <w:rPr>
      <w:rFonts w:ascii="宋体" w:hAnsi="宋体"/>
      <w:sz w:val="24"/>
    </w:rPr>
  </w:style>
  <w:style w:type="paragraph" w:styleId="53">
    <w:name w:val="endnote text"/>
    <w:basedOn w:val="1"/>
    <w:link w:val="141"/>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4"/>
    <w:qFormat/>
    <w:uiPriority w:val="0"/>
    <w:rPr>
      <w:rFonts w:asciiTheme="minorHAnsi" w:hAnsiTheme="minorHAnsi" w:eastAsiaTheme="minorEastAsia" w:cstheme="minorBidi"/>
      <w:sz w:val="18"/>
      <w:szCs w:val="18"/>
    </w:rPr>
  </w:style>
  <w:style w:type="paragraph" w:styleId="56">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6"/>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6"/>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7"/>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9"/>
    <w:qFormat/>
    <w:uiPriority w:val="0"/>
    <w:rPr>
      <w:rFonts w:asciiTheme="minorHAnsi" w:hAnsiTheme="minorHAnsi" w:eastAsiaTheme="minorEastAsia" w:cstheme="minorBidi"/>
      <w:sz w:val="18"/>
    </w:r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29"/>
    <w:next w:val="29"/>
    <w:link w:val="116"/>
    <w:qFormat/>
    <w:uiPriority w:val="0"/>
    <w:rPr>
      <w:rFonts w:eastAsiaTheme="minorEastAsia"/>
      <w:b/>
      <w:bCs/>
    </w:rPr>
  </w:style>
  <w:style w:type="paragraph" w:styleId="87">
    <w:name w:val="Body Text First Indent"/>
    <w:basedOn w:val="35"/>
    <w:link w:val="117"/>
    <w:qFormat/>
    <w:uiPriority w:val="0"/>
    <w:pPr>
      <w:widowControl/>
      <w:ind w:firstLine="420" w:firstLineChars="100"/>
      <w:jc w:val="left"/>
    </w:pPr>
    <w:rPr>
      <w:rFonts w:ascii="楷体_GB2312" w:eastAsia="楷体_GB2312"/>
      <w:b/>
      <w:sz w:val="30"/>
    </w:rPr>
  </w:style>
  <w:style w:type="paragraph" w:styleId="88">
    <w:name w:val="Body Text First Indent 2"/>
    <w:basedOn w:val="36"/>
    <w:link w:val="127"/>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paragraph" w:customStyle="1" w:styleId="9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97">
    <w:name w:val="标题 1 Char"/>
    <w:basedOn w:val="91"/>
    <w:link w:val="4"/>
    <w:qFormat/>
    <w:uiPriority w:val="0"/>
    <w:rPr>
      <w:rFonts w:ascii="宋体" w:hAnsi="宋体" w:eastAsia="宋体" w:cs="Times New Roman"/>
      <w:b/>
      <w:bCs/>
      <w:sz w:val="48"/>
      <w:szCs w:val="24"/>
    </w:rPr>
  </w:style>
  <w:style w:type="character" w:customStyle="1" w:styleId="98">
    <w:name w:val="标题 2 Char"/>
    <w:basedOn w:val="91"/>
    <w:link w:val="5"/>
    <w:qFormat/>
    <w:uiPriority w:val="0"/>
    <w:rPr>
      <w:rFonts w:ascii="宋体" w:hAnsi="宋体" w:eastAsia="宋体" w:cs="Times New Roman"/>
      <w:b/>
      <w:kern w:val="0"/>
      <w:sz w:val="30"/>
      <w:szCs w:val="20"/>
    </w:rPr>
  </w:style>
  <w:style w:type="character" w:customStyle="1" w:styleId="99">
    <w:name w:val="标题 3 Char"/>
    <w:basedOn w:val="91"/>
    <w:link w:val="6"/>
    <w:qFormat/>
    <w:uiPriority w:val="0"/>
    <w:rPr>
      <w:rFonts w:ascii="宋体" w:hAnsi="宋体" w:eastAsia="宋体" w:cs="Times New Roman"/>
      <w:b/>
      <w:kern w:val="0"/>
      <w:sz w:val="28"/>
      <w:szCs w:val="20"/>
    </w:rPr>
  </w:style>
  <w:style w:type="character" w:customStyle="1" w:styleId="100">
    <w:name w:val="标题 4 Char"/>
    <w:basedOn w:val="91"/>
    <w:link w:val="7"/>
    <w:qFormat/>
    <w:uiPriority w:val="0"/>
    <w:rPr>
      <w:rFonts w:ascii="Arial" w:hAnsi="Arial" w:eastAsia="黑体" w:cs="Times New Roman"/>
      <w:b/>
      <w:bCs/>
      <w:sz w:val="28"/>
      <w:szCs w:val="28"/>
    </w:rPr>
  </w:style>
  <w:style w:type="character" w:customStyle="1" w:styleId="101">
    <w:name w:val="标题 5 Char"/>
    <w:basedOn w:val="91"/>
    <w:link w:val="8"/>
    <w:qFormat/>
    <w:uiPriority w:val="0"/>
    <w:rPr>
      <w:rFonts w:ascii="Arial" w:hAnsi="Arial" w:eastAsia="宋体" w:cs="Times New Roman"/>
      <w:kern w:val="0"/>
      <w:sz w:val="22"/>
      <w:szCs w:val="20"/>
    </w:rPr>
  </w:style>
  <w:style w:type="character" w:customStyle="1" w:styleId="102">
    <w:name w:val="标题 6 Char"/>
    <w:basedOn w:val="91"/>
    <w:link w:val="9"/>
    <w:qFormat/>
    <w:uiPriority w:val="0"/>
    <w:rPr>
      <w:rFonts w:ascii="Calibri" w:hAnsi="Arial" w:eastAsia="宋体" w:cs="Times New Roman"/>
      <w:i/>
      <w:kern w:val="0"/>
      <w:sz w:val="22"/>
      <w:szCs w:val="20"/>
    </w:rPr>
  </w:style>
  <w:style w:type="character" w:customStyle="1" w:styleId="103">
    <w:name w:val="标题 7 Char"/>
    <w:basedOn w:val="91"/>
    <w:link w:val="10"/>
    <w:qFormat/>
    <w:uiPriority w:val="0"/>
    <w:rPr>
      <w:rFonts w:ascii="Arial" w:hAnsi="Arial" w:eastAsia="宋体" w:cs="Times New Roman"/>
      <w:kern w:val="0"/>
      <w:sz w:val="20"/>
      <w:szCs w:val="20"/>
    </w:rPr>
  </w:style>
  <w:style w:type="character" w:customStyle="1" w:styleId="104">
    <w:name w:val="标题 8 Char"/>
    <w:basedOn w:val="91"/>
    <w:link w:val="11"/>
    <w:qFormat/>
    <w:uiPriority w:val="0"/>
    <w:rPr>
      <w:rFonts w:ascii="Arial" w:hAnsi="Arial" w:eastAsia="宋体" w:cs="Times New Roman"/>
      <w:i/>
      <w:kern w:val="0"/>
      <w:sz w:val="20"/>
      <w:szCs w:val="20"/>
    </w:rPr>
  </w:style>
  <w:style w:type="character" w:customStyle="1" w:styleId="105">
    <w:name w:val="标题 9 Char"/>
    <w:basedOn w:val="91"/>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6"/>
    <w:qFormat/>
    <w:uiPriority w:val="0"/>
    <w:rPr>
      <w:sz w:val="18"/>
    </w:rPr>
  </w:style>
  <w:style w:type="character" w:customStyle="1" w:styleId="112">
    <w:name w:val="页眉 Char"/>
    <w:link w:val="58"/>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5"/>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6"/>
    <w:qFormat/>
    <w:uiPriority w:val="0"/>
    <w:rPr>
      <w:b/>
      <w:bCs/>
      <w:szCs w:val="24"/>
    </w:rPr>
  </w:style>
  <w:style w:type="character" w:customStyle="1" w:styleId="117">
    <w:name w:val="正文首行缩进 Char"/>
    <w:link w:val="87"/>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7"/>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列出段落1"/>
    <w:basedOn w:val="1"/>
    <w:link w:val="121"/>
    <w:qFormat/>
    <w:uiPriority w:val="0"/>
    <w:pPr>
      <w:ind w:firstLine="420" w:firstLineChars="200"/>
    </w:pPr>
    <w:rPr>
      <w:rFonts w:eastAsiaTheme="minorEastAsia" w:cstheme="minorBidi"/>
      <w:szCs w:val="22"/>
    </w:rPr>
  </w:style>
  <w:style w:type="character" w:customStyle="1" w:styleId="123">
    <w:name w:val="标题 Char"/>
    <w:link w:val="85"/>
    <w:qFormat/>
    <w:uiPriority w:val="0"/>
    <w:rPr>
      <w:rFonts w:ascii="Arial" w:hAnsi="Arial"/>
      <w:b/>
      <w:bCs/>
      <w:sz w:val="32"/>
      <w:szCs w:val="32"/>
    </w:rPr>
  </w:style>
  <w:style w:type="character" w:customStyle="1" w:styleId="124">
    <w:name w:val="页眉 Char1"/>
    <w:basedOn w:val="91"/>
    <w:semiHidden/>
    <w:qFormat/>
    <w:uiPriority w:val="99"/>
    <w:rPr>
      <w:rFonts w:ascii="Calibri" w:hAnsi="Calibri" w:eastAsia="宋体" w:cs="Times New Roman"/>
      <w:sz w:val="18"/>
      <w:szCs w:val="18"/>
    </w:rPr>
  </w:style>
  <w:style w:type="character" w:customStyle="1" w:styleId="125">
    <w:name w:val="HTML 预设格式 Char"/>
    <w:basedOn w:val="91"/>
    <w:link w:val="81"/>
    <w:qFormat/>
    <w:uiPriority w:val="0"/>
    <w:rPr>
      <w:rFonts w:ascii="黑体" w:hAnsi="Courier New" w:eastAsia="黑体" w:cs="Courier New"/>
      <w:kern w:val="0"/>
      <w:sz w:val="20"/>
      <w:szCs w:val="20"/>
    </w:rPr>
  </w:style>
  <w:style w:type="character" w:customStyle="1" w:styleId="126">
    <w:name w:val="正文文本缩进 Char1"/>
    <w:basedOn w:val="91"/>
    <w:link w:val="36"/>
    <w:semiHidden/>
    <w:qFormat/>
    <w:uiPriority w:val="99"/>
    <w:rPr>
      <w:rFonts w:ascii="Calibri" w:hAnsi="Calibri" w:eastAsia="宋体" w:cs="Times New Roman"/>
      <w:szCs w:val="24"/>
    </w:rPr>
  </w:style>
  <w:style w:type="character" w:customStyle="1" w:styleId="127">
    <w:name w:val="正文首行缩进 2 Char"/>
    <w:basedOn w:val="126"/>
    <w:link w:val="88"/>
    <w:qFormat/>
    <w:uiPriority w:val="0"/>
    <w:rPr>
      <w:rFonts w:ascii="Times New Roman" w:hAnsi="Times New Roman" w:eastAsia="宋体" w:cs="Times New Roman"/>
      <w:szCs w:val="24"/>
    </w:rPr>
  </w:style>
  <w:style w:type="character" w:customStyle="1" w:styleId="128">
    <w:name w:val="正文文本 3 Char1"/>
    <w:basedOn w:val="91"/>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1"/>
    <w:semiHidden/>
    <w:qFormat/>
    <w:uiPriority w:val="99"/>
    <w:rPr>
      <w:rFonts w:ascii="Calibri" w:hAnsi="Calibri" w:eastAsia="宋体" w:cs="Times New Roman"/>
      <w:szCs w:val="24"/>
    </w:rPr>
  </w:style>
  <w:style w:type="character" w:customStyle="1" w:styleId="131">
    <w:name w:val="称呼 Char"/>
    <w:basedOn w:val="91"/>
    <w:link w:val="31"/>
    <w:qFormat/>
    <w:uiPriority w:val="0"/>
    <w:rPr>
      <w:rFonts w:ascii="Calibri" w:hAnsi="Calibri" w:eastAsia="宋体" w:cs="Times New Roman"/>
      <w:szCs w:val="24"/>
    </w:rPr>
  </w:style>
  <w:style w:type="character" w:customStyle="1" w:styleId="132">
    <w:name w:val="正文文本 2 Char1"/>
    <w:basedOn w:val="91"/>
    <w:semiHidden/>
    <w:qFormat/>
    <w:uiPriority w:val="99"/>
    <w:rPr>
      <w:rFonts w:ascii="Calibri" w:hAnsi="Calibri" w:eastAsia="宋体" w:cs="Times New Roman"/>
      <w:szCs w:val="24"/>
    </w:rPr>
  </w:style>
  <w:style w:type="character" w:customStyle="1" w:styleId="133">
    <w:name w:val="副标题 Char"/>
    <w:basedOn w:val="91"/>
    <w:link w:val="65"/>
    <w:qFormat/>
    <w:uiPriority w:val="0"/>
    <w:rPr>
      <w:rFonts w:ascii="Arial" w:hAnsi="Arial" w:eastAsia="宋体" w:cs="Arial"/>
      <w:b/>
      <w:bCs/>
      <w:kern w:val="28"/>
      <w:sz w:val="32"/>
      <w:szCs w:val="32"/>
    </w:rPr>
  </w:style>
  <w:style w:type="character" w:customStyle="1" w:styleId="134">
    <w:name w:val="正文文本缩进 2 Char"/>
    <w:basedOn w:val="91"/>
    <w:link w:val="52"/>
    <w:qFormat/>
    <w:uiPriority w:val="0"/>
    <w:rPr>
      <w:rFonts w:ascii="宋体" w:hAnsi="宋体" w:eastAsia="宋体" w:cs="Times New Roman"/>
      <w:sz w:val="24"/>
      <w:szCs w:val="24"/>
    </w:rPr>
  </w:style>
  <w:style w:type="character" w:customStyle="1" w:styleId="135">
    <w:name w:val="HTML 地址 Char"/>
    <w:basedOn w:val="91"/>
    <w:link w:val="42"/>
    <w:qFormat/>
    <w:uiPriority w:val="0"/>
    <w:rPr>
      <w:rFonts w:ascii="Calibri" w:hAnsi="Calibri" w:eastAsia="宋体" w:cs="Times New Roman"/>
      <w:i/>
      <w:iCs/>
      <w:szCs w:val="24"/>
    </w:rPr>
  </w:style>
  <w:style w:type="character" w:customStyle="1" w:styleId="136">
    <w:name w:val="批注文字 Char1"/>
    <w:basedOn w:val="91"/>
    <w:semiHidden/>
    <w:qFormat/>
    <w:uiPriority w:val="99"/>
    <w:rPr>
      <w:rFonts w:ascii="Calibri" w:hAnsi="Calibri" w:eastAsia="宋体" w:cs="Times New Roman"/>
      <w:szCs w:val="24"/>
    </w:rPr>
  </w:style>
  <w:style w:type="character" w:customStyle="1" w:styleId="137">
    <w:name w:val="日期 Char"/>
    <w:basedOn w:val="91"/>
    <w:link w:val="51"/>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1"/>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1"/>
    <w:link w:val="53"/>
    <w:semiHidden/>
    <w:qFormat/>
    <w:uiPriority w:val="0"/>
    <w:rPr>
      <w:rFonts w:ascii="Calibri" w:hAnsi="Calibri" w:eastAsia="宋体" w:cs="Times New Roman"/>
      <w:szCs w:val="24"/>
    </w:rPr>
  </w:style>
  <w:style w:type="character" w:customStyle="1" w:styleId="142">
    <w:name w:val="结束语 Char"/>
    <w:basedOn w:val="91"/>
    <w:link w:val="33"/>
    <w:qFormat/>
    <w:uiPriority w:val="0"/>
    <w:rPr>
      <w:rFonts w:ascii="Calibri" w:hAnsi="Calibri" w:eastAsia="宋体" w:cs="Times New Roman"/>
      <w:szCs w:val="24"/>
    </w:rPr>
  </w:style>
  <w:style w:type="character" w:customStyle="1" w:styleId="143">
    <w:name w:val="注释标题 Char"/>
    <w:basedOn w:val="91"/>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1"/>
    <w:qFormat/>
    <w:uiPriority w:val="10"/>
    <w:rPr>
      <w:rFonts w:eastAsia="宋体" w:asciiTheme="majorHAnsi" w:hAnsiTheme="majorHAnsi" w:cstheme="majorBidi"/>
      <w:b/>
      <w:bCs/>
      <w:sz w:val="32"/>
      <w:szCs w:val="32"/>
    </w:rPr>
  </w:style>
  <w:style w:type="character" w:customStyle="1" w:styleId="146">
    <w:name w:val="签名 Char"/>
    <w:basedOn w:val="91"/>
    <w:link w:val="59"/>
    <w:qFormat/>
    <w:uiPriority w:val="0"/>
    <w:rPr>
      <w:rFonts w:ascii="Calibri" w:hAnsi="Calibri" w:eastAsia="宋体" w:cs="Times New Roman"/>
      <w:szCs w:val="24"/>
    </w:rPr>
  </w:style>
  <w:style w:type="character" w:customStyle="1" w:styleId="147">
    <w:name w:val="信息标题 Char"/>
    <w:basedOn w:val="91"/>
    <w:link w:val="80"/>
    <w:qFormat/>
    <w:uiPriority w:val="0"/>
    <w:rPr>
      <w:rFonts w:ascii="Arial" w:hAnsi="Arial" w:eastAsia="宋体" w:cs="Arial"/>
      <w:sz w:val="24"/>
      <w:szCs w:val="24"/>
      <w:shd w:val="pct20" w:color="auto" w:fill="auto"/>
    </w:rPr>
  </w:style>
  <w:style w:type="character" w:customStyle="1" w:styleId="148">
    <w:name w:val="批注框文本 Char1"/>
    <w:basedOn w:val="91"/>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1"/>
    <w:link w:val="3"/>
    <w:semiHidden/>
    <w:qFormat/>
    <w:uiPriority w:val="0"/>
    <w:rPr>
      <w:rFonts w:ascii="Courier New" w:hAnsi="Courier New" w:eastAsia="宋体" w:cs="Courier New"/>
      <w:sz w:val="24"/>
      <w:szCs w:val="24"/>
    </w:rPr>
  </w:style>
  <w:style w:type="character" w:customStyle="1" w:styleId="151">
    <w:name w:val="页脚 Char1"/>
    <w:basedOn w:val="91"/>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1"/>
    <w:semiHidden/>
    <w:qFormat/>
    <w:uiPriority w:val="99"/>
    <w:rPr>
      <w:rFonts w:ascii="宋体" w:hAnsi="Courier New" w:eastAsia="宋体" w:cs="Courier New"/>
      <w:szCs w:val="21"/>
    </w:rPr>
  </w:style>
  <w:style w:type="character" w:customStyle="1" w:styleId="154">
    <w:name w:val="电子邮件签名 Char"/>
    <w:basedOn w:val="91"/>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1"/>
    <w:link w:val="68"/>
    <w:semiHidden/>
    <w:qFormat/>
    <w:uiPriority w:val="0"/>
    <w:rPr>
      <w:rFonts w:ascii="Calibri" w:hAnsi="Calibri" w:eastAsia="宋体" w:cs="Times New Roman"/>
      <w:sz w:val="18"/>
      <w:szCs w:val="18"/>
    </w:rPr>
  </w:style>
  <w:style w:type="character" w:customStyle="1" w:styleId="157">
    <w:name w:val="正文文本缩进 3 Char"/>
    <w:basedOn w:val="91"/>
    <w:link w:val="71"/>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12"/>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1"/>
    <w:qFormat/>
    <w:uiPriority w:val="0"/>
    <w:rPr>
      <w:rFonts w:hint="eastAsia" w:ascii="宋体" w:hAnsi="宋体" w:eastAsia="宋体" w:cs="宋体"/>
      <w:color w:val="000000"/>
      <w:sz w:val="22"/>
      <w:szCs w:val="22"/>
      <w:u w:val="none"/>
    </w:rPr>
  </w:style>
  <w:style w:type="character" w:customStyle="1" w:styleId="212">
    <w:name w:val="font01"/>
    <w:basedOn w:val="91"/>
    <w:qFormat/>
    <w:uiPriority w:val="0"/>
    <w:rPr>
      <w:rFonts w:hint="eastAsia" w:ascii="宋体" w:hAnsi="宋体" w:eastAsia="宋体" w:cs="宋体"/>
      <w:color w:val="333333"/>
      <w:sz w:val="22"/>
      <w:szCs w:val="22"/>
      <w:u w:val="none"/>
    </w:rPr>
  </w:style>
  <w:style w:type="character" w:customStyle="1" w:styleId="213">
    <w:name w:val="font51"/>
    <w:basedOn w:val="91"/>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rPr>
  </w:style>
  <w:style w:type="character" w:customStyle="1" w:styleId="215">
    <w:name w:val="font41"/>
    <w:basedOn w:val="91"/>
    <w:qFormat/>
    <w:uiPriority w:val="0"/>
    <w:rPr>
      <w:rFonts w:hint="eastAsia" w:ascii="宋体" w:hAnsi="宋体" w:eastAsia="宋体" w:cs="宋体"/>
      <w:color w:val="000000"/>
      <w:sz w:val="22"/>
      <w:szCs w:val="22"/>
      <w:u w:val="none"/>
    </w:rPr>
  </w:style>
  <w:style w:type="character" w:customStyle="1" w:styleId="216">
    <w:name w:val="font61"/>
    <w:basedOn w:val="91"/>
    <w:qFormat/>
    <w:uiPriority w:val="0"/>
    <w:rPr>
      <w:rFonts w:hint="eastAsia" w:ascii="宋体" w:hAnsi="宋体" w:eastAsia="宋体" w:cs="宋体"/>
      <w:color w:val="000000"/>
      <w:sz w:val="22"/>
      <w:szCs w:val="22"/>
      <w:u w:val="none"/>
    </w:rPr>
  </w:style>
  <w:style w:type="character" w:customStyle="1" w:styleId="217">
    <w:name w:val="font21"/>
    <w:basedOn w:val="91"/>
    <w:qFormat/>
    <w:uiPriority w:val="0"/>
    <w:rPr>
      <w:rFonts w:hint="eastAsia" w:ascii="宋体" w:hAnsi="宋体" w:eastAsia="宋体" w:cs="宋体"/>
      <w:color w:val="000000"/>
      <w:sz w:val="22"/>
      <w:szCs w:val="22"/>
      <w:u w:val="none"/>
    </w:rPr>
  </w:style>
  <w:style w:type="character" w:customStyle="1" w:styleId="218">
    <w:name w:val="font151"/>
    <w:basedOn w:val="91"/>
    <w:qFormat/>
    <w:uiPriority w:val="0"/>
    <w:rPr>
      <w:rFonts w:hint="default" w:ascii="Times New Roman" w:hAnsi="Times New Roman" w:cs="Times New Roman"/>
      <w:color w:val="000000"/>
      <w:sz w:val="20"/>
      <w:szCs w:val="20"/>
      <w:u w:val="none"/>
    </w:rPr>
  </w:style>
  <w:style w:type="character" w:customStyle="1" w:styleId="219">
    <w:name w:val="font71"/>
    <w:basedOn w:val="91"/>
    <w:qFormat/>
    <w:uiPriority w:val="0"/>
    <w:rPr>
      <w:rFonts w:hint="default" w:ascii="Times New Roman" w:hAnsi="Times New Roman" w:cs="Times New Roman"/>
      <w:color w:val="000000"/>
      <w:sz w:val="20"/>
      <w:szCs w:val="20"/>
      <w:u w:val="none"/>
    </w:rPr>
  </w:style>
  <w:style w:type="character" w:customStyle="1" w:styleId="220">
    <w:name w:val="font11"/>
    <w:basedOn w:val="91"/>
    <w:qFormat/>
    <w:uiPriority w:val="0"/>
    <w:rPr>
      <w:rFonts w:hint="eastAsia" w:ascii="宋体" w:hAnsi="宋体" w:eastAsia="宋体" w:cs="宋体"/>
      <w:color w:val="000000"/>
      <w:sz w:val="22"/>
      <w:szCs w:val="22"/>
      <w:u w:val="none"/>
    </w:rPr>
  </w:style>
  <w:style w:type="character" w:customStyle="1" w:styleId="221">
    <w:name w:val="font101"/>
    <w:basedOn w:val="91"/>
    <w:qFormat/>
    <w:uiPriority w:val="0"/>
    <w:rPr>
      <w:rFonts w:hint="eastAsia" w:ascii="宋体" w:hAnsi="宋体" w:eastAsia="宋体" w:cs="宋体"/>
      <w:color w:val="000000"/>
      <w:sz w:val="22"/>
      <w:szCs w:val="22"/>
      <w:u w:val="none"/>
    </w:rPr>
  </w:style>
  <w:style w:type="character" w:customStyle="1" w:styleId="222">
    <w:name w:val="font81"/>
    <w:basedOn w:val="91"/>
    <w:qFormat/>
    <w:uiPriority w:val="0"/>
    <w:rPr>
      <w:rFonts w:hint="eastAsia" w:ascii="宋体" w:hAnsi="宋体" w:eastAsia="宋体" w:cs="宋体"/>
      <w:color w:val="000000"/>
      <w:sz w:val="20"/>
      <w:szCs w:val="20"/>
      <w:u w:val="none"/>
    </w:rPr>
  </w:style>
  <w:style w:type="character" w:customStyle="1" w:styleId="223">
    <w:name w:val="font131"/>
    <w:basedOn w:val="9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101</Pages>
  <Words>9918</Words>
  <Characters>56537</Characters>
  <Lines>471</Lines>
  <Paragraphs>132</Paragraphs>
  <TotalTime>0</TotalTime>
  <ScaleCrop>false</ScaleCrop>
  <LinksUpToDate>false</LinksUpToDate>
  <CharactersWithSpaces>66323</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2020-11-03T04:25:07Z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