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bookmarkStart w:id="370" w:name="_GoBack"/>
    </w:p>
    <w:p>
      <w:pPr>
        <w:spacing w:line="360" w:lineRule="auto"/>
        <w:rPr>
          <w:rFonts w:ascii="宋体" w:hAnsi="宋体"/>
          <w:b/>
          <w:bCs/>
          <w:color w:val="auto"/>
          <w:spacing w:val="100"/>
          <w:sz w:val="28"/>
          <w:szCs w:val="28"/>
          <w:highlight w:val="none"/>
        </w:rPr>
      </w:pPr>
    </w:p>
    <w:p>
      <w:pPr>
        <w:pStyle w:val="88"/>
        <w:ind w:firstLine="301"/>
        <w:rPr>
          <w:color w:val="auto"/>
          <w:highlight w:val="none"/>
        </w:rPr>
      </w:pPr>
    </w:p>
    <w:p>
      <w:pPr>
        <w:pStyle w:val="88"/>
        <w:ind w:firstLine="301"/>
        <w:rPr>
          <w:color w:val="auto"/>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 xml:space="preserve">项目名称：东晋企业生产人员排水排污管道整改工程 </w:t>
      </w:r>
    </w:p>
    <w:p>
      <w:pPr>
        <w:spacing w:line="480" w:lineRule="auto"/>
        <w:jc w:val="center"/>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202012-184098-0070</w:t>
      </w:r>
    </w:p>
    <w:p>
      <w:pPr>
        <w:spacing w:line="360" w:lineRule="auto"/>
        <w:rPr>
          <w:rFonts w:ascii="宋体" w:hAnsi="宋体"/>
          <w:color w:val="auto"/>
          <w:sz w:val="84"/>
          <w:highlight w:val="none"/>
        </w:rPr>
      </w:pPr>
    </w:p>
    <w:p>
      <w:pPr>
        <w:pStyle w:val="2"/>
        <w:rPr>
          <w:color w:val="auto"/>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pStyle w:val="2"/>
        <w:rPr>
          <w:color w:val="auto"/>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 xml:space="preserve">采   购   人： </w:t>
      </w:r>
      <w:r>
        <w:rPr>
          <w:rFonts w:hint="eastAsia" w:ascii="宋体" w:hAnsi="宋体" w:cs="宋体"/>
          <w:b/>
          <w:bCs/>
          <w:color w:val="auto"/>
          <w:sz w:val="30"/>
          <w:szCs w:val="30"/>
          <w:highlight w:val="none"/>
        </w:rPr>
        <w:t>广州市东晋企业发展公司</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134" w:right="1417" w:bottom="1134" w:left="1417" w:header="567" w:footer="737" w:gutter="0"/>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6"/>
          <w:rFonts w:hint="eastAsia" w:ascii="宋体" w:hAnsi="宋体"/>
          <w:b/>
          <w:color w:val="auto"/>
          <w:sz w:val="30"/>
          <w:szCs w:val="30"/>
          <w:highlight w:val="none"/>
          <w:u w:val="none"/>
        </w:rPr>
        <w:t xml:space="preserve"> 二○二○年十二月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请仔细检查投标/报价文件是否已按竞争性磋商文件要求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竞争性磋商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（本提示内容非竞争性磋商文件的组成部分，仅为善意提醒。如有不一致，以竞争性磋商文件为准）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9</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6"/>
      <w:bookmarkStart w:id="6" w:name="_Hlt510014037"/>
      <w:r>
        <w:rPr>
          <w:rStyle w:val="96"/>
          <w:rFonts w:hint="eastAsia"/>
          <w:color w:val="auto"/>
          <w:sz w:val="28"/>
          <w:szCs w:val="28"/>
          <w:highlight w:val="none"/>
        </w:rPr>
        <w:t>书</w:t>
      </w:r>
      <w:bookmarkEnd w:id="5"/>
      <w:bookmarkEnd w:id="6"/>
      <w:bookmarkStart w:id="7" w:name="_Hlt509991847"/>
      <w:bookmarkStart w:id="8" w:name="_Hlt509994710"/>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6</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........................................................................3</w:t>
      </w:r>
      <w:r>
        <w:rPr>
          <w:rFonts w:hint="eastAsia"/>
          <w:color w:val="auto"/>
          <w:sz w:val="28"/>
          <w:szCs w:val="28"/>
          <w:highlight w:val="none"/>
          <w:lang w:val="en-US" w:eastAsia="zh-CN"/>
        </w:rPr>
        <w:t>1</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10014093"/>
      <w:bookmarkStart w:id="14" w:name="_Hlt509932461"/>
      <w:bookmarkStart w:id="15" w:name="_Hlt509932460"/>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10014176"/>
      <w:bookmarkStart w:id="18" w:name="_Hlt509992254"/>
      <w:r>
        <w:rPr>
          <w:rStyle w:val="96"/>
          <w:rFonts w:hint="eastAsia"/>
          <w:color w:val="auto"/>
          <w:sz w:val="28"/>
          <w:szCs w:val="28"/>
          <w:highlight w:val="none"/>
        </w:rPr>
        <w:t>准</w:t>
      </w:r>
      <w:bookmarkEnd w:id="17"/>
      <w:bookmarkEnd w:id="18"/>
      <w:bookmarkStart w:id="19" w:name="_Hlt509991721"/>
      <w:bookmarkStart w:id="20" w:name="_Hlt509991939"/>
      <w:bookmarkStart w:id="21" w:name="_Hlt509991722"/>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37</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45</w:t>
      </w:r>
    </w:p>
    <w:p>
      <w:pPr>
        <w:pStyle w:val="61"/>
        <w:tabs>
          <w:tab w:val="right" w:leader="dot" w:pos="9231"/>
        </w:tabs>
        <w:spacing w:line="360" w:lineRule="auto"/>
        <w:rPr>
          <w:b w:val="0"/>
          <w:bCs w:val="0"/>
          <w:caps w:val="0"/>
          <w:color w:val="auto"/>
          <w:sz w:val="28"/>
          <w:szCs w:val="28"/>
          <w:highlight w:val="none"/>
        </w:rPr>
        <w:sectPr>
          <w:headerReference r:id="rId10" w:type="first"/>
          <w:footerReference r:id="rId12" w:type="first"/>
          <w:headerReference r:id="rId9" w:type="default"/>
          <w:footerReference r:id="rId11" w:type="default"/>
          <w:type w:val="continuous"/>
          <w:pgSz w:w="11906" w:h="16838"/>
          <w:pgMar w:top="567" w:right="1304" w:bottom="567" w:left="1361" w:header="567" w:footer="737" w:gutter="0"/>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rPr>
        <w:t>公告</w:t>
      </w:r>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竞争性磋商公告</w:t>
      </w:r>
    </w:p>
    <w:p>
      <w:pPr>
        <w:widowControl/>
        <w:adjustRightInd w:val="0"/>
        <w:snapToGrid w:val="0"/>
        <w:spacing w:before="100" w:beforeAutospacing="1" w:after="100" w:afterAutospacing="1" w:line="360" w:lineRule="auto"/>
        <w:jc w:val="center"/>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bookmarkStart w:id="26" w:name="_Toc14450807"/>
      <w:bookmarkStart w:id="27" w:name="_Toc28489434"/>
      <w:r>
        <w:rPr>
          <w:rFonts w:hint="eastAsia" w:ascii="宋体" w:hAnsi="宋体" w:cs="宋体"/>
          <w:color w:val="auto"/>
          <w:szCs w:val="21"/>
          <w:highlight w:val="none"/>
          <w:lang w:eastAsia="zh-CN"/>
        </w:rPr>
        <w:t>东晋企业生产人员排水排污管道整改工程招标项目的潜在投</w:t>
      </w:r>
      <w:r>
        <w:rPr>
          <w:rFonts w:hint="eastAsia" w:ascii="宋体" w:hAnsi="宋体" w:cs="宋体"/>
          <w:color w:val="auto"/>
          <w:szCs w:val="21"/>
          <w:highlight w:val="none"/>
        </w:rPr>
        <w:t>标人应在广州市海珠区红卫新村西路29号UP智谷D栋503房获取招标文件，并于</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28</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w:t>
      </w:r>
      <w:r>
        <w:rPr>
          <w:rFonts w:hint="eastAsia" w:ascii="宋体" w:hAnsi="宋体" w:cs="宋体"/>
          <w:color w:val="auto"/>
          <w:szCs w:val="21"/>
          <w:highlight w:val="none"/>
        </w:rPr>
        <w:t>（北京时间）前递交响应文件。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202012-184098-0070</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color w:val="auto"/>
          <w:szCs w:val="21"/>
          <w:highlight w:val="none"/>
          <w:lang w:eastAsia="zh-CN"/>
        </w:rPr>
        <w:t>东晋企业生产人员排水排污管道整改工程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419615.90</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最高限价（如有）：</w:t>
      </w:r>
      <w:r>
        <w:rPr>
          <w:rFonts w:hint="eastAsia" w:ascii="宋体" w:hAnsi="宋体" w:cs="宋体"/>
          <w:bCs/>
          <w:color w:val="auto"/>
          <w:szCs w:val="20"/>
          <w:highlight w:val="none"/>
          <w:lang w:eastAsia="zh-CN"/>
        </w:rPr>
        <w:t>419615.90</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color w:val="auto"/>
          <w:szCs w:val="21"/>
          <w:highlight w:val="none"/>
          <w:lang w:eastAsia="zh-CN"/>
        </w:rPr>
        <w:t>东晋企业生产人员排水排污管道整改工程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2"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color w:val="auto"/>
                <w:szCs w:val="21"/>
                <w:highlight w:val="none"/>
                <w:lang w:eastAsia="zh-CN"/>
              </w:rPr>
              <w:t>东晋企业生产人员排水排污管道整改工程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419615.90</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419615.90</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color w:val="auto"/>
          <w:szCs w:val="21"/>
          <w:highlight w:val="none"/>
          <w:lang w:eastAsia="zh-CN"/>
        </w:rPr>
        <w:t>东晋企业生产人员排水排污管道整改工程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合同履行期限</w:t>
      </w: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20</w:t>
      </w:r>
      <w:r>
        <w:rPr>
          <w:rFonts w:hint="eastAsia" w:ascii="宋体" w:hAnsi="宋体" w:cs="宋体"/>
          <w:bCs/>
          <w:color w:val="auto"/>
          <w:szCs w:val="20"/>
          <w:highlight w:val="none"/>
        </w:rPr>
        <w:t>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2）具有良好的商业信誉和健全的财务会计制度[提供2018年或2019年的财务状况报告或基本开户行（提供开户许可证）出具的资信证明复印件。如投标人为新注册的，提供成立至今的月或季度财务状况报告复印件]；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（3）供应商须具有承接本工程所需的</w:t>
      </w:r>
      <w:r>
        <w:rPr>
          <w:rFonts w:hint="eastAsia" w:ascii="宋体" w:hAnsi="宋体" w:cs="宋体"/>
          <w:bCs/>
          <w:color w:val="auto"/>
          <w:szCs w:val="20"/>
          <w:highlight w:val="none"/>
          <w:lang w:eastAsia="zh-CN"/>
        </w:rPr>
        <w:t>市政公用工程</w:t>
      </w:r>
      <w:r>
        <w:rPr>
          <w:rFonts w:hint="eastAsia" w:ascii="宋体" w:hAnsi="宋体" w:cs="宋体"/>
          <w:bCs/>
          <w:color w:val="auto"/>
          <w:szCs w:val="20"/>
          <w:highlight w:val="none"/>
        </w:rPr>
        <w:t>施工总承包叁级（或以上级别）资质；</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（4）供应商须具有建设行政主管部门颁发的安全生产许可证；</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（5）供应商拟担任本工程项目负责人的人员为：</w:t>
      </w:r>
      <w:r>
        <w:rPr>
          <w:rFonts w:hint="eastAsia" w:ascii="宋体" w:hAnsi="宋体" w:cs="宋体"/>
          <w:bCs/>
          <w:color w:val="auto"/>
          <w:szCs w:val="20"/>
          <w:highlight w:val="none"/>
          <w:lang w:eastAsia="zh-CN"/>
        </w:rPr>
        <w:t>市政公用工程</w:t>
      </w:r>
      <w:r>
        <w:rPr>
          <w:rFonts w:hint="eastAsia" w:ascii="宋体" w:hAnsi="宋体" w:cs="宋体"/>
          <w:bCs/>
          <w:color w:val="auto"/>
          <w:szCs w:val="20"/>
          <w:highlight w:val="none"/>
        </w:rPr>
        <w:t>专业二级或以上级别注册建造师，且项目负责人持有安全培训考核合格证（B类）或能够提供广东省建筑施工企业管理人员安全生产考核信息系统安全生产管理人员证书信息的网页截图，且未担任其他在建项目；</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（6）供应商提供《公平竞争承诺书》；</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7）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8）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竞争性磋商文件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18</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24</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rPr>
        <w:t>09</w:t>
      </w:r>
      <w:r>
        <w:rPr>
          <w:rFonts w:ascii="宋体" w:hAnsi="宋体" w:cs="宋体"/>
          <w:bCs/>
          <w:color w:val="auto"/>
          <w:szCs w:val="20"/>
          <w:highlight w:val="none"/>
        </w:rPr>
        <w:t>:</w:t>
      </w:r>
      <w:r>
        <w:rPr>
          <w:rFonts w:hint="eastAsia" w:ascii="宋体" w:hAnsi="宋体" w:cs="宋体"/>
          <w:bCs/>
          <w:color w:val="auto"/>
          <w:szCs w:val="20"/>
          <w:highlight w:val="none"/>
        </w:rPr>
        <w:t>0</w:t>
      </w:r>
      <w:r>
        <w:rPr>
          <w:rFonts w:ascii="宋体" w:hAnsi="宋体" w:cs="宋体"/>
          <w:bCs/>
          <w:color w:val="auto"/>
          <w:szCs w:val="20"/>
          <w:highlight w:val="none"/>
        </w:rPr>
        <w:t>0至12:00，下午14:30至17:30（北京时间，法定节假日除外 ）</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hint="eastAsia" w:ascii="宋体" w:hAnsi="宋体" w:cs="宋体"/>
          <w:color w:val="auto"/>
          <w:kern w:val="0"/>
          <w:szCs w:val="21"/>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28</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点30分（北京时间）（从磋商文件开始发出之日起至供应商提交首次响应文件截止之日止不得少于10日）</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8" w:name="_Toc35393633"/>
      <w:bookmarkStart w:id="29" w:name="_Toc28359016"/>
      <w:bookmarkStart w:id="30" w:name="_Toc28359093"/>
      <w:bookmarkStart w:id="31" w:name="_Toc35393802"/>
      <w:r>
        <w:rPr>
          <w:rFonts w:hint="eastAsia" w:ascii="宋体" w:hAnsi="宋体" w:cs="宋体"/>
          <w:b/>
          <w:bCs/>
          <w:color w:val="auto"/>
          <w:szCs w:val="20"/>
          <w:highlight w:val="none"/>
        </w:rPr>
        <w:t>五、开启</w:t>
      </w:r>
      <w:bookmarkEnd w:id="28"/>
      <w:bookmarkEnd w:id="29"/>
      <w:bookmarkEnd w:id="30"/>
      <w:bookmarkEnd w:id="31"/>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hint="eastAsia" w:ascii="宋体" w:hAnsi="宋体" w:cs="宋体"/>
          <w:color w:val="auto"/>
          <w:kern w:val="0"/>
          <w:szCs w:val="21"/>
          <w:highlight w:val="none"/>
        </w:rPr>
        <w:t>时间</w:t>
      </w:r>
      <w:r>
        <w:rPr>
          <w:rFonts w:hint="eastAsia" w:ascii="宋体" w:hAnsi="宋体" w:cs="宋体"/>
          <w:bCs/>
          <w:color w:val="auto"/>
          <w:szCs w:val="20"/>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28</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w:t>
      </w:r>
      <w:r>
        <w:rPr>
          <w:rFonts w:hint="eastAsia" w:ascii="宋体" w:hAnsi="宋体" w:cs="宋体"/>
          <w:bCs/>
          <w:color w:val="auto"/>
          <w:szCs w:val="20"/>
          <w:highlight w:val="none"/>
        </w:rPr>
        <w:t>（北京时间）</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1.只接受登记及领购竞争性磋商文件的供应商投标。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2.已成功登记及领购竞争性磋商文件的供应商参加投标的，不代表通过资格性、符合性审查。投标资格最终根据投标人投标文件中的资格审查资料作出的结论为准。</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3.若已登记及领购竞争性磋商文件而决定不参加本项目投标的供应商，应在开标前三日以书面形式（书面材料、信函或传真加盖供应商公章）通知采购代理机构。</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420" w:leftChars="200"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4.竞争性磋商文件的公示，根据《广东省实施〈中华人民共和国政府采购法〉办法》第三十五条的规定，供应商认为政府竞争性磋商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广州市东晋企业发展公司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w:t>
      </w:r>
      <w:r>
        <w:rPr>
          <w:rFonts w:hint="eastAsia" w:ascii="宋体" w:hAnsi="宋体" w:cs="宋体"/>
          <w:bCs/>
          <w:color w:val="auto"/>
          <w:szCs w:val="20"/>
          <w:highlight w:val="none"/>
        </w:rPr>
        <w:t>广州市天河区五山岑村</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w:t>
      </w:r>
      <w:r>
        <w:rPr>
          <w:rFonts w:hint="eastAsia" w:ascii="宋体" w:hAnsi="宋体" w:cs="宋体"/>
          <w:bCs/>
          <w:color w:val="auto"/>
          <w:szCs w:val="20"/>
          <w:highlight w:val="none"/>
        </w:rPr>
        <w:t>020-87238056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联系方式：020-8900129</w:t>
      </w:r>
      <w:r>
        <w:rPr>
          <w:rFonts w:hint="eastAsia" w:ascii="宋体" w:hAnsi="宋体" w:cs="宋体"/>
          <w:bCs/>
          <w:color w:val="auto"/>
          <w:szCs w:val="20"/>
          <w:highlight w:val="none"/>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电话：020-8900129</w:t>
      </w:r>
      <w:r>
        <w:rPr>
          <w:rFonts w:hint="eastAsia" w:ascii="宋体" w:hAnsi="宋体" w:cs="宋体"/>
          <w:bCs/>
          <w:color w:val="auto"/>
          <w:szCs w:val="20"/>
          <w:highlight w:val="none"/>
        </w:rPr>
        <w:t>6</w:t>
      </w:r>
    </w:p>
    <w:p>
      <w:pPr>
        <w:pStyle w:val="46"/>
        <w:rPr>
          <w:rFonts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17</w:t>
      </w:r>
      <w:r>
        <w:rPr>
          <w:rFonts w:ascii="宋体" w:hAnsi="宋体" w:cs="宋体"/>
          <w:bCs/>
          <w:color w:val="auto"/>
          <w:szCs w:val="20"/>
          <w:highlight w:val="none"/>
        </w:rPr>
        <w:t>日</w:t>
      </w:r>
    </w:p>
    <w:p>
      <w:pPr>
        <w:pStyle w:val="36"/>
        <w:snapToGrid w:val="0"/>
        <w:spacing w:line="528" w:lineRule="auto"/>
        <w:ind w:firstLine="840" w:firstLineChars="300"/>
        <w:jc w:val="right"/>
        <w:rPr>
          <w:rFonts w:ascii="宋体" w:hAnsi="宋体"/>
          <w:color w:val="auto"/>
          <w:sz w:val="28"/>
          <w:highlight w:val="none"/>
        </w:rPr>
      </w:pPr>
    </w:p>
    <w:p>
      <w:pPr>
        <w:rPr>
          <w:rFonts w:ascii="宋体" w:hAnsi="宋体"/>
          <w:color w:val="auto"/>
          <w:sz w:val="28"/>
          <w:highlight w:val="none"/>
        </w:rPr>
      </w:pPr>
      <w:r>
        <w:rPr>
          <w:rFonts w:ascii="宋体" w:hAnsi="宋体"/>
          <w:color w:val="auto"/>
          <w:sz w:val="28"/>
          <w:highlight w:val="none"/>
        </w:rPr>
        <w:br w:type="page"/>
      </w:r>
    </w:p>
    <w:p>
      <w:pPr>
        <w:pStyle w:val="88"/>
        <w:ind w:firstLine="301"/>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88"/>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26"/>
      <w:bookmarkEnd w:id="27"/>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spacing w:line="300" w:lineRule="exact"/>
              <w:rPr>
                <w:rFonts w:hint="default" w:ascii="宋体" w:hAnsi="宋体" w:eastAsia="宋体" w:cs="宋体"/>
                <w:color w:val="auto"/>
                <w:szCs w:val="21"/>
                <w:highlight w:val="none"/>
                <w:lang w:val="en-US" w:eastAsia="zh-CN"/>
              </w:rPr>
            </w:pPr>
            <w:r>
              <w:rPr>
                <w:rFonts w:hint="eastAsia" w:ascii="宋体" w:hAnsi="宋体"/>
                <w:color w:val="auto"/>
                <w:szCs w:val="21"/>
                <w:highlight w:val="none"/>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534号文规定的收取。采购代理服务费</w:t>
            </w:r>
            <w:r>
              <w:rPr>
                <w:rFonts w:hint="eastAsia" w:ascii="宋体" w:hAnsi="宋体"/>
                <w:color w:val="auto"/>
                <w:szCs w:val="21"/>
                <w:highlight w:val="none"/>
                <w:lang w:eastAsia="zh-CN"/>
              </w:rPr>
              <w:t>不足</w:t>
            </w:r>
            <w:r>
              <w:rPr>
                <w:rFonts w:hint="eastAsia" w:ascii="宋体" w:hAnsi="宋体"/>
                <w:color w:val="auto"/>
                <w:szCs w:val="21"/>
                <w:highlight w:val="none"/>
                <w:lang w:val="en-US" w:eastAsia="zh-CN"/>
              </w:rPr>
              <w:t>5000元的按5000元进行收取。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olor w:val="auto"/>
                <w:szCs w:val="21"/>
                <w:highlight w:val="none"/>
              </w:rPr>
            </w:pPr>
            <w:r>
              <w:rPr>
                <w:rFonts w:hint="eastAsia" w:ascii="宋体" w:hAnsi="宋体" w:cs="宋体"/>
                <w:color w:val="auto"/>
                <w:szCs w:val="21"/>
                <w:highlight w:val="none"/>
              </w:rPr>
              <w:t>成交人在领取《成交通知书》前直接一次性向采购代理机构足额支付招标代理服务费及专家费（专家费按实进行结算）。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自筹资金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475104468"/>
      <w:bookmarkStart w:id="36" w:name="_Toc315793450"/>
      <w:bookmarkStart w:id="37" w:name="_Toc322680342"/>
      <w:bookmarkStart w:id="38" w:name="_Toc320515065"/>
      <w:bookmarkStart w:id="39" w:name="_Toc323110975"/>
      <w:bookmarkStart w:id="40" w:name="_Toc363737682"/>
      <w:bookmarkStart w:id="41" w:name="_Toc320515016"/>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23110976"/>
      <w:bookmarkStart w:id="43" w:name="_Toc475104469"/>
      <w:bookmarkStart w:id="44" w:name="_Toc320515017"/>
      <w:bookmarkStart w:id="45" w:name="_Toc320515066"/>
      <w:bookmarkStart w:id="46" w:name="_Toc322680343"/>
      <w:bookmarkStart w:id="47" w:name="_Toc315793451"/>
      <w:bookmarkStart w:id="48" w:name="_Toc363737683"/>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475104470"/>
      <w:bookmarkStart w:id="50" w:name="_Toc320515067"/>
      <w:bookmarkStart w:id="51" w:name="_Toc323110977"/>
      <w:bookmarkStart w:id="52" w:name="_Toc320515018"/>
      <w:bookmarkStart w:id="53" w:name="_Toc322680344"/>
      <w:bookmarkStart w:id="54" w:name="_Toc363737684"/>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广州市东晋企业发展公司</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63737685"/>
      <w:bookmarkStart w:id="56" w:name="_Toc320515019"/>
      <w:bookmarkStart w:id="57" w:name="_Toc475104471"/>
      <w:bookmarkStart w:id="58" w:name="_Toc320515068"/>
      <w:bookmarkStart w:id="59" w:name="_Toc315793453"/>
      <w:bookmarkStart w:id="60" w:name="_Toc323110978"/>
      <w:bookmarkStart w:id="61" w:name="_Toc32268034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475104472"/>
      <w:bookmarkStart w:id="63" w:name="_Toc363737686"/>
      <w:bookmarkStart w:id="64" w:name="_Toc333236630"/>
      <w:bookmarkStart w:id="65" w:name="_Toc322680347"/>
      <w:bookmarkStart w:id="66" w:name="_Toc323110980"/>
      <w:bookmarkStart w:id="67" w:name="_Toc315793455"/>
      <w:bookmarkStart w:id="68" w:name="_Toc320515021"/>
      <w:bookmarkStart w:id="69" w:name="_Toc320515070"/>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3110981"/>
      <w:bookmarkStart w:id="74" w:name="_Toc320515022"/>
      <w:bookmarkStart w:id="75" w:name="_Toc32051507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63737689"/>
      <w:bookmarkStart w:id="79" w:name="_Toc322680350"/>
      <w:bookmarkStart w:id="80" w:name="_Toc323110983"/>
      <w:bookmarkStart w:id="81" w:name="_Toc315793458"/>
      <w:bookmarkStart w:id="82" w:name="_Toc320515024"/>
      <w:bookmarkStart w:id="83" w:name="_Toc320515073"/>
      <w:bookmarkStart w:id="84" w:name="_Toc475104475"/>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工程量清单</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工程量清单</w:t>
      </w:r>
      <w:r>
        <w:rPr>
          <w:rFonts w:hint="eastAsia" w:ascii="宋体" w:hAnsi="宋体"/>
          <w:color w:val="auto"/>
          <w:szCs w:val="21"/>
          <w:highlight w:val="none"/>
        </w:rPr>
        <w:t>》须用采购人提供的电子版（含封面），并逐页加盖法人公章确认，投标人不得修改《</w:t>
      </w:r>
      <w:r>
        <w:rPr>
          <w:rFonts w:hint="eastAsia" w:ascii="宋体" w:hAnsi="宋体" w:cs="宋体"/>
          <w:color w:val="auto"/>
          <w:szCs w:val="21"/>
          <w:highlight w:val="none"/>
        </w:rPr>
        <w:t>工程量清单</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3110984"/>
      <w:bookmarkStart w:id="86" w:name="_Toc475104476"/>
      <w:bookmarkStart w:id="87" w:name="_Toc315793459"/>
      <w:bookmarkStart w:id="88" w:name="_Toc322680351"/>
      <w:bookmarkStart w:id="89" w:name="_Toc320515074"/>
      <w:bookmarkStart w:id="90" w:name="_Toc363737690"/>
      <w:bookmarkStart w:id="91" w:name="_Toc320515025"/>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475104477"/>
      <w:bookmarkStart w:id="93" w:name="_Toc322680352"/>
      <w:bookmarkStart w:id="94" w:name="_Toc363737691"/>
      <w:bookmarkStart w:id="95" w:name="_Toc320515026"/>
      <w:bookmarkStart w:id="96" w:name="_Toc315793460"/>
      <w:bookmarkStart w:id="97" w:name="_Toc320515075"/>
      <w:bookmarkStart w:id="98" w:name="_Toc323110985"/>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475104478"/>
      <w:bookmarkStart w:id="100" w:name="_Toc322680353"/>
      <w:bookmarkStart w:id="101" w:name="_Toc363737692"/>
      <w:bookmarkStart w:id="102" w:name="_Toc320515076"/>
      <w:bookmarkStart w:id="103" w:name="_Toc323110986"/>
      <w:bookmarkStart w:id="104" w:name="_Toc320515027"/>
      <w:bookmarkStart w:id="105" w:name="_Toc315793461"/>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15793462"/>
      <w:bookmarkStart w:id="107" w:name="_Toc320515077"/>
      <w:bookmarkStart w:id="108" w:name="_Toc320515028"/>
      <w:bookmarkStart w:id="109" w:name="_Toc363737693"/>
      <w:bookmarkStart w:id="110" w:name="_Toc322680354"/>
      <w:bookmarkStart w:id="111" w:name="_Toc475104479"/>
      <w:bookmarkStart w:id="112" w:name="_Toc323110987"/>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2680355"/>
      <w:bookmarkStart w:id="114" w:name="_Toc320515078"/>
      <w:bookmarkStart w:id="115" w:name="_Toc315793463"/>
      <w:bookmarkStart w:id="116" w:name="_Toc323110988"/>
      <w:bookmarkStart w:id="117" w:name="_Toc475104480"/>
      <w:bookmarkStart w:id="118" w:name="_Toc363737694"/>
      <w:bookmarkStart w:id="119" w:name="_Toc320515029"/>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①按规定填写的竞争性磋商函、资格声明函、同意竞争性磋商文件条款说明、《工程量清单》；</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79"/>
      <w:bookmarkStart w:id="122" w:name="_Toc315793464"/>
      <w:bookmarkStart w:id="123" w:name="_Toc322680356"/>
      <w:bookmarkStart w:id="124" w:name="_Toc323110989"/>
      <w:bookmarkStart w:id="125" w:name="_Toc320515030"/>
      <w:bookmarkStart w:id="126" w:name="_Toc363737695"/>
      <w:bookmarkStart w:id="127" w:name="_Toc475104482"/>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475104483"/>
      <w:bookmarkStart w:id="129" w:name="_Toc323110990"/>
      <w:bookmarkStart w:id="130" w:name="_Toc363737696"/>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81"/>
      <w:bookmarkStart w:id="132" w:name="_Toc322680358"/>
      <w:bookmarkStart w:id="133" w:name="_Toc315793468"/>
      <w:bookmarkStart w:id="134" w:name="_Toc323110991"/>
      <w:bookmarkStart w:id="135" w:name="_Toc320515032"/>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33236642"/>
      <w:bookmarkStart w:id="139" w:name="_Toc363737698"/>
      <w:bookmarkStart w:id="140" w:name="_Toc320515082"/>
      <w:bookmarkStart w:id="141" w:name="_Toc315793469"/>
      <w:bookmarkStart w:id="142" w:name="_Toc475104485"/>
      <w:bookmarkStart w:id="143" w:name="_Toc320515033"/>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51550769"/>
      <w:bookmarkStart w:id="147" w:name="_Toc475104487"/>
      <w:bookmarkStart w:id="148" w:name="_Toc394926941"/>
      <w:bookmarkStart w:id="149" w:name="_Toc320515084"/>
      <w:bookmarkStart w:id="150" w:name="_Toc320515035"/>
      <w:bookmarkStart w:id="151" w:name="_Toc322680361"/>
      <w:bookmarkStart w:id="152" w:name="_Toc315793471"/>
      <w:bookmarkStart w:id="153" w:name="_Toc323110994"/>
      <w:bookmarkStart w:id="154" w:name="_Toc363737700"/>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315793300"/>
      <w:bookmarkStart w:id="157"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475104494"/>
      <w:bookmarkStart w:id="160" w:name="_Toc363737701"/>
      <w:bookmarkStart w:id="161" w:name="_Toc320515036"/>
      <w:bookmarkStart w:id="162" w:name="_Toc315793472"/>
      <w:bookmarkStart w:id="163" w:name="_Toc320515085"/>
      <w:bookmarkStart w:id="164" w:name="_Toc320515086"/>
      <w:bookmarkStart w:id="165" w:name="_Toc315793473"/>
      <w:bookmarkStart w:id="166" w:name="_Toc323110996"/>
      <w:bookmarkStart w:id="167" w:name="_Toc322680363"/>
      <w:bookmarkStart w:id="168" w:name="_Toc320515037"/>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投标人《工程量清单》须用采购人提供的电子版填写（含封面），并逐页加盖法人公章确认，投标人不得修改《工程量清单》中项目内容及工程数量。</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20515087"/>
      <w:bookmarkStart w:id="172" w:name="_Toc363737703"/>
      <w:bookmarkStart w:id="173" w:name="_Toc475104496"/>
      <w:bookmarkStart w:id="174" w:name="_Toc320515038"/>
      <w:bookmarkStart w:id="175" w:name="_Toc315793474"/>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0515040"/>
      <w:bookmarkStart w:id="177" w:name="_Toc320515089"/>
      <w:bookmarkStart w:id="178" w:name="_Toc322680366"/>
      <w:bookmarkStart w:id="179" w:name="_Toc323110999"/>
      <w:bookmarkStart w:id="180" w:name="_Toc31579347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475104499"/>
      <w:bookmarkStart w:id="185" w:name="_Toc363737706"/>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23111001"/>
      <w:bookmarkStart w:id="187" w:name="_Toc475104500"/>
      <w:bookmarkStart w:id="188" w:name="_Toc363737707"/>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23111002"/>
      <w:bookmarkStart w:id="190" w:name="_Toc475104501"/>
      <w:bookmarkStart w:id="191" w:name="_Toc363737708"/>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2680370"/>
      <w:bookmarkStart w:id="193" w:name="_Toc363737709"/>
      <w:bookmarkStart w:id="194" w:name="_Toc320515093"/>
      <w:bookmarkStart w:id="195" w:name="_Toc320515044"/>
      <w:bookmarkStart w:id="196" w:name="_Toc323111003"/>
      <w:bookmarkStart w:id="197" w:name="_Toc315793480"/>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51716665"/>
      <w:bookmarkStart w:id="201" w:name="_Toc475104503"/>
      <w:bookmarkStart w:id="202" w:name="_Toc363737710"/>
      <w:bookmarkStart w:id="203" w:name="_Toc320515047"/>
      <w:bookmarkStart w:id="204" w:name="_Toc322680372"/>
      <w:bookmarkStart w:id="205" w:name="_Toc323111005"/>
      <w:bookmarkStart w:id="206" w:name="_Toc320515096"/>
      <w:bookmarkStart w:id="207"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51716666"/>
      <w:bookmarkStart w:id="211" w:name="_Toc363737711"/>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475104508"/>
      <w:bookmarkStart w:id="216" w:name="_Toc315793484"/>
      <w:bookmarkStart w:id="217" w:name="_Toc320515097"/>
      <w:bookmarkStart w:id="218" w:name="_Toc363737713"/>
      <w:bookmarkStart w:id="219" w:name="_Toc32051504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22" w:name="_Toc363737714"/>
      <w:bookmarkStart w:id="223" w:name="_Toc475104509"/>
      <w:r>
        <w:rPr>
          <w:rFonts w:hint="eastAsia" w:ascii="宋体" w:hAnsi="宋体" w:cs="宋体"/>
          <w:b/>
          <w:bCs/>
          <w:color w:val="auto"/>
          <w:sz w:val="24"/>
          <w:highlight w:val="none"/>
        </w:rPr>
        <w:t>供应商询问的途径、接收质疑函的方式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询问和质疑接收机构名称：广州市信怡招标代理有限公司</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询问和质疑接收机构地址：广州市海珠区红卫新村西路29号UP智谷D栋503房</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询问和质疑接收部门联系人：胡先生</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询问和质疑接收机构电话：020-89001296（工作/接收时间：9：00-17：00）</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质疑接收机构传真：020-89001292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20515050"/>
      <w:bookmarkStart w:id="225" w:name="_Toc475104510"/>
      <w:bookmarkStart w:id="226" w:name="_Toc320515099"/>
      <w:bookmarkStart w:id="227" w:name="_Toc315793486"/>
      <w:bookmarkStart w:id="228" w:name="_Toc363737715"/>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475104511"/>
      <w:bookmarkStart w:id="233" w:name="_Toc363737716"/>
      <w:bookmarkStart w:id="234" w:name="_Toc320515100"/>
      <w:bookmarkStart w:id="235" w:name="_Toc32051505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315793488"/>
      <w:bookmarkStart w:id="237" w:name="_Toc320515101"/>
      <w:bookmarkStart w:id="238" w:name="_Toc320515052"/>
      <w:bookmarkStart w:id="239" w:name="_Toc363737717"/>
      <w:bookmarkStart w:id="240" w:name="_Toc47510451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0"/>
      <w:bookmarkStart w:id="242"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本项目相关公告在以下媒体发布：中国政府采购网（网址：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www.ccgp.gov.cn/）、广州市信怡招标代理有限公司网站（网址：www.gzxyzb.com）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其他未尽事宜，依照《中华人民共和国政府采购法》、《政府采购竞争性磋商采购方式管理暂行办法》和省市相关法律、法规执行。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（竞争性磋商文件、采购过程、中标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（竞争性磋商文件、采购过程、中标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质疑竞争性磋商文件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．质疑内容竞争性磋商文件页，内容“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我方请求竞争性磋商文件做如下修改：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我方对竞争性磋商文件其他内容无质疑。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日，在进行的（收取竞争性磋商文件（样品）、开标、谈判）过程，发生损害了我公司权益的事项，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13"/>
      <w:bookmarkEnd w:id="254"/>
      <w:bookmarkStart w:id="255" w:name="_Toc321815805"/>
      <w:bookmarkEnd w:id="255"/>
      <w:bookmarkStart w:id="256" w:name="_Toc321815815"/>
      <w:bookmarkEnd w:id="256"/>
      <w:bookmarkStart w:id="257" w:name="_Toc321815808"/>
      <w:bookmarkEnd w:id="257"/>
      <w:bookmarkStart w:id="258" w:name="_Toc321815804"/>
      <w:bookmarkEnd w:id="258"/>
      <w:bookmarkStart w:id="259" w:name="_Toc321815818"/>
      <w:bookmarkEnd w:id="259"/>
      <w:bookmarkStart w:id="260" w:name="_Toc321815810"/>
      <w:bookmarkEnd w:id="260"/>
      <w:bookmarkStart w:id="261" w:name="_Toc321815814"/>
      <w:bookmarkEnd w:id="261"/>
      <w:bookmarkStart w:id="262" w:name="_Toc321815816"/>
      <w:bookmarkEnd w:id="262"/>
      <w:bookmarkStart w:id="263" w:name="_Toc321815801"/>
      <w:bookmarkEnd w:id="263"/>
      <w:bookmarkStart w:id="264" w:name="_Toc321815802"/>
      <w:bookmarkEnd w:id="264"/>
      <w:bookmarkStart w:id="265" w:name="_Toc321815812"/>
      <w:bookmarkEnd w:id="265"/>
      <w:bookmarkStart w:id="266" w:name="_Toc321815807"/>
      <w:bookmarkEnd w:id="266"/>
      <w:bookmarkStart w:id="267" w:name="_Toc321815822"/>
      <w:bookmarkEnd w:id="267"/>
      <w:bookmarkStart w:id="268" w:name="_Toc321815825"/>
      <w:bookmarkEnd w:id="268"/>
      <w:bookmarkStart w:id="269" w:name="_Toc321815811"/>
      <w:bookmarkEnd w:id="269"/>
      <w:bookmarkStart w:id="270" w:name="_Toc321815823"/>
      <w:bookmarkEnd w:id="270"/>
      <w:bookmarkStart w:id="271" w:name="_Toc321815806"/>
      <w:bookmarkEnd w:id="271"/>
      <w:bookmarkStart w:id="272" w:name="_Toc321815819"/>
      <w:bookmarkEnd w:id="272"/>
      <w:bookmarkStart w:id="273" w:name="_Toc321815824"/>
      <w:bookmarkEnd w:id="273"/>
      <w:bookmarkStart w:id="274" w:name="_Toc321815809"/>
      <w:bookmarkEnd w:id="274"/>
      <w:bookmarkStart w:id="275" w:name="_Toc321815817"/>
      <w:bookmarkEnd w:id="275"/>
      <w:bookmarkStart w:id="276" w:name="_Toc321815826"/>
      <w:bookmarkEnd w:id="276"/>
      <w:bookmarkStart w:id="277" w:name="_Toc321815820"/>
      <w:bookmarkEnd w:id="277"/>
      <w:bookmarkStart w:id="278" w:name="_Toc321815821"/>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spacing w:line="360" w:lineRule="auto"/>
        <w:ind w:firstLine="420" w:firstLineChars="200"/>
        <w:rPr>
          <w:color w:val="auto"/>
          <w:highlight w:val="none"/>
          <w:lang w:val="zh-CN"/>
        </w:rPr>
      </w:pPr>
      <w:r>
        <w:rPr>
          <w:rFonts w:hint="eastAsia"/>
          <w:color w:val="auto"/>
          <w:highlight w:val="none"/>
          <w:lang w:val="zh-CN"/>
        </w:rPr>
        <w:t>（一）项目名称：东晋企业生产人员排水排污管道整改工程</w:t>
      </w:r>
    </w:p>
    <w:p>
      <w:pPr>
        <w:spacing w:line="360" w:lineRule="auto"/>
        <w:ind w:firstLine="420" w:firstLineChars="200"/>
        <w:rPr>
          <w:color w:val="auto"/>
          <w:highlight w:val="none"/>
          <w:lang w:val="zh-CN"/>
        </w:rPr>
      </w:pPr>
      <w:r>
        <w:rPr>
          <w:rFonts w:hint="eastAsia"/>
          <w:color w:val="auto"/>
          <w:highlight w:val="none"/>
          <w:lang w:val="zh-CN"/>
        </w:rPr>
        <w:t>（二）采购人：广州市东晋企业发展公司</w:t>
      </w:r>
    </w:p>
    <w:p>
      <w:pPr>
        <w:spacing w:line="360" w:lineRule="auto"/>
        <w:ind w:firstLine="420" w:firstLineChars="200"/>
        <w:rPr>
          <w:color w:val="auto"/>
          <w:highlight w:val="none"/>
          <w:lang w:val="zh-CN"/>
        </w:rPr>
      </w:pPr>
      <w:r>
        <w:rPr>
          <w:rFonts w:hint="eastAsia"/>
          <w:color w:val="auto"/>
          <w:highlight w:val="none"/>
          <w:lang w:val="zh-CN"/>
        </w:rPr>
        <w:t>（三）采购预算：人民币</w:t>
      </w:r>
      <w:r>
        <w:rPr>
          <w:rFonts w:hint="eastAsia"/>
          <w:color w:val="auto"/>
          <w:highlight w:val="none"/>
          <w:lang w:eastAsia="zh-CN"/>
        </w:rPr>
        <w:t>419615.90</w:t>
      </w:r>
      <w:r>
        <w:rPr>
          <w:rFonts w:hint="eastAsia"/>
          <w:color w:val="auto"/>
          <w:highlight w:val="none"/>
          <w:lang w:val="zh-CN"/>
        </w:rPr>
        <w:t>元</w:t>
      </w:r>
    </w:p>
    <w:p>
      <w:pPr>
        <w:spacing w:line="360" w:lineRule="auto"/>
        <w:ind w:firstLine="420" w:firstLineChars="200"/>
        <w:rPr>
          <w:color w:val="auto"/>
          <w:highlight w:val="none"/>
          <w:lang w:val="zh-CN"/>
        </w:rPr>
      </w:pPr>
      <w:r>
        <w:rPr>
          <w:rFonts w:hint="eastAsia"/>
          <w:color w:val="auto"/>
          <w:highlight w:val="none"/>
          <w:lang w:val="zh-CN"/>
        </w:rPr>
        <w:t>（</w:t>
      </w:r>
      <w:r>
        <w:rPr>
          <w:rFonts w:hint="eastAsia"/>
          <w:color w:val="auto"/>
          <w:highlight w:val="none"/>
        </w:rPr>
        <w:t>四</w:t>
      </w:r>
      <w:r>
        <w:rPr>
          <w:rFonts w:hint="eastAsia"/>
          <w:color w:val="auto"/>
          <w:highlight w:val="none"/>
          <w:lang w:val="zh-CN"/>
        </w:rPr>
        <w:t>）承包方式：总价包干。报价人应按竞争性磋商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b/>
          <w:color w:val="auto"/>
          <w:highlight w:val="none"/>
          <w:lang w:val="zh-CN"/>
        </w:rPr>
        <w:t>二、</w:t>
      </w:r>
      <w:r>
        <w:rPr>
          <w:rFonts w:hint="eastAsia" w:ascii="宋体" w:hAnsi="宋体"/>
          <w:b/>
          <w:color w:val="auto"/>
          <w:highlight w:val="none"/>
        </w:rPr>
        <w:t>现场踏勘</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ascii="宋体" w:hAnsi="宋体"/>
          <w:b/>
          <w:color w:val="auto"/>
          <w:szCs w:val="21"/>
          <w:highlight w:val="none"/>
        </w:rPr>
      </w:pPr>
      <w:r>
        <w:rPr>
          <w:rFonts w:hint="eastAsia" w:ascii="宋体" w:hAnsi="宋体"/>
          <w:b/>
          <w:color w:val="auto"/>
          <w:szCs w:val="21"/>
          <w:highlight w:val="none"/>
        </w:rPr>
        <w:t>三、报价要求</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1.</w:t>
      </w:r>
      <w:r>
        <w:rPr>
          <w:rFonts w:hint="eastAsia" w:ascii="宋体" w:hAnsi="宋体"/>
          <w:color w:val="auto"/>
          <w:highlight w:val="none"/>
          <w:lang w:val="zh-CN"/>
        </w:rPr>
        <w:t>报价为报价人在响应文件中提出的各项支付金额的总和。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2.</w:t>
      </w:r>
      <w:r>
        <w:rPr>
          <w:rFonts w:hint="eastAsia" w:ascii="宋体" w:hAnsi="宋体"/>
          <w:color w:val="auto"/>
          <w:highlight w:val="none"/>
          <w:lang w:val="zh-CN"/>
        </w:rPr>
        <w:t>报价人的报价，应是完成本竞争性磋商文件项目工程量清单及图纸所列全部内容，不得以任何理由予以重复，作为报价人计算单价或总价的依据。</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3.</w:t>
      </w:r>
      <w:r>
        <w:rPr>
          <w:rFonts w:hint="eastAsia" w:ascii="宋体" w:hAnsi="宋体"/>
          <w:color w:val="auto"/>
          <w:highlight w:val="none"/>
          <w:lang w:val="zh-CN"/>
        </w:rPr>
        <w:t>除非采购人对竞争性磋商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4.</w:t>
      </w:r>
      <w:r>
        <w:rPr>
          <w:rFonts w:hint="eastAsia" w:ascii="宋体" w:hAnsi="宋体"/>
          <w:color w:val="auto"/>
          <w:highlight w:val="none"/>
          <w:lang w:val="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5.</w:t>
      </w:r>
      <w:r>
        <w:rPr>
          <w:rFonts w:hint="eastAsia" w:ascii="宋体" w:hAnsi="宋体"/>
          <w:color w:val="auto"/>
          <w:highlight w:val="none"/>
          <w:lang w:val="zh-CN"/>
        </w:rPr>
        <w:t>报价人按本竞争性磋商文件充分了解工地位置、情况、道路、储存空间、装卸限制及任何其他足以影响承包价的情况，任何因忽视或误解工地情况而导致的索赔或工期延长申请将不被批准。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6.</w:t>
      </w:r>
      <w:r>
        <w:rPr>
          <w:rFonts w:hint="eastAsia" w:ascii="宋体" w:hAnsi="宋体"/>
          <w:color w:val="auto"/>
          <w:highlight w:val="none"/>
          <w:lang w:val="zh-CN"/>
        </w:rPr>
        <w:t>报价人应根据采购人提供的项目清单等资料，按照项目清单详细列出报价表。</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7.</w:t>
      </w:r>
      <w:r>
        <w:rPr>
          <w:rFonts w:hint="eastAsia" w:ascii="宋体" w:hAnsi="宋体"/>
          <w:color w:val="auto"/>
          <w:highlight w:val="none"/>
          <w:lang w:val="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8.</w:t>
      </w:r>
      <w:r>
        <w:rPr>
          <w:rFonts w:hint="eastAsia" w:ascii="宋体" w:hAnsi="宋体"/>
          <w:color w:val="auto"/>
          <w:highlight w:val="none"/>
          <w:lang w:val="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9.</w:t>
      </w:r>
      <w:r>
        <w:rPr>
          <w:rFonts w:hint="eastAsia" w:ascii="宋体" w:hAnsi="宋体"/>
          <w:color w:val="auto"/>
          <w:highlight w:val="none"/>
          <w:lang w:val="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tabs>
          <w:tab w:val="left" w:pos="840"/>
        </w:tabs>
        <w:spacing w:line="440" w:lineRule="exact"/>
        <w:rPr>
          <w:rFonts w:ascii="宋体" w:hAnsi="宋体"/>
          <w:b/>
          <w:color w:val="auto"/>
          <w:szCs w:val="21"/>
          <w:highlight w:val="none"/>
        </w:rPr>
      </w:pPr>
      <w:r>
        <w:rPr>
          <w:rFonts w:hint="eastAsia" w:ascii="宋体" w:hAnsi="宋体"/>
          <w:b/>
          <w:color w:val="auto"/>
          <w:szCs w:val="21"/>
          <w:highlight w:val="none"/>
        </w:rPr>
        <w:t>四、工程质量保修期及保证金</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w:t>
      </w:r>
      <w:r>
        <w:rPr>
          <w:rFonts w:hint="eastAsia" w:ascii="宋体" w:hAnsi="宋体"/>
          <w:color w:val="auto"/>
          <w:highlight w:val="none"/>
        </w:rPr>
        <w:t>1</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w:t>
      </w:r>
      <w:r>
        <w:rPr>
          <w:rFonts w:hint="eastAsia" w:ascii="宋体" w:hAnsi="宋体"/>
          <w:color w:val="auto"/>
          <w:highlight w:val="none"/>
        </w:rPr>
        <w:t>2</w:t>
      </w:r>
      <w:r>
        <w:rPr>
          <w:rFonts w:hint="eastAsia" w:ascii="宋体" w:hAnsi="宋体"/>
          <w:color w:val="auto"/>
          <w:highlight w:val="none"/>
          <w:lang w:val="zh-CN"/>
        </w:rPr>
        <w:t>）质量保修期从合同工程实际竣工验收合格之日算起。</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w:t>
      </w:r>
      <w:r>
        <w:rPr>
          <w:rFonts w:hint="eastAsia" w:ascii="宋体" w:hAnsi="宋体"/>
          <w:color w:val="auto"/>
          <w:highlight w:val="none"/>
        </w:rPr>
        <w:t>3</w:t>
      </w:r>
      <w:r>
        <w:rPr>
          <w:rFonts w:hint="eastAsia" w:ascii="宋体" w:hAnsi="宋体"/>
          <w:color w:val="auto"/>
          <w:highlight w:val="none"/>
          <w:lang w:val="zh-CN"/>
        </w:rPr>
        <w:t>）合同工程质量保修期，约定如下：</w:t>
      </w:r>
    </w:p>
    <w:p>
      <w:pPr>
        <w:spacing w:line="440" w:lineRule="exact"/>
        <w:ind w:firstLine="420" w:firstLineChars="200"/>
        <w:rPr>
          <w:rFonts w:ascii="宋体" w:hAnsi="宋体"/>
          <w:color w:val="auto"/>
          <w:highlight w:val="none"/>
          <w:lang w:val="zh-CN"/>
        </w:rPr>
      </w:pPr>
      <w:r>
        <w:rPr>
          <w:rFonts w:ascii="宋体" w:hAnsi="宋体"/>
          <w:color w:val="auto"/>
          <w:highlight w:val="none"/>
          <w:lang w:val="zh-CN"/>
        </w:rPr>
        <w:t>①</w:t>
      </w:r>
      <w:r>
        <w:rPr>
          <w:rFonts w:hint="eastAsia" w:ascii="宋体" w:hAnsi="宋体"/>
          <w:color w:val="auto"/>
          <w:highlight w:val="none"/>
          <w:lang w:val="zh-CN"/>
        </w:rPr>
        <w:t>基础设施工程、房屋建筑的地基基础工程和主体结构工程，为设计文件规定的该工程的合理使用年限；</w:t>
      </w:r>
    </w:p>
    <w:p>
      <w:pPr>
        <w:spacing w:line="440" w:lineRule="exact"/>
        <w:ind w:firstLine="420" w:firstLineChars="200"/>
        <w:rPr>
          <w:rFonts w:ascii="宋体" w:hAnsi="宋体"/>
          <w:color w:val="auto"/>
          <w:highlight w:val="none"/>
          <w:lang w:val="zh-CN"/>
        </w:rPr>
      </w:pPr>
      <w:r>
        <w:rPr>
          <w:rFonts w:ascii="宋体" w:hAnsi="宋体"/>
          <w:color w:val="auto"/>
          <w:highlight w:val="none"/>
          <w:lang w:val="zh-CN"/>
        </w:rPr>
        <w:t>②</w:t>
      </w:r>
      <w:r>
        <w:rPr>
          <w:rFonts w:hint="eastAsia" w:ascii="宋体" w:hAnsi="宋体"/>
          <w:color w:val="auto"/>
          <w:highlight w:val="none"/>
          <w:lang w:val="zh-CN"/>
        </w:rPr>
        <w:t>屋面防水工程、有防水要求的卫生间、房间和外墙面的防渗漏，为５年；</w:t>
      </w:r>
    </w:p>
    <w:p>
      <w:pPr>
        <w:spacing w:line="440" w:lineRule="exact"/>
        <w:ind w:firstLine="420" w:firstLineChars="200"/>
        <w:rPr>
          <w:rFonts w:ascii="宋体" w:hAnsi="宋体"/>
          <w:color w:val="auto"/>
          <w:highlight w:val="none"/>
          <w:lang w:val="zh-CN"/>
        </w:rPr>
      </w:pPr>
      <w:r>
        <w:rPr>
          <w:rFonts w:ascii="宋体" w:hAnsi="宋体"/>
          <w:color w:val="auto"/>
          <w:highlight w:val="none"/>
          <w:lang w:val="zh-CN"/>
        </w:rPr>
        <w:t>③</w:t>
      </w:r>
      <w:r>
        <w:rPr>
          <w:rFonts w:hint="eastAsia" w:ascii="宋体" w:hAnsi="宋体"/>
          <w:color w:val="auto"/>
          <w:highlight w:val="none"/>
          <w:lang w:val="zh-CN"/>
        </w:rPr>
        <w:t>供热与供冷系统，为２个采暖期、供冷期；</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fldChar w:fldCharType="begin"/>
      </w:r>
      <w:r>
        <w:rPr>
          <w:rFonts w:hint="eastAsia" w:ascii="宋体" w:hAnsi="宋体"/>
          <w:color w:val="auto"/>
          <w:highlight w:val="none"/>
          <w:lang w:val="zh-CN"/>
        </w:rPr>
        <w:instrText xml:space="preserve"> = 4 \* GB3 \* MERGEFORMAT </w:instrText>
      </w:r>
      <w:r>
        <w:rPr>
          <w:rFonts w:hint="eastAsia" w:ascii="宋体" w:hAnsi="宋体"/>
          <w:color w:val="auto"/>
          <w:highlight w:val="none"/>
          <w:lang w:val="zh-CN"/>
        </w:rPr>
        <w:fldChar w:fldCharType="separate"/>
      </w:r>
      <w:r>
        <w:rPr>
          <w:rFonts w:hint="eastAsia" w:ascii="宋体" w:hAnsi="宋体"/>
          <w:color w:val="auto"/>
          <w:highlight w:val="none"/>
          <w:lang w:val="zh-CN"/>
        </w:rPr>
        <w:t>④</w:t>
      </w:r>
      <w:r>
        <w:rPr>
          <w:rFonts w:hint="eastAsia" w:ascii="宋体" w:hAnsi="宋体"/>
          <w:color w:val="auto"/>
          <w:highlight w:val="none"/>
          <w:lang w:val="zh-CN"/>
        </w:rPr>
        <w:fldChar w:fldCharType="end"/>
      </w:r>
      <w:r>
        <w:rPr>
          <w:rFonts w:hint="eastAsia" w:ascii="宋体" w:hAnsi="宋体"/>
          <w:color w:val="auto"/>
          <w:highlight w:val="none"/>
          <w:lang w:val="zh-CN"/>
        </w:rPr>
        <w:t>电气管线、给排水管道、设备安装和装修、修缮工程，为２年。</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w:t>
      </w:r>
      <w:r>
        <w:rPr>
          <w:rFonts w:hint="eastAsia" w:ascii="宋体" w:hAnsi="宋体"/>
          <w:color w:val="auto"/>
          <w:highlight w:val="none"/>
        </w:rPr>
        <w:t>4</w:t>
      </w:r>
      <w:r>
        <w:rPr>
          <w:rFonts w:hint="eastAsia" w:ascii="宋体" w:hAnsi="宋体"/>
          <w:color w:val="auto"/>
          <w:highlight w:val="none"/>
          <w:lang w:val="zh-CN"/>
        </w:rPr>
        <w:t>）质量保修责任</w:t>
      </w:r>
    </w:p>
    <w:p>
      <w:pPr>
        <w:spacing w:line="440" w:lineRule="exact"/>
        <w:ind w:firstLine="420" w:firstLineChars="200"/>
        <w:rPr>
          <w:rFonts w:ascii="宋体" w:hAnsi="宋体"/>
          <w:color w:val="auto"/>
          <w:highlight w:val="none"/>
          <w:lang w:val="zh-CN"/>
        </w:rPr>
      </w:pPr>
      <w:r>
        <w:rPr>
          <w:rFonts w:ascii="宋体" w:hAnsi="宋体"/>
          <w:color w:val="auto"/>
          <w:highlight w:val="none"/>
          <w:lang w:val="zh-CN"/>
        </w:rPr>
        <w:t>①</w:t>
      </w:r>
      <w:r>
        <w:rPr>
          <w:rFonts w:hint="eastAsia" w:ascii="宋体" w:hAnsi="宋体"/>
          <w:color w:val="auto"/>
          <w:highlight w:val="none"/>
          <w:lang w:val="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ascii="宋体" w:hAnsi="宋体"/>
          <w:color w:val="auto"/>
          <w:highlight w:val="none"/>
          <w:lang w:val="zh-CN"/>
        </w:rPr>
      </w:pPr>
      <w:r>
        <w:rPr>
          <w:rFonts w:ascii="宋体" w:hAnsi="宋体"/>
          <w:color w:val="auto"/>
          <w:highlight w:val="none"/>
          <w:lang w:val="zh-CN"/>
        </w:rPr>
        <w:t>②</w:t>
      </w:r>
      <w:r>
        <w:rPr>
          <w:rFonts w:hint="eastAsia" w:ascii="宋体" w:hAnsi="宋体"/>
          <w:color w:val="auto"/>
          <w:highlight w:val="none"/>
          <w:lang w:val="zh-CN"/>
        </w:rPr>
        <w:t>发生紧急抢修事故的，成交人在接到通知后，应立即赶赴现场进行抢修。</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w:t>
      </w:r>
      <w:r>
        <w:rPr>
          <w:rFonts w:hint="eastAsia" w:ascii="宋体" w:hAnsi="宋体"/>
          <w:color w:val="auto"/>
          <w:highlight w:val="none"/>
        </w:rPr>
        <w:t>4</w:t>
      </w:r>
      <w:r>
        <w:rPr>
          <w:rFonts w:hint="eastAsia" w:ascii="宋体" w:hAnsi="宋体"/>
          <w:color w:val="auto"/>
          <w:highlight w:val="none"/>
          <w:lang w:val="zh-CN"/>
        </w:rPr>
        <w:t>）质量保证金</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留结算款的</w:t>
      </w:r>
      <w:r>
        <w:rPr>
          <w:rFonts w:hint="eastAsia" w:ascii="宋体" w:hAnsi="宋体"/>
          <w:color w:val="auto"/>
          <w:highlight w:val="none"/>
        </w:rPr>
        <w:t>3</w:t>
      </w:r>
      <w:r>
        <w:rPr>
          <w:rFonts w:hint="eastAsia" w:ascii="宋体" w:hAnsi="宋体"/>
          <w:color w:val="auto"/>
          <w:highlight w:val="none"/>
          <w:lang w:val="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rPr>
        <w:t>5.</w:t>
      </w:r>
      <w:r>
        <w:rPr>
          <w:rFonts w:hint="eastAsia" w:ascii="宋体" w:hAnsi="宋体"/>
          <w:color w:val="auto"/>
          <w:highlight w:val="none"/>
          <w:lang w:val="zh-CN"/>
        </w:rPr>
        <w:t>付款方式：采用银行转账、银行汇付（含电汇）等形式。</w:t>
      </w:r>
    </w:p>
    <w:p>
      <w:pPr>
        <w:spacing w:line="440" w:lineRule="exact"/>
        <w:ind w:firstLine="420" w:firstLineChars="200"/>
        <w:rPr>
          <w:rFonts w:ascii="宋体" w:hAnsi="宋体"/>
          <w:color w:val="auto"/>
          <w:szCs w:val="21"/>
          <w:highlight w:val="none"/>
        </w:rPr>
      </w:pPr>
      <w:r>
        <w:rPr>
          <w:rFonts w:hint="eastAsia" w:ascii="宋体" w:hAnsi="宋体"/>
          <w:color w:val="auto"/>
          <w:highlight w:val="none"/>
        </w:rPr>
        <w:t>6.</w:t>
      </w:r>
      <w:r>
        <w:rPr>
          <w:rFonts w:hint="eastAsia" w:ascii="宋体" w:hAnsi="宋体"/>
          <w:color w:val="auto"/>
          <w:highlight w:val="none"/>
          <w:lang w:val="zh-CN"/>
        </w:rPr>
        <w:t>每期支付合同款项时，成交人需提前 5天向采购人提供与当期支付款项金额等值的中国大陆地区合法有效发票。</w:t>
      </w:r>
    </w:p>
    <w:p>
      <w:pPr>
        <w:tabs>
          <w:tab w:val="left" w:pos="840"/>
        </w:tabs>
        <w:spacing w:line="440" w:lineRule="exact"/>
        <w:rPr>
          <w:rFonts w:hint="eastAsia" w:ascii="宋体" w:hAnsi="宋体" w:eastAsia="宋体" w:cs="宋体"/>
          <w:color w:val="auto"/>
          <w:szCs w:val="21"/>
          <w:highlight w:val="none"/>
          <w:u w:val="single"/>
          <w:lang w:eastAsia="zh-CN"/>
        </w:rPr>
      </w:pPr>
      <w:r>
        <w:rPr>
          <w:rFonts w:hint="eastAsia" w:ascii="宋体" w:hAnsi="宋体"/>
          <w:b/>
          <w:color w:val="auto"/>
          <w:szCs w:val="21"/>
          <w:highlight w:val="none"/>
        </w:rPr>
        <w:t>五、</w:t>
      </w:r>
      <w:r>
        <w:rPr>
          <w:rFonts w:hint="eastAsia" w:ascii="宋体" w:hAnsi="宋体"/>
          <w:b/>
          <w:color w:val="auto"/>
          <w:szCs w:val="21"/>
          <w:highlight w:val="none"/>
          <w:lang w:eastAsia="zh-CN"/>
        </w:rPr>
        <w:t>履约担保</w:t>
      </w:r>
    </w:p>
    <w:p>
      <w:pPr>
        <w:spacing w:line="440" w:lineRule="exact"/>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hint="eastAsia" w:ascii="宋体" w:hAnsi="宋体"/>
          <w:color w:val="auto"/>
          <w:szCs w:val="21"/>
          <w:highlight w:val="none"/>
          <w:lang w:eastAsia="zh-CN"/>
        </w:rPr>
        <w:t>本项目履约担保为</w:t>
      </w:r>
      <w:r>
        <w:rPr>
          <w:rFonts w:hint="eastAsia" w:ascii="宋体" w:hAnsi="宋体"/>
          <w:color w:val="auto"/>
          <w:szCs w:val="21"/>
          <w:highlight w:val="none"/>
          <w:lang w:val="en-US" w:eastAsia="zh-CN"/>
        </w:rPr>
        <w:t>贰</w:t>
      </w:r>
      <w:r>
        <w:rPr>
          <w:rFonts w:hint="eastAsia" w:ascii="宋体" w:hAnsi="宋体"/>
          <w:color w:val="auto"/>
          <w:szCs w:val="21"/>
          <w:highlight w:val="none"/>
          <w:lang w:eastAsia="zh-CN"/>
        </w:rPr>
        <w:t>万元人民币。</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在签订合同后的15日内，</w:t>
      </w:r>
      <w:r>
        <w:rPr>
          <w:rFonts w:hint="eastAsia" w:ascii="宋体" w:hAnsi="宋体"/>
          <w:color w:val="auto"/>
          <w:szCs w:val="21"/>
          <w:highlight w:val="none"/>
          <w:lang w:eastAsia="zh-CN"/>
        </w:rPr>
        <w:t>成交人</w:t>
      </w:r>
      <w:r>
        <w:rPr>
          <w:rFonts w:hint="eastAsia" w:ascii="宋体" w:hAnsi="宋体"/>
          <w:color w:val="auto"/>
          <w:szCs w:val="21"/>
          <w:highlight w:val="none"/>
        </w:rPr>
        <w:t>应向</w:t>
      </w:r>
      <w:r>
        <w:rPr>
          <w:rFonts w:hint="eastAsia" w:ascii="宋体" w:hAnsi="宋体"/>
          <w:color w:val="auto"/>
          <w:szCs w:val="21"/>
          <w:highlight w:val="none"/>
          <w:lang w:eastAsia="zh-CN"/>
        </w:rPr>
        <w:t>采购人</w:t>
      </w:r>
      <w:r>
        <w:rPr>
          <w:rFonts w:hint="eastAsia" w:ascii="宋体" w:hAnsi="宋体"/>
          <w:color w:val="auto"/>
          <w:szCs w:val="21"/>
          <w:highlight w:val="none"/>
        </w:rPr>
        <w:t>提交履约担保；履约担保</w:t>
      </w:r>
      <w:r>
        <w:rPr>
          <w:rFonts w:hint="eastAsia" w:ascii="宋体" w:hAnsi="宋体"/>
          <w:color w:val="auto"/>
          <w:szCs w:val="21"/>
          <w:highlight w:val="none"/>
          <w:lang w:eastAsia="zh-CN"/>
        </w:rPr>
        <w:t>应</w:t>
      </w:r>
      <w:r>
        <w:rPr>
          <w:rFonts w:hint="eastAsia" w:ascii="宋体" w:hAnsi="宋体"/>
          <w:color w:val="auto"/>
          <w:szCs w:val="21"/>
          <w:highlight w:val="none"/>
        </w:rPr>
        <w:t>以银行保函的形式提供，该银行保函应由在中国注册且营业地点在广州行政辖区内的银行开具。</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在签订合同后的15日后，</w:t>
      </w:r>
      <w:r>
        <w:rPr>
          <w:rFonts w:hint="eastAsia" w:ascii="宋体" w:hAnsi="宋体"/>
          <w:color w:val="auto"/>
          <w:szCs w:val="21"/>
          <w:highlight w:val="none"/>
          <w:lang w:eastAsia="zh-CN"/>
        </w:rPr>
        <w:t>成交人</w:t>
      </w:r>
      <w:r>
        <w:rPr>
          <w:rFonts w:hint="eastAsia" w:ascii="宋体" w:hAnsi="宋体"/>
          <w:color w:val="auto"/>
          <w:szCs w:val="21"/>
          <w:highlight w:val="none"/>
        </w:rPr>
        <w:t>未按上款的规定提交履约担保，</w:t>
      </w:r>
      <w:r>
        <w:rPr>
          <w:rFonts w:hint="eastAsia" w:ascii="宋体" w:hAnsi="宋体"/>
          <w:color w:val="auto"/>
          <w:szCs w:val="21"/>
          <w:highlight w:val="none"/>
          <w:lang w:eastAsia="zh-CN"/>
        </w:rPr>
        <w:t>采购人</w:t>
      </w:r>
      <w:r>
        <w:rPr>
          <w:rFonts w:hint="eastAsia" w:ascii="宋体" w:hAnsi="宋体"/>
          <w:color w:val="auto"/>
          <w:szCs w:val="21"/>
          <w:highlight w:val="none"/>
        </w:rPr>
        <w:t>将解除</w:t>
      </w:r>
      <w:r>
        <w:rPr>
          <w:rFonts w:hint="eastAsia" w:ascii="宋体" w:hAnsi="宋体"/>
          <w:color w:val="auto"/>
          <w:szCs w:val="21"/>
          <w:highlight w:val="none"/>
          <w:lang w:eastAsia="zh-CN"/>
        </w:rPr>
        <w:t>成交通知书</w:t>
      </w:r>
      <w:r>
        <w:rPr>
          <w:rFonts w:hint="eastAsia" w:ascii="宋体" w:hAnsi="宋体"/>
          <w:color w:val="auto"/>
          <w:szCs w:val="21"/>
          <w:highlight w:val="none"/>
        </w:rPr>
        <w:t>，且依法承担相应法律责任。原</w:t>
      </w:r>
      <w:r>
        <w:rPr>
          <w:rFonts w:hint="eastAsia" w:ascii="宋体" w:hAnsi="宋体"/>
          <w:color w:val="auto"/>
          <w:szCs w:val="21"/>
          <w:highlight w:val="none"/>
          <w:lang w:eastAsia="zh-CN"/>
        </w:rPr>
        <w:t>成交人</w:t>
      </w:r>
      <w:r>
        <w:rPr>
          <w:rFonts w:hint="eastAsia" w:ascii="宋体" w:hAnsi="宋体"/>
          <w:color w:val="auto"/>
          <w:szCs w:val="21"/>
          <w:highlight w:val="none"/>
        </w:rPr>
        <w:t>有异议的，可以向人民法院起诉。</w:t>
      </w:r>
    </w:p>
    <w:p>
      <w:pPr>
        <w:spacing w:line="44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4.采购人在对履约担保提出索赔要求之前，应书面通知成交人，说明导致此项索赔的原因，并及时向担保人提出索赔文件。担保人根据担保合同的约定在担保范围内承担担保责任，并无须征得成交人的同意，直接向采购人支付索赔价款。</w:t>
      </w:r>
    </w:p>
    <w:p>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eastAsia="zh-CN"/>
        </w:rPr>
        <w:t>成交人</w:t>
      </w:r>
      <w:r>
        <w:rPr>
          <w:rFonts w:hint="eastAsia" w:ascii="宋体" w:hAnsi="宋体" w:eastAsia="宋体" w:cs="宋体"/>
          <w:color w:val="auto"/>
          <w:szCs w:val="21"/>
          <w:highlight w:val="none"/>
        </w:rPr>
        <w:t>对于所提供的</w:t>
      </w:r>
      <w:r>
        <w:rPr>
          <w:rFonts w:hint="eastAsia" w:ascii="宋体" w:hAnsi="宋体" w:eastAsia="宋体" w:cs="宋体"/>
          <w:color w:val="auto"/>
          <w:szCs w:val="21"/>
          <w:highlight w:val="none"/>
          <w:lang w:eastAsia="zh-CN"/>
        </w:rPr>
        <w:t>工程质量</w:t>
      </w:r>
      <w:r>
        <w:rPr>
          <w:rFonts w:hint="eastAsia" w:ascii="宋体" w:hAnsi="宋体" w:eastAsia="宋体" w:cs="宋体"/>
          <w:color w:val="auto"/>
          <w:szCs w:val="21"/>
          <w:highlight w:val="none"/>
        </w:rPr>
        <w:t>与本项目的</w:t>
      </w:r>
      <w:r>
        <w:rPr>
          <w:rFonts w:hint="eastAsia" w:ascii="宋体" w:hAnsi="宋体" w:eastAsia="宋体" w:cs="宋体"/>
          <w:color w:val="auto"/>
          <w:szCs w:val="21"/>
          <w:highlight w:val="none"/>
          <w:lang w:eastAsia="zh-CN"/>
        </w:rPr>
        <w:t>竞争性磋商文件</w:t>
      </w:r>
      <w:r>
        <w:rPr>
          <w:rFonts w:hint="eastAsia" w:ascii="宋体" w:hAnsi="宋体" w:eastAsia="宋体" w:cs="宋体"/>
          <w:color w:val="auto"/>
          <w:szCs w:val="21"/>
          <w:highlight w:val="none"/>
        </w:rPr>
        <w:t>及合同要求不相符，</w:t>
      </w:r>
      <w:r>
        <w:rPr>
          <w:rFonts w:hint="eastAsia" w:ascii="宋体" w:hAnsi="宋体" w:eastAsia="宋体" w:cs="宋体"/>
          <w:color w:val="auto"/>
          <w:szCs w:val="21"/>
          <w:highlight w:val="none"/>
          <w:lang w:eastAsia="zh-CN"/>
        </w:rPr>
        <w:t>成交人</w:t>
      </w:r>
      <w:r>
        <w:rPr>
          <w:rFonts w:hint="eastAsia" w:ascii="宋体" w:hAnsi="宋体" w:eastAsia="宋体" w:cs="宋体"/>
          <w:color w:val="auto"/>
          <w:szCs w:val="21"/>
          <w:highlight w:val="none"/>
        </w:rPr>
        <w:t>同意采购人</w:t>
      </w:r>
      <w:r>
        <w:rPr>
          <w:rFonts w:hint="eastAsia" w:ascii="宋体" w:hAnsi="宋体" w:eastAsia="宋体" w:cs="宋体"/>
          <w:color w:val="auto"/>
          <w:szCs w:val="21"/>
          <w:highlight w:val="none"/>
          <w:lang w:eastAsia="zh-CN"/>
        </w:rPr>
        <w:t>拒绝验收</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成交人</w:t>
      </w:r>
      <w:r>
        <w:rPr>
          <w:rFonts w:hint="eastAsia" w:ascii="宋体" w:hAnsi="宋体" w:eastAsia="宋体" w:cs="宋体"/>
          <w:color w:val="auto"/>
          <w:szCs w:val="21"/>
          <w:highlight w:val="none"/>
        </w:rPr>
        <w:t>负担由此发生的一切损失和费用。包括银行利息、运输和保险费、检验费、仓储和装卸费等必要的费用。</w:t>
      </w:r>
      <w:r>
        <w:rPr>
          <w:rFonts w:hint="eastAsia" w:ascii="宋体" w:hAnsi="宋体" w:eastAsia="宋体" w:cs="宋体"/>
          <w:color w:val="auto"/>
          <w:szCs w:val="21"/>
          <w:highlight w:val="none"/>
          <w:lang w:eastAsia="zh-CN"/>
        </w:rPr>
        <w:t>成交人</w:t>
      </w:r>
      <w:r>
        <w:rPr>
          <w:rFonts w:hint="eastAsia" w:ascii="宋体" w:hAnsi="宋体" w:eastAsia="宋体" w:cs="宋体"/>
          <w:color w:val="auto"/>
          <w:szCs w:val="21"/>
          <w:highlight w:val="none"/>
        </w:rPr>
        <w:t>将有权从货款或从</w:t>
      </w:r>
      <w:r>
        <w:rPr>
          <w:rFonts w:hint="eastAsia" w:ascii="宋体" w:hAnsi="宋体" w:eastAsia="宋体" w:cs="宋体"/>
          <w:color w:val="auto"/>
          <w:szCs w:val="21"/>
          <w:highlight w:val="none"/>
          <w:lang w:eastAsia="zh-CN"/>
        </w:rPr>
        <w:t>成交人</w:t>
      </w:r>
      <w:r>
        <w:rPr>
          <w:rFonts w:hint="eastAsia" w:ascii="宋体" w:hAnsi="宋体" w:eastAsia="宋体" w:cs="宋体"/>
          <w:color w:val="auto"/>
          <w:szCs w:val="21"/>
          <w:highlight w:val="none"/>
        </w:rPr>
        <w:t>开具的履约</w:t>
      </w:r>
      <w:r>
        <w:rPr>
          <w:rFonts w:hint="eastAsia" w:ascii="宋体" w:hAnsi="宋体" w:eastAsia="宋体" w:cs="宋体"/>
          <w:color w:val="auto"/>
          <w:szCs w:val="21"/>
          <w:highlight w:val="none"/>
          <w:lang w:eastAsia="zh-CN"/>
        </w:rPr>
        <w:t>担保</w:t>
      </w:r>
      <w:r>
        <w:rPr>
          <w:rFonts w:hint="eastAsia" w:ascii="宋体" w:hAnsi="宋体" w:eastAsia="宋体" w:cs="宋体"/>
          <w:color w:val="auto"/>
          <w:szCs w:val="21"/>
          <w:highlight w:val="none"/>
        </w:rPr>
        <w:t>中扣回索赔金额，同时保留进一步要求索赔的权力。</w:t>
      </w:r>
    </w:p>
    <w:p>
      <w:pPr>
        <w:spacing w:line="440" w:lineRule="exact"/>
        <w:ind w:firstLine="420" w:firstLineChars="20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eastAsia="zh-CN"/>
        </w:rPr>
        <w:t>履约担保</w:t>
      </w:r>
      <w:r>
        <w:rPr>
          <w:rFonts w:hint="default" w:ascii="宋体" w:hAnsi="宋体" w:eastAsia="宋体" w:cs="宋体"/>
          <w:color w:val="auto"/>
          <w:szCs w:val="21"/>
          <w:highlight w:val="none"/>
        </w:rPr>
        <w:t>有效期截止时间为工程建设合同约定的</w:t>
      </w:r>
      <w:r>
        <w:rPr>
          <w:rFonts w:hint="default" w:ascii="宋体" w:hAnsi="宋体" w:eastAsia="宋体" w:cs="宋体"/>
          <w:color w:val="auto"/>
          <w:szCs w:val="21"/>
          <w:highlight w:val="none"/>
        </w:rPr>
        <w:fldChar w:fldCharType="begin"/>
      </w:r>
      <w:r>
        <w:rPr>
          <w:rFonts w:hint="default" w:ascii="宋体" w:hAnsi="宋体" w:eastAsia="宋体" w:cs="宋体"/>
          <w:color w:val="auto"/>
          <w:szCs w:val="21"/>
          <w:highlight w:val="none"/>
        </w:rPr>
        <w:instrText xml:space="preserve"> HYPERLINK "https://wenwen.sogou.com/s/?w=%E5%B7%A5%E7%A8%8B%E7%AB%A3%E5%B7%A5%E9%AA%8C%E6%94%B6&amp;ch=ww.xqy.chain" \t "https://wenwen.sogou.com/z/_blank" </w:instrText>
      </w:r>
      <w:r>
        <w:rPr>
          <w:rFonts w:hint="default" w:ascii="宋体" w:hAnsi="宋体" w:eastAsia="宋体" w:cs="宋体"/>
          <w:color w:val="auto"/>
          <w:szCs w:val="21"/>
          <w:highlight w:val="none"/>
        </w:rPr>
        <w:fldChar w:fldCharType="separate"/>
      </w:r>
      <w:r>
        <w:rPr>
          <w:rFonts w:hint="default" w:ascii="宋体" w:hAnsi="宋体" w:eastAsia="宋体" w:cs="宋体"/>
          <w:color w:val="auto"/>
          <w:szCs w:val="21"/>
          <w:highlight w:val="none"/>
        </w:rPr>
        <w:t>工程竣工验收</w:t>
      </w:r>
      <w:r>
        <w:rPr>
          <w:rFonts w:hint="default" w:ascii="宋体" w:hAnsi="宋体" w:eastAsia="宋体" w:cs="宋体"/>
          <w:color w:val="auto"/>
          <w:szCs w:val="21"/>
          <w:highlight w:val="none"/>
        </w:rPr>
        <w:fldChar w:fldCharType="end"/>
      </w:r>
      <w:r>
        <w:rPr>
          <w:rFonts w:hint="default" w:ascii="宋体" w:hAnsi="宋体" w:eastAsia="宋体" w:cs="宋体"/>
          <w:color w:val="auto"/>
          <w:szCs w:val="21"/>
          <w:highlight w:val="none"/>
        </w:rPr>
        <w:t>合格之日后</w:t>
      </w:r>
      <w:r>
        <w:rPr>
          <w:rFonts w:hint="eastAsia" w:ascii="宋体" w:hAnsi="宋体" w:eastAsia="宋体" w:cs="宋体"/>
          <w:color w:val="auto"/>
          <w:szCs w:val="21"/>
          <w:highlight w:val="none"/>
        </w:rPr>
        <w:t>10个工作日内</w:t>
      </w:r>
      <w:r>
        <w:rPr>
          <w:rFonts w:hint="eastAsia" w:ascii="宋体" w:hAnsi="宋体" w:eastAsia="宋体" w:cs="宋体"/>
          <w:color w:val="auto"/>
          <w:szCs w:val="21"/>
          <w:highlight w:val="none"/>
          <w:lang w:eastAsia="zh-CN"/>
        </w:rPr>
        <w:t>。</w:t>
      </w:r>
    </w:p>
    <w:p>
      <w:pPr>
        <w:tabs>
          <w:tab w:val="left" w:pos="840"/>
        </w:tabs>
        <w:spacing w:line="440" w:lineRule="exact"/>
        <w:rPr>
          <w:rFonts w:ascii="宋体" w:hAnsi="宋体"/>
          <w:b/>
          <w:color w:val="auto"/>
          <w:szCs w:val="21"/>
          <w:highlight w:val="none"/>
        </w:rPr>
      </w:pPr>
      <w:r>
        <w:rPr>
          <w:rFonts w:hint="eastAsia" w:ascii="宋体" w:hAnsi="宋体"/>
          <w:b/>
          <w:color w:val="auto"/>
          <w:szCs w:val="21"/>
          <w:highlight w:val="none"/>
          <w:lang w:eastAsia="zh-CN"/>
        </w:rPr>
        <w:t>六</w:t>
      </w:r>
      <w:r>
        <w:rPr>
          <w:rFonts w:hint="eastAsia" w:ascii="宋体" w:hAnsi="宋体"/>
          <w:b/>
          <w:color w:val="auto"/>
          <w:szCs w:val="21"/>
          <w:highlight w:val="none"/>
        </w:rPr>
        <w:t>、付款方式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合同签订生效后，采购人支付成交人合同金额30%预付款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w:t>
      </w:r>
      <w:r>
        <w:rPr>
          <w:rFonts w:hint="eastAsia" w:ascii="宋体" w:hAnsi="宋体"/>
          <w:color w:val="auto"/>
          <w:szCs w:val="21"/>
          <w:highlight w:val="none"/>
        </w:rPr>
        <w:t>项目完工并经采购人</w:t>
      </w:r>
      <w:r>
        <w:rPr>
          <w:rFonts w:hint="eastAsia" w:ascii="宋体" w:hAnsi="宋体"/>
          <w:color w:val="auto"/>
          <w:szCs w:val="21"/>
          <w:highlight w:val="none"/>
          <w:lang w:eastAsia="zh-CN"/>
        </w:rPr>
        <w:t>竣工</w:t>
      </w:r>
      <w:r>
        <w:rPr>
          <w:rFonts w:hint="eastAsia" w:ascii="宋体" w:hAnsi="宋体"/>
          <w:color w:val="auto"/>
          <w:szCs w:val="21"/>
          <w:highlight w:val="none"/>
        </w:rPr>
        <w:t>验收合格，采购人按合同金额向成交人支付至80%的款项；</w:t>
      </w:r>
    </w:p>
    <w:p>
      <w:p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）项目完成结算确认手续后10个工作日内，</w:t>
      </w:r>
      <w:r>
        <w:rPr>
          <w:rFonts w:hint="eastAsia" w:ascii="宋体" w:hAnsi="宋体"/>
          <w:color w:val="auto"/>
          <w:szCs w:val="21"/>
          <w:highlight w:val="none"/>
          <w:lang w:eastAsia="zh-CN"/>
        </w:rPr>
        <w:t>成交人</w:t>
      </w:r>
      <w:r>
        <w:rPr>
          <w:rFonts w:hint="eastAsia" w:ascii="宋体" w:hAnsi="宋体"/>
          <w:color w:val="auto"/>
          <w:szCs w:val="21"/>
          <w:highlight w:val="none"/>
        </w:rPr>
        <w:t>应向</w:t>
      </w:r>
      <w:r>
        <w:rPr>
          <w:rFonts w:hint="eastAsia" w:ascii="宋体" w:hAnsi="宋体"/>
          <w:color w:val="auto"/>
          <w:szCs w:val="21"/>
          <w:highlight w:val="none"/>
          <w:lang w:eastAsia="zh-CN"/>
        </w:rPr>
        <w:t>采购人</w:t>
      </w:r>
      <w:r>
        <w:rPr>
          <w:rFonts w:hint="eastAsia" w:ascii="宋体" w:hAnsi="宋体"/>
          <w:color w:val="auto"/>
          <w:szCs w:val="21"/>
          <w:highlight w:val="none"/>
        </w:rPr>
        <w:t>提交</w:t>
      </w:r>
      <w:r>
        <w:rPr>
          <w:rFonts w:hint="eastAsia" w:ascii="宋体" w:hAnsi="宋体"/>
          <w:color w:val="auto"/>
          <w:szCs w:val="21"/>
          <w:highlight w:val="none"/>
          <w:lang w:eastAsia="zh-CN"/>
        </w:rPr>
        <w:t>合同金额的</w:t>
      </w:r>
      <w:r>
        <w:rPr>
          <w:rFonts w:hint="eastAsia" w:ascii="宋体" w:hAnsi="宋体"/>
          <w:color w:val="auto"/>
          <w:szCs w:val="21"/>
          <w:highlight w:val="none"/>
          <w:lang w:val="en-US" w:eastAsia="zh-CN"/>
        </w:rPr>
        <w:t>3%作为本项目</w:t>
      </w:r>
      <w:r>
        <w:rPr>
          <w:rFonts w:hint="eastAsia" w:ascii="宋体" w:hAnsi="宋体"/>
          <w:color w:val="auto"/>
          <w:szCs w:val="21"/>
          <w:highlight w:val="none"/>
        </w:rPr>
        <w:t>质保金</w:t>
      </w:r>
      <w:r>
        <w:rPr>
          <w:rFonts w:hint="eastAsia" w:ascii="宋体" w:hAnsi="宋体"/>
          <w:color w:val="auto"/>
          <w:szCs w:val="21"/>
          <w:highlight w:val="none"/>
          <w:lang w:eastAsia="zh-CN"/>
        </w:rPr>
        <w:t>，</w:t>
      </w:r>
      <w:r>
        <w:rPr>
          <w:rFonts w:hint="eastAsia" w:ascii="宋体" w:hAnsi="宋体"/>
          <w:color w:val="auto"/>
          <w:szCs w:val="21"/>
          <w:highlight w:val="none"/>
        </w:rPr>
        <w:t>质保金</w:t>
      </w:r>
      <w:r>
        <w:rPr>
          <w:rFonts w:hint="eastAsia" w:ascii="宋体" w:hAnsi="宋体"/>
          <w:color w:val="auto"/>
          <w:szCs w:val="21"/>
          <w:highlight w:val="none"/>
          <w:lang w:eastAsia="zh-CN"/>
        </w:rPr>
        <w:t>应</w:t>
      </w:r>
      <w:r>
        <w:rPr>
          <w:rFonts w:hint="eastAsia" w:ascii="宋体" w:hAnsi="宋体"/>
          <w:color w:val="auto"/>
          <w:szCs w:val="21"/>
          <w:highlight w:val="none"/>
        </w:rPr>
        <w:t>以银行保函的形式提供</w:t>
      </w:r>
      <w:r>
        <w:rPr>
          <w:rFonts w:hint="eastAsia" w:ascii="宋体" w:hAnsi="宋体"/>
          <w:color w:val="auto"/>
          <w:szCs w:val="21"/>
          <w:highlight w:val="none"/>
          <w:lang w:eastAsia="zh-CN"/>
        </w:rPr>
        <w:t>（</w:t>
      </w:r>
      <w:r>
        <w:rPr>
          <w:rFonts w:hint="eastAsia" w:ascii="宋体" w:hAnsi="宋体"/>
          <w:color w:val="auto"/>
          <w:szCs w:val="21"/>
          <w:highlight w:val="none"/>
        </w:rPr>
        <w:t>该银行保函应由在中国注册且营业地点在广州行政辖区内的银行开具</w:t>
      </w:r>
      <w:r>
        <w:rPr>
          <w:rFonts w:hint="eastAsia" w:ascii="宋体" w:hAnsi="宋体"/>
          <w:color w:val="auto"/>
          <w:szCs w:val="21"/>
          <w:highlight w:val="none"/>
          <w:lang w:eastAsia="zh-CN"/>
        </w:rPr>
        <w:t>），</w:t>
      </w:r>
      <w:r>
        <w:rPr>
          <w:rFonts w:hint="eastAsia" w:ascii="宋体" w:hAnsi="宋体"/>
          <w:color w:val="auto"/>
          <w:szCs w:val="21"/>
          <w:highlight w:val="none"/>
        </w:rPr>
        <w:t>质保期到期后质保金</w:t>
      </w:r>
      <w:r>
        <w:rPr>
          <w:rFonts w:hint="eastAsia" w:ascii="宋体" w:hAnsi="宋体"/>
          <w:color w:val="auto"/>
          <w:szCs w:val="21"/>
          <w:highlight w:val="none"/>
          <w:lang w:eastAsia="zh-CN"/>
        </w:rPr>
        <w:t>自动失效</w:t>
      </w:r>
      <w:r>
        <w:rPr>
          <w:rFonts w:hint="eastAsia" w:ascii="宋体" w:hAnsi="宋体"/>
          <w:color w:val="auto"/>
          <w:szCs w:val="21"/>
          <w:highlight w:val="none"/>
        </w:rPr>
        <w:t>。</w:t>
      </w:r>
      <w:r>
        <w:rPr>
          <w:rFonts w:hint="eastAsia" w:ascii="宋体" w:hAnsi="宋体"/>
          <w:color w:val="auto"/>
          <w:szCs w:val="21"/>
          <w:highlight w:val="none"/>
          <w:lang w:eastAsia="zh-CN"/>
        </w:rPr>
        <w:t>采购人</w:t>
      </w:r>
      <w:r>
        <w:rPr>
          <w:rFonts w:hint="eastAsia" w:ascii="宋体" w:hAnsi="宋体" w:cs="宋体"/>
          <w:color w:val="auto"/>
          <w:szCs w:val="21"/>
          <w:highlight w:val="none"/>
        </w:rPr>
        <w:t>支付至结算金额</w:t>
      </w:r>
      <w:r>
        <w:rPr>
          <w:rFonts w:hint="eastAsia" w:ascii="宋体" w:hAnsi="宋体"/>
          <w:color w:val="auto"/>
          <w:szCs w:val="21"/>
          <w:highlight w:val="none"/>
        </w:rPr>
        <w:t>的</w:t>
      </w:r>
      <w:r>
        <w:rPr>
          <w:rFonts w:hint="eastAsia" w:ascii="宋体" w:hAnsi="宋体"/>
          <w:color w:val="auto"/>
          <w:szCs w:val="21"/>
          <w:highlight w:val="none"/>
          <w:lang w:val="en-US" w:eastAsia="zh-CN"/>
        </w:rPr>
        <w:t>100</w:t>
      </w:r>
      <w:r>
        <w:rPr>
          <w:rFonts w:hint="eastAsia" w:ascii="宋体" w:hAnsi="宋体"/>
          <w:color w:val="auto"/>
          <w:szCs w:val="21"/>
          <w:highlight w:val="none"/>
        </w:rPr>
        <w:t>%</w:t>
      </w:r>
      <w:r>
        <w:rPr>
          <w:rFonts w:hint="eastAsia" w:ascii="宋体" w:hAnsi="宋体"/>
          <w:color w:val="auto"/>
          <w:szCs w:val="21"/>
          <w:highlight w:val="none"/>
          <w:lang w:eastAsia="zh-CN"/>
        </w:rPr>
        <w:t>。</w:t>
      </w:r>
    </w:p>
    <w:p>
      <w:pPr>
        <w:tabs>
          <w:tab w:val="left" w:pos="840"/>
        </w:tabs>
        <w:spacing w:line="440" w:lineRule="exact"/>
        <w:rPr>
          <w:rFonts w:ascii="宋体" w:hAnsi="宋体"/>
          <w:b/>
          <w:color w:val="auto"/>
          <w:szCs w:val="21"/>
          <w:highlight w:val="none"/>
        </w:rPr>
      </w:pPr>
      <w:r>
        <w:rPr>
          <w:rFonts w:hint="eastAsia" w:ascii="宋体" w:hAnsi="宋体"/>
          <w:b/>
          <w:color w:val="auto"/>
          <w:szCs w:val="21"/>
          <w:highlight w:val="none"/>
          <w:lang w:eastAsia="zh-CN"/>
        </w:rPr>
        <w:t>七</w:t>
      </w:r>
      <w:r>
        <w:rPr>
          <w:rFonts w:hint="eastAsia" w:ascii="宋体" w:hAnsi="宋体"/>
          <w:b/>
          <w:color w:val="auto"/>
          <w:szCs w:val="21"/>
          <w:highlight w:val="none"/>
        </w:rPr>
        <w:t>、其他说明</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（五）成交人应承担所有与编写和提交报价文件有关的费用，不论报价的结果如何，采购代理机构、采购人在任何情况下均无义务和责任承担这些费用。</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八）成交人不得私自变更工程量清单中的内容，如确须变更，则事前须征得采购人同意，如有违反，一经发现取消成交资格，并赔偿由此造成的一切损失(包含质量安全事故、拖延工期、增加投资等损失)。在施工过程中发现私自变更工程量清单内容的，则在工程款中扣除2%作为处罚，造成损失的，按实际发生额赔偿。</w:t>
      </w:r>
    </w:p>
    <w:bookmarkEnd w:id="280"/>
    <w:p>
      <w:pPr>
        <w:tabs>
          <w:tab w:val="left" w:pos="840"/>
        </w:tabs>
        <w:spacing w:line="440" w:lineRule="exact"/>
        <w:rPr>
          <w:rFonts w:ascii="宋体" w:hAnsi="宋体"/>
          <w:b/>
          <w:color w:val="auto"/>
          <w:highlight w:val="none"/>
          <w:lang w:val="zh-CN"/>
        </w:rPr>
      </w:pPr>
      <w:bookmarkStart w:id="281" w:name="_Toc317609046"/>
      <w:r>
        <w:rPr>
          <w:rFonts w:hint="eastAsia" w:ascii="宋体" w:hAnsi="宋体"/>
          <w:b/>
          <w:color w:val="auto"/>
          <w:highlight w:val="none"/>
          <w:lang w:eastAsia="zh-CN"/>
        </w:rPr>
        <w:t>八</w:t>
      </w:r>
      <w:r>
        <w:rPr>
          <w:rFonts w:hint="eastAsia" w:ascii="宋体" w:hAnsi="宋体"/>
          <w:b/>
          <w:color w:val="auto"/>
          <w:highlight w:val="none"/>
        </w:rPr>
        <w:t>、相关图纸</w:t>
      </w:r>
      <w:r>
        <w:rPr>
          <w:rFonts w:hint="eastAsia" w:ascii="宋体" w:hAnsi="宋体"/>
          <w:b/>
          <w:color w:val="auto"/>
          <w:highlight w:val="none"/>
          <w:lang w:val="zh-CN"/>
        </w:rPr>
        <w:t>（另册）和工程量清单（另册）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工程量清单</w:t>
      </w:r>
      <w:r>
        <w:rPr>
          <w:rFonts w:hint="eastAsia" w:ascii="宋体" w:hAnsi="宋体"/>
          <w:color w:val="auto"/>
          <w:highlight w:val="none"/>
          <w:lang w:val="zh-CN"/>
        </w:rPr>
        <w:t>（含封面）采用采购人提供的电子版填写。投标人不得修改《</w:t>
      </w:r>
      <w:r>
        <w:rPr>
          <w:rFonts w:hint="eastAsia" w:ascii="宋体" w:hAnsi="宋体" w:cs="宋体"/>
          <w:color w:val="auto"/>
          <w:szCs w:val="21"/>
          <w:highlight w:val="none"/>
        </w:rPr>
        <w:t>工程量清单</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工程量清单</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color w:val="auto"/>
          <w:highlight w:val="none"/>
        </w:rPr>
      </w:pPr>
      <w:r>
        <w:rPr>
          <w:rFonts w:hint="eastAsia" w:ascii="宋体" w:hAnsi="宋体"/>
          <w:color w:val="auto"/>
          <w:highlight w:val="none"/>
          <w:lang w:val="zh-CN"/>
        </w:rPr>
        <w:t>具体工程范围和内容以图纸和清单为准,如两者有差异,以清单为准。</w:t>
      </w:r>
      <w:bookmarkEnd w:id="281"/>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施工合同（样本）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2" w:name="_Toc293341641"/>
      <w:bookmarkStart w:id="283" w:name="_Toc303110406"/>
      <w:r>
        <w:rPr>
          <w:rFonts w:hint="eastAsia" w:ascii="宋体" w:hAnsi="宋体"/>
          <w:color w:val="auto"/>
          <w:szCs w:val="21"/>
          <w:highlight w:val="none"/>
        </w:rPr>
        <w:t>注：本合同条款仅供参考，甲乙双方可根据实际情况进行补充，但不得对竞争性磋商文件作实质性修改。</w:t>
      </w:r>
    </w:p>
    <w:p>
      <w:pPr>
        <w:ind w:firstLine="562" w:firstLineChars="200"/>
        <w:jc w:val="center"/>
        <w:rPr>
          <w:rFonts w:asciiTheme="minorEastAsia" w:hAnsiTheme="minorEastAsia" w:eastAsiaTheme="minorEastAsia" w:cstheme="minorEastAsia"/>
          <w:b/>
          <w:color w:val="auto"/>
          <w:sz w:val="28"/>
          <w:szCs w:val="28"/>
          <w:highlight w:val="none"/>
        </w:rPr>
      </w:pPr>
    </w:p>
    <w:p>
      <w:pPr>
        <w:ind w:firstLine="562" w:firstLineChars="200"/>
        <w:jc w:val="center"/>
        <w:rPr>
          <w:rFonts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工程施工合同</w:t>
      </w:r>
    </w:p>
    <w:p>
      <w:pPr>
        <w:spacing w:line="360" w:lineRule="auto"/>
        <w:rPr>
          <w:rFonts w:asciiTheme="minorEastAsia" w:hAnsiTheme="minorEastAsia" w:eastAsiaTheme="minorEastAsia" w:cstheme="minorEastAsia"/>
          <w:color w:val="auto"/>
          <w:szCs w:val="21"/>
          <w:highlight w:val="none"/>
        </w:rPr>
      </w:pP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采购人 (全称)：</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(以下简称：甲方)                 </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eastAsia="zh-CN"/>
        </w:rPr>
        <w:t>成交人</w:t>
      </w:r>
      <w:r>
        <w:rPr>
          <w:rFonts w:hint="eastAsia" w:asciiTheme="minorEastAsia" w:hAnsiTheme="minorEastAsia" w:eastAsiaTheme="minorEastAsia" w:cstheme="minorEastAsia"/>
          <w:color w:val="auto"/>
          <w:szCs w:val="21"/>
          <w:highlight w:val="none"/>
        </w:rPr>
        <w:t>（全称）：</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（以下简称：乙方）</w:t>
      </w:r>
    </w:p>
    <w:p>
      <w:pPr>
        <w:pStyle w:val="83"/>
        <w:spacing w:beforeLines="50" w:beforeAutospacing="0" w:afterLines="50" w:afterAutospacing="0" w:line="360" w:lineRule="auto"/>
        <w:ind w:firstLine="420" w:firstLineChars="200"/>
        <w:jc w:val="both"/>
        <w:rPr>
          <w:rFonts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甲乙双方根据《中华人民共和国合同法》、《建筑安装工程承包协议条例》、及其他相关法律、行政法规之规定，遵循平等、自愿、公平和诚实信用的原则，合同双方当事人就合同工程施工有关事项达成一致意见，特订立本合同，双方共同遵守。</w:t>
      </w:r>
    </w:p>
    <w:p>
      <w:pPr>
        <w:autoSpaceDE w:val="0"/>
        <w:autoSpaceDN w:val="0"/>
        <w:adjustRightInd w:val="0"/>
        <w:spacing w:line="360" w:lineRule="auto"/>
        <w:ind w:left="101"/>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
          <w:color w:val="auto"/>
          <w:szCs w:val="21"/>
          <w:highlight w:val="none"/>
        </w:rPr>
        <w:t>第一条  工程项目概况</w:t>
      </w:r>
    </w:p>
    <w:p>
      <w:pPr>
        <w:spacing w:line="360" w:lineRule="auto"/>
        <w:ind w:firstLine="420" w:firstLineChars="200"/>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（一）工程名称：</w:t>
      </w:r>
      <w:r>
        <w:rPr>
          <w:rFonts w:hint="eastAsia" w:asciiTheme="minorEastAsia" w:hAnsiTheme="minorEastAsia" w:eastAsiaTheme="minorEastAsia" w:cstheme="minorEastAsia"/>
          <w:color w:val="auto"/>
          <w:szCs w:val="21"/>
          <w:highlight w:val="none"/>
          <w:u w:val="single"/>
        </w:rPr>
        <w:t xml:space="preserve">                                 </w:t>
      </w:r>
    </w:p>
    <w:p>
      <w:pPr>
        <w:spacing w:line="360" w:lineRule="auto"/>
        <w:ind w:firstLine="420" w:firstLineChars="200"/>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（二）工程地点：</w:t>
      </w:r>
      <w:r>
        <w:rPr>
          <w:rFonts w:hint="eastAsia" w:asciiTheme="minorEastAsia" w:hAnsiTheme="minorEastAsia" w:eastAsiaTheme="minorEastAsia" w:cstheme="minorEastAsia"/>
          <w:color w:val="auto"/>
          <w:szCs w:val="21"/>
          <w:highlight w:val="none"/>
          <w:u w:val="single"/>
        </w:rPr>
        <w:t xml:space="preserve">                                   </w:t>
      </w:r>
    </w:p>
    <w:p>
      <w:pPr>
        <w:spacing w:line="360" w:lineRule="auto"/>
        <w:ind w:firstLine="420" w:firstLineChars="200"/>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（三）工程内容：</w:t>
      </w:r>
      <w:r>
        <w:rPr>
          <w:rFonts w:hint="eastAsia" w:asciiTheme="minorEastAsia" w:hAnsiTheme="minorEastAsia" w:eastAsiaTheme="minorEastAsia" w:cstheme="minorEastAsia"/>
          <w:color w:val="auto"/>
          <w:szCs w:val="21"/>
          <w:highlight w:val="none"/>
          <w:u w:val="single"/>
        </w:rPr>
        <w:t xml:space="preserve">                                     。详见施工图纸及工程量清单。</w:t>
      </w:r>
    </w:p>
    <w:p>
      <w:pPr>
        <w:spacing w:line="360" w:lineRule="auto"/>
        <w:ind w:firstLine="420" w:firstLineChars="200"/>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（四）承包方式：</w:t>
      </w:r>
      <w:r>
        <w:rPr>
          <w:rFonts w:hint="eastAsia" w:asciiTheme="minorEastAsia" w:hAnsiTheme="minorEastAsia" w:eastAsiaTheme="minorEastAsia" w:cstheme="minorEastAsia"/>
          <w:color w:val="auto"/>
          <w:szCs w:val="21"/>
          <w:highlight w:val="none"/>
          <w:u w:val="single"/>
        </w:rPr>
        <w:t>包工、包料、包质量、包工期、包安全文明施工、包调试、包验收；总价包干。</w:t>
      </w:r>
    </w:p>
    <w:p>
      <w:pPr>
        <w:autoSpaceDE w:val="0"/>
        <w:autoSpaceDN w:val="0"/>
        <w:adjustRightInd w:val="0"/>
        <w:spacing w:line="360" w:lineRule="auto"/>
        <w:ind w:left="101" w:leftChars="48" w:firstLine="308" w:firstLineChars="147"/>
        <w:jc w:val="left"/>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（五）工程承包范围：</w:t>
      </w:r>
      <w:r>
        <w:rPr>
          <w:rFonts w:hint="eastAsia" w:asciiTheme="minorEastAsia" w:hAnsiTheme="minorEastAsia" w:eastAsiaTheme="minorEastAsia" w:cstheme="minorEastAsia"/>
          <w:color w:val="auto"/>
          <w:szCs w:val="21"/>
          <w:highlight w:val="none"/>
          <w:u w:val="single"/>
        </w:rPr>
        <w:t>按照甲方提供的设计图纸、工程量清单和有关资料及说明的范围内的所有项目。</w:t>
      </w:r>
    </w:p>
    <w:p>
      <w:pPr>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第二条   合同价款</w:t>
      </w:r>
    </w:p>
    <w:p>
      <w:pPr>
        <w:spacing w:line="360" w:lineRule="auto"/>
        <w:ind w:firstLine="420" w:firstLineChars="20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kern w:val="0"/>
          <w:szCs w:val="21"/>
          <w:highlight w:val="none"/>
        </w:rPr>
        <w:t>合同总</w:t>
      </w:r>
      <w:r>
        <w:rPr>
          <w:rFonts w:hint="eastAsia" w:asciiTheme="minorEastAsia" w:hAnsiTheme="minorEastAsia" w:eastAsiaTheme="minorEastAsia" w:cstheme="minorEastAsia"/>
          <w:color w:val="auto"/>
          <w:spacing w:val="-70"/>
          <w:kern w:val="0"/>
          <w:szCs w:val="21"/>
          <w:highlight w:val="none"/>
        </w:rPr>
        <w:t>价</w:t>
      </w:r>
      <w:r>
        <w:rPr>
          <w:rFonts w:hint="eastAsia" w:asciiTheme="minorEastAsia" w:hAnsiTheme="minorEastAsia" w:eastAsiaTheme="minorEastAsia" w:cstheme="minorEastAsia"/>
          <w:color w:val="auto"/>
          <w:kern w:val="0"/>
          <w:szCs w:val="21"/>
          <w:highlight w:val="none"/>
        </w:rPr>
        <w:t>（大写</w:t>
      </w:r>
      <w:r>
        <w:rPr>
          <w:rFonts w:hint="eastAsia" w:asciiTheme="minorEastAsia" w:hAnsiTheme="minorEastAsia" w:eastAsiaTheme="minorEastAsia" w:cstheme="minorEastAsia"/>
          <w:color w:val="auto"/>
          <w:spacing w:val="-120"/>
          <w:kern w:val="0"/>
          <w:szCs w:val="21"/>
          <w:highlight w:val="none"/>
        </w:rPr>
        <w:t>）</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w:t>
      </w:r>
    </w:p>
    <w:p>
      <w:pPr>
        <w:tabs>
          <w:tab w:val="left" w:pos="6620"/>
        </w:tabs>
        <w:autoSpaceDE w:val="0"/>
        <w:autoSpaceDN w:val="0"/>
        <w:adjustRightInd w:val="0"/>
        <w:spacing w:line="360" w:lineRule="auto"/>
        <w:ind w:left="624" w:right="3289" w:firstLine="958"/>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（小写</w:t>
      </w:r>
      <w:r>
        <w:rPr>
          <w:rFonts w:hint="eastAsia" w:asciiTheme="minorEastAsia" w:hAnsiTheme="minorEastAsia" w:eastAsiaTheme="minorEastAsia" w:cstheme="minorEastAsia"/>
          <w:color w:val="auto"/>
          <w:spacing w:val="-120"/>
          <w:kern w:val="0"/>
          <w:szCs w:val="21"/>
          <w:highlight w:val="none"/>
        </w:rPr>
        <w:t>）</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u w:val="single"/>
        </w:rPr>
        <w:tab/>
      </w:r>
      <w:r>
        <w:rPr>
          <w:rFonts w:hint="eastAsia" w:asciiTheme="minorEastAsia" w:hAnsiTheme="minorEastAsia" w:eastAsiaTheme="minorEastAsia" w:cstheme="minorEastAsia"/>
          <w:color w:val="auto"/>
          <w:kern w:val="0"/>
          <w:szCs w:val="21"/>
          <w:highlight w:val="none"/>
        </w:rPr>
        <w:t xml:space="preserve">。 </w:t>
      </w:r>
    </w:p>
    <w:p>
      <w:pPr>
        <w:spacing w:line="360" w:lineRule="auto"/>
        <w:ind w:firstLine="396"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pacing w:val="-6"/>
          <w:szCs w:val="21"/>
          <w:highlight w:val="none"/>
        </w:rPr>
        <w:t>本合同属于固定单价合同，合同在执行期间内，乙方投标文件中的综合单价不作任何调整；除</w:t>
      </w:r>
      <w:r>
        <w:rPr>
          <w:rFonts w:hint="eastAsia" w:asciiTheme="minorEastAsia" w:hAnsiTheme="minorEastAsia" w:eastAsiaTheme="minorEastAsia" w:cstheme="minorEastAsia"/>
          <w:color w:val="auto"/>
          <w:szCs w:val="21"/>
          <w:highlight w:val="none"/>
        </w:rPr>
        <w:t>甲方提供的设计图纸、</w:t>
      </w:r>
      <w:r>
        <w:rPr>
          <w:rFonts w:hint="eastAsia" w:asciiTheme="minorEastAsia" w:hAnsiTheme="minorEastAsia" w:eastAsiaTheme="minorEastAsia" w:cstheme="minorEastAsia"/>
          <w:color w:val="auto"/>
          <w:spacing w:val="-6"/>
          <w:szCs w:val="21"/>
          <w:highlight w:val="none"/>
        </w:rPr>
        <w:t>工程量清单和有关资料及说明的范围内的所有项目外新增加的签证工程量，以总监理工程师、甲方签认的现场签证为依据，按照进度款同期支付。</w:t>
      </w:r>
      <w:r>
        <w:rPr>
          <w:rFonts w:hint="eastAsia" w:asciiTheme="minorEastAsia" w:hAnsiTheme="minorEastAsia" w:eastAsiaTheme="minorEastAsia" w:cstheme="minorEastAsia"/>
          <w:color w:val="auto"/>
          <w:szCs w:val="21"/>
          <w:highlight w:val="none"/>
        </w:rPr>
        <w:t>合同工程的暂列金额，由甲方视项目具体情况自行支配及使用。</w:t>
      </w:r>
    </w:p>
    <w:p>
      <w:pPr>
        <w:spacing w:line="360" w:lineRule="auto"/>
        <w:ind w:firstLine="396" w:firstLineChars="200"/>
        <w:rPr>
          <w:rFonts w:asciiTheme="minorEastAsia" w:hAnsiTheme="minorEastAsia" w:eastAsiaTheme="minorEastAsia" w:cstheme="minorEastAsia"/>
          <w:color w:val="auto"/>
          <w:spacing w:val="-6"/>
          <w:szCs w:val="21"/>
          <w:highlight w:val="none"/>
        </w:rPr>
      </w:pPr>
      <w:r>
        <w:rPr>
          <w:rFonts w:hint="eastAsia" w:asciiTheme="minorEastAsia" w:hAnsiTheme="minorEastAsia" w:eastAsiaTheme="minorEastAsia" w:cstheme="minorEastAsia"/>
          <w:color w:val="auto"/>
          <w:spacing w:val="-6"/>
          <w:szCs w:val="21"/>
          <w:highlight w:val="none"/>
        </w:rPr>
        <w:t>2、甲方每次向乙方支付工程款，乙方向甲方开具增值税普通发票。</w:t>
      </w:r>
    </w:p>
    <w:p>
      <w:pPr>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第三条   工期   </w:t>
      </w:r>
    </w:p>
    <w:p>
      <w:pPr>
        <w:spacing w:line="360" w:lineRule="auto"/>
        <w:ind w:left="281" w:leftChars="134" w:firstLine="315" w:firstLineChars="150"/>
        <w:outlineLvl w:val="0"/>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总工期为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个日历天。由</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日开工，</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月 </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日竣工完成；在履行过程中，如因甲方原因或遇不可抗力因素造成工程无法施工的，工期由双方协商顺延，但不得超过30个日历天。</w:t>
      </w:r>
    </w:p>
    <w:p>
      <w:pPr>
        <w:spacing w:line="360" w:lineRule="auto"/>
        <w:outlineLvl w:val="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 xml:space="preserve">第四条   工程质量标准和保修期 </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（1）质量要求：按国家相关规范规程一次性验收达到合格标准。</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（2）质量保修期从合同工程实际竣工验收合格之日算起。</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（3）合同工程质量保修期，约定如下：</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①基础设施工程、房屋建筑的地基基础工程和主体结构工程，为设计文件规定的该工程的合理使用年限；</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②屋面防水工程、有防水要求的卫生间、房间和外墙面的防渗漏，为５年；</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③供热与供冷系统，为２个采暖期、供冷期；</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④电气管线、给排水管道、设备安装和装修工程，为２年。</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（4）质量保修责任</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①属于保修范围的项目，乙方应在接到甲方通知后的3天内派人保修。乙方未能在规定时间内派人保修的，甲方可自行或委托第三方维修，所需费用在质保金中扣除或由乙方偿还甲方已支付的维修费。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②发生紧急抢修事故的，乙方在接到通知后，应立即赶赴现场进行抢修。</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（4）质量保证金</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留结算款的</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作为质量保证金。质保期满后，甲方收到乙方的支付工程款项申请，经审核后10个工作日内无息支付。在保修期内因施工质量而造成返修，其费用由乙方负责，若乙方在质量保证期内未完全履行缺陷保修义务的，甲方有权扣除质量保证金，并保留进一步索赔的权利。</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5.付款方式：采用银行转账、银行汇付（含电汇）等形式。</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6.每期支付合同款项时，乙方需提前 5天向甲方提供与当期支付款项金额等值的中国大陆地区合法有效发票。</w:t>
      </w:r>
    </w:p>
    <w:p>
      <w:pPr>
        <w:spacing w:line="360" w:lineRule="auto"/>
        <w:outlineLvl w:val="0"/>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第五条</w:t>
      </w: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b/>
          <w:color w:val="auto"/>
          <w:szCs w:val="21"/>
          <w:highlight w:val="none"/>
        </w:rPr>
        <w:t>材料设备</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本工程由乙方根据甲方确定的材料表及样板自行采购供应全部材料设备，并由乙方负责运至施工现场；乙方必须提供所有材料生产厂家的合格证书及材质检验报告；乙方供应的材料设备，由乙方妥善保管，因乙方原因发生丢失损坏，由乙方负责赔偿。</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（二）材料设备需附有合格证明，如一方对材料设备有异议需进行检验，如检验合格，检验相关费用由持有异议一方承担，否则由采购方承担责任，并将全部材料立即退场，不得用于本工程。</w:t>
      </w:r>
    </w:p>
    <w:p>
      <w:pPr>
        <w:spacing w:line="360" w:lineRule="auto"/>
        <w:outlineLvl w:val="0"/>
        <w:rPr>
          <w:rFonts w:hint="eastAsia" w:asciiTheme="minorEastAsia" w:hAnsiTheme="minorEastAsia" w:eastAsiaTheme="minorEastAsia" w:cstheme="minorEastAsia"/>
          <w:b/>
          <w:color w:val="auto"/>
          <w:szCs w:val="21"/>
          <w:highlight w:val="none"/>
          <w:lang w:val="en-US" w:eastAsia="zh-CN"/>
        </w:rPr>
      </w:pPr>
      <w:r>
        <w:rPr>
          <w:rFonts w:hint="eastAsia" w:asciiTheme="minorEastAsia" w:hAnsiTheme="minorEastAsia" w:eastAsiaTheme="minorEastAsia" w:cstheme="minorEastAsia"/>
          <w:b/>
          <w:color w:val="auto"/>
          <w:szCs w:val="21"/>
          <w:highlight w:val="none"/>
        </w:rPr>
        <w:t xml:space="preserve">第六条  </w:t>
      </w:r>
      <w:r>
        <w:rPr>
          <w:rFonts w:hint="eastAsia" w:asciiTheme="minorEastAsia" w:hAnsiTheme="minorEastAsia" w:eastAsiaTheme="minorEastAsia" w:cstheme="minorEastAsia"/>
          <w:b/>
          <w:color w:val="auto"/>
          <w:szCs w:val="21"/>
          <w:highlight w:val="none"/>
          <w:lang w:eastAsia="zh-CN"/>
        </w:rPr>
        <w:t>履约担保</w:t>
      </w:r>
    </w:p>
    <w:p>
      <w:pPr>
        <w:spacing w:line="440" w:lineRule="exact"/>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hint="eastAsia" w:ascii="宋体" w:hAnsi="宋体"/>
          <w:color w:val="auto"/>
          <w:szCs w:val="21"/>
          <w:highlight w:val="none"/>
          <w:lang w:eastAsia="zh-CN"/>
        </w:rPr>
        <w:t>本项目履约担保为</w:t>
      </w:r>
      <w:r>
        <w:rPr>
          <w:rFonts w:hint="eastAsia" w:ascii="宋体" w:hAnsi="宋体"/>
          <w:color w:val="auto"/>
          <w:szCs w:val="21"/>
          <w:highlight w:val="none"/>
          <w:lang w:val="en-US" w:eastAsia="zh-CN"/>
        </w:rPr>
        <w:t>贰</w:t>
      </w:r>
      <w:r>
        <w:rPr>
          <w:rFonts w:hint="eastAsia" w:ascii="宋体" w:hAnsi="宋体"/>
          <w:color w:val="auto"/>
          <w:szCs w:val="21"/>
          <w:highlight w:val="none"/>
          <w:lang w:eastAsia="zh-CN"/>
        </w:rPr>
        <w:t>万元人民币。</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在签订合同后的15日内，</w:t>
      </w:r>
      <w:r>
        <w:rPr>
          <w:rFonts w:hint="eastAsia" w:ascii="宋体" w:hAnsi="宋体"/>
          <w:color w:val="auto"/>
          <w:szCs w:val="21"/>
          <w:highlight w:val="none"/>
          <w:lang w:eastAsia="zh-CN"/>
        </w:rPr>
        <w:t>乙方</w:t>
      </w:r>
      <w:r>
        <w:rPr>
          <w:rFonts w:hint="eastAsia" w:ascii="宋体" w:hAnsi="宋体"/>
          <w:color w:val="auto"/>
          <w:szCs w:val="21"/>
          <w:highlight w:val="none"/>
        </w:rPr>
        <w:t>应向</w:t>
      </w:r>
      <w:r>
        <w:rPr>
          <w:rFonts w:hint="eastAsia" w:ascii="宋体" w:hAnsi="宋体"/>
          <w:color w:val="auto"/>
          <w:szCs w:val="21"/>
          <w:highlight w:val="none"/>
          <w:lang w:eastAsia="zh-CN"/>
        </w:rPr>
        <w:t>甲方</w:t>
      </w:r>
      <w:r>
        <w:rPr>
          <w:rFonts w:hint="eastAsia" w:ascii="宋体" w:hAnsi="宋体"/>
          <w:color w:val="auto"/>
          <w:szCs w:val="21"/>
          <w:highlight w:val="none"/>
        </w:rPr>
        <w:t>提交履约担保；履约担保</w:t>
      </w:r>
      <w:r>
        <w:rPr>
          <w:rFonts w:hint="eastAsia" w:ascii="宋体" w:hAnsi="宋体"/>
          <w:color w:val="auto"/>
          <w:szCs w:val="21"/>
          <w:highlight w:val="none"/>
          <w:lang w:eastAsia="zh-CN"/>
        </w:rPr>
        <w:t>应</w:t>
      </w:r>
      <w:r>
        <w:rPr>
          <w:rFonts w:hint="eastAsia" w:ascii="宋体" w:hAnsi="宋体"/>
          <w:color w:val="auto"/>
          <w:szCs w:val="21"/>
          <w:highlight w:val="none"/>
        </w:rPr>
        <w:t>以银行保函的形式提供，该银行保函应由在中国注册且营业地点在广州行政辖区内的银行开具。</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在签订合同后的15日后，</w:t>
      </w:r>
      <w:r>
        <w:rPr>
          <w:rFonts w:hint="eastAsia" w:ascii="宋体" w:hAnsi="宋体"/>
          <w:color w:val="auto"/>
          <w:szCs w:val="21"/>
          <w:highlight w:val="none"/>
          <w:lang w:eastAsia="zh-CN"/>
        </w:rPr>
        <w:t>乙方</w:t>
      </w:r>
      <w:r>
        <w:rPr>
          <w:rFonts w:hint="eastAsia" w:ascii="宋体" w:hAnsi="宋体"/>
          <w:color w:val="auto"/>
          <w:szCs w:val="21"/>
          <w:highlight w:val="none"/>
        </w:rPr>
        <w:t>未按上款的规定提交履约担保，</w:t>
      </w:r>
      <w:r>
        <w:rPr>
          <w:rFonts w:hint="eastAsia" w:ascii="宋体" w:hAnsi="宋体"/>
          <w:color w:val="auto"/>
          <w:szCs w:val="21"/>
          <w:highlight w:val="none"/>
          <w:lang w:eastAsia="zh-CN"/>
        </w:rPr>
        <w:t>甲方</w:t>
      </w:r>
      <w:r>
        <w:rPr>
          <w:rFonts w:hint="eastAsia" w:ascii="宋体" w:hAnsi="宋体"/>
          <w:color w:val="auto"/>
          <w:szCs w:val="21"/>
          <w:highlight w:val="none"/>
        </w:rPr>
        <w:t>将解除</w:t>
      </w:r>
      <w:r>
        <w:rPr>
          <w:rFonts w:hint="eastAsia" w:ascii="宋体" w:hAnsi="宋体"/>
          <w:color w:val="auto"/>
          <w:szCs w:val="21"/>
          <w:highlight w:val="none"/>
          <w:lang w:eastAsia="zh-CN"/>
        </w:rPr>
        <w:t>成交通知书</w:t>
      </w:r>
      <w:r>
        <w:rPr>
          <w:rFonts w:hint="eastAsia" w:ascii="宋体" w:hAnsi="宋体"/>
          <w:color w:val="auto"/>
          <w:szCs w:val="21"/>
          <w:highlight w:val="none"/>
        </w:rPr>
        <w:t>，且依法承担相应法律责任。原</w:t>
      </w:r>
      <w:r>
        <w:rPr>
          <w:rFonts w:hint="eastAsia" w:ascii="宋体" w:hAnsi="宋体"/>
          <w:color w:val="auto"/>
          <w:szCs w:val="21"/>
          <w:highlight w:val="none"/>
          <w:lang w:eastAsia="zh-CN"/>
        </w:rPr>
        <w:t>乙方</w:t>
      </w:r>
      <w:r>
        <w:rPr>
          <w:rFonts w:hint="eastAsia" w:ascii="宋体" w:hAnsi="宋体"/>
          <w:color w:val="auto"/>
          <w:szCs w:val="21"/>
          <w:highlight w:val="none"/>
        </w:rPr>
        <w:t>有异议的，可以向人民法院起诉。</w:t>
      </w:r>
    </w:p>
    <w:p>
      <w:pPr>
        <w:spacing w:line="44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4.甲方在对履约担保提出索赔要求之前，应书面通知乙方，说明导致此项索赔的原因，并及时向担保人提出索赔文件。担保人根据担保合同的约定在担保范围内承担担保责任，并无须征得乙方的同意，直接向甲方支付索赔价款。</w:t>
      </w:r>
    </w:p>
    <w:p>
      <w:pPr>
        <w:spacing w:line="440" w:lineRule="exact"/>
        <w:ind w:firstLine="420" w:firstLineChars="200"/>
        <w:rPr>
          <w:rFonts w:hint="eastAsia" w:ascii="宋体" w:hAnsi="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乙方</w:t>
      </w:r>
      <w:r>
        <w:rPr>
          <w:rFonts w:hint="eastAsia" w:ascii="宋体" w:hAnsi="宋体" w:eastAsia="宋体" w:cs="宋体"/>
          <w:color w:val="auto"/>
          <w:szCs w:val="21"/>
          <w:highlight w:val="none"/>
        </w:rPr>
        <w:t>对于所提供的货物与本项目的</w:t>
      </w:r>
      <w:r>
        <w:rPr>
          <w:rFonts w:hint="eastAsia" w:ascii="宋体" w:hAnsi="宋体" w:cs="宋体"/>
          <w:color w:val="auto"/>
          <w:szCs w:val="21"/>
          <w:highlight w:val="none"/>
          <w:lang w:eastAsia="zh-CN"/>
        </w:rPr>
        <w:t>竞争性磋商文件</w:t>
      </w:r>
      <w:r>
        <w:rPr>
          <w:rFonts w:hint="eastAsia" w:ascii="宋体" w:hAnsi="宋体" w:eastAsia="宋体" w:cs="宋体"/>
          <w:color w:val="auto"/>
          <w:szCs w:val="21"/>
          <w:highlight w:val="none"/>
        </w:rPr>
        <w:t>及合同要求不相符，</w:t>
      </w:r>
      <w:r>
        <w:rPr>
          <w:rFonts w:hint="eastAsia" w:ascii="宋体" w:hAnsi="宋体" w:cs="宋体"/>
          <w:color w:val="auto"/>
          <w:szCs w:val="21"/>
          <w:highlight w:val="none"/>
          <w:lang w:eastAsia="zh-CN"/>
        </w:rPr>
        <w:t>乙方</w:t>
      </w:r>
      <w:r>
        <w:rPr>
          <w:rFonts w:hint="eastAsia" w:ascii="宋体" w:hAnsi="宋体" w:eastAsia="宋体" w:cs="宋体"/>
          <w:color w:val="auto"/>
          <w:szCs w:val="21"/>
          <w:highlight w:val="none"/>
        </w:rPr>
        <w:t>同意</w:t>
      </w:r>
      <w:r>
        <w:rPr>
          <w:rFonts w:hint="eastAsia" w:ascii="宋体" w:hAnsi="宋体" w:cs="宋体"/>
          <w:color w:val="auto"/>
          <w:szCs w:val="21"/>
          <w:highlight w:val="none"/>
          <w:lang w:eastAsia="zh-CN"/>
        </w:rPr>
        <w:t>甲方</w:t>
      </w:r>
      <w:r>
        <w:rPr>
          <w:rFonts w:hint="eastAsia" w:ascii="宋体" w:hAnsi="宋体" w:eastAsia="宋体" w:cs="宋体"/>
          <w:color w:val="auto"/>
          <w:szCs w:val="21"/>
          <w:highlight w:val="none"/>
        </w:rPr>
        <w:t>拒收货物，</w:t>
      </w:r>
      <w:r>
        <w:rPr>
          <w:rFonts w:hint="eastAsia" w:ascii="宋体" w:hAnsi="宋体" w:cs="宋体"/>
          <w:color w:val="auto"/>
          <w:szCs w:val="21"/>
          <w:highlight w:val="none"/>
          <w:lang w:eastAsia="zh-CN"/>
        </w:rPr>
        <w:t>乙方</w:t>
      </w:r>
      <w:r>
        <w:rPr>
          <w:rFonts w:hint="eastAsia" w:ascii="宋体" w:hAnsi="宋体" w:eastAsia="宋体" w:cs="宋体"/>
          <w:color w:val="auto"/>
          <w:szCs w:val="21"/>
          <w:highlight w:val="none"/>
        </w:rPr>
        <w:t>负担由此发生的一切损失和费用。包括银行利息、运输和保险费、检验费、仓储和装卸费等必要的费用。</w:t>
      </w:r>
      <w:r>
        <w:rPr>
          <w:rFonts w:hint="eastAsia" w:ascii="宋体" w:hAnsi="宋体"/>
          <w:color w:val="auto"/>
          <w:szCs w:val="21"/>
          <w:highlight w:val="none"/>
          <w:lang w:eastAsia="zh-CN"/>
        </w:rPr>
        <w:t>乙方</w:t>
      </w:r>
      <w:r>
        <w:rPr>
          <w:rFonts w:hint="eastAsia" w:ascii="宋体" w:hAnsi="宋体"/>
          <w:color w:val="auto"/>
          <w:szCs w:val="21"/>
          <w:highlight w:val="none"/>
        </w:rPr>
        <w:t>将有权从货款或从</w:t>
      </w:r>
      <w:r>
        <w:rPr>
          <w:rFonts w:hint="eastAsia" w:ascii="宋体" w:hAnsi="宋体"/>
          <w:color w:val="auto"/>
          <w:szCs w:val="21"/>
          <w:highlight w:val="none"/>
          <w:lang w:eastAsia="zh-CN"/>
        </w:rPr>
        <w:t>乙方</w:t>
      </w:r>
      <w:r>
        <w:rPr>
          <w:rFonts w:hint="eastAsia" w:ascii="宋体" w:hAnsi="宋体"/>
          <w:color w:val="auto"/>
          <w:szCs w:val="21"/>
          <w:highlight w:val="none"/>
        </w:rPr>
        <w:t>开具的履约</w:t>
      </w:r>
      <w:r>
        <w:rPr>
          <w:rFonts w:hint="eastAsia" w:ascii="宋体" w:hAnsi="宋体"/>
          <w:color w:val="auto"/>
          <w:szCs w:val="21"/>
          <w:highlight w:val="none"/>
          <w:lang w:eastAsia="zh-CN"/>
        </w:rPr>
        <w:t>担保</w:t>
      </w:r>
      <w:r>
        <w:rPr>
          <w:rFonts w:hint="eastAsia" w:ascii="宋体" w:hAnsi="宋体"/>
          <w:color w:val="auto"/>
          <w:szCs w:val="21"/>
          <w:highlight w:val="none"/>
        </w:rPr>
        <w:t>中扣回索赔金额，同时保留进一步要求索赔的权力。</w:t>
      </w:r>
    </w:p>
    <w:p>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eastAsia="zh-CN"/>
        </w:rPr>
        <w:t>履约担保</w:t>
      </w:r>
      <w:r>
        <w:rPr>
          <w:rFonts w:hint="default" w:ascii="宋体" w:hAnsi="宋体" w:eastAsia="宋体" w:cs="宋体"/>
          <w:color w:val="auto"/>
          <w:szCs w:val="21"/>
          <w:highlight w:val="none"/>
        </w:rPr>
        <w:t>有效期截止时间为工程建设合同约定的</w:t>
      </w:r>
      <w:r>
        <w:rPr>
          <w:rFonts w:hint="default" w:ascii="宋体" w:hAnsi="宋体" w:eastAsia="宋体" w:cs="宋体"/>
          <w:color w:val="auto"/>
          <w:szCs w:val="21"/>
          <w:highlight w:val="none"/>
        </w:rPr>
        <w:fldChar w:fldCharType="begin"/>
      </w:r>
      <w:r>
        <w:rPr>
          <w:rFonts w:hint="default" w:ascii="宋体" w:hAnsi="宋体" w:eastAsia="宋体" w:cs="宋体"/>
          <w:color w:val="auto"/>
          <w:szCs w:val="21"/>
          <w:highlight w:val="none"/>
        </w:rPr>
        <w:instrText xml:space="preserve"> HYPERLINK "https://wenwen.sogou.com/s/?w=%E5%B7%A5%E7%A8%8B%E7%AB%A3%E5%B7%A5%E9%AA%8C%E6%94%B6&amp;ch=ww.xqy.chain" \t "https://wenwen.sogou.com/z/_blank" </w:instrText>
      </w:r>
      <w:r>
        <w:rPr>
          <w:rFonts w:hint="default" w:ascii="宋体" w:hAnsi="宋体" w:eastAsia="宋体" w:cs="宋体"/>
          <w:color w:val="auto"/>
          <w:szCs w:val="21"/>
          <w:highlight w:val="none"/>
        </w:rPr>
        <w:fldChar w:fldCharType="separate"/>
      </w:r>
      <w:r>
        <w:rPr>
          <w:rFonts w:hint="default" w:ascii="宋体" w:hAnsi="宋体" w:eastAsia="宋体" w:cs="宋体"/>
          <w:color w:val="auto"/>
          <w:szCs w:val="21"/>
          <w:highlight w:val="none"/>
        </w:rPr>
        <w:t>工程竣工验收</w:t>
      </w:r>
      <w:r>
        <w:rPr>
          <w:rFonts w:hint="default" w:ascii="宋体" w:hAnsi="宋体" w:eastAsia="宋体" w:cs="宋体"/>
          <w:color w:val="auto"/>
          <w:szCs w:val="21"/>
          <w:highlight w:val="none"/>
        </w:rPr>
        <w:fldChar w:fldCharType="end"/>
      </w:r>
      <w:r>
        <w:rPr>
          <w:rFonts w:hint="default" w:ascii="宋体" w:hAnsi="宋体" w:eastAsia="宋体" w:cs="宋体"/>
          <w:color w:val="auto"/>
          <w:szCs w:val="21"/>
          <w:highlight w:val="none"/>
        </w:rPr>
        <w:t>合格之日后</w:t>
      </w:r>
      <w:r>
        <w:rPr>
          <w:rFonts w:hint="eastAsia" w:ascii="宋体" w:hAnsi="宋体" w:eastAsia="宋体" w:cs="宋体"/>
          <w:color w:val="auto"/>
          <w:szCs w:val="21"/>
          <w:highlight w:val="none"/>
        </w:rPr>
        <w:t>10个工作日内</w:t>
      </w:r>
      <w:r>
        <w:rPr>
          <w:rFonts w:hint="eastAsia" w:ascii="宋体" w:hAnsi="宋体" w:eastAsia="宋体" w:cs="宋体"/>
          <w:color w:val="auto"/>
          <w:szCs w:val="21"/>
          <w:highlight w:val="none"/>
          <w:lang w:eastAsia="zh-CN"/>
        </w:rPr>
        <w:t>。</w:t>
      </w:r>
    </w:p>
    <w:p>
      <w:pPr>
        <w:spacing w:line="360" w:lineRule="auto"/>
        <w:outlineLvl w:val="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第</w:t>
      </w:r>
      <w:r>
        <w:rPr>
          <w:rFonts w:hint="eastAsia" w:asciiTheme="minorEastAsia" w:hAnsiTheme="minorEastAsia" w:eastAsiaTheme="minorEastAsia" w:cstheme="minorEastAsia"/>
          <w:b/>
          <w:color w:val="auto"/>
          <w:szCs w:val="21"/>
          <w:highlight w:val="none"/>
          <w:lang w:eastAsia="zh-CN"/>
        </w:rPr>
        <w:t>七</w:t>
      </w:r>
      <w:r>
        <w:rPr>
          <w:rFonts w:hint="eastAsia" w:asciiTheme="minorEastAsia" w:hAnsiTheme="minorEastAsia" w:eastAsiaTheme="minorEastAsia" w:cstheme="minorEastAsia"/>
          <w:b/>
          <w:color w:val="auto"/>
          <w:szCs w:val="21"/>
          <w:highlight w:val="none"/>
        </w:rPr>
        <w:t>条  合同</w:t>
      </w:r>
      <w:r>
        <w:rPr>
          <w:rFonts w:hint="eastAsia" w:asciiTheme="minorEastAsia" w:hAnsiTheme="minorEastAsia" w:eastAsiaTheme="minorEastAsia" w:cstheme="minorEastAsia"/>
          <w:b/>
          <w:color w:val="auto"/>
          <w:szCs w:val="21"/>
          <w:highlight w:val="none"/>
          <w:lang w:eastAsia="zh-CN"/>
        </w:rPr>
        <w:t>付款</w:t>
      </w:r>
      <w:r>
        <w:rPr>
          <w:rFonts w:hint="eastAsia" w:asciiTheme="minorEastAsia" w:hAnsiTheme="minorEastAsia" w:eastAsiaTheme="minorEastAsia" w:cstheme="minorEastAsia"/>
          <w:b/>
          <w:color w:val="auto"/>
          <w:szCs w:val="21"/>
          <w:highlight w:val="none"/>
        </w:rPr>
        <w:t>方式</w:t>
      </w:r>
    </w:p>
    <w:p>
      <w:pPr>
        <w:numPr>
          <w:ilvl w:val="0"/>
          <w:numId w:val="8"/>
        </w:numPr>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付款方式</w:t>
      </w:r>
    </w:p>
    <w:p>
      <w:pPr>
        <w:tabs>
          <w:tab w:val="left" w:pos="1800"/>
          <w:tab w:val="left" w:pos="7740"/>
        </w:tabs>
        <w:spacing w:line="360" w:lineRule="auto"/>
        <w:ind w:left="562" w:right="14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（1）合同签订生效后，甲方支付乙方合同金额30%预付款</w:t>
      </w:r>
    </w:p>
    <w:p>
      <w:pPr>
        <w:tabs>
          <w:tab w:val="left" w:pos="1800"/>
          <w:tab w:val="left" w:pos="7740"/>
        </w:tabs>
        <w:spacing w:line="360" w:lineRule="auto"/>
        <w:ind w:left="562" w:right="14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（2）项目完工并经甲方竣工验收合格，甲方按合同金额向乙方支付至80%的款项；</w:t>
      </w:r>
    </w:p>
    <w:p>
      <w:pPr>
        <w:tabs>
          <w:tab w:val="left" w:pos="1800"/>
          <w:tab w:val="left" w:pos="7740"/>
        </w:tabs>
        <w:spacing w:line="360" w:lineRule="auto"/>
        <w:ind w:left="562" w:right="14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项目完成结算确认手续后10个工作日内，乙方应向甲方提交合同金额的3%作为本项目质保金，质保金应以银行保函的形式提供（该银行保函应由在中国注册且营业地点在广州行政辖区内的银行开具），质保期到期后质保金自动失效。甲方支付至结算金额的100%。</w:t>
      </w:r>
    </w:p>
    <w:p>
      <w:pPr>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第</w:t>
      </w:r>
      <w:r>
        <w:rPr>
          <w:rFonts w:hint="eastAsia" w:asciiTheme="minorEastAsia" w:hAnsiTheme="minorEastAsia" w:eastAsiaTheme="minorEastAsia" w:cstheme="minorEastAsia"/>
          <w:b/>
          <w:color w:val="auto"/>
          <w:szCs w:val="21"/>
          <w:highlight w:val="none"/>
          <w:lang w:eastAsia="zh-CN"/>
        </w:rPr>
        <w:t>八</w:t>
      </w:r>
      <w:r>
        <w:rPr>
          <w:rFonts w:hint="eastAsia" w:asciiTheme="minorEastAsia" w:hAnsiTheme="minorEastAsia" w:eastAsiaTheme="minorEastAsia" w:cstheme="minorEastAsia"/>
          <w:b/>
          <w:color w:val="auto"/>
          <w:szCs w:val="21"/>
          <w:highlight w:val="none"/>
        </w:rPr>
        <w:t>条</w:t>
      </w: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b/>
          <w:color w:val="auto"/>
          <w:szCs w:val="21"/>
          <w:highlight w:val="none"/>
        </w:rPr>
        <w:t xml:space="preserve"> 双方责任</w:t>
      </w:r>
    </w:p>
    <w:p>
      <w:pPr>
        <w:spacing w:line="360" w:lineRule="auto"/>
        <w:ind w:firstLine="422" w:firstLineChars="200"/>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（一）甲方责任：</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1、开工前 2天与乙方共同对施工图进行会审。</w:t>
      </w:r>
    </w:p>
    <w:p>
      <w:pPr>
        <w:spacing w:line="360" w:lineRule="auto"/>
        <w:ind w:left="424" w:leftChars="202" w:firstLine="2"/>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2、为乙方提供有利的施工场地并提供施工用水、用电接驳点，乙方装表单独计量水电费，  用电1.2元/度，用水5元/度。</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3、委派</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为现场管理代表，负责：</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①、监督、检查乙方的工程质量、进度；</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②、负责中途设计图纸的变更、工程量变更等变更事项的书面通知和签证；</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③、工程完工，负责组织甲方相关人员对工程质量进行验收；</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④、负责办理竣工结算及其他工作衔接事宜。 </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4、对乙方在施工过程中“发现甲方设计不完善”而提出的意见，甲方须在收到乙方的书面通知后</w:t>
      </w:r>
      <w:r>
        <w:rPr>
          <w:rFonts w:hint="eastAsia" w:asciiTheme="minorEastAsia" w:hAnsiTheme="minorEastAsia" w:eastAsiaTheme="minorEastAsia" w:cstheme="minorEastAsia"/>
          <w:color w:val="auto"/>
          <w:szCs w:val="21"/>
          <w:highlight w:val="none"/>
          <w:u w:val="single"/>
        </w:rPr>
        <w:t xml:space="preserve"> 1 </w:t>
      </w:r>
      <w:r>
        <w:rPr>
          <w:rFonts w:hint="eastAsia" w:asciiTheme="minorEastAsia" w:hAnsiTheme="minorEastAsia" w:eastAsiaTheme="minorEastAsia" w:cstheme="minorEastAsia"/>
          <w:color w:val="auto"/>
          <w:szCs w:val="21"/>
          <w:highlight w:val="none"/>
        </w:rPr>
        <w:t>天内进行处理。如需变更图纸或变更已施工的工程，甲方应以书面形式通知乙方，如现场临时变更的，须在</w:t>
      </w:r>
      <w:r>
        <w:rPr>
          <w:rFonts w:hint="eastAsia" w:asciiTheme="minorEastAsia" w:hAnsiTheme="minorEastAsia" w:eastAsiaTheme="minorEastAsia" w:cstheme="minorEastAsia"/>
          <w:color w:val="auto"/>
          <w:szCs w:val="21"/>
          <w:highlight w:val="none"/>
          <w:u w:val="single"/>
        </w:rPr>
        <w:t>2</w:t>
      </w:r>
      <w:r>
        <w:rPr>
          <w:rFonts w:hint="eastAsia" w:asciiTheme="minorEastAsia" w:hAnsiTheme="minorEastAsia" w:eastAsiaTheme="minorEastAsia" w:cstheme="minorEastAsia"/>
          <w:color w:val="auto"/>
          <w:szCs w:val="21"/>
          <w:highlight w:val="none"/>
        </w:rPr>
        <w:t>天内补办“书面通知”并签认。</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5、对因甲方原因要求材料变更，或乙方已安装完的工程材料甲方需要变更的，甲方须委派专人对新增加的工程数量及单价给予书面确认，以便竣工结算</w:t>
      </w:r>
      <w:r>
        <w:rPr>
          <w:rFonts w:hint="eastAsia" w:asciiTheme="minorEastAsia" w:hAnsiTheme="minorEastAsia" w:eastAsiaTheme="minorEastAsia" w:cstheme="minorEastAsia"/>
          <w:color w:val="auto"/>
          <w:szCs w:val="21"/>
          <w:highlight w:val="none"/>
          <w:u w:val="single"/>
        </w:rPr>
        <w:t>（由于甲方原因造成误工/停工，由甲方签证推迟竣工日期；客户进场使用视为工程竣工）</w:t>
      </w:r>
      <w:r>
        <w:rPr>
          <w:rFonts w:hint="eastAsia" w:asciiTheme="minorEastAsia" w:hAnsiTheme="minorEastAsia" w:eastAsiaTheme="minorEastAsia" w:cstheme="minorEastAsia"/>
          <w:color w:val="auto"/>
          <w:szCs w:val="21"/>
          <w:highlight w:val="none"/>
        </w:rPr>
        <w:t>。</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6、对因甲方原因导致工程中途停建、缓建或设计错误造成返工的，经有关部门审定后，甲方须负责赔偿由此造成的乙方停工、窝工、返工、倒运、人员和材料积压等损失。</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7、甲方应保证非乙方承包范围但与消防设施检测相关的设施、设备能满足检测要求。</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8、甲方装修施工所需的材料必需是达到消防验收标准的合格产品，应附有相关的合格证和检验报告并按时提交给乙方以便整理竣工资料。</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9、如因甲方原因导致工程中途停建、缓建或无法向乙方提供验收资料办理验收手续的，自乙方发联系函通知之日起60日历天止，甲方无法明确重新开展工作的，应按工程进度给乙方办理结算。</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10、按时向乙方支付进度款，否则，乙方有权利停工并要求甲方按进度款的5‰支付滞纳金，直至甲方付清款项为止。</w:t>
      </w:r>
    </w:p>
    <w:p>
      <w:pPr>
        <w:spacing w:line="360" w:lineRule="auto"/>
        <w:ind w:firstLine="422" w:firstLineChars="200"/>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b/>
          <w:color w:val="auto"/>
          <w:szCs w:val="21"/>
          <w:highlight w:val="none"/>
        </w:rPr>
        <w:t>（二）乙方责任</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1、开工前完成施工图会审，办理开工手续。</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乙方必须接受甲方和监理人员的全面监督，遵守工地规章制度，严格按照施工图纸和国家现行施工、验收规范进行施工，确保质量和工期；乙方自行做好材料、设备的保管和保护工作；已竣工工程未交付甲方之前，乙方负责已完工程的保护工作；在本合同实施过程中，全面负责施工场地的清洁和现场施工管理；施工中因乙方原因造成的停工、返工、成品损坏、安全生产事故等原因造成的一切经济损失和法律责任由乙方承担。</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3、乙方必须服从甲方的管理、指挥；在施工期间，乙方必须采取切实可行的措施确保施工安全，保证原建筑物不受到任何破坏和损伤，属不可抗力的除外。</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4、乙方负责编制施工计划和材料、设备进场计划并送两份给甲方。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5、乙方须按施工安全规范做好施工质量、安全管理，确保物件堆放整齐，道路畅通。</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6、乙方负责施工所需的工具、设备、机械运输，并设置安全施工标志。</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乙方须严格按照施工图与说明书以及施工技术规范和操作规程进行施工，须确保人员、设备设施等各项安全，并接受甲方和质监部门的监督，凡施工期间发生的施工质量、安全事故均由乙方自负，如工程上存在问题，经质监部门确认后，须及时采取纠正措施，否则甲方有权采取措施直至终止合同。</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8、做好施工原始记录，按时向甲方报送进度和完工报表。</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9、工程竣工验收合格后向甲方移交工程相关的资料、附件及备用件，并拆除相关施工和生活设施，验收合格后</w:t>
      </w:r>
      <w:r>
        <w:rPr>
          <w:rFonts w:hint="eastAsia" w:asciiTheme="minorEastAsia" w:hAnsiTheme="minorEastAsia" w:eastAsiaTheme="minorEastAsia" w:cstheme="minorEastAsia"/>
          <w:color w:val="auto"/>
          <w:szCs w:val="21"/>
          <w:highlight w:val="none"/>
          <w:u w:val="single"/>
        </w:rPr>
        <w:t xml:space="preserve"> 2 </w:t>
      </w:r>
      <w:r>
        <w:rPr>
          <w:rFonts w:hint="eastAsia" w:asciiTheme="minorEastAsia" w:hAnsiTheme="minorEastAsia" w:eastAsiaTheme="minorEastAsia" w:cstheme="minorEastAsia"/>
          <w:color w:val="auto"/>
          <w:szCs w:val="21"/>
          <w:highlight w:val="none"/>
        </w:rPr>
        <w:t>天内施工人员撤离施工现场。</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10、施工中如发现设计错误或严重不合理时，应立即以书面通知甲方。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11、工程竣工验收后，施工单位人员、机械及时撤离施工现场。</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12、提供竣工图和竣工资料（含电子文档）一式三份给甲方。</w:t>
      </w:r>
    </w:p>
    <w:p>
      <w:pPr>
        <w:adjustRightInd w:val="0"/>
        <w:spacing w:line="360" w:lineRule="auto"/>
        <w:textAlignment w:val="baseline"/>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第</w:t>
      </w:r>
      <w:r>
        <w:rPr>
          <w:rFonts w:hint="eastAsia" w:asciiTheme="minorEastAsia" w:hAnsiTheme="minorEastAsia" w:eastAsiaTheme="minorEastAsia" w:cstheme="minorEastAsia"/>
          <w:b/>
          <w:color w:val="auto"/>
          <w:szCs w:val="21"/>
          <w:highlight w:val="none"/>
          <w:lang w:eastAsia="zh-CN"/>
        </w:rPr>
        <w:t>九</w:t>
      </w:r>
      <w:r>
        <w:rPr>
          <w:rFonts w:hint="eastAsia" w:asciiTheme="minorEastAsia" w:hAnsiTheme="minorEastAsia" w:eastAsiaTheme="minorEastAsia" w:cstheme="minorEastAsia"/>
          <w:b/>
          <w:color w:val="auto"/>
          <w:szCs w:val="21"/>
          <w:highlight w:val="none"/>
        </w:rPr>
        <w:t xml:space="preserve">条  工程验收 </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1、由甲乙双方根据施工图纸及说明书、图纸会审记录、有关变更的书面文件、国家施工验收规范和质量检验标准为依据进行验收，并达到国家规定的</w:t>
      </w:r>
      <w:r>
        <w:rPr>
          <w:rFonts w:hint="eastAsia" w:asciiTheme="minorEastAsia" w:hAnsiTheme="minorEastAsia" w:eastAsiaTheme="minorEastAsia" w:cstheme="minorEastAsia"/>
          <w:color w:val="auto"/>
          <w:szCs w:val="21"/>
          <w:highlight w:val="none"/>
          <w:u w:val="single"/>
        </w:rPr>
        <w:t xml:space="preserve"> 合格 </w:t>
      </w:r>
      <w:r>
        <w:rPr>
          <w:rFonts w:hint="eastAsia" w:asciiTheme="minorEastAsia" w:hAnsiTheme="minorEastAsia" w:eastAsiaTheme="minorEastAsia" w:cstheme="minorEastAsia"/>
          <w:color w:val="auto"/>
          <w:szCs w:val="21"/>
          <w:highlight w:val="none"/>
        </w:rPr>
        <w:t>标准。</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2、隐蔽工程在乙方自检后填制记录表，待甲方检查，甲方接通知后</w:t>
      </w:r>
      <w:r>
        <w:rPr>
          <w:rFonts w:hint="eastAsia" w:asciiTheme="minorEastAsia" w:hAnsiTheme="minorEastAsia" w:eastAsiaTheme="minorEastAsia" w:cstheme="minorEastAsia"/>
          <w:color w:val="auto"/>
          <w:szCs w:val="21"/>
          <w:highlight w:val="none"/>
          <w:u w:val="single"/>
        </w:rPr>
        <w:t>2</w:t>
      </w:r>
      <w:r>
        <w:rPr>
          <w:rFonts w:hint="eastAsia" w:asciiTheme="minorEastAsia" w:hAnsiTheme="minorEastAsia" w:eastAsiaTheme="minorEastAsia" w:cstheme="minorEastAsia"/>
          <w:color w:val="auto"/>
          <w:szCs w:val="21"/>
          <w:highlight w:val="none"/>
        </w:rPr>
        <w:t>天内到场验收，经检验合格由双方签字确认进行下一工序的施工，如甲方不按时验收，乙方自检确认合格后可隐蔽，甲方应予以承认；若事后甲方提出复查，相关费用由甲方承担；复查结果不合格，返修费由乙方承担，工期顺延。</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3、工程竣工前</w:t>
      </w:r>
      <w:r>
        <w:rPr>
          <w:rFonts w:hint="eastAsia" w:asciiTheme="minorEastAsia" w:hAnsiTheme="minorEastAsia" w:eastAsiaTheme="minorEastAsia" w:cstheme="minorEastAsia"/>
          <w:color w:val="auto"/>
          <w:szCs w:val="21"/>
          <w:highlight w:val="none"/>
          <w:u w:val="single"/>
        </w:rPr>
        <w:t>5</w:t>
      </w:r>
      <w:r>
        <w:rPr>
          <w:rFonts w:hint="eastAsia" w:asciiTheme="minorEastAsia" w:hAnsiTheme="minorEastAsia" w:eastAsiaTheme="minorEastAsia" w:cstheme="minorEastAsia"/>
          <w:color w:val="auto"/>
          <w:szCs w:val="21"/>
          <w:highlight w:val="none"/>
        </w:rPr>
        <w:t>天，由乙方通知甲方组织有关人员验收，甲方应在接通知</w:t>
      </w:r>
      <w:r>
        <w:rPr>
          <w:rFonts w:hint="eastAsia" w:asciiTheme="minorEastAsia" w:hAnsiTheme="minorEastAsia" w:eastAsiaTheme="minorEastAsia" w:cstheme="minorEastAsia"/>
          <w:color w:val="auto"/>
          <w:szCs w:val="21"/>
          <w:highlight w:val="none"/>
          <w:u w:val="single"/>
        </w:rPr>
        <w:t>5</w:t>
      </w:r>
      <w:r>
        <w:rPr>
          <w:rFonts w:hint="eastAsia" w:asciiTheme="minorEastAsia" w:hAnsiTheme="minorEastAsia" w:eastAsiaTheme="minorEastAsia" w:cstheme="minorEastAsia"/>
          <w:color w:val="auto"/>
          <w:szCs w:val="21"/>
          <w:highlight w:val="none"/>
        </w:rPr>
        <w:t>天内验收完毕；工程内容及质量符合要求的，双方签字确认，同时乙方将全部图纸资料交给甲方；如质量不合格，乙方在限期内返修后进行验收，直至合格，由此发生的费用由乙方承担；验收合格日为竣工日期，工程未经验收，甲方提前使用或擅自动用，视为合格，由此发生的质量或其他问题由甲方负责。</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第</w:t>
      </w:r>
      <w:r>
        <w:rPr>
          <w:rFonts w:hint="eastAsia" w:asciiTheme="minorEastAsia" w:hAnsiTheme="minorEastAsia" w:eastAsiaTheme="minorEastAsia" w:cstheme="minorEastAsia"/>
          <w:b/>
          <w:color w:val="auto"/>
          <w:szCs w:val="21"/>
          <w:highlight w:val="none"/>
          <w:lang w:eastAsia="zh-CN"/>
        </w:rPr>
        <w:t>十</w:t>
      </w:r>
      <w:r>
        <w:rPr>
          <w:rFonts w:hint="eastAsia" w:asciiTheme="minorEastAsia" w:hAnsiTheme="minorEastAsia" w:eastAsiaTheme="minorEastAsia" w:cstheme="minorEastAsia"/>
          <w:b/>
          <w:color w:val="auto"/>
          <w:szCs w:val="21"/>
          <w:highlight w:val="none"/>
        </w:rPr>
        <w:t>条  违约责任</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（一）合同签订后，任何一方终止合同的按工程总造价的</w:t>
      </w:r>
      <w:r>
        <w:rPr>
          <w:rFonts w:hint="eastAsia" w:asciiTheme="minorEastAsia" w:hAnsiTheme="minorEastAsia" w:eastAsiaTheme="minorEastAsia" w:cstheme="minorEastAsia"/>
          <w:color w:val="auto"/>
          <w:szCs w:val="21"/>
          <w:highlight w:val="none"/>
          <w:u w:val="single"/>
        </w:rPr>
        <w:t xml:space="preserve"> 3 </w:t>
      </w:r>
      <w:r>
        <w:rPr>
          <w:rFonts w:hint="eastAsia" w:asciiTheme="minorEastAsia" w:hAnsiTheme="minorEastAsia" w:eastAsiaTheme="minorEastAsia" w:cstheme="minorEastAsia"/>
          <w:color w:val="auto"/>
          <w:szCs w:val="21"/>
          <w:highlight w:val="none"/>
        </w:rPr>
        <w:t>%向对方偿付违约金。</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（二）甲方未能履行合同，出现以下情形的，其损失由甲方承担，工期顺延：</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1、不按期提供施工场地、材料、设备，水、电源接驳点；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2、图纸变更未能及时送达乙方；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3、不按期支付工程款（含进度款）；</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4、因设计变更，使已完成的工程拆改；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5、逾期验收；</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6、因其他甲方原因造成的情况。</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（三）甲方不按期支付工程款或逾期验收，从逾期次日起，按拖欠数额，依照银行有关延期付款规定向乙方偿付违约金，同时，乙方有权停止施工，直至结清款项。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（四）因乙方原因任造成的停工、返工、材料、器材损失均由乙方承担。</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（五）因乙方原因逾期竣工的，从逾期次日起，每逾期一天，按</w:t>
      </w:r>
      <w:r>
        <w:rPr>
          <w:rFonts w:hint="eastAsia" w:asciiTheme="minorEastAsia" w:hAnsiTheme="minorEastAsia" w:eastAsiaTheme="minorEastAsia" w:cstheme="minorEastAsia"/>
          <w:color w:val="auto"/>
          <w:szCs w:val="21"/>
          <w:highlight w:val="none"/>
          <w:u w:val="single"/>
        </w:rPr>
        <w:t xml:space="preserve"> /  </w:t>
      </w:r>
      <w:r>
        <w:rPr>
          <w:rFonts w:hint="eastAsia" w:asciiTheme="minorEastAsia" w:hAnsiTheme="minorEastAsia" w:eastAsiaTheme="minorEastAsia" w:cstheme="minorEastAsia"/>
          <w:color w:val="auto"/>
          <w:szCs w:val="21"/>
          <w:highlight w:val="none"/>
        </w:rPr>
        <w:t>向甲方偿付违约金。</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（六）遇不可抗力的损失，报有关部门裁定。</w:t>
      </w:r>
    </w:p>
    <w:p>
      <w:pPr>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第十</w:t>
      </w:r>
      <w:r>
        <w:rPr>
          <w:rFonts w:hint="eastAsia" w:asciiTheme="minorEastAsia" w:hAnsiTheme="minorEastAsia" w:eastAsiaTheme="minorEastAsia" w:cstheme="minorEastAsia"/>
          <w:b/>
          <w:color w:val="auto"/>
          <w:szCs w:val="21"/>
          <w:highlight w:val="none"/>
          <w:lang w:eastAsia="zh-CN"/>
        </w:rPr>
        <w:t>一</w:t>
      </w:r>
      <w:r>
        <w:rPr>
          <w:rFonts w:hint="eastAsia" w:asciiTheme="minorEastAsia" w:hAnsiTheme="minorEastAsia" w:eastAsiaTheme="minorEastAsia" w:cstheme="minorEastAsia"/>
          <w:b/>
          <w:color w:val="auto"/>
          <w:szCs w:val="21"/>
          <w:highlight w:val="none"/>
        </w:rPr>
        <w:t xml:space="preserve">条    争议解决方式  </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合作过程中发生纠纷的，甲乙双方协商或调解解决；协商或协调不成的，可向广州市有管辖权的人民法院提起诉讼解决。</w:t>
      </w:r>
    </w:p>
    <w:p>
      <w:pPr>
        <w:spacing w:line="360" w:lineRule="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第十</w:t>
      </w:r>
      <w:r>
        <w:rPr>
          <w:rFonts w:hint="eastAsia" w:asciiTheme="minorEastAsia" w:hAnsiTheme="minorEastAsia" w:eastAsiaTheme="minorEastAsia" w:cstheme="minorEastAsia"/>
          <w:b/>
          <w:color w:val="auto"/>
          <w:szCs w:val="21"/>
          <w:highlight w:val="none"/>
          <w:lang w:eastAsia="zh-CN"/>
        </w:rPr>
        <w:t>二</w:t>
      </w:r>
      <w:r>
        <w:rPr>
          <w:rFonts w:hint="eastAsia" w:asciiTheme="minorEastAsia" w:hAnsiTheme="minorEastAsia" w:eastAsiaTheme="minorEastAsia" w:cstheme="minorEastAsia"/>
          <w:b/>
          <w:color w:val="auto"/>
          <w:szCs w:val="21"/>
          <w:highlight w:val="none"/>
        </w:rPr>
        <w:t>条   其他约定条款</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（一）施工过程中，如甲方要求提前竣工，由双方另行签订协议。</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（二）双方签字确认的与本工程相关的：工程质量保修书、施工图纸及说明书、图纸会审记录、有关变更的书面文件等资料均属于本合同的附件，与本合同具有同等法律效力。</w:t>
      </w:r>
    </w:p>
    <w:p>
      <w:pPr>
        <w:autoSpaceDE w:val="0"/>
        <w:autoSpaceDN w:val="0"/>
        <w:adjustRightInd w:val="0"/>
        <w:spacing w:line="360" w:lineRule="auto"/>
        <w:ind w:left="101" w:leftChars="48" w:firstLine="315" w:firstLineChars="15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（三）其他未尽事宜，经甲乙双方协商一致，以附件的方式双方另行签订补充协议，补充协议与本合同具有同等法律效力。</w:t>
      </w:r>
      <w:bookmarkStart w:id="284" w:name="_Toc286907073"/>
      <w:bookmarkStart w:id="285" w:name="_Toc286948114"/>
    </w:p>
    <w:p>
      <w:pPr>
        <w:autoSpaceDE w:val="0"/>
        <w:autoSpaceDN w:val="0"/>
        <w:adjustRightInd w:val="0"/>
        <w:spacing w:line="360" w:lineRule="auto"/>
        <w:ind w:left="101"/>
        <w:jc w:val="left"/>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八、乙方承诺</w:t>
      </w:r>
      <w:bookmarkEnd w:id="284"/>
      <w:bookmarkEnd w:id="285"/>
    </w:p>
    <w:p>
      <w:pPr>
        <w:autoSpaceDE w:val="0"/>
        <w:autoSpaceDN w:val="0"/>
        <w:adjustRightInd w:val="0"/>
        <w:spacing w:line="360" w:lineRule="auto"/>
        <w:ind w:left="101" w:right="184" w:firstLine="48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（四）乙方向甲方承诺已阅读、理解并接受本合同所有条款，按照本合同约定实施、完成并 保修合同工程，履行本合同所约定的全部义务。</w:t>
      </w:r>
    </w:p>
    <w:p>
      <w:pPr>
        <w:autoSpaceDE w:val="0"/>
        <w:autoSpaceDN w:val="0"/>
        <w:adjustRightInd w:val="0"/>
        <w:spacing w:line="360" w:lineRule="auto"/>
        <w:ind w:left="101" w:right="184" w:firstLine="48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（五）甲方向乙方承诺已阅读、理解并接受本合同所有条款，按照本合同约定的时限和方法 支付工程款及其他应当支付的款项，履行本合同所约定的全部义务。</w:t>
      </w:r>
    </w:p>
    <w:p>
      <w:pPr>
        <w:spacing w:line="360" w:lineRule="auto"/>
        <w:ind w:firstLine="420" w:firstLineChars="200"/>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（六）本合同壹式伍份，双方各执贰份，招标代理机构壹份，经双方签字盖章后生效。</w:t>
      </w:r>
    </w:p>
    <w:p>
      <w:pPr>
        <w:spacing w:line="360" w:lineRule="auto"/>
        <w:ind w:firstLine="422" w:firstLineChars="200"/>
        <w:rPr>
          <w:color w:val="auto"/>
          <w:highlight w:val="none"/>
        </w:rPr>
      </w:pPr>
      <w:r>
        <w:rPr>
          <w:rFonts w:hint="eastAsia" w:asciiTheme="minorEastAsia" w:hAnsiTheme="minorEastAsia" w:eastAsiaTheme="minorEastAsia" w:cstheme="minorEastAsia"/>
          <w:b/>
          <w:color w:val="auto"/>
          <w:szCs w:val="21"/>
          <w:highlight w:val="none"/>
        </w:rPr>
        <w:t>（以下无正文）</w:t>
      </w: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319"/>
        <w:gridCol w:w="1172"/>
        <w:gridCol w:w="693"/>
        <w:gridCol w:w="1285"/>
        <w:gridCol w:w="1392"/>
        <w:gridCol w:w="1366"/>
        <w:gridCol w:w="618"/>
        <w:gridCol w:w="15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top w:val="single" w:color="auto" w:sz="12" w:space="0"/>
              <w:left w:val="single" w:color="auto" w:sz="12" w:space="0"/>
              <w:right w:val="nil"/>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甲方（章）</w:t>
            </w:r>
          </w:p>
        </w:tc>
        <w:tc>
          <w:tcPr>
            <w:tcW w:w="3150" w:type="dxa"/>
            <w:gridSpan w:val="3"/>
            <w:tcBorders>
              <w:top w:val="single" w:color="auto" w:sz="12" w:space="0"/>
              <w:right w:val="nil"/>
            </w:tcBorders>
          </w:tcPr>
          <w:p>
            <w:pPr>
              <w:spacing w:line="480" w:lineRule="auto"/>
              <w:jc w:val="center"/>
              <w:rPr>
                <w:rFonts w:asciiTheme="minorEastAsia" w:hAnsiTheme="minorEastAsia" w:eastAsiaTheme="minorEastAsia" w:cstheme="minorEastAsia"/>
                <w:color w:val="auto"/>
                <w:szCs w:val="21"/>
                <w:highlight w:val="none"/>
              </w:rPr>
            </w:pPr>
          </w:p>
        </w:tc>
        <w:tc>
          <w:tcPr>
            <w:tcW w:w="1392" w:type="dxa"/>
            <w:tcBorders>
              <w:top w:val="single" w:color="auto" w:sz="12" w:space="0"/>
              <w:right w:val="nil"/>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 方（章）</w:t>
            </w:r>
          </w:p>
        </w:tc>
        <w:tc>
          <w:tcPr>
            <w:tcW w:w="3544" w:type="dxa"/>
            <w:gridSpan w:val="3"/>
            <w:tcBorders>
              <w:top w:val="single" w:color="auto" w:sz="12" w:space="0"/>
              <w:right w:val="single" w:color="auto" w:sz="12" w:space="0"/>
            </w:tcBorders>
            <w:vAlign w:val="center"/>
          </w:tcPr>
          <w:p>
            <w:pPr>
              <w:spacing w:line="480" w:lineRule="auto"/>
              <w:jc w:val="center"/>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tcBorders>
            <w:vAlign w:val="center"/>
          </w:tcPr>
          <w:p>
            <w:pPr>
              <w:spacing w:line="72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w:t>
            </w:r>
          </w:p>
        </w:tc>
        <w:tc>
          <w:tcPr>
            <w:tcW w:w="3150" w:type="dxa"/>
            <w:gridSpan w:val="3"/>
            <w:tcBorders>
              <w:top w:val="nil"/>
              <w:bottom w:val="nil"/>
            </w:tcBorders>
            <w:vAlign w:val="center"/>
          </w:tcPr>
          <w:p>
            <w:pPr>
              <w:spacing w:line="720" w:lineRule="auto"/>
              <w:rPr>
                <w:rFonts w:asciiTheme="minorEastAsia" w:hAnsiTheme="minorEastAsia" w:eastAsiaTheme="minorEastAsia" w:cstheme="minorEastAsia"/>
                <w:color w:val="auto"/>
                <w:szCs w:val="21"/>
                <w:highlight w:val="none"/>
              </w:rPr>
            </w:pPr>
          </w:p>
        </w:tc>
        <w:tc>
          <w:tcPr>
            <w:tcW w:w="1392" w:type="dxa"/>
            <w:tcBorders>
              <w:right w:val="single" w:color="auto" w:sz="4" w:space="0"/>
            </w:tcBorders>
            <w:vAlign w:val="center"/>
          </w:tcPr>
          <w:p>
            <w:pPr>
              <w:spacing w:line="72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w:t>
            </w:r>
          </w:p>
        </w:tc>
        <w:tc>
          <w:tcPr>
            <w:tcW w:w="3544" w:type="dxa"/>
            <w:gridSpan w:val="3"/>
            <w:tcBorders>
              <w:top w:val="nil"/>
              <w:left w:val="single" w:color="auto" w:sz="4" w:space="0"/>
              <w:bottom w:val="nil"/>
              <w:right w:val="single" w:color="auto" w:sz="12" w:space="0"/>
            </w:tcBorders>
            <w:vAlign w:val="center"/>
          </w:tcPr>
          <w:p>
            <w:pPr>
              <w:spacing w:line="720" w:lineRule="auto"/>
              <w:jc w:val="center"/>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right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纳税人类别</w:t>
            </w:r>
          </w:p>
        </w:tc>
        <w:tc>
          <w:tcPr>
            <w:tcW w:w="3150" w:type="dxa"/>
            <w:gridSpan w:val="3"/>
            <w:tcBorders>
              <w:right w:val="nil"/>
            </w:tcBorders>
          </w:tcPr>
          <w:p>
            <w:pPr>
              <w:spacing w:line="480" w:lineRule="auto"/>
              <w:jc w:val="center"/>
              <w:rPr>
                <w:rFonts w:asciiTheme="minorEastAsia" w:hAnsiTheme="minorEastAsia" w:eastAsiaTheme="minorEastAsia" w:cstheme="minorEastAsia"/>
                <w:color w:val="auto"/>
                <w:szCs w:val="21"/>
                <w:highlight w:val="none"/>
              </w:rPr>
            </w:pPr>
          </w:p>
        </w:tc>
        <w:tc>
          <w:tcPr>
            <w:tcW w:w="1392" w:type="dxa"/>
            <w:tcBorders>
              <w:right w:val="single" w:color="auto" w:sz="4"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纳税人类别</w:t>
            </w:r>
          </w:p>
        </w:tc>
        <w:tc>
          <w:tcPr>
            <w:tcW w:w="3544" w:type="dxa"/>
            <w:gridSpan w:val="3"/>
            <w:tcBorders>
              <w:left w:val="single" w:color="auto" w:sz="4" w:space="0"/>
              <w:right w:val="single" w:color="auto" w:sz="12"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right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纳税人</w:t>
            </w:r>
          </w:p>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识别号</w:t>
            </w:r>
          </w:p>
        </w:tc>
        <w:tc>
          <w:tcPr>
            <w:tcW w:w="3150" w:type="dxa"/>
            <w:gridSpan w:val="3"/>
            <w:tcBorders>
              <w:right w:val="nil"/>
            </w:tcBorders>
          </w:tcPr>
          <w:p>
            <w:pPr>
              <w:spacing w:line="480" w:lineRule="auto"/>
              <w:jc w:val="center"/>
              <w:rPr>
                <w:rFonts w:asciiTheme="minorEastAsia" w:hAnsiTheme="minorEastAsia" w:eastAsiaTheme="minorEastAsia" w:cstheme="minorEastAsia"/>
                <w:color w:val="auto"/>
                <w:szCs w:val="21"/>
                <w:highlight w:val="none"/>
              </w:rPr>
            </w:pPr>
          </w:p>
        </w:tc>
        <w:tc>
          <w:tcPr>
            <w:tcW w:w="1392" w:type="dxa"/>
            <w:tcBorders>
              <w:right w:val="single" w:color="auto" w:sz="4"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纳税人</w:t>
            </w:r>
          </w:p>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识别号</w:t>
            </w:r>
          </w:p>
        </w:tc>
        <w:tc>
          <w:tcPr>
            <w:tcW w:w="3544" w:type="dxa"/>
            <w:gridSpan w:val="3"/>
            <w:tcBorders>
              <w:left w:val="single" w:color="auto" w:sz="4" w:space="0"/>
              <w:right w:val="single" w:color="auto" w:sz="12"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right w:val="nil"/>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开户行</w:t>
            </w:r>
          </w:p>
        </w:tc>
        <w:tc>
          <w:tcPr>
            <w:tcW w:w="3150" w:type="dxa"/>
            <w:gridSpan w:val="3"/>
            <w:tcBorders>
              <w:right w:val="nil"/>
            </w:tcBorders>
          </w:tcPr>
          <w:p>
            <w:pPr>
              <w:spacing w:line="480" w:lineRule="auto"/>
              <w:jc w:val="center"/>
              <w:rPr>
                <w:rFonts w:asciiTheme="minorEastAsia" w:hAnsiTheme="minorEastAsia" w:eastAsiaTheme="minorEastAsia" w:cstheme="minorEastAsia"/>
                <w:color w:val="auto"/>
                <w:szCs w:val="21"/>
                <w:highlight w:val="none"/>
              </w:rPr>
            </w:pPr>
          </w:p>
        </w:tc>
        <w:tc>
          <w:tcPr>
            <w:tcW w:w="1392" w:type="dxa"/>
            <w:tcBorders>
              <w:right w:val="single" w:color="auto" w:sz="4" w:space="0"/>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开户行</w:t>
            </w:r>
          </w:p>
        </w:tc>
        <w:tc>
          <w:tcPr>
            <w:tcW w:w="3544" w:type="dxa"/>
            <w:gridSpan w:val="3"/>
            <w:tcBorders>
              <w:left w:val="single" w:color="auto" w:sz="4" w:space="0"/>
              <w:right w:val="single" w:color="auto" w:sz="12"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right w:val="nil"/>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账号</w:t>
            </w:r>
          </w:p>
        </w:tc>
        <w:tc>
          <w:tcPr>
            <w:tcW w:w="3150" w:type="dxa"/>
            <w:gridSpan w:val="3"/>
            <w:tcBorders>
              <w:right w:val="nil"/>
            </w:tcBorders>
          </w:tcPr>
          <w:p>
            <w:pPr>
              <w:spacing w:line="480" w:lineRule="auto"/>
              <w:jc w:val="center"/>
              <w:rPr>
                <w:rFonts w:asciiTheme="minorEastAsia" w:hAnsiTheme="minorEastAsia" w:eastAsiaTheme="minorEastAsia" w:cstheme="minorEastAsia"/>
                <w:color w:val="auto"/>
                <w:szCs w:val="21"/>
                <w:highlight w:val="none"/>
              </w:rPr>
            </w:pPr>
          </w:p>
        </w:tc>
        <w:tc>
          <w:tcPr>
            <w:tcW w:w="1392" w:type="dxa"/>
            <w:tcBorders>
              <w:right w:val="single" w:color="auto" w:sz="4" w:space="0"/>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账号</w:t>
            </w:r>
          </w:p>
        </w:tc>
        <w:tc>
          <w:tcPr>
            <w:tcW w:w="3544" w:type="dxa"/>
            <w:gridSpan w:val="3"/>
            <w:tcBorders>
              <w:left w:val="single" w:color="auto" w:sz="4" w:space="0"/>
              <w:right w:val="single" w:color="auto" w:sz="12"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right w:val="nil"/>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 址</w:t>
            </w:r>
          </w:p>
        </w:tc>
        <w:tc>
          <w:tcPr>
            <w:tcW w:w="3150" w:type="dxa"/>
            <w:gridSpan w:val="3"/>
            <w:tcBorders>
              <w:right w:val="nil"/>
            </w:tcBorders>
          </w:tcPr>
          <w:p>
            <w:pPr>
              <w:spacing w:line="480" w:lineRule="auto"/>
              <w:jc w:val="center"/>
              <w:rPr>
                <w:rFonts w:asciiTheme="minorEastAsia" w:hAnsiTheme="minorEastAsia" w:eastAsiaTheme="minorEastAsia" w:cstheme="minorEastAsia"/>
                <w:color w:val="auto"/>
                <w:szCs w:val="21"/>
                <w:highlight w:val="none"/>
              </w:rPr>
            </w:pPr>
          </w:p>
        </w:tc>
        <w:tc>
          <w:tcPr>
            <w:tcW w:w="1392" w:type="dxa"/>
            <w:tcBorders>
              <w:right w:val="single" w:color="auto" w:sz="4" w:space="0"/>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 址</w:t>
            </w:r>
          </w:p>
        </w:tc>
        <w:tc>
          <w:tcPr>
            <w:tcW w:w="3544" w:type="dxa"/>
            <w:gridSpan w:val="3"/>
            <w:tcBorders>
              <w:left w:val="single" w:color="auto" w:sz="4" w:space="0"/>
              <w:right w:val="single" w:color="auto" w:sz="12" w:space="0"/>
            </w:tcBorders>
            <w:vAlign w:val="center"/>
          </w:tcPr>
          <w:p>
            <w:pPr>
              <w:spacing w:line="480" w:lineRule="auto"/>
              <w:jc w:val="left"/>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  话</w:t>
            </w:r>
          </w:p>
        </w:tc>
        <w:tc>
          <w:tcPr>
            <w:tcW w:w="1172" w:type="dxa"/>
            <w:tcBorders>
              <w:top w:val="nil"/>
            </w:tcBorders>
            <w:vAlign w:val="center"/>
          </w:tcPr>
          <w:p>
            <w:pPr>
              <w:spacing w:line="480" w:lineRule="auto"/>
              <w:rPr>
                <w:rFonts w:asciiTheme="minorEastAsia" w:hAnsiTheme="minorEastAsia" w:eastAsiaTheme="minorEastAsia" w:cstheme="minorEastAsia"/>
                <w:color w:val="auto"/>
                <w:szCs w:val="21"/>
                <w:highlight w:val="none"/>
              </w:rPr>
            </w:pPr>
          </w:p>
        </w:tc>
        <w:tc>
          <w:tcPr>
            <w:tcW w:w="693" w:type="dxa"/>
            <w:tcBorders>
              <w:top w:val="nil"/>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传真</w:t>
            </w:r>
          </w:p>
        </w:tc>
        <w:tc>
          <w:tcPr>
            <w:tcW w:w="1285" w:type="dxa"/>
            <w:tcBorders>
              <w:top w:val="nil"/>
            </w:tcBorders>
            <w:vAlign w:val="center"/>
          </w:tcPr>
          <w:p>
            <w:pPr>
              <w:spacing w:line="480" w:lineRule="auto"/>
              <w:jc w:val="center"/>
              <w:rPr>
                <w:rFonts w:asciiTheme="minorEastAsia" w:hAnsiTheme="minorEastAsia" w:eastAsiaTheme="minorEastAsia" w:cstheme="minorEastAsia"/>
                <w:color w:val="auto"/>
                <w:szCs w:val="21"/>
                <w:highlight w:val="none"/>
              </w:rPr>
            </w:pPr>
          </w:p>
        </w:tc>
        <w:tc>
          <w:tcPr>
            <w:tcW w:w="1392" w:type="dxa"/>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 话</w:t>
            </w:r>
          </w:p>
        </w:tc>
        <w:tc>
          <w:tcPr>
            <w:tcW w:w="1366" w:type="dxa"/>
            <w:tcBorders>
              <w:top w:val="nil"/>
            </w:tcBorders>
            <w:vAlign w:val="center"/>
          </w:tcPr>
          <w:p>
            <w:pPr>
              <w:spacing w:line="480" w:lineRule="auto"/>
              <w:jc w:val="center"/>
              <w:rPr>
                <w:rFonts w:asciiTheme="minorEastAsia" w:hAnsiTheme="minorEastAsia" w:eastAsiaTheme="minorEastAsia" w:cstheme="minorEastAsia"/>
                <w:color w:val="auto"/>
                <w:szCs w:val="21"/>
                <w:highlight w:val="none"/>
              </w:rPr>
            </w:pPr>
          </w:p>
        </w:tc>
        <w:tc>
          <w:tcPr>
            <w:tcW w:w="618" w:type="dxa"/>
            <w:tcBorders>
              <w:top w:val="nil"/>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传真</w:t>
            </w:r>
          </w:p>
        </w:tc>
        <w:tc>
          <w:tcPr>
            <w:tcW w:w="1560" w:type="dxa"/>
            <w:tcBorders>
              <w:top w:val="nil"/>
              <w:right w:val="single" w:color="auto" w:sz="12" w:space="0"/>
            </w:tcBorders>
            <w:vAlign w:val="center"/>
          </w:tcPr>
          <w:p>
            <w:pPr>
              <w:spacing w:line="480" w:lineRule="auto"/>
              <w:jc w:val="center"/>
              <w:rPr>
                <w:rFonts w:asciiTheme="minorEastAsia" w:hAnsiTheme="minorEastAsia" w:eastAsiaTheme="minorEastAsia" w:cstheme="minorEastAsia"/>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right w:val="single" w:color="auto" w:sz="4" w:space="0"/>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签约日期</w:t>
            </w:r>
          </w:p>
        </w:tc>
        <w:tc>
          <w:tcPr>
            <w:tcW w:w="3150" w:type="dxa"/>
            <w:gridSpan w:val="3"/>
            <w:tcBorders>
              <w:left w:val="single" w:color="auto" w:sz="4" w:space="0"/>
              <w:right w:val="nil"/>
            </w:tcBorders>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20  年   月   日</w:t>
            </w:r>
          </w:p>
        </w:tc>
        <w:tc>
          <w:tcPr>
            <w:tcW w:w="1392" w:type="dxa"/>
            <w:tcBorders>
              <w:right w:val="single" w:color="auto" w:sz="4" w:space="0"/>
            </w:tcBorders>
            <w:vAlign w:val="center"/>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签约日期</w:t>
            </w:r>
          </w:p>
        </w:tc>
        <w:tc>
          <w:tcPr>
            <w:tcW w:w="3544" w:type="dxa"/>
            <w:gridSpan w:val="3"/>
            <w:tcBorders>
              <w:left w:val="single" w:color="auto" w:sz="4" w:space="0"/>
              <w:right w:val="single" w:color="auto" w:sz="12" w:space="0"/>
            </w:tcBorders>
          </w:tcPr>
          <w:p>
            <w:pPr>
              <w:spacing w:line="48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20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19" w:type="dxa"/>
            <w:tcBorders>
              <w:left w:val="single" w:color="auto" w:sz="12" w:space="0"/>
              <w:bottom w:val="single" w:color="auto" w:sz="12" w:space="0"/>
              <w:right w:val="single" w:color="auto" w:sz="4" w:space="0"/>
            </w:tcBorders>
            <w:vAlign w:val="center"/>
          </w:tcPr>
          <w:p>
            <w:pPr>
              <w:spacing w:line="480" w:lineRule="auto"/>
              <w:jc w:val="center"/>
              <w:rPr>
                <w:rFonts w:asciiTheme="minorEastAsia" w:hAnsiTheme="minorEastAsia" w:eastAsiaTheme="minorEastAsia" w:cstheme="minorEastAsia"/>
                <w:color w:val="auto"/>
                <w:szCs w:val="21"/>
                <w:highlight w:val="none"/>
              </w:rPr>
            </w:pPr>
          </w:p>
        </w:tc>
        <w:tc>
          <w:tcPr>
            <w:tcW w:w="3150" w:type="dxa"/>
            <w:gridSpan w:val="3"/>
            <w:tcBorders>
              <w:left w:val="single" w:color="auto" w:sz="4" w:space="0"/>
              <w:bottom w:val="single" w:color="auto" w:sz="12" w:space="0"/>
              <w:right w:val="nil"/>
            </w:tcBorders>
          </w:tcPr>
          <w:p>
            <w:pPr>
              <w:spacing w:line="480" w:lineRule="auto"/>
              <w:jc w:val="center"/>
              <w:rPr>
                <w:rFonts w:asciiTheme="minorEastAsia" w:hAnsiTheme="minorEastAsia" w:eastAsiaTheme="minorEastAsia" w:cstheme="minorEastAsia"/>
                <w:color w:val="auto"/>
                <w:szCs w:val="21"/>
                <w:highlight w:val="none"/>
              </w:rPr>
            </w:pPr>
          </w:p>
        </w:tc>
        <w:tc>
          <w:tcPr>
            <w:tcW w:w="1392" w:type="dxa"/>
            <w:tcBorders>
              <w:bottom w:val="single" w:color="auto" w:sz="12" w:space="0"/>
              <w:right w:val="single" w:color="auto" w:sz="4" w:space="0"/>
            </w:tcBorders>
            <w:vAlign w:val="center"/>
          </w:tcPr>
          <w:p>
            <w:pPr>
              <w:spacing w:line="480" w:lineRule="auto"/>
              <w:jc w:val="center"/>
              <w:rPr>
                <w:rFonts w:asciiTheme="minorEastAsia" w:hAnsiTheme="minorEastAsia" w:eastAsiaTheme="minorEastAsia" w:cstheme="minorEastAsia"/>
                <w:color w:val="auto"/>
                <w:szCs w:val="21"/>
                <w:highlight w:val="none"/>
              </w:rPr>
            </w:pPr>
          </w:p>
        </w:tc>
        <w:tc>
          <w:tcPr>
            <w:tcW w:w="3544" w:type="dxa"/>
            <w:gridSpan w:val="3"/>
            <w:tcBorders>
              <w:left w:val="single" w:color="auto" w:sz="4" w:space="0"/>
              <w:bottom w:val="single" w:color="auto" w:sz="12" w:space="0"/>
              <w:right w:val="single" w:color="auto" w:sz="12" w:space="0"/>
            </w:tcBorders>
          </w:tcPr>
          <w:p>
            <w:pPr>
              <w:spacing w:line="480" w:lineRule="auto"/>
              <w:jc w:val="center"/>
              <w:rPr>
                <w:rFonts w:asciiTheme="minorEastAsia" w:hAnsiTheme="minorEastAsia" w:eastAsiaTheme="minorEastAsia" w:cstheme="minorEastAsia"/>
                <w:color w:val="auto"/>
                <w:szCs w:val="21"/>
                <w:highlight w:val="none"/>
              </w:rPr>
            </w:pPr>
          </w:p>
        </w:tc>
      </w:tr>
    </w:tbl>
    <w:p>
      <w:pPr>
        <w:spacing w:line="360" w:lineRule="auto"/>
        <w:rPr>
          <w:rFonts w:asciiTheme="minorEastAsia" w:hAnsiTheme="minorEastAsia" w:eastAsiaTheme="minorEastAsia" w:cstheme="minorEastAsia"/>
          <w:b/>
          <w:color w:val="auto"/>
          <w:szCs w:val="21"/>
          <w:highlight w:val="none"/>
        </w:rPr>
      </w:pPr>
    </w:p>
    <w:p>
      <w:pPr>
        <w:spacing w:line="360" w:lineRule="auto"/>
        <w:ind w:firstLine="420" w:firstLineChars="200"/>
        <w:jc w:val="left"/>
        <w:rPr>
          <w:rFonts w:asciiTheme="minorEastAsia" w:hAnsiTheme="minorEastAsia" w:eastAsiaTheme="minorEastAsia" w:cstheme="minorEastAsia"/>
          <w:color w:val="auto"/>
          <w:szCs w:val="21"/>
          <w:highlight w:val="none"/>
        </w:rPr>
      </w:pPr>
    </w:p>
    <w:p>
      <w:pPr>
        <w:spacing w:line="360" w:lineRule="auto"/>
        <w:ind w:firstLine="420" w:firstLineChars="200"/>
        <w:jc w:val="left"/>
        <w:rPr>
          <w:rFonts w:asciiTheme="minorEastAsia" w:hAnsiTheme="minorEastAsia" w:eastAsiaTheme="minorEastAsia" w:cstheme="minorEastAsia"/>
          <w:color w:val="auto"/>
          <w:szCs w:val="21"/>
          <w:highlight w:val="none"/>
        </w:rPr>
      </w:pPr>
    </w:p>
    <w:bookmarkEnd w:id="282"/>
    <w:bookmarkEnd w:id="283"/>
    <w:p>
      <w:pPr>
        <w:rPr>
          <w:rFonts w:ascii="宋体" w:hAnsi="宋体" w:cs="宋体"/>
          <w:color w:val="auto"/>
          <w:kern w:val="0"/>
          <w:szCs w:val="21"/>
          <w:highlight w:val="none"/>
        </w:rPr>
      </w:pPr>
    </w:p>
    <w:p>
      <w:pPr>
        <w:pStyle w:val="88"/>
        <w:ind w:firstLine="301"/>
        <w:rPr>
          <w:color w:val="auto"/>
          <w:highlight w:val="none"/>
        </w:rPr>
      </w:pPr>
    </w:p>
    <w:p>
      <w:pPr>
        <w:spacing w:line="360" w:lineRule="auto"/>
        <w:rPr>
          <w:rFonts w:ascii="宋体" w:hAnsi="宋体" w:cs="宋体"/>
          <w:color w:val="auto"/>
          <w:kern w:val="0"/>
          <w:szCs w:val="21"/>
          <w:highlight w:val="none"/>
        </w:rPr>
      </w:pPr>
    </w:p>
    <w:p>
      <w:pPr>
        <w:pStyle w:val="47"/>
        <w:rPr>
          <w:rFonts w:hAnsi="宋体"/>
          <w:color w:val="auto"/>
          <w:szCs w:val="21"/>
          <w:highlight w:val="none"/>
        </w:rPr>
      </w:pPr>
    </w:p>
    <w:p>
      <w:pPr>
        <w:pStyle w:val="47"/>
        <w:rPr>
          <w:rFonts w:hAnsi="宋体"/>
          <w:color w:val="auto"/>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color w:val="auto"/>
          <w:kern w:val="0"/>
          <w:szCs w:val="21"/>
          <w:highlight w:val="none"/>
        </w:rPr>
      </w:pPr>
    </w:p>
    <w:p>
      <w:pPr>
        <w:pStyle w:val="2"/>
        <w:rPr>
          <w:color w:val="auto"/>
          <w:kern w:val="0"/>
          <w:szCs w:val="21"/>
          <w:highlight w:val="none"/>
        </w:rPr>
      </w:pPr>
    </w:p>
    <w:p>
      <w:pPr>
        <w:pStyle w:val="2"/>
        <w:rPr>
          <w:color w:val="auto"/>
          <w:kern w:val="0"/>
          <w:szCs w:val="21"/>
          <w:highlight w:val="none"/>
        </w:rPr>
      </w:pPr>
    </w:p>
    <w:p>
      <w:pPr>
        <w:pStyle w:val="2"/>
        <w:rPr>
          <w:color w:val="auto"/>
          <w:kern w:val="0"/>
          <w:szCs w:val="21"/>
          <w:highlight w:val="none"/>
        </w:rPr>
      </w:pPr>
    </w:p>
    <w:p>
      <w:pPr>
        <w:spacing w:line="360" w:lineRule="auto"/>
        <w:rPr>
          <w:rFonts w:ascii="宋体" w:hAnsi="宋体"/>
          <w:color w:val="auto"/>
          <w:szCs w:val="21"/>
          <w:highlight w:val="none"/>
        </w:rPr>
      </w:pPr>
      <w:bookmarkStart w:id="286" w:name="OLE_LINK4"/>
    </w:p>
    <w:p>
      <w:pPr>
        <w:pStyle w:val="4"/>
        <w:autoSpaceDE w:val="0"/>
        <w:rPr>
          <w:b w:val="0"/>
          <w:bCs w:val="0"/>
          <w:color w:val="auto"/>
          <w:sz w:val="44"/>
          <w:highlight w:val="none"/>
        </w:rPr>
      </w:pPr>
      <w:bookmarkStart w:id="287" w:name="_Toc475104528"/>
      <w:r>
        <w:rPr>
          <w:rFonts w:hint="eastAsia"/>
          <w:color w:val="auto"/>
          <w:sz w:val="44"/>
          <w:highlight w:val="none"/>
        </w:rPr>
        <w:t>第五章 评分体系与标准</w:t>
      </w:r>
      <w:bookmarkEnd w:id="287"/>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9"/>
        </w:numPr>
        <w:autoSpaceDE w:val="0"/>
        <w:autoSpaceDN w:val="0"/>
        <w:adjustRightInd w:val="0"/>
        <w:snapToGrid w:val="0"/>
        <w:spacing w:line="360" w:lineRule="auto"/>
        <w:outlineLvl w:val="0"/>
        <w:rPr>
          <w:rFonts w:ascii="宋体" w:hAnsi="宋体"/>
          <w:bCs/>
          <w:color w:val="auto"/>
          <w:szCs w:val="21"/>
          <w:highlight w:val="none"/>
        </w:rPr>
      </w:pPr>
      <w:bookmarkStart w:id="288" w:name="_Toc475104529"/>
      <w:bookmarkStart w:id="289" w:name="_Toc101843128"/>
      <w:bookmarkStart w:id="290" w:name="_Toc98579606"/>
      <w:bookmarkStart w:id="291" w:name="_Toc101771375"/>
      <w:bookmarkStart w:id="292" w:name="_Toc42394513"/>
      <w:bookmarkStart w:id="293" w:name="_Toc264203535"/>
      <w:bookmarkStart w:id="294" w:name="_Toc101775128"/>
      <w:bookmarkStart w:id="295" w:name="_Toc101951266"/>
      <w:bookmarkStart w:id="296" w:name="_Toc98579007"/>
      <w:bookmarkStart w:id="297" w:name="_Toc42394669"/>
      <w:bookmarkStart w:id="298" w:name="_Toc50276153"/>
      <w:bookmarkStart w:id="299" w:name="_Toc98579065"/>
      <w:bookmarkStart w:id="300" w:name="_Toc98580289"/>
      <w:bookmarkStart w:id="301" w:name="_Toc42313167"/>
      <w:bookmarkStart w:id="302" w:name="_Toc41884701"/>
      <w:bookmarkStart w:id="303" w:name="_Toc41723931"/>
      <w:bookmarkStart w:id="304" w:name="_Toc169334816"/>
      <w:bookmarkStart w:id="305" w:name="_Toc124570687"/>
      <w:bookmarkStart w:id="306" w:name="_Toc67911942"/>
      <w:bookmarkStart w:id="307" w:name="_Toc124646434"/>
      <w:bookmarkStart w:id="308" w:name="_Toc101553556"/>
      <w:bookmarkStart w:id="309" w:name="_Toc66722112"/>
      <w:bookmarkStart w:id="310" w:name="_Toc28489533"/>
      <w:bookmarkStart w:id="311" w:name="_Toc102211724"/>
      <w:bookmarkStart w:id="312" w:name="_Toc125770208"/>
      <w:bookmarkStart w:id="313" w:name="_Toc35834934"/>
      <w:bookmarkStart w:id="314" w:name="_Toc138568672"/>
      <w:bookmarkStart w:id="315" w:name="_Toc148420070"/>
      <w:bookmarkStart w:id="316" w:name="_Toc34535380"/>
      <w:bookmarkStart w:id="317" w:name="_Toc28142601"/>
      <w:bookmarkStart w:id="318" w:name="_Toc108243616"/>
      <w:bookmarkStart w:id="319" w:name="_Toc104874465"/>
      <w:bookmarkStart w:id="320" w:name="_Toc148060906"/>
      <w:bookmarkStart w:id="321" w:name="_Toc104902929"/>
      <w:bookmarkStart w:id="322" w:name="_Toc131922503"/>
      <w:bookmarkStart w:id="323" w:name="_Toc95249607"/>
      <w:bookmarkStart w:id="324" w:name="_Toc150050902"/>
      <w:bookmarkStart w:id="325" w:name="_Toc108001800"/>
      <w:bookmarkStart w:id="326" w:name="_Toc113277292"/>
      <w:bookmarkStart w:id="327" w:name="_Toc68620012"/>
      <w:bookmarkStart w:id="328" w:name="_Toc101553661"/>
      <w:bookmarkStart w:id="329" w:name="_Toc95304223"/>
      <w:bookmarkStart w:id="330" w:name="_Toc131904930"/>
      <w:bookmarkStart w:id="331" w:name="_Toc138506092"/>
      <w:bookmarkStart w:id="332" w:name="_Toc124401382"/>
      <w:r>
        <w:rPr>
          <w:rFonts w:hint="eastAsia" w:ascii="宋体" w:hAnsi="宋体"/>
          <w:bCs/>
          <w:color w:val="auto"/>
          <w:szCs w:val="21"/>
          <w:highlight w:val="none"/>
        </w:rPr>
        <w:t>本评审办法采用综合评分法。</w:t>
      </w:r>
      <w:bookmarkEnd w:id="288"/>
    </w:p>
    <w:p>
      <w:pPr>
        <w:numPr>
          <w:ilvl w:val="0"/>
          <w:numId w:val="9"/>
        </w:numPr>
        <w:autoSpaceDE w:val="0"/>
        <w:autoSpaceDN w:val="0"/>
        <w:adjustRightInd w:val="0"/>
        <w:snapToGrid w:val="0"/>
        <w:spacing w:line="360" w:lineRule="auto"/>
        <w:outlineLvl w:val="0"/>
        <w:rPr>
          <w:rFonts w:ascii="宋体" w:cs="宋体"/>
          <w:color w:val="auto"/>
          <w:highlight w:val="none"/>
        </w:rPr>
      </w:pPr>
      <w:bookmarkStart w:id="333" w:name="_Toc475104530"/>
      <w:bookmarkStart w:id="334"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9"/>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33"/>
    </w:p>
    <w:bookmarkEnd w:id="289"/>
    <w:bookmarkEnd w:id="290"/>
    <w:bookmarkEnd w:id="291"/>
    <w:bookmarkEnd w:id="292"/>
    <w:bookmarkEnd w:id="293"/>
    <w:bookmarkEnd w:id="294"/>
    <w:bookmarkEnd w:id="295"/>
    <w:bookmarkEnd w:id="296"/>
    <w:bookmarkEnd w:id="297"/>
    <w:bookmarkEnd w:id="298"/>
    <w:bookmarkEnd w:id="299"/>
    <w:bookmarkEnd w:id="300"/>
    <w:bookmarkEnd w:id="334"/>
    <w:p>
      <w:pPr>
        <w:numPr>
          <w:ilvl w:val="0"/>
          <w:numId w:val="9"/>
        </w:numPr>
        <w:autoSpaceDE w:val="0"/>
        <w:autoSpaceDN w:val="0"/>
        <w:adjustRightInd w:val="0"/>
        <w:snapToGrid w:val="0"/>
        <w:spacing w:line="360" w:lineRule="auto"/>
        <w:outlineLvl w:val="0"/>
        <w:rPr>
          <w:rFonts w:ascii="宋体" w:hAnsi="宋体"/>
          <w:bCs/>
          <w:color w:val="auto"/>
          <w:szCs w:val="21"/>
          <w:highlight w:val="none"/>
        </w:rPr>
      </w:pPr>
      <w:bookmarkStart w:id="335"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9"/>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5"/>
    </w:p>
    <w:tbl>
      <w:tblPr>
        <w:tblStyle w:val="90"/>
        <w:tblpPr w:leftFromText="180" w:rightFromText="180" w:vertAnchor="text" w:tblpXSpec="center" w:tblpY="2"/>
        <w:tblW w:w="8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540" w:type="dxa"/>
            <w:vAlign w:val="center"/>
          </w:tcPr>
          <w:p>
            <w:pPr>
              <w:spacing w:line="360" w:lineRule="auto"/>
              <w:jc w:val="center"/>
              <w:rPr>
                <w:rFonts w:ascii="宋体" w:hAnsi="宋体" w:cs="宋体"/>
                <w:color w:val="auto"/>
                <w:highlight w:val="none"/>
              </w:rPr>
            </w:pPr>
            <w:bookmarkStart w:id="336" w:name="_Toc475104533"/>
            <w:bookmarkStart w:id="337"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40%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20%</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40%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9"/>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6"/>
    <w:bookmarkEnd w:id="337"/>
    <w:p>
      <w:pPr>
        <w:numPr>
          <w:ilvl w:val="0"/>
          <w:numId w:val="9"/>
        </w:numPr>
        <w:autoSpaceDE w:val="0"/>
        <w:autoSpaceDN w:val="0"/>
        <w:adjustRightInd w:val="0"/>
        <w:snapToGrid w:val="0"/>
        <w:spacing w:line="360" w:lineRule="auto"/>
        <w:outlineLvl w:val="0"/>
        <w:rPr>
          <w:rFonts w:ascii="宋体" w:hAnsi="宋体"/>
          <w:color w:val="auto"/>
          <w:szCs w:val="21"/>
          <w:highlight w:val="none"/>
        </w:rPr>
      </w:pPr>
      <w:bookmarkStart w:id="338" w:name="_Toc475104534"/>
      <w:bookmarkStart w:id="339"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1"/>
    <w:bookmarkEnd w:id="302"/>
    <w:bookmarkEnd w:id="303"/>
    <w:bookmarkEnd w:id="338"/>
    <w:bookmarkEnd w:id="339"/>
    <w:p>
      <w:pPr>
        <w:numPr>
          <w:ilvl w:val="0"/>
          <w:numId w:val="9"/>
        </w:numPr>
        <w:autoSpaceDE w:val="0"/>
        <w:autoSpaceDN w:val="0"/>
        <w:adjustRightInd w:val="0"/>
        <w:snapToGrid w:val="0"/>
        <w:spacing w:line="360" w:lineRule="auto"/>
        <w:outlineLvl w:val="0"/>
        <w:rPr>
          <w:rFonts w:ascii="宋体" w:hAnsi="宋体"/>
          <w:color w:val="auto"/>
          <w:szCs w:val="21"/>
          <w:highlight w:val="none"/>
        </w:rPr>
      </w:pPr>
      <w:bookmarkStart w:id="340" w:name="_Toc475104535"/>
      <w:bookmarkStart w:id="341" w:name="_Toc333236685"/>
      <w:r>
        <w:rPr>
          <w:rFonts w:hint="eastAsia" w:ascii="宋体" w:hAnsi="宋体"/>
          <w:color w:val="auto"/>
          <w:szCs w:val="21"/>
          <w:highlight w:val="none"/>
        </w:rPr>
        <w:t>价格评定</w:t>
      </w:r>
    </w:p>
    <w:p>
      <w:pPr>
        <w:numPr>
          <w:ilvl w:val="1"/>
          <w:numId w:val="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9"/>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9"/>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9"/>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9"/>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40"/>
      <w:bookmarkEnd w:id="341"/>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42" w:name="_Toc475104536"/>
      <w:r>
        <w:rPr>
          <w:rFonts w:hint="eastAsia"/>
          <w:color w:val="auto"/>
          <w:sz w:val="24"/>
          <w:highlight w:val="none"/>
        </w:rPr>
        <w:t>资格性审查及符合性检查表</w:t>
      </w:r>
      <w:bookmarkEnd w:id="342"/>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附件2   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1752"/>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75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1</w:t>
            </w:r>
          </w:p>
        </w:tc>
        <w:tc>
          <w:tcPr>
            <w:tcW w:w="175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对竞争性磋商文件的响应程度</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1.总体方案合理，对本项目需求情况熟悉且有针对性得6分；</w:t>
            </w:r>
          </w:p>
          <w:p>
            <w:pPr>
              <w:snapToGrid w:val="0"/>
              <w:rPr>
                <w:rFonts w:ascii="宋体" w:hAnsi="宋体" w:cs="宋体"/>
                <w:color w:val="auto"/>
                <w:highlight w:val="none"/>
              </w:rPr>
            </w:pPr>
            <w:r>
              <w:rPr>
                <w:rFonts w:hint="eastAsia" w:ascii="宋体" w:hAnsi="宋体" w:cs="宋体"/>
                <w:color w:val="auto"/>
                <w:highlight w:val="none"/>
              </w:rPr>
              <w:t>2.总体方案较合理，基本了解本项目需求情况，得3分；</w:t>
            </w:r>
          </w:p>
          <w:p>
            <w:pPr>
              <w:snapToGrid w:val="0"/>
              <w:rPr>
                <w:rFonts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w:t>
            </w:r>
          </w:p>
        </w:tc>
        <w:tc>
          <w:tcPr>
            <w:tcW w:w="175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1.对项目的重点、难点分析准确，采取的措施合理、可靠，得</w:t>
            </w:r>
            <w:r>
              <w:rPr>
                <w:rFonts w:hint="eastAsia" w:ascii="宋体" w:hAnsi="宋体" w:cs="宋体"/>
                <w:color w:val="auto"/>
                <w:highlight w:val="none"/>
                <w:lang w:val="en-US" w:eastAsia="zh-CN"/>
              </w:rPr>
              <w:t>8</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2.对项目的重点、难点分析基本准确，采取的措施基本合理、可靠，得4分；</w:t>
            </w:r>
          </w:p>
          <w:p>
            <w:pPr>
              <w:snapToGrid w:val="0"/>
              <w:rPr>
                <w:rFonts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vMerge w:val="restart"/>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p>
        </w:tc>
        <w:tc>
          <w:tcPr>
            <w:tcW w:w="1752"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8分；</w:t>
            </w:r>
          </w:p>
          <w:p>
            <w:pPr>
              <w:snapToGrid w:val="0"/>
              <w:rPr>
                <w:rFonts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2.方案思路较清晰，人员结构较合理，工作内容可行性尚可，对工程质量安全监督要点有表述，对重点难点有解决方案，各项质量服务保证措施和可操作性一般，提出的建议可操作性不强，得4分；</w:t>
            </w:r>
          </w:p>
          <w:p>
            <w:pPr>
              <w:snapToGrid w:val="0"/>
              <w:rPr>
                <w:rFonts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15" w:hRule="atLeast"/>
          <w:jc w:val="center"/>
        </w:trPr>
        <w:tc>
          <w:tcPr>
            <w:tcW w:w="733" w:type="dxa"/>
            <w:vMerge w:val="continue"/>
            <w:tcBorders>
              <w:bottom w:val="single" w:color="auto" w:sz="4" w:space="0"/>
            </w:tcBorders>
            <w:vAlign w:val="center"/>
          </w:tcPr>
          <w:p>
            <w:pPr>
              <w:snapToGrid w:val="0"/>
              <w:jc w:val="center"/>
              <w:rPr>
                <w:rFonts w:hint="eastAsia" w:ascii="宋体" w:hAnsi="宋体" w:cs="宋体"/>
                <w:color w:val="auto"/>
                <w:highlight w:val="none"/>
              </w:rPr>
            </w:pPr>
          </w:p>
        </w:tc>
        <w:tc>
          <w:tcPr>
            <w:tcW w:w="1752" w:type="dxa"/>
            <w:vMerge w:val="continue"/>
            <w:tcBorders>
              <w:bottom w:val="single" w:color="auto" w:sz="4" w:space="0"/>
            </w:tcBorders>
            <w:vAlign w:val="center"/>
          </w:tcPr>
          <w:p>
            <w:pPr>
              <w:snapToGrid w:val="0"/>
              <w:rPr>
                <w:rFonts w:hint="eastAsia" w:ascii="宋体" w:hAnsi="宋体" w:cs="宋体"/>
                <w:color w:val="auto"/>
                <w:highlight w:val="none"/>
              </w:rPr>
            </w:pPr>
          </w:p>
        </w:tc>
        <w:tc>
          <w:tcPr>
            <w:tcW w:w="6845" w:type="dxa"/>
            <w:tcBorders>
              <w:top w:val="single" w:color="auto" w:sz="4" w:space="0"/>
              <w:bottom w:val="single" w:color="auto" w:sz="4" w:space="0"/>
            </w:tcBorders>
            <w:vAlign w:val="center"/>
          </w:tcPr>
          <w:p>
            <w:pPr>
              <w:snapToGrid w:val="0"/>
              <w:rPr>
                <w:rFonts w:hint="default"/>
                <w:color w:val="auto"/>
                <w:highlight w:val="none"/>
                <w:lang w:val="en-US"/>
              </w:rPr>
            </w:pPr>
            <w:r>
              <w:rPr>
                <w:rFonts w:hint="eastAsia"/>
                <w:color w:val="auto"/>
                <w:highlight w:val="none"/>
              </w:rPr>
              <w:t>按照广州市总河长令（第4号）的部署，全市范围开展排水单元达标攻坚工作，建立健全排水单元设施日常管养长效机制，从源头实现雨污分流，形成“排水用户全接管、污水管网全覆盖、污水处理全达标”的国内领先的污水治理体系。项目实施计划有针对本项目特点、根据过往排水排污工程通过区河长办达标验收的成功经验（需提供合同及其竣工验收报告）的，得4分，其他不得分。</w:t>
            </w:r>
          </w:p>
        </w:tc>
        <w:tc>
          <w:tcPr>
            <w:tcW w:w="890"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w:t>
            </w:r>
          </w:p>
        </w:tc>
        <w:tc>
          <w:tcPr>
            <w:tcW w:w="175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质量控制和保障措施</w:t>
            </w:r>
          </w:p>
        </w:tc>
        <w:tc>
          <w:tcPr>
            <w:tcW w:w="6845" w:type="dxa"/>
            <w:tcBorders>
              <w:top w:val="single" w:color="auto" w:sz="4" w:space="0"/>
              <w:bottom w:val="single" w:color="auto" w:sz="4" w:space="0"/>
            </w:tcBorders>
            <w:vAlign w:val="center"/>
          </w:tcPr>
          <w:p>
            <w:pPr>
              <w:snapToGrid w:val="0"/>
              <w:rPr>
                <w:rFonts w:hint="eastAsia"/>
                <w:color w:val="auto"/>
                <w:highlight w:val="none"/>
              </w:rPr>
            </w:pPr>
            <w:r>
              <w:rPr>
                <w:rFonts w:hint="eastAsia"/>
                <w:color w:val="auto"/>
                <w:highlight w:val="none"/>
              </w:rPr>
              <w:t>1.质量保证体系健全，措施合理，组织管理体系和措施完善，足够满足项目需要，得</w:t>
            </w:r>
            <w:r>
              <w:rPr>
                <w:rFonts w:hint="eastAsia"/>
                <w:color w:val="auto"/>
                <w:highlight w:val="none"/>
                <w:lang w:val="en-US" w:eastAsia="zh-CN"/>
              </w:rPr>
              <w:t>6</w:t>
            </w:r>
            <w:r>
              <w:rPr>
                <w:rFonts w:hint="eastAsia"/>
                <w:color w:val="auto"/>
                <w:highlight w:val="none"/>
              </w:rPr>
              <w:t>分。</w:t>
            </w:r>
          </w:p>
          <w:p>
            <w:pPr>
              <w:snapToGrid w:val="0"/>
              <w:rPr>
                <w:rFonts w:hint="eastAsia"/>
                <w:color w:val="auto"/>
                <w:highlight w:val="none"/>
              </w:rPr>
            </w:pPr>
            <w:r>
              <w:rPr>
                <w:rFonts w:hint="eastAsia"/>
                <w:color w:val="auto"/>
                <w:highlight w:val="none"/>
              </w:rPr>
              <w:t>2.质量保证体系基本健全，措施基本合理，组织管理体系和措施基本完善，基本满足项目需要，得</w:t>
            </w:r>
            <w:r>
              <w:rPr>
                <w:rFonts w:hint="eastAsia"/>
                <w:color w:val="auto"/>
                <w:highlight w:val="none"/>
                <w:lang w:val="en-US" w:eastAsia="zh-CN"/>
              </w:rPr>
              <w:t>3</w:t>
            </w:r>
            <w:r>
              <w:rPr>
                <w:rFonts w:hint="eastAsia"/>
                <w:color w:val="auto"/>
                <w:highlight w:val="none"/>
              </w:rPr>
              <w:t>分。</w:t>
            </w:r>
          </w:p>
          <w:p>
            <w:pPr>
              <w:snapToGrid w:val="0"/>
              <w:rPr>
                <w:rFonts w:hint="eastAsia"/>
                <w:color w:val="auto"/>
                <w:highlight w:val="none"/>
              </w:rPr>
            </w:pPr>
            <w:r>
              <w:rPr>
                <w:rFonts w:hint="eastAsia"/>
                <w:color w:val="auto"/>
                <w:highlight w:val="none"/>
              </w:rPr>
              <w:t>3.质量保证体系不健全，措施不合理，组织管理体系和措施不够完善，难以满足项目需要，得1分。</w:t>
            </w:r>
          </w:p>
          <w:p>
            <w:pPr>
              <w:snapToGrid w:val="0"/>
              <w:rPr>
                <w:rFonts w:hint="eastAsia"/>
                <w:color w:val="auto"/>
                <w:highlight w:val="none"/>
              </w:rPr>
            </w:pPr>
            <w:r>
              <w:rPr>
                <w:rFonts w:hint="eastAsia"/>
                <w:color w:val="auto"/>
                <w:highlight w:val="none"/>
              </w:rPr>
              <w:t>其他不得分。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w:t>
            </w:r>
          </w:p>
        </w:tc>
        <w:tc>
          <w:tcPr>
            <w:tcW w:w="175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项目施工组织计划</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施工组织计划合理，</w:t>
            </w:r>
            <w:r>
              <w:rPr>
                <w:rFonts w:hint="eastAsia" w:ascii="宋体" w:hAnsi="宋体" w:cs="宋体"/>
                <w:color w:val="auto"/>
                <w:highlight w:val="none"/>
                <w:lang w:eastAsia="zh-CN"/>
              </w:rPr>
              <w:t>合同履行期限</w:t>
            </w:r>
            <w:r>
              <w:rPr>
                <w:rFonts w:hint="eastAsia" w:ascii="宋体" w:hAnsi="宋体" w:cs="宋体"/>
                <w:color w:val="auto"/>
                <w:highlight w:val="none"/>
              </w:rPr>
              <w:t>最短的得4分；</w:t>
            </w:r>
          </w:p>
          <w:p>
            <w:pPr>
              <w:snapToGrid w:val="0"/>
              <w:rPr>
                <w:rFonts w:ascii="宋体" w:hAnsi="宋体" w:cs="宋体"/>
                <w:color w:val="auto"/>
                <w:highlight w:val="none"/>
              </w:rPr>
            </w:pPr>
            <w:r>
              <w:rPr>
                <w:rFonts w:hint="eastAsia" w:ascii="宋体" w:hAnsi="宋体" w:cs="宋体"/>
                <w:color w:val="auto"/>
                <w:highlight w:val="none"/>
              </w:rPr>
              <w:t>施工组织计划一般，</w:t>
            </w:r>
            <w:r>
              <w:rPr>
                <w:rFonts w:hint="eastAsia" w:ascii="宋体" w:hAnsi="宋体" w:cs="宋体"/>
                <w:color w:val="auto"/>
                <w:highlight w:val="none"/>
                <w:lang w:eastAsia="zh-CN"/>
              </w:rPr>
              <w:t>合同履行期限</w:t>
            </w:r>
            <w:r>
              <w:rPr>
                <w:rFonts w:hint="eastAsia" w:ascii="宋体" w:hAnsi="宋体" w:cs="宋体"/>
                <w:color w:val="auto"/>
                <w:highlight w:val="none"/>
              </w:rPr>
              <w:t>较短的得2分；</w:t>
            </w:r>
          </w:p>
          <w:p>
            <w:pPr>
              <w:snapToGrid w:val="0"/>
              <w:rPr>
                <w:rFonts w:hint="eastAsia" w:ascii="宋体" w:hAnsi="宋体" w:eastAsia="宋体" w:cs="宋体"/>
                <w:color w:val="auto"/>
                <w:highlight w:val="none"/>
                <w:lang w:eastAsia="zh-CN"/>
              </w:rPr>
            </w:pPr>
            <w:r>
              <w:rPr>
                <w:rFonts w:hint="eastAsia" w:ascii="宋体" w:hAnsi="宋体" w:cs="宋体"/>
                <w:color w:val="auto"/>
                <w:highlight w:val="none"/>
              </w:rPr>
              <w:t>施工组织计划不合理，</w:t>
            </w:r>
            <w:r>
              <w:rPr>
                <w:rFonts w:hint="eastAsia" w:ascii="宋体" w:hAnsi="宋体" w:cs="宋体"/>
                <w:color w:val="auto"/>
                <w:highlight w:val="none"/>
                <w:lang w:eastAsia="zh-CN"/>
              </w:rPr>
              <w:t>合同履行期限</w:t>
            </w:r>
            <w:r>
              <w:rPr>
                <w:rFonts w:hint="eastAsia" w:ascii="宋体" w:hAnsi="宋体" w:cs="宋体"/>
                <w:color w:val="auto"/>
                <w:highlight w:val="none"/>
              </w:rPr>
              <w:t>较长的得1分</w:t>
            </w:r>
            <w:r>
              <w:rPr>
                <w:rFonts w:hint="eastAsia" w:ascii="宋体" w:hAnsi="宋体" w:cs="宋体"/>
                <w:color w:val="auto"/>
                <w:highlight w:val="none"/>
                <w:lang w:eastAsia="zh-CN"/>
              </w:rPr>
              <w:t>；</w:t>
            </w:r>
          </w:p>
          <w:p>
            <w:pPr>
              <w:snapToGrid w:val="0"/>
              <w:rPr>
                <w:rFonts w:ascii="宋体" w:hAnsi="宋体" w:cs="宋体"/>
                <w:color w:val="auto"/>
                <w:highlight w:val="none"/>
              </w:rPr>
            </w:pPr>
            <w:r>
              <w:rPr>
                <w:rFonts w:hint="eastAsia" w:ascii="宋体" w:hAnsi="宋体" w:cs="宋体"/>
                <w:color w:val="auto"/>
                <w:highlight w:val="none"/>
              </w:rPr>
              <w:t>其他不得分。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w:t>
            </w:r>
          </w:p>
        </w:tc>
        <w:tc>
          <w:tcPr>
            <w:tcW w:w="1752" w:type="dxa"/>
            <w:tcBorders>
              <w:top w:val="single" w:color="auto" w:sz="4" w:space="0"/>
            </w:tcBorders>
            <w:vAlign w:val="center"/>
          </w:tcPr>
          <w:p>
            <w:pPr>
              <w:snapToGrid w:val="0"/>
              <w:rPr>
                <w:rFonts w:ascii="宋体" w:hAnsi="宋体" w:cs="Arial Unicode MS"/>
                <w:color w:val="auto"/>
                <w:szCs w:val="21"/>
                <w:highlight w:val="none"/>
              </w:rPr>
            </w:pPr>
            <w:r>
              <w:rPr>
                <w:rFonts w:hint="eastAsia" w:ascii="宋体" w:hAnsi="宋体" w:cs="宋体"/>
                <w:color w:val="auto"/>
                <w:szCs w:val="21"/>
                <w:highlight w:val="none"/>
              </w:rPr>
              <w:t>机构设立、运作流程、管理计划</w:t>
            </w:r>
          </w:p>
        </w:tc>
        <w:tc>
          <w:tcPr>
            <w:tcW w:w="6845" w:type="dxa"/>
            <w:tcBorders>
              <w:top w:val="single" w:color="auto" w:sz="4" w:space="0"/>
              <w:bottom w:val="single" w:color="auto" w:sz="4" w:space="0"/>
            </w:tcBorders>
            <w:vAlign w:val="center"/>
          </w:tcPr>
          <w:p>
            <w:pPr>
              <w:snapToGrid w:val="0"/>
              <w:rPr>
                <w:color w:val="auto"/>
                <w:highlight w:val="none"/>
              </w:rPr>
            </w:pPr>
            <w:r>
              <w:rPr>
                <w:rFonts w:hint="eastAsia"/>
                <w:color w:val="auto"/>
                <w:highlight w:val="none"/>
              </w:rPr>
              <w:t>管理机构设立方案完善、运作流程清晰、管理计划实施到位的优得</w:t>
            </w:r>
            <w:r>
              <w:rPr>
                <w:rFonts w:hint="eastAsia"/>
                <w:color w:val="auto"/>
                <w:highlight w:val="none"/>
                <w:lang w:val="en-US" w:eastAsia="zh-CN"/>
              </w:rPr>
              <w:t>4</w:t>
            </w:r>
            <w:r>
              <w:rPr>
                <w:rFonts w:hint="eastAsia"/>
                <w:color w:val="auto"/>
                <w:highlight w:val="none"/>
              </w:rPr>
              <w:t>分；</w:t>
            </w:r>
          </w:p>
          <w:p>
            <w:pPr>
              <w:snapToGrid w:val="0"/>
              <w:rPr>
                <w:color w:val="auto"/>
                <w:highlight w:val="none"/>
              </w:rPr>
            </w:pPr>
            <w:r>
              <w:rPr>
                <w:rFonts w:hint="eastAsia"/>
                <w:color w:val="auto"/>
                <w:highlight w:val="none"/>
              </w:rPr>
              <w:t>管理机构设立方案基本完善、运作流程基本清晰、管理计划实施基本到位的良得</w:t>
            </w:r>
            <w:r>
              <w:rPr>
                <w:rFonts w:hint="eastAsia"/>
                <w:color w:val="auto"/>
                <w:highlight w:val="none"/>
                <w:lang w:val="en-US" w:eastAsia="zh-CN"/>
              </w:rPr>
              <w:t>2</w:t>
            </w:r>
            <w:r>
              <w:rPr>
                <w:rFonts w:hint="eastAsia"/>
                <w:color w:val="auto"/>
                <w:highlight w:val="none"/>
              </w:rPr>
              <w:t>分；</w:t>
            </w:r>
          </w:p>
          <w:p>
            <w:pPr>
              <w:snapToGrid w:val="0"/>
              <w:rPr>
                <w:color w:val="auto"/>
                <w:highlight w:val="none"/>
              </w:rPr>
            </w:pPr>
            <w:r>
              <w:rPr>
                <w:rFonts w:hint="eastAsia"/>
                <w:color w:val="auto"/>
                <w:highlight w:val="none"/>
              </w:rPr>
              <w:t>管理机构设立方案不完善、运作流程不清晰、管理计划实施不到位的一般得</w:t>
            </w:r>
            <w:r>
              <w:rPr>
                <w:rFonts w:hint="eastAsia"/>
                <w:color w:val="auto"/>
                <w:highlight w:val="none"/>
                <w:lang w:val="en-US" w:eastAsia="zh-CN"/>
              </w:rPr>
              <w:t>1</w:t>
            </w:r>
            <w:r>
              <w:rPr>
                <w:rFonts w:hint="eastAsia"/>
                <w:color w:val="auto"/>
                <w:highlight w:val="none"/>
              </w:rPr>
              <w:t>分；</w:t>
            </w:r>
          </w:p>
          <w:p>
            <w:pPr>
              <w:snapToGrid w:val="0"/>
              <w:rPr>
                <w:color w:val="auto"/>
                <w:highlight w:val="none"/>
              </w:rPr>
            </w:pPr>
            <w:r>
              <w:rPr>
                <w:rFonts w:hint="eastAsia"/>
                <w:color w:val="auto"/>
                <w:highlight w:val="none"/>
              </w:rPr>
              <w:t>其他不得分。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9330"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40分</w:t>
            </w:r>
          </w:p>
        </w:tc>
      </w:tr>
    </w:tbl>
    <w:p>
      <w:pPr>
        <w:snapToGrid w:val="0"/>
        <w:rPr>
          <w:rFonts w:ascii="宋体" w:hAnsi="宋体" w:cs="宋体"/>
          <w:b/>
          <w:bCs/>
          <w:color w:val="auto"/>
          <w:highlight w:val="none"/>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评委签名：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项目编号：</w:t>
      </w:r>
    </w:p>
    <w:tbl>
      <w:tblPr>
        <w:tblStyle w:val="90"/>
        <w:tblW w:w="89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5861"/>
        <w:gridCol w:w="12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86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128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商务要求的响应程度</w:t>
            </w:r>
          </w:p>
        </w:tc>
        <w:tc>
          <w:tcPr>
            <w:tcW w:w="5861" w:type="dxa"/>
            <w:tcBorders>
              <w:top w:val="single" w:color="auto" w:sz="4" w:space="0"/>
            </w:tcBorders>
            <w:shd w:val="clear" w:color="auto" w:fill="FFFFFF"/>
            <w:vAlign w:val="center"/>
          </w:tcPr>
          <w:p>
            <w:pPr>
              <w:snapToGrid w:val="0"/>
              <w:rPr>
                <w:color w:val="auto"/>
                <w:highlight w:val="none"/>
              </w:rPr>
            </w:pPr>
            <w:r>
              <w:rPr>
                <w:rFonts w:hint="eastAsia"/>
                <w:color w:val="auto"/>
                <w:highlight w:val="none"/>
              </w:rPr>
              <w:t>考查供应商对商务要求的响应程度：</w:t>
            </w:r>
          </w:p>
          <w:p>
            <w:pPr>
              <w:snapToGrid w:val="0"/>
              <w:rPr>
                <w:color w:val="auto"/>
                <w:highlight w:val="none"/>
              </w:rPr>
            </w:pPr>
            <w:r>
              <w:rPr>
                <w:rFonts w:hint="eastAsia"/>
                <w:color w:val="auto"/>
                <w:highlight w:val="none"/>
              </w:rPr>
              <w:t>1.完全满足并优于竞争性磋商文件要求的，得4分；</w:t>
            </w:r>
          </w:p>
          <w:p>
            <w:pPr>
              <w:snapToGrid w:val="0"/>
              <w:rPr>
                <w:color w:val="auto"/>
                <w:highlight w:val="none"/>
              </w:rPr>
            </w:pPr>
            <w:r>
              <w:rPr>
                <w:rFonts w:hint="eastAsia"/>
                <w:color w:val="auto"/>
                <w:highlight w:val="none"/>
              </w:rPr>
              <w:t>2.部分满足竞争性磋商文件要求的，得2分；</w:t>
            </w:r>
          </w:p>
          <w:p>
            <w:pPr>
              <w:snapToGrid w:val="0"/>
              <w:rPr>
                <w:color w:val="auto"/>
                <w:highlight w:val="none"/>
              </w:rPr>
            </w:pPr>
            <w:r>
              <w:rPr>
                <w:rFonts w:hint="eastAsia"/>
                <w:color w:val="auto"/>
                <w:highlight w:val="none"/>
              </w:rPr>
              <w:t>3.不完全满足竞争性磋商文件要求的，得1分。</w:t>
            </w:r>
          </w:p>
          <w:p>
            <w:pPr>
              <w:snapToGrid w:val="0"/>
              <w:rPr>
                <w:color w:val="auto"/>
                <w:highlight w:val="none"/>
              </w:rPr>
            </w:pPr>
            <w:r>
              <w:rPr>
                <w:rFonts w:hint="eastAsia"/>
                <w:color w:val="auto"/>
                <w:highlight w:val="none"/>
              </w:rPr>
              <w:t>4.其他不得分。</w:t>
            </w:r>
          </w:p>
        </w:tc>
        <w:tc>
          <w:tcPr>
            <w:tcW w:w="128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4分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二</w:t>
            </w:r>
          </w:p>
        </w:tc>
        <w:tc>
          <w:tcPr>
            <w:tcW w:w="106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业绩</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投标人2018年1月1日至今承担过同类项目业绩的，每个业绩得0.5分，满分5分，其他不得分。</w:t>
            </w:r>
          </w:p>
          <w:p>
            <w:pPr>
              <w:snapToGrid w:val="0"/>
              <w:rPr>
                <w:rFonts w:ascii="宋体" w:hAnsi="宋体" w:cs="宋体"/>
                <w:color w:val="auto"/>
                <w:highlight w:val="none"/>
              </w:rPr>
            </w:pPr>
            <w:r>
              <w:rPr>
                <w:rFonts w:hint="eastAsia" w:ascii="宋体" w:hAnsi="宋体" w:cs="宋体"/>
                <w:color w:val="auto"/>
                <w:highlight w:val="none"/>
              </w:rPr>
              <w:t>（注：业绩需提供中标通知书及合同复印件</w:t>
            </w:r>
            <w:r>
              <w:rPr>
                <w:rFonts w:hint="eastAsia" w:ascii="宋体" w:hAnsi="宋体" w:cs="宋体"/>
                <w:color w:val="auto"/>
                <w:highlight w:val="none"/>
                <w:lang w:eastAsia="zh-CN"/>
              </w:rPr>
              <w:t>，日期以中标通知书上的日期为准</w:t>
            </w:r>
            <w:r>
              <w:rPr>
                <w:rFonts w:hint="eastAsia" w:ascii="宋体" w:hAnsi="宋体" w:cs="宋体"/>
                <w:color w:val="auto"/>
                <w:highlight w:val="none"/>
              </w:rPr>
              <w:t>）</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70" w:hRule="atLeast"/>
          <w:jc w:val="center"/>
        </w:trPr>
        <w:tc>
          <w:tcPr>
            <w:tcW w:w="718" w:type="dxa"/>
            <w:vMerge w:val="restart"/>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三</w:t>
            </w:r>
          </w:p>
        </w:tc>
        <w:tc>
          <w:tcPr>
            <w:tcW w:w="1062"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企业信用信誉</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B级等级证书得2分；具有</w:t>
            </w:r>
            <w:r>
              <w:rPr>
                <w:rFonts w:hint="eastAsia" w:ascii="宋体" w:hAnsi="宋体" w:cs="宋体"/>
                <w:color w:val="auto"/>
                <w:szCs w:val="21"/>
                <w:highlight w:val="none"/>
              </w:rPr>
              <w:t>纳税信用</w:t>
            </w:r>
            <w:r>
              <w:rPr>
                <w:rFonts w:hint="eastAsia" w:ascii="宋体" w:hAnsi="宋体" w:cs="宋体"/>
                <w:color w:val="auto"/>
                <w:highlight w:val="none"/>
              </w:rPr>
              <w:t>C级等级证书得1分；其他不得分。</w:t>
            </w:r>
          </w:p>
          <w:p>
            <w:pPr>
              <w:snapToGrid w:val="0"/>
              <w:rPr>
                <w:rFonts w:ascii="宋体" w:hAnsi="宋体" w:cs="宋体"/>
                <w:color w:val="auto"/>
                <w:highlight w:val="none"/>
              </w:rPr>
            </w:pPr>
            <w:r>
              <w:rPr>
                <w:rFonts w:hint="eastAsia" w:ascii="宋体" w:hAnsi="宋体" w:cs="宋体"/>
                <w:color w:val="auto"/>
                <w:highlight w:val="none"/>
              </w:rPr>
              <w:t>（提供等级证书</w:t>
            </w:r>
            <w:r>
              <w:rPr>
                <w:rFonts w:hint="eastAsia" w:ascii="宋体" w:hAnsi="宋体" w:cs="宋体"/>
                <w:color w:val="auto"/>
                <w:highlight w:val="none"/>
                <w:lang w:eastAsia="zh-CN"/>
              </w:rPr>
              <w:t>网上截图或证书复印件</w:t>
            </w:r>
            <w:r>
              <w:rPr>
                <w:rFonts w:hint="eastAsia" w:ascii="宋体" w:hAnsi="宋体" w:cs="宋体"/>
                <w:color w:val="auto"/>
                <w:highlight w:val="none"/>
              </w:rPr>
              <w:t>）</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1"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1" w:hRule="atLeast"/>
          <w:jc w:val="center"/>
        </w:trPr>
        <w:tc>
          <w:tcPr>
            <w:tcW w:w="718" w:type="dxa"/>
            <w:vAlign w:val="center"/>
          </w:tcPr>
          <w:p>
            <w:pPr>
              <w:snapToGrid w:val="0"/>
              <w:jc w:val="center"/>
              <w:rPr>
                <w:rFonts w:ascii="宋体" w:hAnsi="宋体" w:cs="宋体"/>
                <w:color w:val="auto"/>
                <w:highlight w:val="none"/>
              </w:rPr>
            </w:pPr>
            <w:r>
              <w:rPr>
                <w:rFonts w:hint="eastAsia" w:ascii="宋体" w:hAnsi="宋体" w:cs="宋体"/>
                <w:color w:val="auto"/>
                <w:highlight w:val="none"/>
              </w:rPr>
              <w:t>四</w:t>
            </w:r>
          </w:p>
        </w:tc>
        <w:tc>
          <w:tcPr>
            <w:tcW w:w="1062" w:type="dxa"/>
            <w:vAlign w:val="center"/>
          </w:tcPr>
          <w:p>
            <w:pPr>
              <w:snapToGrid w:val="0"/>
              <w:rPr>
                <w:rFonts w:ascii="宋体" w:hAnsi="宋体" w:cs="宋体"/>
                <w:color w:val="auto"/>
                <w:highlight w:val="none"/>
              </w:rPr>
            </w:pPr>
            <w:r>
              <w:rPr>
                <w:rFonts w:hint="eastAsia" w:ascii="宋体" w:hAnsi="宋体" w:cs="宋体"/>
                <w:color w:val="auto"/>
                <w:szCs w:val="21"/>
                <w:highlight w:val="none"/>
              </w:rPr>
              <w:t>综合诚信评价</w:t>
            </w:r>
          </w:p>
        </w:tc>
        <w:tc>
          <w:tcPr>
            <w:tcW w:w="586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olor w:val="auto"/>
                <w:spacing w:val="-4"/>
                <w:szCs w:val="21"/>
                <w:highlight w:val="none"/>
              </w:rPr>
              <w:t>在所有投标单位中，诚信最高的得5分，评分以1分为级差递减，第六名或第六名以后得分为零分。（诚信排名以开标当日广州市企业诚信综合评价体系的“60日诚信分”排名为准）</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7641" w:type="dxa"/>
            <w:gridSpan w:val="3"/>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合计</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20分</w:t>
            </w:r>
          </w:p>
        </w:tc>
      </w:tr>
    </w:tbl>
    <w:p>
      <w:pPr>
        <w:tabs>
          <w:tab w:val="left" w:pos="720"/>
        </w:tabs>
        <w:snapToGrid w:val="0"/>
        <w:ind w:firstLine="210" w:firstLineChars="100"/>
        <w:rPr>
          <w:rFonts w:ascii="宋体" w:hAnsi="宋体" w:cs="宋体"/>
          <w:bCs/>
          <w:color w:val="auto"/>
          <w:szCs w:val="21"/>
          <w:highlight w:val="none"/>
        </w:rPr>
      </w:pPr>
    </w:p>
    <w:p>
      <w:pPr>
        <w:snapToGrid w:val="0"/>
        <w:rPr>
          <w:rFonts w:hint="eastAsia" w:eastAsia="宋体"/>
          <w:color w:val="auto"/>
          <w:highlight w:val="none"/>
          <w:lang w:eastAsia="zh-CN"/>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3、磋商报价得分四舍五入后，小数点后保留两位有效数。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43" w:name="_Toc475104537"/>
      <w:bookmarkStart w:id="344"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43"/>
      <w:bookmarkEnd w:id="344"/>
    </w:p>
    <w:p>
      <w:pPr>
        <w:spacing w:line="360" w:lineRule="auto"/>
        <w:rPr>
          <w:rFonts w:ascii="宋体" w:hAnsi="宋体"/>
          <w:bCs/>
          <w:color w:val="auto"/>
          <w:sz w:val="28"/>
          <w:highlight w:val="none"/>
        </w:rPr>
      </w:pPr>
      <w:bookmarkStart w:id="345" w:name="_Toc28489496"/>
      <w:bookmarkStart w:id="346" w:name="_Toc109467908"/>
      <w:bookmarkStart w:id="347" w:name="_Toc35834912"/>
      <w:bookmarkStart w:id="348" w:name="_Toc34535358"/>
      <w:bookmarkStart w:id="349"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50" w:name="_Toc163481918"/>
      <w:r>
        <w:rPr>
          <w:rFonts w:hint="eastAsia"/>
          <w:color w:val="auto"/>
          <w:szCs w:val="30"/>
          <w:highlight w:val="none"/>
        </w:rPr>
        <w:br w:type="page"/>
      </w:r>
    </w:p>
    <w:p>
      <w:pPr>
        <w:pStyle w:val="5"/>
        <w:numPr>
          <w:ilvl w:val="0"/>
          <w:numId w:val="10"/>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50"/>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color w:val="auto"/>
                <w:highlight w:val="none"/>
              </w:rPr>
            </w:pPr>
            <w:r>
              <w:rPr>
                <w:rFonts w:hint="eastAsia" w:cs="Times New Roman"/>
                <w:color w:val="auto"/>
                <w:sz w:val="21"/>
                <w:szCs w:val="21"/>
                <w:highlight w:val="none"/>
              </w:rPr>
              <w:t>★供应商须具有承接本工程所需</w:t>
            </w:r>
            <w:r>
              <w:rPr>
                <w:rFonts w:hint="eastAsia"/>
                <w:color w:val="auto"/>
                <w:sz w:val="21"/>
                <w:szCs w:val="20"/>
                <w:highlight w:val="none"/>
              </w:rPr>
              <w:t>的</w:t>
            </w:r>
            <w:r>
              <w:rPr>
                <w:rFonts w:hint="eastAsia"/>
                <w:color w:val="auto"/>
                <w:sz w:val="21"/>
                <w:szCs w:val="20"/>
                <w:highlight w:val="none"/>
                <w:lang w:eastAsia="zh-CN"/>
              </w:rPr>
              <w:t>市政公用工程</w:t>
            </w:r>
            <w:r>
              <w:rPr>
                <w:rFonts w:hint="eastAsia"/>
                <w:color w:val="auto"/>
                <w:sz w:val="21"/>
                <w:szCs w:val="20"/>
                <w:highlight w:val="none"/>
              </w:rPr>
              <w:t>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w:t>
            </w:r>
            <w:r>
              <w:rPr>
                <w:rFonts w:hint="eastAsia" w:ascii="宋体" w:hAnsi="宋体"/>
                <w:color w:val="auto"/>
                <w:highlight w:val="none"/>
                <w:lang w:eastAsia="zh-CN"/>
              </w:rPr>
              <w:t>市政公用工程</w:t>
            </w:r>
            <w:r>
              <w:rPr>
                <w:rFonts w:hint="eastAsia" w:ascii="宋体" w:hAnsi="宋体"/>
                <w:color w:val="auto"/>
                <w:highlight w:val="none"/>
              </w:rPr>
              <w:t>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公平竞争承诺书（附件6)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工程量清单(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▲条款响应一览表（附件21）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10"/>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keepNext w:val="0"/>
        <w:keepLines w:val="0"/>
        <w:pageBreakBefore w:val="0"/>
        <w:widowControl w:val="0"/>
        <w:kinsoku/>
        <w:wordWrap/>
        <w:overflowPunct/>
        <w:topLinePunct w:val="0"/>
        <w:autoSpaceDN/>
        <w:bidi w:val="0"/>
        <w:adjustRightInd/>
        <w:snapToGrid/>
        <w:spacing w:line="480" w:lineRule="auto"/>
        <w:jc w:val="left"/>
        <w:textAlignment w:val="auto"/>
        <w:rPr>
          <w:rFonts w:hint="eastAsia" w:ascii="宋体" w:hAnsi="宋体"/>
          <w:color w:val="auto"/>
          <w:szCs w:val="21"/>
          <w:highlight w:val="none"/>
        </w:rPr>
      </w:pPr>
    </w:p>
    <w:p>
      <w:pPr>
        <w:keepNext w:val="0"/>
        <w:keepLines w:val="0"/>
        <w:pageBreakBefore w:val="0"/>
        <w:widowControl w:val="0"/>
        <w:kinsoku/>
        <w:wordWrap/>
        <w:overflowPunct/>
        <w:topLinePunct w:val="0"/>
        <w:autoSpaceDN/>
        <w:bidi w:val="0"/>
        <w:adjustRightInd/>
        <w:snapToGrid/>
        <w:spacing w:line="480" w:lineRule="auto"/>
        <w:jc w:val="left"/>
        <w:textAlignment w:val="auto"/>
        <w:rPr>
          <w:rFonts w:ascii="宋体" w:hAnsi="宋体"/>
          <w:color w:val="auto"/>
          <w:szCs w:val="21"/>
          <w:highlight w:val="none"/>
        </w:rPr>
      </w:pPr>
      <w:r>
        <w:rPr>
          <w:rFonts w:hint="eastAsia" w:ascii="宋体" w:hAnsi="宋体"/>
          <w:color w:val="auto"/>
          <w:szCs w:val="21"/>
          <w:highlight w:val="none"/>
        </w:rPr>
        <w:t>致：广州市信怡招标代理有限公司</w:t>
      </w:r>
    </w:p>
    <w:p>
      <w:pPr>
        <w:keepNext w:val="0"/>
        <w:keepLines w:val="0"/>
        <w:pageBreakBefore w:val="0"/>
        <w:widowControl w:val="0"/>
        <w:kinsoku/>
        <w:wordWrap/>
        <w:overflowPunct/>
        <w:topLinePunct w:val="0"/>
        <w:autoSpaceDE w:val="0"/>
        <w:autoSpaceDN/>
        <w:bidi w:val="0"/>
        <w:adjustRightInd/>
        <w:snapToGrid/>
        <w:spacing w:line="480" w:lineRule="auto"/>
        <w:ind w:firstLine="480"/>
        <w:jc w:val="left"/>
        <w:textAlignment w:val="auto"/>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keepNext w:val="0"/>
        <w:keepLines w:val="0"/>
        <w:pageBreakBefore w:val="0"/>
        <w:widowControl w:val="0"/>
        <w:kinsoku/>
        <w:wordWrap/>
        <w:overflowPunct/>
        <w:topLinePunct w:val="0"/>
        <w:autoSpaceDN/>
        <w:bidi w:val="0"/>
        <w:adjustRightInd/>
        <w:snapToGrid/>
        <w:spacing w:line="480" w:lineRule="auto"/>
        <w:jc w:val="left"/>
        <w:textAlignment w:val="auto"/>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keepNext w:val="0"/>
        <w:keepLines w:val="0"/>
        <w:pageBreakBefore w:val="0"/>
        <w:widowControl w:val="0"/>
        <w:kinsoku/>
        <w:wordWrap/>
        <w:overflowPunct/>
        <w:topLinePunct w:val="0"/>
        <w:autoSpaceDE w:val="0"/>
        <w:autoSpaceDN/>
        <w:bidi w:val="0"/>
        <w:adjustRightInd/>
        <w:snapToGrid/>
        <w:spacing w:line="480" w:lineRule="auto"/>
        <w:ind w:left="240" w:hanging="240"/>
        <w:jc w:val="left"/>
        <w:textAlignment w:val="auto"/>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keepNext w:val="0"/>
        <w:keepLines w:val="0"/>
        <w:pageBreakBefore w:val="0"/>
        <w:widowControl w:val="0"/>
        <w:kinsoku/>
        <w:wordWrap/>
        <w:overflowPunct/>
        <w:topLinePunct w:val="0"/>
        <w:autoSpaceDN/>
        <w:bidi w:val="0"/>
        <w:adjustRightInd/>
        <w:snapToGrid/>
        <w:spacing w:line="480" w:lineRule="auto"/>
        <w:ind w:left="240" w:hanging="240"/>
        <w:jc w:val="left"/>
        <w:textAlignment w:val="auto"/>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keepNext w:val="0"/>
        <w:keepLines w:val="0"/>
        <w:pageBreakBefore w:val="0"/>
        <w:widowControl w:val="0"/>
        <w:kinsoku/>
        <w:wordWrap/>
        <w:overflowPunct/>
        <w:topLinePunct w:val="0"/>
        <w:autoSpaceDN/>
        <w:bidi w:val="0"/>
        <w:adjustRightInd/>
        <w:snapToGrid/>
        <w:spacing w:line="480" w:lineRule="auto"/>
        <w:jc w:val="left"/>
        <w:textAlignment w:val="auto"/>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keepNext w:val="0"/>
        <w:keepLines w:val="0"/>
        <w:pageBreakBefore w:val="0"/>
        <w:widowControl w:val="0"/>
        <w:kinsoku/>
        <w:wordWrap/>
        <w:overflowPunct/>
        <w:topLinePunct w:val="0"/>
        <w:autoSpaceDN/>
        <w:bidi w:val="0"/>
        <w:adjustRightInd/>
        <w:snapToGrid/>
        <w:spacing w:line="480" w:lineRule="auto"/>
        <w:jc w:val="left"/>
        <w:textAlignment w:val="auto"/>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keepNext w:val="0"/>
        <w:keepLines w:val="0"/>
        <w:pageBreakBefore w:val="0"/>
        <w:widowControl w:val="0"/>
        <w:kinsoku/>
        <w:wordWrap/>
        <w:overflowPunct/>
        <w:topLinePunct w:val="0"/>
        <w:autoSpaceDN/>
        <w:bidi w:val="0"/>
        <w:adjustRightInd/>
        <w:snapToGrid/>
        <w:spacing w:line="480" w:lineRule="auto"/>
        <w:ind w:left="240" w:hanging="240"/>
        <w:jc w:val="left"/>
        <w:textAlignment w:val="auto"/>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keepNext w:val="0"/>
        <w:keepLines w:val="0"/>
        <w:pageBreakBefore w:val="0"/>
        <w:widowControl w:val="0"/>
        <w:kinsoku/>
        <w:wordWrap/>
        <w:overflowPunct/>
        <w:topLinePunct w:val="0"/>
        <w:autoSpaceDN/>
        <w:bidi w:val="0"/>
        <w:adjustRightInd/>
        <w:snapToGrid/>
        <w:spacing w:line="480" w:lineRule="auto"/>
        <w:jc w:val="left"/>
        <w:textAlignment w:val="auto"/>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keepNext w:val="0"/>
        <w:keepLines w:val="0"/>
        <w:pageBreakBefore w:val="0"/>
        <w:widowControl w:val="0"/>
        <w:kinsoku/>
        <w:wordWrap/>
        <w:overflowPunct/>
        <w:topLinePunct w:val="0"/>
        <w:autoSpaceDN/>
        <w:bidi w:val="0"/>
        <w:adjustRightInd/>
        <w:snapToGrid/>
        <w:spacing w:line="480" w:lineRule="auto"/>
        <w:ind w:left="240" w:hanging="240"/>
        <w:jc w:val="left"/>
        <w:textAlignment w:val="auto"/>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keepNext w:val="0"/>
        <w:keepLines w:val="0"/>
        <w:pageBreakBefore w:val="0"/>
        <w:widowControl w:val="0"/>
        <w:kinsoku/>
        <w:wordWrap/>
        <w:overflowPunct/>
        <w:topLinePunct w:val="0"/>
        <w:autoSpaceDN/>
        <w:bidi w:val="0"/>
        <w:adjustRightInd/>
        <w:snapToGrid/>
        <w:spacing w:line="480" w:lineRule="auto"/>
        <w:jc w:val="left"/>
        <w:textAlignment w:val="auto"/>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keepNext w:val="0"/>
        <w:keepLines w:val="0"/>
        <w:pageBreakBefore w:val="0"/>
        <w:widowControl w:val="0"/>
        <w:kinsoku/>
        <w:wordWrap/>
        <w:overflowPunct/>
        <w:topLinePunct w:val="0"/>
        <w:autoSpaceDN/>
        <w:bidi w:val="0"/>
        <w:adjustRightInd/>
        <w:snapToGrid/>
        <w:spacing w:line="480" w:lineRule="auto"/>
        <w:jc w:val="left"/>
        <w:textAlignment w:val="auto"/>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1" w:name="_Toc86065029"/>
      <w:bookmarkStart w:id="352" w:name="_Toc41448359"/>
      <w:bookmarkStart w:id="353" w:name="_Toc25224019"/>
      <w:bookmarkStart w:id="354" w:name="_Toc14450839"/>
      <w:bookmarkStart w:id="355" w:name="_Toc55816096"/>
      <w:bookmarkStart w:id="356" w:name="_Toc34535359"/>
      <w:bookmarkStart w:id="357" w:name="_Toc28489497"/>
      <w:bookmarkStart w:id="358" w:name="_Toc35834913"/>
      <w:bookmarkStart w:id="359" w:name="_Toc10946790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60" w:name="_Toc223939105"/>
      <w:r>
        <w:rPr>
          <w:rFonts w:hint="eastAsia" w:hAnsi="宋体"/>
          <w:color w:val="auto"/>
          <w:szCs w:val="21"/>
          <w:highlight w:val="none"/>
        </w:rPr>
        <w:t>现任我单位职务，为法定代表人，特此证明。</w:t>
      </w:r>
      <w:bookmarkEnd w:id="360"/>
      <w:bookmarkStart w:id="361"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61"/>
      <w:bookmarkStart w:id="362"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2"/>
      <w:bookmarkStart w:id="363"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363"/>
      <w:bookmarkStart w:id="364"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4"/>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rPr>
        <w:t xml:space="preserve">                                 </w:t>
      </w:r>
      <w:r>
        <w:rPr>
          <w:rFonts w:hint="eastAsia" w:ascii="ZWAdobeF" w:hAnsi="ZWAdobeF" w:cs="ZWAdobeF"/>
          <w:color w:val="auto"/>
          <w:sz w:val="2"/>
          <w:szCs w:val="2"/>
          <w:highlight w:val="none"/>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供应商单位名称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ascii="宋体" w:hAnsi="宋体" w:cs="宋体"/>
          <w:b/>
          <w:color w:val="auto"/>
          <w:szCs w:val="21"/>
          <w:highlight w:val="none"/>
        </w:rPr>
      </w:pPr>
      <w:r>
        <w:rPr>
          <w:rFonts w:hint="eastAsia" w:ascii="宋体" w:hAnsi="宋体" w:cs="宋体"/>
          <w:b/>
          <w:color w:val="auto"/>
          <w:szCs w:val="21"/>
          <w:highlight w:val="none"/>
        </w:rPr>
        <w:t>3.中文大写金额用汉字，如壹、贰、叁、肆、伍、陆、柒、捌、玖、拾、佰、仟、万、亿、元、角、分、零、整（正）等。如：小写： 1230000，大写：</w:t>
      </w:r>
      <w:r>
        <w:rPr>
          <w:rFonts w:hint="eastAsia" w:ascii="宋体" w:hAnsi="宋体" w:cs="宋体"/>
          <w:b/>
          <w:color w:val="auto"/>
          <w:szCs w:val="21"/>
          <w:highlight w:val="none"/>
          <w:u w:val="single"/>
        </w:rPr>
        <w:t>壹佰贰拾叁万元整</w:t>
      </w:r>
      <w:r>
        <w:rPr>
          <w:rFonts w:hint="eastAsia" w:ascii="宋体" w:hAnsi="宋体" w:cs="宋体"/>
          <w:b/>
          <w:color w:val="auto"/>
          <w:szCs w:val="21"/>
          <w:highlight w:val="none"/>
        </w:rPr>
        <w:t>。</w:t>
      </w:r>
    </w:p>
    <w:p>
      <w:pPr>
        <w:snapToGrid w:val="0"/>
        <w:spacing w:line="360" w:lineRule="auto"/>
        <w:ind w:left="512" w:leftChars="195" w:hanging="103" w:hangingChars="49"/>
        <w:rPr>
          <w:rFonts w:ascii="宋体" w:hAnsi="宋体" w:cs="宋体"/>
          <w:b/>
          <w:color w:val="auto"/>
          <w:szCs w:val="21"/>
          <w:highlight w:val="none"/>
        </w:rPr>
      </w:pPr>
      <w:r>
        <w:rPr>
          <w:rFonts w:hint="eastAsia" w:ascii="宋体" w:hAnsi="宋体" w:cs="宋体"/>
          <w:b/>
          <w:color w:val="auto"/>
          <w:szCs w:val="21"/>
          <w:highlight w:val="none"/>
        </w:rPr>
        <w:t>4.投标总报价应包含采购项目的全部费用，投标人不得再向采购人收取任何费用；</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5.报价以人民币元为单位，保留小数点后两位；</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6.投标报价要求具体见第二章“投标报价”及采购人需求要求；</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7.本表格须附在正副的投标文件中，并另封装一份在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工程量清单</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项目编号：</w:t>
      </w:r>
    </w:p>
    <w:p>
      <w:pPr>
        <w:pStyle w:val="47"/>
        <w:jc w:val="center"/>
        <w:rPr>
          <w:rFonts w:hAnsi="宋体"/>
          <w:color w:val="auto"/>
          <w:highlight w:val="none"/>
        </w:rPr>
      </w:pPr>
    </w:p>
    <w:p>
      <w:pPr>
        <w:pStyle w:val="47"/>
        <w:jc w:val="center"/>
        <w:rPr>
          <w:rFonts w:hAnsi="宋体"/>
          <w:color w:val="auto"/>
          <w:sz w:val="32"/>
          <w:szCs w:val="32"/>
          <w:highlight w:val="none"/>
        </w:rPr>
      </w:pPr>
      <w:r>
        <w:rPr>
          <w:rFonts w:hint="eastAsia" w:hAnsi="宋体"/>
          <w:color w:val="auto"/>
          <w:sz w:val="32"/>
          <w:szCs w:val="32"/>
          <w:highlight w:val="none"/>
        </w:rPr>
        <w:t>（请附上工程量清单）</w:t>
      </w:r>
    </w:p>
    <w:p>
      <w:pPr>
        <w:pStyle w:val="47"/>
        <w:jc w:val="center"/>
        <w:rPr>
          <w:rFonts w:hAnsi="宋体"/>
          <w:color w:val="auto"/>
          <w:highlight w:val="none"/>
        </w:rPr>
      </w:pPr>
    </w:p>
    <w:p>
      <w:pPr>
        <w:spacing w:line="360" w:lineRule="auto"/>
        <w:ind w:left="753" w:hanging="753" w:hangingChars="357"/>
        <w:jc w:val="left"/>
        <w:rPr>
          <w:rFonts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pStyle w:val="46"/>
        <w:tabs>
          <w:tab w:val="left" w:pos="3960"/>
        </w:tabs>
        <w:spacing w:line="360" w:lineRule="auto"/>
        <w:ind w:firstLine="4330" w:firstLineChars="2062"/>
        <w:jc w:val="left"/>
        <w:rPr>
          <w:rFonts w:hAnsi="宋体"/>
          <w:color w:val="auto"/>
          <w:highlight w:val="none"/>
        </w:rPr>
      </w:pPr>
    </w:p>
    <w:p>
      <w:pPr>
        <w:pStyle w:val="47"/>
        <w:rPr>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3" w:type="default"/>
          <w:footerReference r:id="rId14" w:type="default"/>
          <w:pgSz w:w="11906" w:h="16838"/>
          <w:pgMar w:top="1134" w:right="1134" w:bottom="1134" w:left="1134"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tabs>
          <w:tab w:val="left" w:pos="0"/>
        </w:tabs>
        <w:spacing w:line="360" w:lineRule="auto"/>
        <w:ind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65" w:name="OLE_LINK14"/>
      <w:bookmarkStart w:id="366"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67" w:name="_Toc512331248"/>
    </w:p>
    <w:p>
      <w:pPr>
        <w:pStyle w:val="6"/>
        <w:rPr>
          <w:bCs/>
          <w:color w:val="auto"/>
          <w:szCs w:val="28"/>
          <w:highlight w:val="none"/>
        </w:rPr>
      </w:pPr>
      <w:r>
        <w:rPr>
          <w:rFonts w:hint="eastAsia"/>
          <w:bCs/>
          <w:color w:val="auto"/>
          <w:szCs w:val="28"/>
          <w:highlight w:val="none"/>
        </w:rPr>
        <w:t>附件12 残疾人福利性单位声明函（如适用）</w:t>
      </w:r>
      <w:bookmarkEnd w:id="367"/>
    </w:p>
    <w:p>
      <w:pPr>
        <w:rPr>
          <w:color w:val="auto"/>
          <w:highlight w:val="none"/>
        </w:rPr>
      </w:pPr>
    </w:p>
    <w:bookmarkEnd w:id="365"/>
    <w:bookmarkEnd w:id="366"/>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本单位郑重声明，根据《财政部 民政部 中国残疾人联合会关于促进残疾人就业政府采购政策的通知》（财库</w:t>
      </w:r>
      <w:r>
        <w:rPr>
          <w:rFonts w:hint="eastAsia" w:ascii="宋体" w:hAnsi="宋体"/>
          <w:color w:val="auto"/>
          <w:szCs w:val="21"/>
          <w:highlight w:val="none"/>
        </w:rPr>
        <w:t>〔2017〕 141</w:t>
      </w:r>
      <w:r>
        <w:rPr>
          <w:rFonts w:hint="eastAsia" w:ascii="宋体" w:hAnsi="宋体"/>
          <w:color w:val="auto"/>
          <w:spacing w:val="6"/>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Cs w:val="21"/>
          <w:highlight w:val="none"/>
        </w:rPr>
      </w:pPr>
    </w:p>
    <w:p>
      <w:pPr>
        <w:spacing w:line="360" w:lineRule="auto"/>
        <w:ind w:firstLine="444" w:firstLineChars="200"/>
        <w:rPr>
          <w:rFonts w:ascii="宋体" w:hAnsi="宋体"/>
          <w:color w:val="auto"/>
          <w:spacing w:val="6"/>
          <w:szCs w:val="21"/>
          <w:highlight w:val="none"/>
        </w:rPr>
      </w:pPr>
    </w:p>
    <w:p>
      <w:pPr>
        <w:tabs>
          <w:tab w:val="left" w:pos="4860"/>
        </w:tabs>
        <w:spacing w:line="360" w:lineRule="auto"/>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单位名称（盖章）：</w:t>
      </w:r>
      <w:r>
        <w:rPr>
          <w:rFonts w:hint="eastAsia" w:ascii="宋体" w:hAnsi="宋体"/>
          <w:color w:val="auto"/>
          <w:spacing w:val="6"/>
          <w:szCs w:val="21"/>
          <w:highlight w:val="none"/>
          <w:u w:val="single"/>
        </w:rPr>
        <w:t xml:space="preserve">                     </w:t>
      </w:r>
    </w:p>
    <w:p>
      <w:pPr>
        <w:tabs>
          <w:tab w:val="left" w:pos="4860"/>
        </w:tabs>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68" w:name="_Toc109467914"/>
      <w:bookmarkStart w:id="369"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68"/>
    <w:bookmarkEnd w:id="369"/>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注：请附上中标通知书及合同复印件作为同类业绩证明资料。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（1）对竞争性磋商文件的响应程度；</w:t>
      </w:r>
    </w:p>
    <w:p>
      <w:pPr>
        <w:spacing w:line="360" w:lineRule="auto"/>
        <w:ind w:left="420" w:leftChars="200" w:firstLine="105" w:firstLineChars="50"/>
        <w:rPr>
          <w:color w:val="auto"/>
          <w:highlight w:val="none"/>
        </w:rPr>
      </w:pPr>
      <w:r>
        <w:rPr>
          <w:rFonts w:hint="eastAsia" w:ascii="宋体" w:hAnsi="宋体"/>
          <w:bCs/>
          <w:color w:val="auto"/>
          <w:szCs w:val="21"/>
          <w:highlight w:val="none"/>
        </w:rPr>
        <w:t>（3）项目实施能力；</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（4）项目实施计划</w:t>
      </w:r>
      <w:r>
        <w:rPr>
          <w:rFonts w:hint="eastAsia" w:ascii="宋体" w:hAnsi="宋体"/>
          <w:bCs/>
          <w:color w:val="auto"/>
          <w:szCs w:val="21"/>
          <w:highlight w:val="none"/>
          <w:lang w:eastAsia="zh-CN"/>
        </w:rPr>
        <w:t>和过往排水排污工程通过区河长办达标验收的成功经验</w:t>
      </w:r>
      <w:r>
        <w:rPr>
          <w:rFonts w:hint="eastAsia"/>
          <w:color w:val="auto"/>
          <w:highlight w:val="none"/>
          <w:lang w:eastAsia="zh-CN"/>
        </w:rPr>
        <w:t>及其竣工验收报告</w:t>
      </w:r>
      <w:r>
        <w:rPr>
          <w:rFonts w:hint="eastAsia" w:cs="宋体"/>
          <w:color w:val="auto"/>
          <w:kern w:val="0"/>
          <w:sz w:val="22"/>
          <w:szCs w:val="22"/>
          <w:highlight w:val="none"/>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（5）质量控制和保障措施；</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（6）项目施工组织计划；</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（7）机构设立、运作流程、管理计划。</w:t>
      </w: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w:t>
      </w:r>
      <w:r>
        <w:rPr>
          <w:rFonts w:hint="eastAsia" w:ascii="宋体" w:hAnsi="宋体" w:cs="宋体"/>
          <w:color w:val="auto"/>
          <w:szCs w:val="21"/>
          <w:highlight w:val="none"/>
          <w:lang w:eastAsia="zh-CN"/>
        </w:rPr>
        <w:t>成交通知书</w:t>
      </w:r>
      <w:r>
        <w:rPr>
          <w:rFonts w:hint="eastAsia" w:ascii="宋体" w:hAnsi="宋体" w:cs="宋体"/>
          <w:color w:val="auto"/>
          <w:szCs w:val="21"/>
          <w:highlight w:val="none"/>
        </w:rPr>
        <w:t>》前，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ascii="宋体" w:hAnsi="宋体" w:cs="Tahoma"/>
          <w:color w:val="auto"/>
          <w:kern w:val="28"/>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default" w:asciiTheme="minorEastAsia" w:hAnsiTheme="minorEastAsia" w:eastAsiaTheme="minorEastAsia" w:cstheme="minorEastAsia"/>
                <w:color w:val="auto"/>
                <w:kern w:val="2"/>
                <w:sz w:val="21"/>
                <w:szCs w:val="21"/>
                <w:highlight w:val="none"/>
              </w:rPr>
            </w:pPr>
            <w:r>
              <w:rPr>
                <w:rFonts w:asciiTheme="minorEastAsia" w:hAnsiTheme="minorEastAsia" w:eastAsiaTheme="minorEastAsia" w:cstheme="minorEastAsia"/>
                <w:color w:val="auto"/>
                <w:kern w:val="2"/>
                <w:sz w:val="21"/>
                <w:szCs w:val="21"/>
                <w:highlight w:val="none"/>
              </w:rPr>
              <w:t>从事</w:t>
            </w:r>
            <w:r>
              <w:rPr>
                <w:rFonts w:asciiTheme="minorEastAsia" w:hAnsiTheme="minorEastAsia" w:eastAsiaTheme="minorEastAsia" w:cstheme="minorEastAsia"/>
                <w:color w:val="auto"/>
                <w:sz w:val="21"/>
                <w:szCs w:val="21"/>
                <w:highlight w:val="none"/>
              </w:rPr>
              <w:t>同类</w:t>
            </w:r>
            <w:r>
              <w:rPr>
                <w:rFonts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w:t>
            </w:r>
          </w:p>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成果质量</w:t>
            </w:r>
          </w:p>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p>
            <w:pPr>
              <w:spacing w:line="360" w:lineRule="auto"/>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注：1.在合同执行期间，成交供应商须设立项目负责人和专业专职的主要技术及服务人员，并在上表中列明；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w:t>
            </w:r>
            <w:r>
              <w:rPr>
                <w:rFonts w:hint="eastAsia" w:ascii="宋体" w:hAnsi="宋体" w:cs="宋体"/>
                <w:bCs/>
                <w:color w:val="auto"/>
                <w:szCs w:val="20"/>
                <w:highlight w:val="none"/>
                <w:lang w:eastAsia="zh-CN"/>
              </w:rPr>
              <w:t>市政公用工程</w:t>
            </w:r>
            <w:r>
              <w:rPr>
                <w:rFonts w:hint="eastAsia" w:ascii="宋体" w:hAnsi="宋体" w:cs="宋体"/>
                <w:bCs/>
                <w:color w:val="auto"/>
                <w:szCs w:val="20"/>
                <w:highlight w:val="none"/>
              </w:rPr>
              <w:t>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8</w:t>
            </w:r>
          </w:p>
        </w:tc>
        <w:tc>
          <w:tcPr>
            <w:tcW w:w="4952" w:type="dxa"/>
            <w:tcBorders>
              <w:left w:val="single" w:color="000000" w:sz="4" w:space="0"/>
            </w:tcBorders>
            <w:vAlign w:val="center"/>
          </w:tcPr>
          <w:p>
            <w:pPr>
              <w:widowControl/>
              <w:snapToGrid w:val="0"/>
              <w:rPr>
                <w:rFonts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w:t>
            </w:r>
            <w:r>
              <w:rPr>
                <w:rFonts w:hint="eastAsia" w:ascii="宋体" w:hAnsi="宋体"/>
                <w:color w:val="auto"/>
                <w:highlight w:val="none"/>
                <w:lang w:eastAsia="zh-CN"/>
              </w:rPr>
              <w:t>市政公用工程</w:t>
            </w:r>
            <w:r>
              <w:rPr>
                <w:rFonts w:hint="eastAsia" w:ascii="宋体" w:hAnsi="宋体"/>
                <w:color w:val="auto"/>
                <w:highlight w:val="none"/>
              </w:rPr>
              <w:t>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6"/>
      <w:bookmarkEnd w:id="345"/>
      <w:bookmarkEnd w:id="346"/>
      <w:bookmarkEnd w:id="347"/>
      <w:bookmarkEnd w:id="348"/>
      <w:bookmarkEnd w:id="349"/>
      <w:bookmarkEnd w:id="351"/>
      <w:bookmarkEnd w:id="352"/>
      <w:bookmarkEnd w:id="353"/>
      <w:bookmarkEnd w:id="354"/>
      <w:bookmarkEnd w:id="355"/>
      <w:bookmarkEnd w:id="356"/>
      <w:bookmarkEnd w:id="357"/>
      <w:bookmarkEnd w:id="358"/>
      <w:bookmarkEnd w:id="359"/>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pStyle w:val="2"/>
        <w:rPr>
          <w:bCs/>
          <w:color w:val="auto"/>
          <w:szCs w:val="21"/>
          <w:highlight w:val="none"/>
        </w:rPr>
      </w:pPr>
    </w:p>
    <w:p>
      <w:pPr>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附件21   ▲条款响应一览表</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项目名称</w:t>
      </w:r>
      <w:r>
        <w:rPr>
          <w:rFonts w:hint="eastAsia" w:ascii="宋体" w:hAnsi="宋体" w:cs="宋体"/>
          <w:color w:val="auto"/>
          <w:kern w:val="28"/>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3996" w:type="dxa"/>
            <w:tcBorders>
              <w:left w:val="single" w:color="000000" w:sz="4" w:space="0"/>
            </w:tcBorders>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带“▲”号响应内容</w:t>
            </w:r>
          </w:p>
        </w:tc>
        <w:tc>
          <w:tcPr>
            <w:tcW w:w="1729"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是否响应</w:t>
            </w:r>
          </w:p>
        </w:tc>
        <w:tc>
          <w:tcPr>
            <w:tcW w:w="1749"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偏离说明</w:t>
            </w:r>
          </w:p>
        </w:tc>
        <w:tc>
          <w:tcPr>
            <w:tcW w:w="1253"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1</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2</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3</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4</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5</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6</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7</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8</w:t>
            </w:r>
          </w:p>
        </w:tc>
        <w:tc>
          <w:tcPr>
            <w:tcW w:w="3996" w:type="dxa"/>
            <w:tcBorders>
              <w:left w:val="single" w:color="000000" w:sz="4" w:space="0"/>
            </w:tcBorders>
          </w:tcPr>
          <w:p>
            <w:pPr>
              <w:widowControl/>
              <w:spacing w:line="280" w:lineRule="exact"/>
              <w:jc w:val="left"/>
              <w:rPr>
                <w:rFonts w:ascii="宋体" w:hAnsi="宋体" w:cs="宋体"/>
                <w:color w:val="auto"/>
                <w:szCs w:val="21"/>
                <w:highlight w:val="none"/>
              </w:rPr>
            </w:pPr>
          </w:p>
        </w:tc>
        <w:tc>
          <w:tcPr>
            <w:tcW w:w="1729" w:type="dxa"/>
            <w:vAlign w:val="center"/>
          </w:tcPr>
          <w:p>
            <w:pPr>
              <w:spacing w:before="240" w:line="360" w:lineRule="auto"/>
              <w:ind w:left="902" w:hanging="902"/>
              <w:jc w:val="center"/>
              <w:rPr>
                <w:rFonts w:ascii="宋体" w:hAnsi="宋体" w:cs="宋体"/>
                <w:color w:val="auto"/>
                <w:szCs w:val="21"/>
                <w:highlight w:val="none"/>
              </w:rPr>
            </w:pPr>
          </w:p>
        </w:tc>
        <w:tc>
          <w:tcPr>
            <w:tcW w:w="1749" w:type="dxa"/>
            <w:vAlign w:val="center"/>
          </w:tcPr>
          <w:p>
            <w:pPr>
              <w:spacing w:before="240" w:line="360" w:lineRule="auto"/>
              <w:ind w:left="902" w:hanging="902"/>
              <w:jc w:val="center"/>
              <w:rPr>
                <w:rFonts w:ascii="宋体" w:hAnsi="宋体" w:cs="宋体"/>
                <w:color w:val="auto"/>
                <w:szCs w:val="21"/>
                <w:highlight w:val="none"/>
              </w:rPr>
            </w:pPr>
          </w:p>
        </w:tc>
        <w:tc>
          <w:tcPr>
            <w:tcW w:w="1253" w:type="dxa"/>
            <w:vAlign w:val="center"/>
          </w:tcPr>
          <w:p>
            <w:pPr>
              <w:spacing w:before="240" w:line="360" w:lineRule="auto"/>
              <w:ind w:left="902" w:hanging="902"/>
              <w:jc w:val="center"/>
              <w:rPr>
                <w:rFonts w:ascii="宋体" w:hAnsi="宋体" w:cs="宋体"/>
                <w:color w:val="auto"/>
                <w:szCs w:val="21"/>
                <w:highlight w:val="none"/>
              </w:rPr>
            </w:pPr>
          </w:p>
        </w:tc>
      </w:tr>
    </w:tbl>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说明：1、投标人必须对应竞争性磋商文件的 “</w:t>
      </w:r>
      <w:r>
        <w:rPr>
          <w:rFonts w:hint="eastAsia" w:ascii="宋体" w:hAnsi="宋体" w:cs="宋体"/>
          <w:color w:val="auto"/>
          <w:szCs w:val="21"/>
          <w:highlight w:val="none"/>
        </w:rPr>
        <w:t>▲</w:t>
      </w:r>
      <w:r>
        <w:rPr>
          <w:rFonts w:hint="eastAsia" w:ascii="宋体" w:hAnsi="宋体" w:cs="宋体"/>
          <w:b/>
          <w:bCs/>
          <w:color w:val="auto"/>
          <w:szCs w:val="21"/>
          <w:highlight w:val="none"/>
        </w:rPr>
        <w:t>”号条款逐条应答并按要求填写下表。</w:t>
      </w:r>
    </w:p>
    <w:p>
      <w:pPr>
        <w:rPr>
          <w:rFonts w:ascii="宋体" w:hAnsi="宋体" w:cs="宋体"/>
          <w:b/>
          <w:bCs/>
          <w:color w:val="auto"/>
          <w:kern w:val="0"/>
          <w:sz w:val="24"/>
          <w:highlight w:val="none"/>
        </w:rPr>
      </w:pPr>
      <w:r>
        <w:rPr>
          <w:rFonts w:hint="eastAsia" w:ascii="宋体" w:hAnsi="宋体" w:cs="宋体"/>
          <w:b/>
          <w:bCs/>
          <w:color w:val="auto"/>
          <w:szCs w:val="21"/>
          <w:highlight w:val="none"/>
        </w:rPr>
        <w:t>2、对完全响应的条目在下表相应列中标注“○”。对有偏离的条目在下表相应列中标注“×”，并简述偏离内容。</w:t>
      </w: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投标人全称（加盖公章）:</w:t>
      </w: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法定代表或其授权代表(</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p>
    <w:p>
      <w:pPr>
        <w:rPr>
          <w:rFonts w:ascii="宋体" w:hAnsi="宋体"/>
          <w:b/>
          <w:bCs/>
          <w:color w:val="auto"/>
          <w:kern w:val="0"/>
          <w:sz w:val="28"/>
          <w:szCs w:val="28"/>
          <w:highlight w:val="none"/>
        </w:rPr>
      </w:pPr>
      <w:r>
        <w:rPr>
          <w:rFonts w:hint="eastAsia" w:ascii="宋体" w:hAnsi="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附件22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bookmarkEnd w:id="370"/>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BlKYAK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QaN9chACAAAUBAAADgAAAAAAAAABACAA&#10;AAAgAQAAZHJzL2Uyb0RvYy54bWxQSwUGAAAAAAYABgBZAQAAog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xCfHeRACAAAUBAAADgAAAAAAAAABACAA&#10;AAAgAQAAZHJzL2Uyb0RvYy54bWxQSwUGAAAAAAYABgBZAQAAog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AfgbZ7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34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Chc7u0QAAAAMBAAAPAAAAAAAAAAEAIAAAACIA&#10;AABkcnMvZG93bnJldi54bWxQSwECFAAUAAAACACHTuJA2WlQuBACAAAUBAAADgAAAAAAAAABACAA&#10;AAAgAQAAZHJzL2Uyb0RvYy54bWxQSwUGAAAAAAYABgBZAQAAog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34</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4DC73839"/>
    <w:multiLevelType w:val="singleLevel"/>
    <w:tmpl w:val="4DC73839"/>
    <w:lvl w:ilvl="0" w:tentative="0">
      <w:start w:val="2"/>
      <w:numFmt w:val="decimal"/>
      <w:suff w:val="nothing"/>
      <w:lvlText w:val="%1）"/>
      <w:lvlJc w:val="left"/>
    </w:lvl>
  </w:abstractNum>
  <w:abstractNum w:abstractNumId="7">
    <w:nsid w:val="574E0A6A"/>
    <w:multiLevelType w:val="multilevel"/>
    <w:tmpl w:val="574E0A6A"/>
    <w:lvl w:ilvl="0" w:tentative="0">
      <w:start w:val="1"/>
      <w:numFmt w:val="japaneseCounting"/>
      <w:lvlText w:val="（%1）"/>
      <w:lvlJc w:val="left"/>
      <w:pPr>
        <w:tabs>
          <w:tab w:val="left" w:pos="1417"/>
        </w:tabs>
        <w:ind w:left="1417" w:hanging="855"/>
      </w:pPr>
      <w:rPr>
        <w:rFonts w:hint="default"/>
      </w:rPr>
    </w:lvl>
    <w:lvl w:ilvl="1" w:tentative="0">
      <w:start w:val="1"/>
      <w:numFmt w:val="lowerLetter"/>
      <w:lvlText w:val="%2)"/>
      <w:lvlJc w:val="left"/>
      <w:pPr>
        <w:tabs>
          <w:tab w:val="left" w:pos="1402"/>
        </w:tabs>
        <w:ind w:left="1402" w:hanging="420"/>
      </w:pPr>
    </w:lvl>
    <w:lvl w:ilvl="2" w:tentative="0">
      <w:start w:val="1"/>
      <w:numFmt w:val="lowerRoman"/>
      <w:lvlText w:val="%3."/>
      <w:lvlJc w:val="right"/>
      <w:pPr>
        <w:tabs>
          <w:tab w:val="left" w:pos="1822"/>
        </w:tabs>
        <w:ind w:left="1822" w:hanging="420"/>
      </w:pPr>
    </w:lvl>
    <w:lvl w:ilvl="3" w:tentative="0">
      <w:start w:val="1"/>
      <w:numFmt w:val="decimal"/>
      <w:lvlText w:val="%4."/>
      <w:lvlJc w:val="left"/>
      <w:pPr>
        <w:tabs>
          <w:tab w:val="left" w:pos="2242"/>
        </w:tabs>
        <w:ind w:left="2242" w:hanging="420"/>
      </w:pPr>
    </w:lvl>
    <w:lvl w:ilvl="4" w:tentative="0">
      <w:start w:val="1"/>
      <w:numFmt w:val="lowerLetter"/>
      <w:lvlText w:val="%5)"/>
      <w:lvlJc w:val="left"/>
      <w:pPr>
        <w:tabs>
          <w:tab w:val="left" w:pos="2662"/>
        </w:tabs>
        <w:ind w:left="2662" w:hanging="420"/>
      </w:pPr>
    </w:lvl>
    <w:lvl w:ilvl="5" w:tentative="0">
      <w:start w:val="1"/>
      <w:numFmt w:val="lowerRoman"/>
      <w:lvlText w:val="%6."/>
      <w:lvlJc w:val="right"/>
      <w:pPr>
        <w:tabs>
          <w:tab w:val="left" w:pos="3082"/>
        </w:tabs>
        <w:ind w:left="3082" w:hanging="420"/>
      </w:pPr>
    </w:lvl>
    <w:lvl w:ilvl="6" w:tentative="0">
      <w:start w:val="1"/>
      <w:numFmt w:val="decimal"/>
      <w:lvlText w:val="%7."/>
      <w:lvlJc w:val="left"/>
      <w:pPr>
        <w:tabs>
          <w:tab w:val="left" w:pos="3502"/>
        </w:tabs>
        <w:ind w:left="3502" w:hanging="420"/>
      </w:pPr>
    </w:lvl>
    <w:lvl w:ilvl="7" w:tentative="0">
      <w:start w:val="1"/>
      <w:numFmt w:val="lowerLetter"/>
      <w:lvlText w:val="%8)"/>
      <w:lvlJc w:val="left"/>
      <w:pPr>
        <w:tabs>
          <w:tab w:val="left" w:pos="3922"/>
        </w:tabs>
        <w:ind w:left="3922" w:hanging="420"/>
      </w:pPr>
    </w:lvl>
    <w:lvl w:ilvl="8" w:tentative="0">
      <w:start w:val="1"/>
      <w:numFmt w:val="lowerRoman"/>
      <w:lvlText w:val="%9."/>
      <w:lvlJc w:val="right"/>
      <w:pPr>
        <w:tabs>
          <w:tab w:val="left" w:pos="4342"/>
        </w:tabs>
        <w:ind w:left="4342" w:hanging="420"/>
      </w:pPr>
    </w:lvl>
  </w:abstractNum>
  <w:abstractNum w:abstractNumId="8">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lvlOverride w:ilvl="0">
      <w:startOverride w:val="1"/>
    </w:lvlOverride>
  </w:num>
  <w:num w:numId="2">
    <w:abstractNumId w:val="0"/>
  </w:num>
  <w:num w:numId="3">
    <w:abstractNumId w:val="2"/>
  </w:num>
  <w:num w:numId="4">
    <w:abstractNumId w:val="9"/>
  </w:num>
  <w:num w:numId="5">
    <w:abstractNumId w:val="8"/>
  </w:num>
  <w:num w:numId="6">
    <w:abstractNumId w:val="5"/>
  </w:num>
  <w:num w:numId="7">
    <w:abstractNumId w:val="6"/>
  </w:num>
  <w:num w:numId="8">
    <w:abstractNumId w:val="7"/>
  </w:num>
  <w:num w:numId="9">
    <w:abstractNumId w:val="10"/>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31EC6"/>
    <w:rsid w:val="00090FEB"/>
    <w:rsid w:val="000B151E"/>
    <w:rsid w:val="000B73FB"/>
    <w:rsid w:val="00193585"/>
    <w:rsid w:val="001D6D92"/>
    <w:rsid w:val="001F053A"/>
    <w:rsid w:val="002075A9"/>
    <w:rsid w:val="002437D0"/>
    <w:rsid w:val="00422C1A"/>
    <w:rsid w:val="004B069F"/>
    <w:rsid w:val="005054B5"/>
    <w:rsid w:val="00511485"/>
    <w:rsid w:val="00542854"/>
    <w:rsid w:val="00545874"/>
    <w:rsid w:val="00631C08"/>
    <w:rsid w:val="006E4DAE"/>
    <w:rsid w:val="007A5220"/>
    <w:rsid w:val="007C756C"/>
    <w:rsid w:val="00801945"/>
    <w:rsid w:val="00822326"/>
    <w:rsid w:val="008E4121"/>
    <w:rsid w:val="009D227D"/>
    <w:rsid w:val="009F7297"/>
    <w:rsid w:val="00A50D6E"/>
    <w:rsid w:val="00B7118C"/>
    <w:rsid w:val="00C56CAD"/>
    <w:rsid w:val="00C86501"/>
    <w:rsid w:val="00D71D8C"/>
    <w:rsid w:val="00D75658"/>
    <w:rsid w:val="00D908A5"/>
    <w:rsid w:val="00E6627F"/>
    <w:rsid w:val="00EA5994"/>
    <w:rsid w:val="00FA526C"/>
    <w:rsid w:val="00FA5424"/>
    <w:rsid w:val="02652F5D"/>
    <w:rsid w:val="03E73DB4"/>
    <w:rsid w:val="044B3BB7"/>
    <w:rsid w:val="04C33A59"/>
    <w:rsid w:val="05006FA0"/>
    <w:rsid w:val="06D2452B"/>
    <w:rsid w:val="07161791"/>
    <w:rsid w:val="08694ADA"/>
    <w:rsid w:val="0AE11E48"/>
    <w:rsid w:val="0B1E4EB3"/>
    <w:rsid w:val="0B871444"/>
    <w:rsid w:val="0C045CD2"/>
    <w:rsid w:val="0D2737A0"/>
    <w:rsid w:val="0D7356BA"/>
    <w:rsid w:val="0D8152E8"/>
    <w:rsid w:val="0E294FAB"/>
    <w:rsid w:val="0E2C5524"/>
    <w:rsid w:val="0E462DAD"/>
    <w:rsid w:val="0EEF4841"/>
    <w:rsid w:val="0EF709BB"/>
    <w:rsid w:val="11A42212"/>
    <w:rsid w:val="13C42286"/>
    <w:rsid w:val="167654DF"/>
    <w:rsid w:val="16A36F9A"/>
    <w:rsid w:val="189161D3"/>
    <w:rsid w:val="18F10CAD"/>
    <w:rsid w:val="199B7D6D"/>
    <w:rsid w:val="1A251978"/>
    <w:rsid w:val="1B62425E"/>
    <w:rsid w:val="1B9B22B5"/>
    <w:rsid w:val="1BB10FE2"/>
    <w:rsid w:val="1D461912"/>
    <w:rsid w:val="1D603FE9"/>
    <w:rsid w:val="1F1539B4"/>
    <w:rsid w:val="1F9E3FD7"/>
    <w:rsid w:val="20CE5A6D"/>
    <w:rsid w:val="210C2156"/>
    <w:rsid w:val="216E2E07"/>
    <w:rsid w:val="22535329"/>
    <w:rsid w:val="2301305E"/>
    <w:rsid w:val="233D3FD3"/>
    <w:rsid w:val="255A3784"/>
    <w:rsid w:val="28B30944"/>
    <w:rsid w:val="2988523F"/>
    <w:rsid w:val="2A1810D7"/>
    <w:rsid w:val="2A4464A6"/>
    <w:rsid w:val="2B8F5A11"/>
    <w:rsid w:val="2B996E20"/>
    <w:rsid w:val="2C3F15A1"/>
    <w:rsid w:val="2C825794"/>
    <w:rsid w:val="2CC3315B"/>
    <w:rsid w:val="30031F2E"/>
    <w:rsid w:val="32D43E29"/>
    <w:rsid w:val="33A779F4"/>
    <w:rsid w:val="33C85B04"/>
    <w:rsid w:val="348E0D5D"/>
    <w:rsid w:val="354A32AA"/>
    <w:rsid w:val="35BA082D"/>
    <w:rsid w:val="370D4E81"/>
    <w:rsid w:val="379310B2"/>
    <w:rsid w:val="38AF7C5A"/>
    <w:rsid w:val="39144DD2"/>
    <w:rsid w:val="3934375E"/>
    <w:rsid w:val="39C46B8C"/>
    <w:rsid w:val="3B91650A"/>
    <w:rsid w:val="3C25407B"/>
    <w:rsid w:val="3C47493F"/>
    <w:rsid w:val="3C7E432D"/>
    <w:rsid w:val="3CA41E14"/>
    <w:rsid w:val="3E253455"/>
    <w:rsid w:val="407A6BB4"/>
    <w:rsid w:val="40F2232A"/>
    <w:rsid w:val="413E03B5"/>
    <w:rsid w:val="433C464F"/>
    <w:rsid w:val="43E54961"/>
    <w:rsid w:val="45816D95"/>
    <w:rsid w:val="45BC0B50"/>
    <w:rsid w:val="47F7074A"/>
    <w:rsid w:val="483A70FF"/>
    <w:rsid w:val="48F42843"/>
    <w:rsid w:val="4BA44348"/>
    <w:rsid w:val="4BC27EF0"/>
    <w:rsid w:val="4C6D3D00"/>
    <w:rsid w:val="4DBE3804"/>
    <w:rsid w:val="4E5221B2"/>
    <w:rsid w:val="500819AE"/>
    <w:rsid w:val="52A95F17"/>
    <w:rsid w:val="566F2845"/>
    <w:rsid w:val="592B775C"/>
    <w:rsid w:val="5B841AA4"/>
    <w:rsid w:val="5CE9656C"/>
    <w:rsid w:val="5E363818"/>
    <w:rsid w:val="5E421EBB"/>
    <w:rsid w:val="5F9100C4"/>
    <w:rsid w:val="60926C48"/>
    <w:rsid w:val="61C679A6"/>
    <w:rsid w:val="62226958"/>
    <w:rsid w:val="645475E2"/>
    <w:rsid w:val="65B25C36"/>
    <w:rsid w:val="68BC1C18"/>
    <w:rsid w:val="69EB46BE"/>
    <w:rsid w:val="6C3237AC"/>
    <w:rsid w:val="6CF57457"/>
    <w:rsid w:val="6D0C7F81"/>
    <w:rsid w:val="6D757E5C"/>
    <w:rsid w:val="70730C6B"/>
    <w:rsid w:val="70C704EA"/>
    <w:rsid w:val="7151618F"/>
    <w:rsid w:val="72472021"/>
    <w:rsid w:val="73250F8A"/>
    <w:rsid w:val="73E10AC3"/>
    <w:rsid w:val="77D008D6"/>
    <w:rsid w:val="781D5E1A"/>
    <w:rsid w:val="7B2E0E6C"/>
    <w:rsid w:val="7C783AD5"/>
    <w:rsid w:val="7CC65E6E"/>
    <w:rsid w:val="7CE37D39"/>
    <w:rsid w:val="7D8D6193"/>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列出段落1"/>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12"/>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78</Pages>
  <Words>6720</Words>
  <Characters>38309</Characters>
  <Lines>319</Lines>
  <Paragraphs>89</Paragraphs>
  <TotalTime>0</TotalTime>
  <ScaleCrop>false</ScaleCrop>
  <LinksUpToDate>false</LinksUpToDate>
  <CharactersWithSpaces>44940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2020-11-23T02:54:00Z</dcterms:created>
  <dc:creator>LBDZ</dc:creator>
  <cp:lastModifiedBy>小笼包</cp:lastModifiedBy>
  <cp:lastPrinted>2020-08-19T09:18:00Z</cp:lastPrinted>
  <dcterms:modified xsi:type="dcterms:W3CDTF">2020-12-17T08:10:18Z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