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hint="eastAsia" w:ascii="宋体" w:hAnsi="宋体" w:eastAsia="宋体"/>
          <w:b/>
          <w:color w:val="auto"/>
          <w:sz w:val="28"/>
          <w:szCs w:val="28"/>
          <w:highlight w:val="none"/>
          <w:lang w:eastAsia="zh-CN"/>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广东省农业科学院动物科学研究所生态鸭舍鸭笼设备采购</w:t>
      </w:r>
    </w:p>
    <w:p>
      <w:pPr>
        <w:spacing w:line="360" w:lineRule="auto"/>
        <w:jc w:val="center"/>
        <w:rPr>
          <w:rFonts w:hint="default" w:ascii="宋体" w:hAnsi="宋体" w:eastAsia="宋体"/>
          <w:b/>
          <w:color w:val="auto"/>
          <w:sz w:val="28"/>
          <w:szCs w:val="28"/>
          <w:highlight w:val="none"/>
          <w:lang w:val="en-US" w:eastAsia="zh-CN"/>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202011-184098-0069</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lang w:eastAsia="zh-CN"/>
        </w:rPr>
        <w:t>广东省农业科学院动物科学研究所</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3"/>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3"/>
          <w:rFonts w:hint="eastAsia" w:ascii="宋体" w:hAnsi="宋体"/>
          <w:b/>
          <w:color w:val="auto"/>
          <w:sz w:val="30"/>
          <w:szCs w:val="30"/>
          <w:highlight w:val="none"/>
          <w:u w:val="none"/>
        </w:rPr>
        <w:t xml:space="preserve"> 二○二○年</w:t>
      </w:r>
      <w:r>
        <w:rPr>
          <w:rStyle w:val="93"/>
          <w:rFonts w:hint="eastAsia" w:ascii="宋体" w:hAnsi="宋体"/>
          <w:b/>
          <w:color w:val="auto"/>
          <w:sz w:val="30"/>
          <w:szCs w:val="30"/>
          <w:highlight w:val="none"/>
          <w:u w:val="none"/>
          <w:lang w:eastAsia="zh-CN"/>
        </w:rPr>
        <w:t>十二</w:t>
      </w:r>
      <w:r>
        <w:rPr>
          <w:rStyle w:val="93"/>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w:t>
      </w:r>
      <w:r>
        <w:rPr>
          <w:rFonts w:hint="eastAsia" w:ascii="宋体" w:hAnsi="宋体"/>
          <w:color w:val="auto"/>
          <w:szCs w:val="21"/>
          <w:highlight w:val="none"/>
          <w:lang w:eastAsia="zh-CN"/>
        </w:rPr>
        <w:t>竞争性磋商文件</w:t>
      </w:r>
      <w:r>
        <w:rPr>
          <w:rFonts w:hint="eastAsia" w:ascii="宋体" w:hAnsi="宋体"/>
          <w:color w:val="auto"/>
          <w:szCs w:val="21"/>
          <w:highlight w:val="none"/>
        </w:rPr>
        <w:t>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报价报价人以非独立法人注册的分公司名义代表总公司盖章和签署文件的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r>
        <w:rPr>
          <w:rFonts w:hint="eastAsia" w:ascii="宋体" w:hAnsi="宋体"/>
          <w:color w:val="auto"/>
          <w:szCs w:val="21"/>
          <w:highlight w:val="none"/>
          <w:lang w:val="en-US" w:eastAsia="zh-CN"/>
        </w:rPr>
        <w:t xml:space="preserve"> </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投标/报价报价人为中型、小型、微型企业的，请提交《中小企业声明函》。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w:t>
      </w:r>
      <w:r>
        <w:rPr>
          <w:rFonts w:hint="eastAsia" w:ascii="宋体" w:hAnsi="宋体"/>
          <w:color w:val="auto"/>
          <w:szCs w:val="21"/>
          <w:highlight w:val="none"/>
          <w:lang w:eastAsia="zh-CN"/>
        </w:rPr>
        <w:t>竞争性磋商文件</w:t>
      </w:r>
      <w:r>
        <w:rPr>
          <w:rFonts w:hint="eastAsia" w:ascii="宋体" w:hAnsi="宋体"/>
          <w:color w:val="auto"/>
          <w:szCs w:val="21"/>
          <w:highlight w:val="none"/>
        </w:rPr>
        <w:t>而决定不参加本次投标/报价的报价人，在投标/报价文件递交截止时间的3日前，按《投标/报价邀请函》中的联系方式，以书面形式告知采购代理机构。对您的支持与配合，谨此致谢。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w:t>
      </w:r>
      <w:r>
        <w:rPr>
          <w:rFonts w:hint="eastAsia" w:ascii="宋体" w:hAnsi="宋体"/>
          <w:color w:val="auto"/>
          <w:szCs w:val="21"/>
          <w:highlight w:val="none"/>
          <w:lang w:eastAsia="zh-CN"/>
        </w:rPr>
        <w:t>竞争性磋商文件</w:t>
      </w:r>
      <w:r>
        <w:rPr>
          <w:rFonts w:hint="eastAsia" w:ascii="宋体" w:hAnsi="宋体"/>
          <w:color w:val="auto"/>
          <w:szCs w:val="21"/>
          <w:highlight w:val="none"/>
        </w:rPr>
        <w:t>的组成部分，仅为善意提醒。如有不一致，以</w:t>
      </w:r>
      <w:r>
        <w:rPr>
          <w:rFonts w:hint="eastAsia" w:ascii="宋体" w:hAnsi="宋体"/>
          <w:color w:val="auto"/>
          <w:szCs w:val="21"/>
          <w:highlight w:val="none"/>
          <w:lang w:eastAsia="zh-CN"/>
        </w:rPr>
        <w:t>竞争性磋商文件</w:t>
      </w:r>
      <w:r>
        <w:rPr>
          <w:rFonts w:hint="eastAsia" w:ascii="宋体" w:hAnsi="宋体"/>
          <w:color w:val="auto"/>
          <w:szCs w:val="21"/>
          <w:highlight w:val="none"/>
        </w:rPr>
        <w:t>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3"/>
          <w:rFonts w:ascii="宋体" w:hAnsi="宋体"/>
          <w:smallCaps/>
          <w:color w:val="auto"/>
          <w:sz w:val="28"/>
          <w:szCs w:val="28"/>
          <w:highlight w:val="none"/>
        </w:rPr>
      </w:pPr>
    </w:p>
    <w:p>
      <w:pPr>
        <w:pStyle w:val="64"/>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3"/>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3"/>
          <w:rFonts w:hint="eastAsia"/>
          <w:color w:val="auto"/>
          <w:sz w:val="28"/>
          <w:szCs w:val="28"/>
          <w:highlight w:val="none"/>
        </w:rPr>
        <w:t>第一章 竞争性磋商公告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4"/>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3"/>
          <w:rFonts w:hint="eastAsia"/>
          <w:color w:val="auto"/>
          <w:sz w:val="28"/>
          <w:szCs w:val="28"/>
          <w:highlight w:val="none"/>
        </w:rPr>
        <w:t>第二章 竞争性磋商须</w:t>
      </w:r>
      <w:bookmarkStart w:id="2" w:name="_Hlt509928387"/>
      <w:r>
        <w:rPr>
          <w:rStyle w:val="93"/>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8</w:t>
      </w:r>
    </w:p>
    <w:p>
      <w:pPr>
        <w:pStyle w:val="64"/>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3"/>
          <w:rFonts w:hint="eastAsia"/>
          <w:color w:val="auto"/>
          <w:sz w:val="28"/>
          <w:szCs w:val="28"/>
          <w:highlight w:val="none"/>
        </w:rPr>
        <w:t>第三章 采购人</w:t>
      </w:r>
      <w:bookmarkStart w:id="3" w:name="_Hlt510014101"/>
      <w:r>
        <w:rPr>
          <w:rStyle w:val="93"/>
          <w:rFonts w:hint="eastAsia"/>
          <w:color w:val="auto"/>
          <w:sz w:val="28"/>
          <w:szCs w:val="28"/>
          <w:highlight w:val="none"/>
        </w:rPr>
        <w:t>需</w:t>
      </w:r>
      <w:bookmarkEnd w:id="3"/>
      <w:bookmarkStart w:id="4" w:name="_Hlt510971526"/>
      <w:r>
        <w:rPr>
          <w:rStyle w:val="93"/>
          <w:rFonts w:hint="eastAsia"/>
          <w:color w:val="auto"/>
          <w:sz w:val="28"/>
          <w:szCs w:val="28"/>
          <w:highlight w:val="none"/>
        </w:rPr>
        <w:t>求</w:t>
      </w:r>
      <w:bookmarkEnd w:id="4"/>
      <w:bookmarkStart w:id="5" w:name="_Hlt510014036"/>
      <w:bookmarkStart w:id="6" w:name="_Hlt510014037"/>
      <w:r>
        <w:rPr>
          <w:rStyle w:val="93"/>
          <w:rFonts w:hint="eastAsia"/>
          <w:color w:val="auto"/>
          <w:sz w:val="28"/>
          <w:szCs w:val="28"/>
          <w:highlight w:val="none"/>
        </w:rPr>
        <w:t>书</w:t>
      </w:r>
      <w:bookmarkEnd w:id="5"/>
      <w:bookmarkEnd w:id="6"/>
      <w:bookmarkStart w:id="7" w:name="_Hlt509994711"/>
      <w:bookmarkStart w:id="8" w:name="_Hlt509994710"/>
      <w:bookmarkStart w:id="9" w:name="_Hlt509991847"/>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25</w:t>
      </w:r>
    </w:p>
    <w:p>
      <w:pPr>
        <w:pStyle w:val="64"/>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3"/>
          <w:rFonts w:hint="eastAsia"/>
          <w:color w:val="auto"/>
          <w:sz w:val="28"/>
          <w:szCs w:val="28"/>
          <w:highlight w:val="none"/>
        </w:rPr>
        <w:t xml:space="preserve">第四章 </w:t>
      </w:r>
      <w:bookmarkStart w:id="10" w:name="_Hlt511828826"/>
      <w:r>
        <w:rPr>
          <w:rStyle w:val="93"/>
          <w:rFonts w:hint="eastAsia"/>
          <w:color w:val="auto"/>
          <w:sz w:val="28"/>
          <w:szCs w:val="28"/>
          <w:highlight w:val="none"/>
        </w:rPr>
        <w:t>政府采购合同（</w:t>
      </w:r>
      <w:bookmarkEnd w:id="10"/>
      <w:r>
        <w:rPr>
          <w:rStyle w:val="93"/>
          <w:rFonts w:hint="eastAsia"/>
          <w:color w:val="auto"/>
          <w:sz w:val="28"/>
          <w:szCs w:val="28"/>
          <w:highlight w:val="none"/>
        </w:rPr>
        <w:t>样本）</w:t>
      </w:r>
      <w:r>
        <w:rPr>
          <w:rStyle w:val="93"/>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31</w:t>
      </w:r>
    </w:p>
    <w:p>
      <w:pPr>
        <w:pStyle w:val="64"/>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3"/>
          <w:rFonts w:hint="eastAsia"/>
          <w:color w:val="auto"/>
          <w:sz w:val="28"/>
          <w:szCs w:val="28"/>
          <w:highlight w:val="none"/>
        </w:rPr>
        <w:t>第五章 评分</w:t>
      </w:r>
      <w:bookmarkStart w:id="11" w:name="_Hlt509997395"/>
      <w:r>
        <w:rPr>
          <w:rStyle w:val="93"/>
          <w:rFonts w:hint="eastAsia"/>
          <w:color w:val="auto"/>
          <w:sz w:val="28"/>
          <w:szCs w:val="28"/>
          <w:highlight w:val="none"/>
        </w:rPr>
        <w:t>体</w:t>
      </w:r>
      <w:bookmarkEnd w:id="11"/>
      <w:bookmarkStart w:id="12" w:name="_Hlt475104622"/>
      <w:r>
        <w:rPr>
          <w:rStyle w:val="93"/>
          <w:rFonts w:hint="eastAsia"/>
          <w:color w:val="auto"/>
          <w:sz w:val="28"/>
          <w:szCs w:val="28"/>
          <w:highlight w:val="none"/>
        </w:rPr>
        <w:t>系</w:t>
      </w:r>
      <w:bookmarkEnd w:id="12"/>
      <w:bookmarkStart w:id="13" w:name="_Hlt510014093"/>
      <w:bookmarkStart w:id="14" w:name="_Hlt509932461"/>
      <w:bookmarkStart w:id="15" w:name="_Hlt509932460"/>
      <w:r>
        <w:rPr>
          <w:rStyle w:val="93"/>
          <w:rFonts w:hint="eastAsia"/>
          <w:color w:val="auto"/>
          <w:sz w:val="28"/>
          <w:szCs w:val="28"/>
          <w:highlight w:val="none"/>
        </w:rPr>
        <w:t>与</w:t>
      </w:r>
      <w:bookmarkEnd w:id="13"/>
      <w:bookmarkEnd w:id="14"/>
      <w:bookmarkEnd w:id="15"/>
      <w:bookmarkStart w:id="16" w:name="_Hlt509994748"/>
      <w:r>
        <w:rPr>
          <w:rStyle w:val="93"/>
          <w:rFonts w:hint="eastAsia"/>
          <w:color w:val="auto"/>
          <w:sz w:val="28"/>
          <w:szCs w:val="28"/>
          <w:highlight w:val="none"/>
        </w:rPr>
        <w:t>标</w:t>
      </w:r>
      <w:bookmarkEnd w:id="16"/>
      <w:bookmarkStart w:id="17" w:name="_Hlt509992254"/>
      <w:bookmarkStart w:id="18" w:name="_Hlt510014176"/>
      <w:r>
        <w:rPr>
          <w:rStyle w:val="93"/>
          <w:rFonts w:hint="eastAsia"/>
          <w:color w:val="auto"/>
          <w:sz w:val="28"/>
          <w:szCs w:val="28"/>
          <w:highlight w:val="none"/>
        </w:rPr>
        <w:t>准</w:t>
      </w:r>
      <w:bookmarkEnd w:id="17"/>
      <w:bookmarkEnd w:id="18"/>
      <w:bookmarkStart w:id="19" w:name="_Hlt509991722"/>
      <w:bookmarkStart w:id="20" w:name="_Hlt509991939"/>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36</w:t>
      </w:r>
    </w:p>
    <w:p>
      <w:pPr>
        <w:pStyle w:val="64"/>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3"/>
          <w:rFonts w:hint="eastAsia"/>
          <w:color w:val="auto"/>
          <w:sz w:val="28"/>
          <w:szCs w:val="28"/>
          <w:highlight w:val="none"/>
        </w:rPr>
        <w:t>第六章 附件（格</w:t>
      </w:r>
      <w:bookmarkStart w:id="22" w:name="_Hlt510014049"/>
      <w:r>
        <w:rPr>
          <w:rStyle w:val="93"/>
          <w:rFonts w:hint="eastAsia"/>
          <w:color w:val="auto"/>
          <w:sz w:val="28"/>
          <w:szCs w:val="28"/>
          <w:highlight w:val="none"/>
        </w:rPr>
        <w:t>式</w:t>
      </w:r>
      <w:bookmarkEnd w:id="22"/>
      <w:r>
        <w:rPr>
          <w:rStyle w:val="93"/>
          <w:rFonts w:hint="eastAsia"/>
          <w:color w:val="auto"/>
          <w:sz w:val="28"/>
          <w:szCs w:val="28"/>
          <w:highlight w:val="none"/>
        </w:rPr>
        <w:t>）</w:t>
      </w:r>
      <w:r>
        <w:rPr>
          <w:color w:val="auto"/>
          <w:sz w:val="28"/>
          <w:szCs w:val="28"/>
          <w:highlight w:val="none"/>
        </w:rPr>
        <w:tab/>
      </w:r>
      <w:r>
        <w:rPr>
          <w:color w:val="auto"/>
          <w:sz w:val="28"/>
          <w:szCs w:val="28"/>
          <w:highlight w:val="none"/>
        </w:rPr>
        <w:fldChar w:fldCharType="end"/>
      </w:r>
      <w:bookmarkStart w:id="370" w:name="_GoBack"/>
      <w:bookmarkEnd w:id="370"/>
      <w:r>
        <w:rPr>
          <w:rFonts w:hint="eastAsia"/>
          <w:color w:val="auto"/>
          <w:sz w:val="28"/>
          <w:szCs w:val="28"/>
          <w:highlight w:val="none"/>
          <w:lang w:val="en-US" w:eastAsia="zh-CN"/>
        </w:rPr>
        <w:t>43</w:t>
      </w:r>
    </w:p>
    <w:p>
      <w:pPr>
        <w:pStyle w:val="64"/>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cols w:space="720" w:num="1"/>
          <w:titlePg/>
          <w:docGrid w:linePitch="312" w:charSpace="0"/>
        </w:sectPr>
      </w:pPr>
    </w:p>
    <w:p>
      <w:pPr>
        <w:pStyle w:val="64"/>
        <w:tabs>
          <w:tab w:val="right" w:leader="dot" w:pos="9231"/>
        </w:tabs>
        <w:spacing w:line="360" w:lineRule="auto"/>
        <w:rPr>
          <w:b w:val="0"/>
          <w:bCs w:val="0"/>
          <w:caps w:val="0"/>
          <w:color w:val="auto"/>
          <w:sz w:val="28"/>
          <w:szCs w:val="28"/>
          <w:highlight w:val="none"/>
        </w:rPr>
      </w:pPr>
    </w:p>
    <w:p>
      <w:pPr>
        <w:pStyle w:val="64"/>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3"/>
        <w:autoSpaceDE w:val="0"/>
        <w:rPr>
          <w:color w:val="auto"/>
          <w:sz w:val="44"/>
          <w:highlight w:val="none"/>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rPr>
        <w:t>公告</w:t>
      </w:r>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eastAsia="zh-CN"/>
        </w:rPr>
        <w:t>广东省农业科学院动物科学研究所生态鸭舍鸭笼设备采购</w:t>
      </w:r>
      <w:r>
        <w:rPr>
          <w:rFonts w:hint="eastAsia" w:ascii="宋体" w:hAnsi="宋体" w:cs="宋体"/>
          <w:color w:val="auto"/>
          <w:szCs w:val="21"/>
          <w:highlight w:val="none"/>
        </w:rPr>
        <w:t xml:space="preserve"> 招标项目的潜在报价人应在广州市海珠区红卫新村西路29号UP智谷D栋503房获取竞争性磋商文件，并于202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202011-184098-0069</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广东省农业科学院动物科学研究所生态鸭舍鸭笼设备采购</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488000.00</w:t>
      </w:r>
      <w:r>
        <w:rPr>
          <w:rFonts w:hint="eastAsia" w:ascii="宋体" w:hAnsi="宋体" w:cs="宋体"/>
          <w:bCs/>
          <w:color w:val="auto"/>
          <w:szCs w:val="20"/>
          <w:highlight w:val="none"/>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最高限价：</w:t>
      </w:r>
      <w:r>
        <w:rPr>
          <w:rFonts w:hint="eastAsia" w:ascii="宋体" w:hAnsi="宋体" w:cs="宋体"/>
          <w:bCs/>
          <w:color w:val="auto"/>
          <w:szCs w:val="20"/>
          <w:highlight w:val="none"/>
          <w:lang w:eastAsia="zh-CN"/>
        </w:rPr>
        <w:t>488000.00</w:t>
      </w:r>
      <w:r>
        <w:rPr>
          <w:rFonts w:hint="eastAsia" w:ascii="宋体" w:hAnsi="宋体" w:cs="宋体"/>
          <w:bCs/>
          <w:color w:val="auto"/>
          <w:szCs w:val="20"/>
          <w:highlight w:val="none"/>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bCs/>
          <w:color w:val="auto"/>
          <w:szCs w:val="20"/>
          <w:highlight w:val="none"/>
          <w:lang w:eastAsia="zh-CN"/>
        </w:rPr>
        <w:t>广东省农业科学院动物科学研究所生态鸭舍鸭笼设备采购</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采购预算、数量及</w:t>
      </w:r>
      <w:r>
        <w:rPr>
          <w:rFonts w:hint="eastAsia" w:ascii="宋体" w:hAnsi="宋体"/>
          <w:color w:val="auto"/>
          <w:szCs w:val="21"/>
          <w:highlight w:val="none"/>
          <w:lang w:eastAsia="zh-CN"/>
        </w:rPr>
        <w:t>合同履行期限</w:t>
      </w:r>
      <w:r>
        <w:rPr>
          <w:rFonts w:hint="eastAsia" w:asciiTheme="minorEastAsia" w:hAnsiTheme="minorEastAsia" w:eastAsiaTheme="minorEastAsia" w:cstheme="minorEastAsia"/>
          <w:color w:val="auto"/>
          <w:sz w:val="21"/>
          <w:szCs w:val="21"/>
          <w:highlight w:val="none"/>
          <w:lang w:val="zh-CN"/>
        </w:rPr>
        <w:t>：</w:t>
      </w:r>
    </w:p>
    <w:tbl>
      <w:tblPr>
        <w:tblStyle w:val="95"/>
        <w:tblW w:w="71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0"/>
        <w:gridCol w:w="2483"/>
        <w:gridCol w:w="2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2240"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采购货物内容</w:t>
            </w:r>
          </w:p>
        </w:tc>
        <w:tc>
          <w:tcPr>
            <w:tcW w:w="2483"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数量</w:t>
            </w:r>
          </w:p>
        </w:tc>
        <w:tc>
          <w:tcPr>
            <w:tcW w:w="2416" w:type="dxa"/>
            <w:vAlign w:val="center"/>
          </w:tcPr>
          <w:p>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240" w:type="dxa"/>
            <w:vAlign w:val="center"/>
          </w:tcPr>
          <w:p>
            <w:pPr>
              <w:jc w:val="center"/>
              <w:rPr>
                <w:rFonts w:hint="eastAsia" w:ascii="宋体" w:hAnsi="宋体" w:eastAsia="宋体"/>
                <w:color w:val="auto"/>
                <w:szCs w:val="21"/>
                <w:highlight w:val="none"/>
                <w:lang w:eastAsia="zh-CN"/>
              </w:rPr>
            </w:pPr>
            <w:r>
              <w:rPr>
                <w:rFonts w:hint="eastAsia" w:asciiTheme="minorEastAsia" w:hAnsiTheme="minorEastAsia" w:eastAsiaTheme="minorEastAsia" w:cstheme="minorEastAsia"/>
                <w:color w:val="auto"/>
                <w:sz w:val="21"/>
                <w:szCs w:val="21"/>
                <w:highlight w:val="none"/>
                <w:lang w:val="zh-CN"/>
              </w:rPr>
              <w:t>鸭笼</w:t>
            </w:r>
          </w:p>
        </w:tc>
        <w:tc>
          <w:tcPr>
            <w:tcW w:w="2483" w:type="dxa"/>
            <w:vAlign w:val="center"/>
          </w:tcPr>
          <w:p>
            <w:pPr>
              <w:jc w:val="center"/>
              <w:rPr>
                <w:rFonts w:hint="default"/>
                <w:color w:val="auto"/>
                <w:highlight w:val="none"/>
                <w:lang w:val="en-US" w:eastAsia="zh-CN"/>
              </w:rPr>
            </w:pPr>
            <w:r>
              <w:rPr>
                <w:rFonts w:hint="eastAsia" w:ascii="宋体" w:hAnsi="宋体" w:cs="Times New Roman"/>
                <w:color w:val="auto"/>
                <w:szCs w:val="21"/>
                <w:highlight w:val="none"/>
                <w:lang w:val="en-US" w:eastAsia="zh-CN"/>
              </w:rPr>
              <w:t>320组</w:t>
            </w:r>
          </w:p>
        </w:tc>
        <w:tc>
          <w:tcPr>
            <w:tcW w:w="2416" w:type="dxa"/>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1.2米/组</w:t>
            </w:r>
          </w:p>
        </w:tc>
      </w:tr>
    </w:tbl>
    <w:p>
      <w:pPr>
        <w:pStyle w:val="2"/>
        <w:rPr>
          <w:rFonts w:ascii="宋体" w:hAnsi="宋体" w:cs="宋体"/>
          <w:bCs/>
          <w:color w:val="auto"/>
          <w:szCs w:val="20"/>
          <w:highlight w:val="none"/>
        </w:rPr>
      </w:pP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eastAsia="zh-CN"/>
        </w:rPr>
        <w:t>4</w:t>
      </w:r>
      <w:r>
        <w:rPr>
          <w:rFonts w:hint="eastAsia" w:ascii="宋体" w:hAnsi="宋体" w:cs="宋体"/>
          <w:bCs/>
          <w:color w:val="auto"/>
          <w:szCs w:val="20"/>
          <w:highlight w:val="none"/>
          <w:lang w:val="en-US" w:eastAsia="zh-CN"/>
        </w:rPr>
        <w:t>88</w:t>
      </w:r>
      <w:r>
        <w:rPr>
          <w:rFonts w:hint="eastAsia" w:ascii="宋体" w:hAnsi="宋体" w:cs="宋体"/>
          <w:bCs/>
          <w:color w:val="auto"/>
          <w:szCs w:val="20"/>
          <w:highlight w:val="none"/>
          <w:lang w:eastAsia="zh-CN"/>
        </w:rPr>
        <w:t>000.00</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bCs/>
          <w:color w:val="auto"/>
          <w:szCs w:val="20"/>
          <w:highlight w:val="none"/>
          <w:lang w:eastAsia="zh-CN"/>
        </w:rPr>
        <w:t>广东省农业科学院动物科学研究所生态鸭舍鸭笼设备采购</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合同履行期限</w:t>
      </w: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日历天内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提供2018年或2019年的财务状况报告或基本开户行（提供开户许可证）出具的资信证明复印件。如报价人为新注册的，提供成立至今的月或季度财务状况报告复印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（2）报价人《公平竞争承诺书》原件。</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3）本项目报价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报价人为非独立法人（即由合法法人依法建立的分公司），除了对报价人进行信息查询外，同时对总公司的信息查询记录和证据截图或下载存档）。</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4）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p>
    <w:p>
      <w:pPr>
        <w:tabs>
          <w:tab w:val="left" w:pos="840"/>
          <w:tab w:val="left" w:pos="945"/>
        </w:tabs>
        <w:snapToGrid w:val="0"/>
        <w:spacing w:line="360" w:lineRule="auto"/>
        <w:ind w:left="525"/>
        <w:rPr>
          <w:rFonts w:hint="eastAsia" w:ascii="宋体" w:hAnsi="宋体" w:eastAsia="宋体" w:cs="宋体"/>
          <w:b/>
          <w:bCs/>
          <w:color w:val="auto"/>
          <w:szCs w:val="20"/>
          <w:highlight w:val="none"/>
          <w:lang w:eastAsia="zh-CN"/>
        </w:rPr>
      </w:pPr>
      <w:r>
        <w:rPr>
          <w:rFonts w:ascii="宋体" w:hAnsi="宋体" w:cs="宋体"/>
          <w:b/>
          <w:bCs/>
          <w:color w:val="auto"/>
          <w:szCs w:val="20"/>
          <w:highlight w:val="none"/>
        </w:rPr>
        <w:t>三、获取</w:t>
      </w:r>
      <w:r>
        <w:rPr>
          <w:rFonts w:hint="eastAsia" w:ascii="宋体" w:hAnsi="宋体" w:cs="宋体"/>
          <w:b/>
          <w:bCs/>
          <w:color w:val="auto"/>
          <w:szCs w:val="20"/>
          <w:highlight w:val="none"/>
          <w:lang w:eastAsia="zh-CN"/>
        </w:rPr>
        <w:t>竞争性磋商文件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28</w:t>
      </w:r>
      <w:r>
        <w:rPr>
          <w:rFonts w:ascii="宋体" w:hAnsi="宋体" w:cs="宋体"/>
          <w:bCs/>
          <w:color w:val="auto"/>
          <w:szCs w:val="20"/>
          <w:highlight w:val="none"/>
        </w:rPr>
        <w:t>日至202</w:t>
      </w:r>
      <w:r>
        <w:rPr>
          <w:rFonts w:hint="eastAsia" w:ascii="宋体" w:hAnsi="宋体" w:cs="宋体"/>
          <w:bCs/>
          <w:color w:val="auto"/>
          <w:szCs w:val="20"/>
          <w:highlight w:val="none"/>
          <w:lang w:val="en-US" w:eastAsia="zh-CN"/>
        </w:rPr>
        <w:t>1</w:t>
      </w:r>
      <w:r>
        <w:rPr>
          <w:rFonts w:ascii="宋体" w:hAnsi="宋体" w:cs="宋体"/>
          <w:bCs/>
          <w:color w:val="auto"/>
          <w:szCs w:val="20"/>
          <w:highlight w:val="none"/>
        </w:rPr>
        <w:t>年</w:t>
      </w:r>
      <w:r>
        <w:rPr>
          <w:rFonts w:hint="eastAsia" w:ascii="宋体" w:hAnsi="宋体" w:cs="宋体"/>
          <w:bCs/>
          <w:color w:val="auto"/>
          <w:szCs w:val="20"/>
          <w:highlight w:val="none"/>
          <w:lang w:val="en-US" w:eastAsia="zh-CN"/>
        </w:rPr>
        <w:t>01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04</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rPr>
        <w:t>09</w:t>
      </w:r>
      <w:r>
        <w:rPr>
          <w:rFonts w:ascii="宋体" w:hAnsi="宋体" w:cs="宋体"/>
          <w:bCs/>
          <w:color w:val="auto"/>
          <w:szCs w:val="20"/>
          <w:highlight w:val="none"/>
        </w:rPr>
        <w:t>:</w:t>
      </w:r>
      <w:r>
        <w:rPr>
          <w:rFonts w:hint="eastAsia" w:ascii="宋体" w:hAnsi="宋体" w:cs="宋体"/>
          <w:bCs/>
          <w:color w:val="auto"/>
          <w:szCs w:val="20"/>
          <w:highlight w:val="none"/>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w:t>
      </w:r>
      <w:r>
        <w:rPr>
          <w:rFonts w:ascii="宋体" w:hAnsi="宋体" w:cs="宋体"/>
          <w:bCs/>
          <w:color w:val="auto"/>
          <w:szCs w:val="20"/>
          <w:highlight w:val="none"/>
        </w:rPr>
        <w:t>（北京时间）（从磋商文件开始发出之日起至</w:t>
      </w:r>
      <w:r>
        <w:rPr>
          <w:rFonts w:hint="eastAsia" w:ascii="宋体" w:hAnsi="宋体" w:cs="宋体"/>
          <w:bCs/>
          <w:color w:val="auto"/>
          <w:szCs w:val="20"/>
          <w:highlight w:val="none"/>
        </w:rPr>
        <w:t>报价人</w:t>
      </w:r>
      <w:r>
        <w:rPr>
          <w:rFonts w:ascii="宋体" w:hAnsi="宋体" w:cs="宋体"/>
          <w:bCs/>
          <w:color w:val="auto"/>
          <w:szCs w:val="20"/>
          <w:highlight w:val="none"/>
        </w:rPr>
        <w:t>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6" w:name="_Toc28359016"/>
      <w:bookmarkStart w:id="27" w:name="_Toc35393802"/>
      <w:bookmarkStart w:id="28" w:name="_Toc28359093"/>
      <w:bookmarkStart w:id="29" w:name="_Toc35393633"/>
      <w:r>
        <w:rPr>
          <w:rFonts w:hint="eastAsia" w:ascii="宋体" w:hAnsi="宋体" w:cs="宋体"/>
          <w:b/>
          <w:bCs/>
          <w:color w:val="auto"/>
          <w:szCs w:val="20"/>
          <w:highlight w:val="none"/>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w:t>
      </w:r>
      <w:r>
        <w:rPr>
          <w:rFonts w:hint="eastAsia" w:ascii="宋体" w:hAnsi="宋体" w:cs="宋体"/>
          <w:bCs/>
          <w:color w:val="auto"/>
          <w:szCs w:val="20"/>
          <w:highlight w:val="none"/>
        </w:rPr>
        <w:t>（北京时间）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的报价人投标。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的报价人参加投标的，不代表通过资格性、符合性审查。投标资格最终根据报价人投标文件中的资格审查资料作出的结论为准。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而决定不参加本项目投标的报价人，应在开标前三日以书面形式（书面材料、信函或传真加盖报价人公章）通知采购代理机构。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的公示，根据《广东省实施〈中华人民共和国政府采购法〉办法》第三十五条的规定，报价人认为政府</w:t>
      </w:r>
      <w:r>
        <w:rPr>
          <w:rFonts w:hint="eastAsia" w:ascii="宋体" w:hAnsi="宋体" w:cs="宋体"/>
          <w:bCs/>
          <w:color w:val="auto"/>
          <w:szCs w:val="20"/>
          <w:highlight w:val="none"/>
          <w:lang w:eastAsia="zh-CN"/>
        </w:rPr>
        <w:t>竞争性磋商文件</w:t>
      </w:r>
      <w:r>
        <w:rPr>
          <w:rFonts w:hint="eastAsia" w:ascii="宋体" w:hAnsi="宋体" w:cs="宋体"/>
          <w:bCs/>
          <w:color w:val="auto"/>
          <w:szCs w:val="20"/>
          <w:highlight w:val="none"/>
        </w:rPr>
        <w:t>的内容损害其权益的，可以在公示期间或者自期满之日起七个工作日内以书面形式向采购人或者代理机构提出质疑。质疑书应当署名。质疑报价人为自然人的，应当由本人签字；质疑报价人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名称：</w:t>
      </w:r>
      <w:r>
        <w:rPr>
          <w:rFonts w:hint="eastAsia" w:ascii="宋体" w:hAnsi="宋体" w:cs="宋体"/>
          <w:color w:val="auto"/>
          <w:szCs w:val="21"/>
          <w:highlight w:val="none"/>
          <w:lang w:eastAsia="zh-CN"/>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联系方式：020-8900129</w:t>
      </w:r>
      <w:r>
        <w:rPr>
          <w:rFonts w:hint="eastAsia" w:ascii="宋体" w:hAnsi="宋体" w:cs="宋体"/>
          <w:bCs/>
          <w:color w:val="auto"/>
          <w:szCs w:val="20"/>
          <w:highlight w:val="none"/>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电话：020-8900129</w:t>
      </w:r>
      <w:r>
        <w:rPr>
          <w:rFonts w:hint="eastAsia" w:ascii="宋体" w:hAnsi="宋体" w:cs="宋体"/>
          <w:bCs/>
          <w:color w:val="auto"/>
          <w:szCs w:val="20"/>
          <w:highlight w:val="none"/>
        </w:rPr>
        <w:t>6</w:t>
      </w:r>
    </w:p>
    <w:p>
      <w:pPr>
        <w:pStyle w:val="48"/>
        <w:rPr>
          <w:rFonts w:hAnsi="宋体" w:cs="宋体"/>
          <w:bCs/>
          <w:color w:val="auto"/>
          <w:szCs w:val="20"/>
          <w:highlight w:val="none"/>
        </w:rPr>
      </w:pPr>
    </w:p>
    <w:p>
      <w:pPr>
        <w:pStyle w:val="49"/>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8"/>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w:t>
      </w:r>
      <w:bookmarkStart w:id="30" w:name="_Toc28489434"/>
      <w:bookmarkStart w:id="31" w:name="_Toc14450807"/>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25</w:t>
      </w:r>
      <w:r>
        <w:rPr>
          <w:rFonts w:ascii="宋体" w:hAnsi="宋体" w:cs="宋体"/>
          <w:bCs/>
          <w:color w:val="auto"/>
          <w:szCs w:val="20"/>
          <w:highlight w:val="none"/>
        </w:rPr>
        <w:t>日</w:t>
      </w:r>
    </w:p>
    <w:p>
      <w:pPr>
        <w:rPr>
          <w:rFonts w:ascii="宋体" w:hAnsi="宋体"/>
          <w:color w:val="auto"/>
          <w:sz w:val="28"/>
          <w:highlight w:val="none"/>
        </w:rPr>
      </w:pPr>
      <w:r>
        <w:rPr>
          <w:rFonts w:ascii="宋体" w:hAnsi="宋体"/>
          <w:color w:val="auto"/>
          <w:sz w:val="28"/>
          <w:highlight w:val="none"/>
        </w:rPr>
        <w:br w:type="page"/>
      </w: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3"/>
        <w:autoSpaceDE w:val="0"/>
        <w:rPr>
          <w:color w:val="auto"/>
          <w:sz w:val="44"/>
          <w:highlight w:val="none"/>
        </w:rPr>
      </w:pPr>
      <w:bookmarkStart w:id="32" w:name="_Toc320515015"/>
      <w:bookmarkStart w:id="33" w:name="_Toc475104467"/>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5"/>
        <w:tblW w:w="994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spacing w:line="300" w:lineRule="exact"/>
              <w:rPr>
                <w:rFonts w:ascii="宋体" w:hAnsi="宋体" w:cs="宋体"/>
                <w:color w:val="auto"/>
                <w:szCs w:val="21"/>
                <w:highlight w:val="none"/>
              </w:rPr>
            </w:pPr>
            <w:r>
              <w:rPr>
                <w:rFonts w:hint="eastAsia" w:ascii="宋体" w:hAnsi="宋体" w:cs="宋体"/>
                <w:b/>
                <w:bCs/>
                <w:color w:val="auto"/>
                <w:szCs w:val="21"/>
                <w:highlight w:val="none"/>
              </w:rPr>
              <w:t>收费依据及方法：</w:t>
            </w:r>
            <w:r>
              <w:rPr>
                <w:rFonts w:hint="eastAsia" w:ascii="宋体" w:hAnsi="宋体" w:cs="宋体"/>
                <w:color w:val="auto"/>
                <w:szCs w:val="21"/>
                <w:highlight w:val="none"/>
              </w:rPr>
              <w:t>招标代理服务费按中华人民共和国国家发展计划委员会颁发的计价格[2002]1980号、国家发改委[2003]857号及发改价格</w:t>
            </w:r>
            <w:r>
              <w:rPr>
                <w:rFonts w:hint="eastAsia" w:ascii="宋体" w:hAnsi="宋体" w:cs="宋体"/>
                <w:color w:val="auto"/>
                <w:szCs w:val="21"/>
                <w:highlight w:val="none"/>
              </w:rPr>
              <w:sym w:font="Symbol" w:char="F05B"/>
            </w:r>
            <w:r>
              <w:rPr>
                <w:rFonts w:hint="eastAsia" w:ascii="宋体" w:hAnsi="宋体" w:cs="宋体"/>
                <w:color w:val="auto"/>
                <w:szCs w:val="21"/>
                <w:highlight w:val="none"/>
              </w:rPr>
              <w:t>2011</w:t>
            </w:r>
            <w:r>
              <w:rPr>
                <w:rFonts w:hint="eastAsia" w:ascii="宋体" w:hAnsi="宋体" w:cs="宋体"/>
                <w:color w:val="auto"/>
                <w:szCs w:val="21"/>
                <w:highlight w:val="none"/>
              </w:rPr>
              <w:sym w:font="Symbol" w:char="F05D"/>
            </w:r>
            <w:r>
              <w:rPr>
                <w:rFonts w:hint="eastAsia" w:ascii="宋体" w:hAnsi="宋体" w:cs="宋体"/>
                <w:color w:val="auto"/>
                <w:szCs w:val="21"/>
                <w:highlight w:val="none"/>
              </w:rPr>
              <w:t>534号文规定进行计算。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olor w:val="auto"/>
                <w:szCs w:val="21"/>
                <w:highlight w:val="none"/>
              </w:rPr>
            </w:pPr>
            <w:r>
              <w:rPr>
                <w:rFonts w:hint="eastAsia" w:ascii="宋体" w:hAnsi="宋体" w:cs="宋体"/>
                <w:color w:val="auto"/>
                <w:szCs w:val="21"/>
                <w:highlight w:val="none"/>
              </w:rPr>
              <w:t>成交人在收到缴交招标代理服务费通知后三个工作日内直接一次性向采购代理机构足额支付招标代理服务费及专家费（专家费按实进行结算）。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自从磋商响应文件递交截止日起90天，成交报价人的响应有效期自动延长至合同终止为止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报价人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olor w:val="auto"/>
                <w:szCs w:val="21"/>
                <w:highlight w:val="none"/>
                <w:lang w:eastAsia="zh-CN"/>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lang w:eastAsia="zh-CN"/>
              </w:rPr>
              <w:t>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lang w:eastAsia="zh-CN"/>
              </w:rPr>
              <w:t>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olor w:val="auto"/>
                <w:szCs w:val="21"/>
                <w:highlight w:val="none"/>
                <w:lang w:eastAsia="zh-CN"/>
              </w:rPr>
            </w:pPr>
            <w:r>
              <w:rPr>
                <w:rFonts w:hint="eastAsia" w:ascii="宋体" w:hAnsi="宋体"/>
                <w:color w:val="auto"/>
                <w:szCs w:val="21"/>
                <w:highlight w:val="none"/>
              </w:rPr>
              <w:t>详见</w:t>
            </w:r>
            <w:r>
              <w:rPr>
                <w:rFonts w:hint="eastAsia" w:ascii="宋体" w:hAnsi="宋体"/>
                <w:color w:val="auto"/>
                <w:szCs w:val="21"/>
                <w:highlight w:val="none"/>
                <w:lang w:eastAsia="zh-CN"/>
              </w:rPr>
              <w:t>采购人需求书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lang w:eastAsia="zh-CN"/>
              </w:rPr>
              <w:t>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详见报价人须知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63737682"/>
      <w:bookmarkStart w:id="36" w:name="_Toc320515016"/>
      <w:bookmarkStart w:id="37" w:name="_Toc320515065"/>
      <w:bookmarkStart w:id="38" w:name="_Toc322680342"/>
      <w:bookmarkStart w:id="39" w:name="_Toc315793450"/>
      <w:bookmarkStart w:id="40" w:name="_Toc475104468"/>
      <w:bookmarkStart w:id="41" w:name="_Toc323110975"/>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20515066"/>
      <w:bookmarkStart w:id="43" w:name="_Toc323110976"/>
      <w:bookmarkStart w:id="44" w:name="_Toc475104469"/>
      <w:bookmarkStart w:id="45" w:name="_Toc315793451"/>
      <w:bookmarkStart w:id="46" w:name="_Toc320515017"/>
      <w:bookmarkStart w:id="47" w:name="_Toc363737683"/>
      <w:bookmarkStart w:id="48" w:name="_Toc322680343"/>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22680344"/>
      <w:bookmarkStart w:id="50" w:name="_Toc363737684"/>
      <w:bookmarkStart w:id="51" w:name="_Toc475104470"/>
      <w:bookmarkStart w:id="52" w:name="_Toc320515018"/>
      <w:bookmarkStart w:id="53" w:name="_Toc323110977"/>
      <w:bookmarkStart w:id="54" w:name="_Toc320515067"/>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报价人</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“乙方”系指成交报价人。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“成交报价人”系指</w:t>
      </w:r>
      <w:r>
        <w:rPr>
          <w:rFonts w:hint="eastAsia" w:ascii="宋体" w:hAnsi="宋体"/>
          <w:color w:val="auto"/>
          <w:szCs w:val="21"/>
          <w:highlight w:val="none"/>
        </w:rPr>
        <w:t>法定程序确定并授予合同的</w:t>
      </w:r>
      <w:r>
        <w:rPr>
          <w:rFonts w:hint="eastAsia" w:ascii="宋体" w:hAnsi="宋体"/>
          <w:color w:val="auto"/>
          <w:highlight w:val="none"/>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报价人</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报价人</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20515068"/>
      <w:bookmarkStart w:id="56" w:name="_Toc315793453"/>
      <w:bookmarkStart w:id="57" w:name="_Toc363737685"/>
      <w:bookmarkStart w:id="58" w:name="_Toc323110978"/>
      <w:bookmarkStart w:id="59" w:name="_Toc322680345"/>
      <w:bookmarkStart w:id="60" w:name="_Toc320515019"/>
      <w:bookmarkStart w:id="61" w:name="_Toc475104471"/>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报价人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报价人</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报价人</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邀请“报价人资格”要求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报价人</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报价人</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报价人</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报价人</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报价人</w:t>
      </w:r>
      <w:r>
        <w:rPr>
          <w:rFonts w:hint="eastAsia" w:ascii="宋体" w:hAnsi="宋体"/>
          <w:color w:val="auto"/>
          <w:szCs w:val="21"/>
          <w:highlight w:val="none"/>
        </w:rPr>
        <w:t>参加竞争，但只作为一家</w:t>
      </w:r>
      <w:r>
        <w:rPr>
          <w:rFonts w:hint="eastAsia" w:ascii="宋体" w:hAnsi="宋体"/>
          <w:color w:val="auto"/>
          <w:highlight w:val="none"/>
        </w:rPr>
        <w:t>报价人</w:t>
      </w:r>
      <w:r>
        <w:rPr>
          <w:rFonts w:hint="eastAsia" w:ascii="宋体" w:hAnsi="宋体"/>
          <w:color w:val="auto"/>
          <w:szCs w:val="21"/>
          <w:highlight w:val="none"/>
        </w:rPr>
        <w:t>计算。同一品牌不同型号的产品由多家</w:t>
      </w:r>
      <w:r>
        <w:rPr>
          <w:rFonts w:hint="eastAsia" w:ascii="宋体" w:hAnsi="宋体"/>
          <w:color w:val="auto"/>
          <w:highlight w:val="none"/>
        </w:rPr>
        <w:t>报价人</w:t>
      </w:r>
      <w:r>
        <w:rPr>
          <w:rFonts w:hint="eastAsia" w:ascii="宋体" w:hAnsi="宋体"/>
          <w:color w:val="auto"/>
          <w:szCs w:val="21"/>
          <w:highlight w:val="none"/>
        </w:rPr>
        <w:t>参加竞争，作为不同的</w:t>
      </w:r>
      <w:r>
        <w:rPr>
          <w:rFonts w:hint="eastAsia" w:ascii="宋体" w:hAnsi="宋体"/>
          <w:color w:val="auto"/>
          <w:highlight w:val="none"/>
        </w:rPr>
        <w:t>报价人</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63737686"/>
      <w:bookmarkStart w:id="63" w:name="_Toc333236630"/>
      <w:bookmarkStart w:id="64" w:name="_Toc475104472"/>
      <w:bookmarkStart w:id="65" w:name="_Toc322680347"/>
      <w:bookmarkStart w:id="66" w:name="_Toc320515070"/>
      <w:bookmarkStart w:id="67" w:name="_Toc320515021"/>
      <w:bookmarkStart w:id="68" w:name="_Toc323110980"/>
      <w:bookmarkStart w:id="69" w:name="_Toc315793455"/>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报价人</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报价人</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报价人</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报价人</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报价人</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0515071"/>
      <w:bookmarkStart w:id="73" w:name="_Toc322680348"/>
      <w:bookmarkStart w:id="74" w:name="_Toc323110981"/>
      <w:bookmarkStart w:id="75" w:name="_Toc320515022"/>
      <w:bookmarkStart w:id="76" w:name="_Toc315793456"/>
      <w:r>
        <w:rPr>
          <w:rFonts w:hint="eastAsia" w:ascii="宋体" w:hAnsi="宋体"/>
          <w:color w:val="auto"/>
          <w:highlight w:val="none"/>
        </w:rPr>
        <w:t>报价人</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15793458"/>
      <w:bookmarkStart w:id="79" w:name="_Toc322680350"/>
      <w:bookmarkStart w:id="80" w:name="_Toc323110983"/>
      <w:bookmarkStart w:id="81" w:name="_Toc320515073"/>
      <w:bookmarkStart w:id="82" w:name="_Toc475104475"/>
      <w:bookmarkStart w:id="83" w:name="_Toc320515024"/>
      <w:bookmarkStart w:id="84" w:name="_Toc363737689"/>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报价人</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报价人</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20515074"/>
      <w:bookmarkStart w:id="86" w:name="_Toc320515025"/>
      <w:bookmarkStart w:id="87" w:name="_Toc363737690"/>
      <w:bookmarkStart w:id="88" w:name="_Toc315793459"/>
      <w:bookmarkStart w:id="89" w:name="_Toc322680351"/>
      <w:bookmarkStart w:id="90" w:name="_Toc475104476"/>
      <w:bookmarkStart w:id="91" w:name="_Toc323110984"/>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报价人</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报价人</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报价人</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报价人</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报价人</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475104477"/>
      <w:bookmarkStart w:id="93" w:name="_Toc320515075"/>
      <w:bookmarkStart w:id="94" w:name="_Toc315793460"/>
      <w:bookmarkStart w:id="95" w:name="_Toc322680352"/>
      <w:bookmarkStart w:id="96" w:name="_Toc323110985"/>
      <w:bookmarkStart w:id="97" w:name="_Toc363737691"/>
      <w:bookmarkStart w:id="98" w:name="_Toc320515026"/>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报价人</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报价人</w:t>
      </w:r>
      <w:r>
        <w:rPr>
          <w:rFonts w:hint="eastAsia" w:ascii="宋体" w:hAnsi="宋体"/>
          <w:bCs/>
          <w:color w:val="auto"/>
          <w:szCs w:val="21"/>
          <w:highlight w:val="none"/>
        </w:rPr>
        <w:t>，</w:t>
      </w:r>
      <w:r>
        <w:rPr>
          <w:rFonts w:hint="eastAsia" w:ascii="宋体" w:hAnsi="宋体"/>
          <w:color w:val="auto"/>
          <w:highlight w:val="none"/>
        </w:rPr>
        <w:t>报价人</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4"/>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报价人</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报价人</w:t>
      </w:r>
      <w:r>
        <w:rPr>
          <w:rFonts w:hint="eastAsia" w:ascii="宋体" w:hAnsi="宋体" w:cs="宋体"/>
          <w:color w:val="auto"/>
          <w:szCs w:val="21"/>
          <w:highlight w:val="none"/>
        </w:rPr>
        <w:t>，并对潜在</w:t>
      </w:r>
      <w:r>
        <w:rPr>
          <w:rFonts w:hint="eastAsia" w:ascii="宋体" w:hAnsi="宋体"/>
          <w:color w:val="auto"/>
          <w:highlight w:val="none"/>
        </w:rPr>
        <w:t>报价人</w:t>
      </w:r>
      <w:r>
        <w:rPr>
          <w:rFonts w:hint="eastAsia" w:ascii="宋体" w:hAnsi="宋体" w:cs="宋体"/>
          <w:color w:val="auto"/>
          <w:szCs w:val="21"/>
          <w:highlight w:val="none"/>
        </w:rPr>
        <w:t>具有约束力。潜在</w:t>
      </w:r>
      <w:r>
        <w:rPr>
          <w:rFonts w:hint="eastAsia" w:ascii="宋体" w:hAnsi="宋体"/>
          <w:color w:val="auto"/>
          <w:highlight w:val="none"/>
        </w:rPr>
        <w:t>报价人</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323110986"/>
      <w:bookmarkStart w:id="100" w:name="_Toc475104478"/>
      <w:bookmarkStart w:id="101" w:name="_Toc322680353"/>
      <w:bookmarkStart w:id="102" w:name="_Toc363737692"/>
      <w:bookmarkStart w:id="103" w:name="_Toc320515076"/>
      <w:bookmarkStart w:id="104" w:name="_Toc320515027"/>
      <w:bookmarkStart w:id="105" w:name="_Toc315793461"/>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23110987"/>
      <w:bookmarkStart w:id="107" w:name="_Toc320515077"/>
      <w:bookmarkStart w:id="108" w:name="_Toc363737693"/>
      <w:bookmarkStart w:id="109" w:name="_Toc322680354"/>
      <w:bookmarkStart w:id="110" w:name="_Toc475104479"/>
      <w:bookmarkStart w:id="111" w:name="_Toc320515028"/>
      <w:bookmarkStart w:id="112" w:name="_Toc315793462"/>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提交的磋商响应文件以及</w:t>
      </w:r>
      <w:r>
        <w:rPr>
          <w:rFonts w:hint="eastAsia" w:ascii="宋体" w:hAnsi="宋体"/>
          <w:color w:val="auto"/>
          <w:highlight w:val="none"/>
        </w:rPr>
        <w:t>报价人</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报价人</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23110988"/>
      <w:bookmarkStart w:id="114" w:name="_Toc363737694"/>
      <w:bookmarkStart w:id="115" w:name="_Toc315793463"/>
      <w:bookmarkStart w:id="116" w:name="_Toc320515029"/>
      <w:bookmarkStart w:id="117" w:name="_Toc475104480"/>
      <w:bookmarkStart w:id="118" w:name="_Toc322680355"/>
      <w:bookmarkStart w:id="119" w:name="_Toc320515078"/>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报价人</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报价人</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报价人</w:t>
      </w:r>
      <w:r>
        <w:rPr>
          <w:rFonts w:hint="eastAsia" w:ascii="宋体" w:hAnsi="宋体" w:cs="宋体"/>
          <w:color w:val="auto"/>
          <w:szCs w:val="21"/>
          <w:highlight w:val="none"/>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商务部分文件是指报价人提交的证明报价人的资格合格，且获得成交资格后有能力履行合同的文件。服务部分文件是指证明报价人提供的服务和货物是合格的，而且符合本竞争性磋商文件规定的文件。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63737695"/>
      <w:bookmarkStart w:id="122" w:name="_Toc322680356"/>
      <w:bookmarkStart w:id="123" w:name="_Toc315793464"/>
      <w:bookmarkStart w:id="124" w:name="_Toc323110989"/>
      <w:bookmarkStart w:id="125" w:name="_Toc320515030"/>
      <w:bookmarkStart w:id="126" w:name="_Toc320515079"/>
      <w:bookmarkStart w:id="127" w:name="_Toc475104482"/>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报价人</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报价人</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报价人</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报价人</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报价人</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23110990"/>
      <w:bookmarkStart w:id="129" w:name="_Toc475104483"/>
      <w:bookmarkStart w:id="130" w:name="_Toc363737696"/>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15793468"/>
      <w:bookmarkStart w:id="132" w:name="_Toc320515032"/>
      <w:bookmarkStart w:id="133" w:name="_Toc323110991"/>
      <w:bookmarkStart w:id="134" w:name="_Toc322680358"/>
      <w:bookmarkStart w:id="135" w:name="_Toc320515081"/>
      <w:r>
        <w:rPr>
          <w:rFonts w:hint="eastAsia" w:cs="宋体"/>
          <w:color w:val="auto"/>
          <w:szCs w:val="21"/>
          <w:highlight w:val="none"/>
        </w:rPr>
        <w:t>报价人</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报价人</w:t>
      </w:r>
      <w:r>
        <w:rPr>
          <w:rFonts w:hint="eastAsia" w:ascii="宋体" w:hAnsi="宋体" w:cs="宋体"/>
          <w:color w:val="auto"/>
          <w:szCs w:val="21"/>
          <w:highlight w:val="none"/>
        </w:rPr>
        <w:t>作出书面说明并提供相关证明材料。</w:t>
      </w:r>
      <w:r>
        <w:rPr>
          <w:rFonts w:hint="eastAsia" w:cs="宋体"/>
          <w:color w:val="auto"/>
          <w:szCs w:val="21"/>
          <w:highlight w:val="none"/>
        </w:rPr>
        <w:t>报价人</w:t>
      </w:r>
      <w:r>
        <w:rPr>
          <w:rFonts w:hint="eastAsia" w:ascii="宋体" w:hAnsi="宋体" w:cs="宋体"/>
          <w:color w:val="auto"/>
          <w:szCs w:val="21"/>
          <w:highlight w:val="none"/>
        </w:rPr>
        <w:t>不能合理说明或者不能提供相关证明材料的，由磋商小组认定该报价人以低于成本报价竞标其报价应作无效竞标处理。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报价人</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报价人</w:t>
      </w:r>
      <w:r>
        <w:rPr>
          <w:rFonts w:hint="eastAsia" w:ascii="宋体" w:hAnsi="宋体" w:cs="宋体"/>
          <w:color w:val="auto"/>
          <w:szCs w:val="21"/>
          <w:highlight w:val="none"/>
        </w:rPr>
        <w:t>在获得成交资格并签署合同后，服务期限内出现的任何遗漏，均由成交报价人负责，采购人将不再支付任何费用。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363737697"/>
      <w:bookmarkStart w:id="137" w:name="_Toc475104484"/>
      <w:r>
        <w:rPr>
          <w:rFonts w:hint="eastAsia" w:ascii="宋体" w:hAnsi="宋体"/>
          <w:b/>
          <w:bCs/>
          <w:color w:val="auto"/>
          <w:sz w:val="24"/>
          <w:highlight w:val="none"/>
        </w:rPr>
        <w:t>证明报价人合格和资格的文件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报价人</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报价人提交的资格证明文件应证明其满足本须知定义的合格</w:t>
      </w:r>
      <w:r>
        <w:rPr>
          <w:rFonts w:hint="eastAsia" w:cs="宋体"/>
          <w:color w:val="auto"/>
          <w:szCs w:val="21"/>
          <w:highlight w:val="none"/>
        </w:rPr>
        <w:t>报价人</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33236642"/>
      <w:bookmarkStart w:id="139" w:name="_Toc475104485"/>
      <w:bookmarkStart w:id="140" w:name="_Toc320515082"/>
      <w:bookmarkStart w:id="141" w:name="_Toc320515033"/>
      <w:bookmarkStart w:id="142" w:name="_Toc363737698"/>
      <w:bookmarkStart w:id="143" w:name="_Toc315793469"/>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报价人</w:t>
      </w:r>
      <w:r>
        <w:rPr>
          <w:rFonts w:hint="eastAsia" w:ascii="宋体" w:hAnsi="宋体" w:cs="宋体"/>
          <w:color w:val="auto"/>
          <w:szCs w:val="21"/>
          <w:highlight w:val="none"/>
        </w:rPr>
        <w:t>须提供所投服务的具体参数值。</w:t>
      </w:r>
      <w:r>
        <w:rPr>
          <w:rFonts w:hint="eastAsia" w:cs="宋体"/>
          <w:color w:val="auto"/>
          <w:szCs w:val="21"/>
          <w:highlight w:val="none"/>
        </w:rPr>
        <w:t>报价人</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报价人</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51550769"/>
      <w:bookmarkStart w:id="147" w:name="_Toc394926941"/>
      <w:bookmarkStart w:id="148" w:name="_Toc475104487"/>
      <w:bookmarkStart w:id="149" w:name="_Toc323110994"/>
      <w:bookmarkStart w:id="150" w:name="_Toc320515084"/>
      <w:bookmarkStart w:id="151" w:name="_Toc320515035"/>
      <w:bookmarkStart w:id="152" w:name="_Toc322680361"/>
      <w:bookmarkStart w:id="153" w:name="_Toc363737700"/>
      <w:bookmarkStart w:id="154" w:name="_Toc315793471"/>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报价人</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报价人</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报价人</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475104490"/>
      <w:bookmarkStart w:id="157" w:name="_Toc315793300"/>
      <w:r>
        <w:rPr>
          <w:rFonts w:hint="eastAsia"/>
          <w:color w:val="auto"/>
          <w:szCs w:val="21"/>
          <w:highlight w:val="none"/>
        </w:rPr>
        <w:t>融资担保，是指由专业担保机构为</w:t>
      </w:r>
      <w:r>
        <w:rPr>
          <w:rFonts w:hint="eastAsia" w:cs="宋体"/>
          <w:color w:val="auto"/>
          <w:szCs w:val="21"/>
          <w:highlight w:val="none"/>
        </w:rPr>
        <w:t>报价人</w:t>
      </w:r>
      <w:r>
        <w:rPr>
          <w:rFonts w:hint="eastAsia"/>
          <w:color w:val="auto"/>
          <w:szCs w:val="21"/>
          <w:highlight w:val="none"/>
        </w:rPr>
        <w:t>向银行融资提供的保证担保。</w:t>
      </w:r>
      <w:r>
        <w:rPr>
          <w:rFonts w:hint="eastAsia" w:cs="宋体"/>
          <w:color w:val="auto"/>
          <w:szCs w:val="21"/>
          <w:highlight w:val="none"/>
        </w:rPr>
        <w:t>报价人</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报价人</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报价人</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报价人</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报价人</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63737701"/>
      <w:bookmarkStart w:id="160" w:name="_Toc320515036"/>
      <w:bookmarkStart w:id="161" w:name="_Toc315793472"/>
      <w:bookmarkStart w:id="162" w:name="_Toc475104494"/>
      <w:bookmarkStart w:id="163" w:name="_Toc320515085"/>
      <w:bookmarkStart w:id="164" w:name="_Toc315793473"/>
      <w:bookmarkStart w:id="165" w:name="_Toc323110996"/>
      <w:bookmarkStart w:id="166" w:name="_Toc320515037"/>
      <w:bookmarkStart w:id="167" w:name="_Toc320515086"/>
      <w:bookmarkStart w:id="168" w:name="_Toc322680363"/>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报价人</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磋商响应文件正本每一页均要求加盖报价人公章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363737702"/>
      <w:bookmarkStart w:id="170" w:name="_Toc475104495"/>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475104496"/>
      <w:bookmarkStart w:id="172" w:name="_Toc320515038"/>
      <w:bookmarkStart w:id="173" w:name="_Toc320515087"/>
      <w:bookmarkStart w:id="174" w:name="_Toc315793474"/>
      <w:bookmarkStart w:id="175" w:name="_Toc363737703"/>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5"/>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报价人</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报价人</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年月日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0515040"/>
      <w:bookmarkStart w:id="177" w:name="_Toc322680366"/>
      <w:bookmarkStart w:id="178" w:name="_Toc320515089"/>
      <w:bookmarkStart w:id="179" w:name="_Toc323110999"/>
      <w:bookmarkStart w:id="180" w:name="_Toc31579347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363737705"/>
      <w:bookmarkStart w:id="182" w:name="_Toc475104498"/>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报价人</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475104499"/>
      <w:bookmarkStart w:id="185" w:name="_Toc363737706"/>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63737707"/>
      <w:bookmarkStart w:id="187" w:name="_Toc323111001"/>
      <w:bookmarkStart w:id="188" w:name="_Toc475104500"/>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w:t>
      </w:r>
      <w:r>
        <w:rPr>
          <w:rFonts w:hint="eastAsia" w:ascii="宋体" w:hAnsi="宋体" w:cs="宋体"/>
          <w:b/>
          <w:color w:val="auto"/>
          <w:szCs w:val="21"/>
          <w:highlight w:val="none"/>
        </w:rPr>
        <w:t>报价人</w:t>
      </w:r>
      <w:r>
        <w:rPr>
          <w:rFonts w:hint="eastAsia" w:ascii="宋体" w:hAnsi="宋体" w:cs="宋体"/>
          <w:b/>
          <w:color w:val="auto"/>
          <w:szCs w:val="21"/>
          <w:highlight w:val="none"/>
          <w:lang w:eastAsia="zh-TW"/>
        </w:rPr>
        <w:t>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报价人</w:t>
      </w:r>
      <w:r>
        <w:rPr>
          <w:rFonts w:hint="eastAsia" w:ascii="宋体" w:hAnsi="宋体" w:cs="宋体"/>
          <w:color w:val="auto"/>
          <w:kern w:val="0"/>
          <w:szCs w:val="21"/>
          <w:highlight w:val="none"/>
        </w:rPr>
        <w:t>授权代表作为全体</w:t>
      </w:r>
      <w:r>
        <w:rPr>
          <w:rFonts w:hint="eastAsia" w:cs="宋体"/>
          <w:color w:val="auto"/>
          <w:szCs w:val="21"/>
          <w:highlight w:val="none"/>
        </w:rPr>
        <w:t>报价人</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报价人</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报价人</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63737708"/>
      <w:bookmarkStart w:id="190" w:name="_Toc323111002"/>
      <w:bookmarkStart w:id="191" w:name="_Toc475104501"/>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0515044"/>
      <w:bookmarkStart w:id="193" w:name="_Toc323111003"/>
      <w:bookmarkStart w:id="194" w:name="_Toc320515093"/>
      <w:bookmarkStart w:id="195" w:name="_Toc315793480"/>
      <w:bookmarkStart w:id="196" w:name="_Toc322680370"/>
      <w:bookmarkStart w:id="197" w:name="_Toc363737709"/>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报价人</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报价人</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报价人</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报价人</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报价人</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报价人</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报价人</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报价人</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报价人</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报价人</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报价人</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报价人</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51716665"/>
      <w:bookmarkStart w:id="201" w:name="_Toc363737710"/>
      <w:bookmarkStart w:id="202" w:name="_Toc475104503"/>
      <w:bookmarkStart w:id="203" w:name="_Toc322680372"/>
      <w:bookmarkStart w:id="204" w:name="_Toc315793483"/>
      <w:bookmarkStart w:id="205" w:name="_Toc320515047"/>
      <w:bookmarkStart w:id="206" w:name="_Toc323111005"/>
      <w:bookmarkStart w:id="207" w:name="_Toc320515096"/>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报价人</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报价人</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报价人</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报价人</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报价人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报价人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报价人</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报价人</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报价人</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报价人</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报价人</w:t>
      </w:r>
      <w:r>
        <w:rPr>
          <w:rFonts w:hint="eastAsia" w:ascii="宋体" w:hAnsi="宋体"/>
          <w:color w:val="auto"/>
          <w:szCs w:val="21"/>
          <w:highlight w:val="none"/>
        </w:rPr>
        <w:t>提交的澄清文件和最后报价文件，由</w:t>
      </w:r>
      <w:r>
        <w:rPr>
          <w:rFonts w:hint="eastAsia" w:cs="宋体"/>
          <w:color w:val="auto"/>
          <w:szCs w:val="21"/>
          <w:highlight w:val="none"/>
        </w:rPr>
        <w:t>报价人</w:t>
      </w:r>
      <w:r>
        <w:rPr>
          <w:rFonts w:hint="eastAsia" w:ascii="宋体" w:hAnsi="宋体"/>
          <w:color w:val="auto"/>
          <w:szCs w:val="21"/>
          <w:highlight w:val="none"/>
        </w:rPr>
        <w:t>法人代表或其授权代表签字或加盖公章后生效。报价人为自然人的，应当由本人签字并附身份证明。</w:t>
      </w:r>
      <w:r>
        <w:rPr>
          <w:rFonts w:hint="eastAsia" w:cs="宋体"/>
          <w:color w:val="auto"/>
          <w:szCs w:val="21"/>
          <w:highlight w:val="none"/>
        </w:rPr>
        <w:t>报价人</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经磋商确定最终采购需求和提交最后报价的报价人后，由磋商小组采用综合评分法对提交最后报价的报价人的响应文件和最后报价进行综合评分。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51716666"/>
      <w:bookmarkStart w:id="211" w:name="_Toc475104504"/>
      <w:bookmarkStart w:id="212" w:name="_Toc363737711"/>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27.9报价人同时为小型、微型企业和监狱企业的，评审中只享受一次价格扣除。不重复进行价格扣除。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报价人</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475104508"/>
      <w:bookmarkStart w:id="216" w:name="_Toc315793484"/>
      <w:bookmarkStart w:id="217" w:name="_Toc320515097"/>
      <w:bookmarkStart w:id="218" w:name="_Toc363737713"/>
      <w:bookmarkStart w:id="219" w:name="_Toc320515048"/>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报价人，也可以事先授权磋商小组直接确定成交报价人。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布成交公告。不在成交名单之列者即为未成交报价人，政府采购代理机构不再以其他方式另行通知。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报价人</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报价人放弃成交、成交资格被依法确认无效的，采购人可以与排位在成交报价人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报价人的姓名或者名称、地址、邮编、联系人及联系电话；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质疑书应当署名。报价人为自然人的，应当由本人签字；报价人为法人或者其他组织的，应当由法定代表人、主要负责人，或者其授权代表签字或者盖章，并加盖公章。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报价人</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报价人</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报价人</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报价人</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报价人</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报价人</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报价人</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报价人</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报价人</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报价人</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22" w:name="_Toc475104509"/>
      <w:bookmarkStart w:id="223" w:name="_Toc363737714"/>
      <w:r>
        <w:rPr>
          <w:rFonts w:hint="eastAsia" w:ascii="宋体" w:hAnsi="宋体" w:cs="宋体"/>
          <w:b/>
          <w:bCs/>
          <w:color w:val="auto"/>
          <w:sz w:val="24"/>
          <w:highlight w:val="none"/>
        </w:rPr>
        <w:t>报价人询问的途径、接收质疑函的方式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询问和质疑接收机构名称：广州市信怡招标代理有限公司</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询问和质疑接收机构地址：广州市海珠区红卫新村西路29号UP智谷D栋503房</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询问和质疑接收部门联系人：胡先生</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询问和质疑接收机构电话：020-89001296（工作/接收时间：9：00-17：00）</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质疑接收机构传真：020-89001292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475104510"/>
      <w:bookmarkStart w:id="225" w:name="_Toc363737715"/>
      <w:bookmarkStart w:id="226" w:name="_Toc315793486"/>
      <w:bookmarkStart w:id="227" w:name="_Toc320515099"/>
      <w:bookmarkStart w:id="228" w:name="_Toc320515050"/>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63737716"/>
      <w:bookmarkStart w:id="232" w:name="_Toc320515100"/>
      <w:bookmarkStart w:id="233" w:name="_Toc475104511"/>
      <w:bookmarkStart w:id="234" w:name="_Toc320515051"/>
      <w:bookmarkStart w:id="235" w:name="_Toc315793487"/>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315793488"/>
      <w:bookmarkStart w:id="237" w:name="_Toc363737717"/>
      <w:bookmarkStart w:id="238" w:name="_Toc320515101"/>
      <w:bookmarkStart w:id="239" w:name="_Toc320515052"/>
      <w:bookmarkStart w:id="240" w:name="_Toc47510451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w:t>
      </w:r>
      <w:r>
        <w:rPr>
          <w:rFonts w:hint="eastAsia" w:ascii="宋体" w:hAnsi="宋体" w:cs="宋体"/>
          <w:color w:val="auto"/>
          <w:szCs w:val="21"/>
          <w:highlight w:val="none"/>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签订书面合同。所签订的合同不得对竞争性磋商文件和成交</w:t>
      </w:r>
      <w:r>
        <w:rPr>
          <w:rFonts w:hint="eastAsia" w:ascii="宋体" w:hAnsi="宋体" w:cs="宋体"/>
          <w:color w:val="auto"/>
          <w:szCs w:val="21"/>
          <w:highlight w:val="none"/>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招标采购单位不得向成交报价人提出任何不合理的要求，作为签订合同的条件，不得与成交报价人私下订立背离合同实质性内容的协议。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成交报价人</w:t>
      </w:r>
      <w:r>
        <w:rPr>
          <w:rFonts w:hint="eastAsia" w:ascii="宋体" w:hAnsi="宋体" w:cs="宋体"/>
          <w:color w:val="auto"/>
          <w:szCs w:val="21"/>
          <w:highlight w:val="none"/>
          <w:lang w:eastAsia="zh-TW"/>
        </w:rPr>
        <w:t>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本项目相关公告在以下媒体发布：中国采购与招标网（网址：www.chinabidding.com.cn）、广州市信怡招标代理有限公司网站（www.gzxyzb.com）和</w:t>
      </w:r>
      <w:r>
        <w:rPr>
          <w:rFonts w:hint="eastAsia" w:ascii="宋体" w:hAnsi="宋体" w:cs="宋体"/>
          <w:color w:val="auto"/>
          <w:szCs w:val="21"/>
          <w:highlight w:val="none"/>
          <w:lang w:eastAsia="zh-CN"/>
        </w:rPr>
        <w:t>广东省农业科学院动物科学研究所</w:t>
      </w:r>
      <w:r>
        <w:rPr>
          <w:rFonts w:hint="eastAsia" w:ascii="宋体" w:hAnsi="宋体" w:cs="宋体"/>
          <w:color w:val="auto"/>
          <w:szCs w:val="21"/>
          <w:highlight w:val="none"/>
        </w:rPr>
        <w:t>网站（new.gdias.net或www.gdias.com）。相关公告在法定媒体上公布之日即视为有效送达，不再另行通知。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363737725"/>
      <w:bookmarkStart w:id="248" w:name="_Toc475104520"/>
      <w:r>
        <w:rPr>
          <w:rFonts w:hint="eastAsia" w:ascii="宋体" w:hAnsi="宋体" w:cs="宋体"/>
          <w:color w:val="auto"/>
          <w:szCs w:val="21"/>
          <w:highlight w:val="none"/>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说明：本部分格式为报价人提交询问函、质疑函时使用，不属于响应文件格式的组成部分。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询问函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于年月日组织的政府采购活动。根据《政府采购法》和《政府采购报价人投诉处理办法》等规定，我公司认为</w:t>
      </w:r>
      <w:r>
        <w:rPr>
          <w:rFonts w:hint="eastAsia" w:ascii="宋体" w:hAnsi="宋体"/>
          <w:color w:val="auto"/>
          <w:szCs w:val="21"/>
          <w:highlight w:val="none"/>
          <w:u w:val="single"/>
        </w:rPr>
        <w:t>（采购项目名称）（采购项目编号：）</w:t>
      </w:r>
      <w:r>
        <w:rPr>
          <w:rFonts w:hint="eastAsia" w:ascii="宋体" w:hAnsi="宋体"/>
          <w:color w:val="auto"/>
          <w:szCs w:val="21"/>
          <w:highlight w:val="none"/>
        </w:rPr>
        <w:t>项目的采购活动中，</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竞争性磋商文件</w:t>
      </w:r>
      <w:r>
        <w:rPr>
          <w:rFonts w:hint="eastAsia" w:ascii="宋体" w:hAnsi="宋体"/>
          <w:color w:val="auto"/>
          <w:szCs w:val="21"/>
          <w:highlight w:val="none"/>
          <w:u w:val="single"/>
        </w:rPr>
        <w:t>、采购过程、中标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竞争性磋商文件</w:t>
      </w:r>
      <w:r>
        <w:rPr>
          <w:rFonts w:hint="eastAsia" w:ascii="宋体" w:hAnsi="宋体"/>
          <w:color w:val="auto"/>
          <w:szCs w:val="21"/>
          <w:highlight w:val="none"/>
          <w:u w:val="single"/>
        </w:rPr>
        <w:t>、采购过程、中标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hint="eastAsia" w:ascii="宋体" w:eastAsia="宋体"/>
          <w:b/>
          <w:color w:val="auto"/>
          <w:szCs w:val="21"/>
          <w:highlight w:val="none"/>
          <w:lang w:eastAsia="zh-CN"/>
        </w:rPr>
      </w:pPr>
      <w:r>
        <w:rPr>
          <w:rFonts w:hint="eastAsia" w:ascii="宋体" w:hAnsi="宋体"/>
          <w:b/>
          <w:color w:val="auto"/>
          <w:szCs w:val="21"/>
          <w:highlight w:val="none"/>
        </w:rPr>
        <w:t>质疑</w:t>
      </w:r>
      <w:r>
        <w:rPr>
          <w:rFonts w:hint="eastAsia" w:ascii="宋体" w:hAnsi="宋体"/>
          <w:b/>
          <w:color w:val="auto"/>
          <w:szCs w:val="21"/>
          <w:highlight w:val="none"/>
          <w:lang w:eastAsia="zh-CN"/>
        </w:rPr>
        <w:t>竞争性磋商文件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w:t>
      </w:r>
      <w:r>
        <w:rPr>
          <w:rFonts w:hint="eastAsia" w:ascii="宋体" w:hAnsi="宋体"/>
          <w:color w:val="auto"/>
          <w:szCs w:val="21"/>
          <w:highlight w:val="none"/>
          <w:lang w:eastAsia="zh-CN"/>
        </w:rPr>
        <w:t>竞争性磋商文件</w:t>
      </w:r>
      <w:r>
        <w:rPr>
          <w:rFonts w:hint="eastAsia" w:ascii="宋体" w:hAnsi="宋体"/>
          <w:color w:val="auto"/>
          <w:szCs w:val="21"/>
          <w:highlight w:val="none"/>
        </w:rPr>
        <w:t>页，内容“”损害了我公司权益，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r>
        <w:rPr>
          <w:rFonts w:hint="eastAsia" w:ascii="宋体" w:hAnsi="宋体"/>
          <w:color w:val="auto"/>
          <w:szCs w:val="21"/>
          <w:highlight w:val="none"/>
          <w:lang w:eastAsia="zh-CN"/>
        </w:rPr>
        <w:t>竞争性磋商文件</w:t>
      </w:r>
      <w:r>
        <w:rPr>
          <w:rFonts w:hint="eastAsia" w:ascii="宋体" w:hAnsi="宋体"/>
          <w:color w:val="auto"/>
          <w:szCs w:val="21"/>
          <w:highlight w:val="none"/>
        </w:rPr>
        <w:t>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w:t>
      </w:r>
      <w:r>
        <w:rPr>
          <w:rFonts w:hint="eastAsia" w:ascii="宋体" w:hAnsi="宋体"/>
          <w:color w:val="auto"/>
          <w:szCs w:val="21"/>
          <w:highlight w:val="none"/>
          <w:lang w:eastAsia="zh-CN"/>
        </w:rPr>
        <w:t>竞争性磋商文件</w:t>
      </w:r>
      <w:r>
        <w:rPr>
          <w:rFonts w:hint="eastAsia" w:ascii="宋体" w:hAnsi="宋体"/>
          <w:color w:val="auto"/>
          <w:szCs w:val="21"/>
          <w:highlight w:val="none"/>
        </w:rPr>
        <w:t>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．于年月日，在进行的（收取</w:t>
      </w:r>
      <w:r>
        <w:rPr>
          <w:rFonts w:hint="eastAsia" w:ascii="宋体" w:hAnsi="宋体"/>
          <w:color w:val="auto"/>
          <w:szCs w:val="21"/>
          <w:highlight w:val="none"/>
          <w:lang w:eastAsia="zh-CN"/>
        </w:rPr>
        <w:t>竞争性磋商文件</w:t>
      </w:r>
      <w:r>
        <w:rPr>
          <w:rFonts w:hint="eastAsia" w:ascii="宋体" w:hAnsi="宋体"/>
          <w:color w:val="auto"/>
          <w:szCs w:val="21"/>
          <w:highlight w:val="none"/>
        </w:rPr>
        <w:t>（样品）、开标、谈判）过程，发生损害了我公司权益的事项，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．于年月日公布的中标（成交）结果，发生损害了我公司权益的事项，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质疑报价人</w:t>
      </w:r>
      <w:r>
        <w:rPr>
          <w:rFonts w:hint="eastAsia" w:ascii="宋体" w:hAnsi="宋体"/>
          <w:color w:val="auto"/>
          <w:szCs w:val="21"/>
          <w:highlight w:val="none"/>
          <w:u w:val="single"/>
        </w:rPr>
        <w:t>：（签章）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报价人质疑、投诉应当有明确的请求和必要的证明材料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报价人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3"/>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14450822"/>
      <w:bookmarkStart w:id="253"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22"/>
      <w:bookmarkEnd w:id="254"/>
      <w:bookmarkStart w:id="255" w:name="_Toc321815802"/>
      <w:bookmarkEnd w:id="255"/>
      <w:bookmarkStart w:id="256" w:name="_Toc321815812"/>
      <w:bookmarkEnd w:id="256"/>
      <w:bookmarkStart w:id="257" w:name="_Toc321815806"/>
      <w:bookmarkEnd w:id="257"/>
      <w:bookmarkStart w:id="258" w:name="_Toc321815826"/>
      <w:bookmarkEnd w:id="258"/>
      <w:bookmarkStart w:id="259" w:name="_Toc321815820"/>
      <w:bookmarkEnd w:id="259"/>
      <w:bookmarkStart w:id="260" w:name="_Toc321815815"/>
      <w:bookmarkEnd w:id="260"/>
      <w:bookmarkStart w:id="261" w:name="_Toc321815825"/>
      <w:bookmarkEnd w:id="261"/>
      <w:bookmarkStart w:id="262" w:name="_Toc321815808"/>
      <w:bookmarkEnd w:id="262"/>
      <w:bookmarkStart w:id="263" w:name="_Toc321815807"/>
      <w:bookmarkEnd w:id="263"/>
      <w:bookmarkStart w:id="264" w:name="_Toc321815801"/>
      <w:bookmarkEnd w:id="264"/>
      <w:bookmarkStart w:id="265" w:name="_Toc321815814"/>
      <w:bookmarkEnd w:id="265"/>
      <w:bookmarkStart w:id="266" w:name="_Toc321815811"/>
      <w:bookmarkEnd w:id="266"/>
      <w:bookmarkStart w:id="267" w:name="_Toc321815824"/>
      <w:bookmarkEnd w:id="267"/>
      <w:bookmarkStart w:id="268" w:name="_Toc321815816"/>
      <w:bookmarkEnd w:id="268"/>
      <w:bookmarkStart w:id="269" w:name="_Toc321815818"/>
      <w:bookmarkEnd w:id="269"/>
      <w:bookmarkStart w:id="270" w:name="_Toc321815810"/>
      <w:bookmarkEnd w:id="270"/>
      <w:bookmarkStart w:id="271" w:name="_Toc321815821"/>
      <w:bookmarkEnd w:id="271"/>
      <w:bookmarkStart w:id="272" w:name="_Toc321815809"/>
      <w:bookmarkEnd w:id="272"/>
      <w:bookmarkStart w:id="273" w:name="_Toc321815823"/>
      <w:bookmarkEnd w:id="273"/>
      <w:bookmarkStart w:id="274" w:name="_Toc321815805"/>
      <w:bookmarkEnd w:id="274"/>
      <w:bookmarkStart w:id="275" w:name="_Toc321815804"/>
      <w:bookmarkEnd w:id="275"/>
      <w:bookmarkStart w:id="276" w:name="_Toc321815817"/>
      <w:bookmarkEnd w:id="276"/>
      <w:bookmarkStart w:id="277" w:name="_Toc321815819"/>
      <w:bookmarkEnd w:id="277"/>
      <w:bookmarkStart w:id="278" w:name="_Toc321815813"/>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1. 供应商须对所响应项目进行整体响应，任何只对其中一部分内容进行的响应都被视为无效响应。</w:t>
      </w:r>
    </w:p>
    <w:p>
      <w:pPr>
        <w:spacing w:line="360" w:lineRule="auto"/>
        <w:rPr>
          <w:color w:val="auto"/>
          <w:highlight w:val="none"/>
        </w:rPr>
      </w:pPr>
      <w:r>
        <w:rPr>
          <w:rFonts w:hint="eastAsia" w:ascii="宋体" w:hAnsi="宋体" w:cs="宋体"/>
          <w:b/>
          <w:bCs/>
          <w:color w:val="auto"/>
          <w:szCs w:val="21"/>
          <w:highlight w:val="none"/>
        </w:rPr>
        <w:t>2. 标有“★”的条款为实质性响应条款，供应商如有任何一条未完全响应，则将导致其响应无效。</w:t>
      </w:r>
    </w:p>
    <w:bookmarkEnd w:id="252"/>
    <w:bookmarkEnd w:id="253"/>
    <w:bookmarkEnd w:id="279"/>
    <w:p>
      <w:pPr>
        <w:pStyle w:val="48"/>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bookmarkStart w:id="280" w:name="_Toc483158260"/>
      <w:r>
        <w:rPr>
          <w:rFonts w:hint="eastAsia" w:asciiTheme="minorEastAsia" w:hAnsiTheme="minorEastAsia" w:eastAsiaTheme="minorEastAsia" w:cstheme="minorEastAsia"/>
          <w:b/>
          <w:color w:val="auto"/>
          <w:sz w:val="21"/>
          <w:szCs w:val="21"/>
          <w:highlight w:val="none"/>
          <w:lang w:val="zh-CN"/>
        </w:rPr>
        <w:t>一、项目情况介绍</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（一）项目名称：广东省农业科学院动物科学研究所生态鸭舍鸭笼设备采购</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（二）采购人：广东省农业科学院动物科学研究所</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（三）项目实施安装地点：江门市</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（四）采购预算、数量及</w:t>
      </w:r>
      <w:r>
        <w:rPr>
          <w:rFonts w:hint="eastAsia" w:ascii="宋体" w:hAnsi="宋体"/>
          <w:color w:val="auto"/>
          <w:szCs w:val="21"/>
          <w:highlight w:val="none"/>
          <w:lang w:eastAsia="zh-CN"/>
        </w:rPr>
        <w:t>合同履行期限</w:t>
      </w:r>
      <w:r>
        <w:rPr>
          <w:rFonts w:hint="eastAsia" w:asciiTheme="minorEastAsia" w:hAnsiTheme="minorEastAsia" w:eastAsiaTheme="minorEastAsia" w:cstheme="minorEastAsia"/>
          <w:color w:val="auto"/>
          <w:sz w:val="21"/>
          <w:szCs w:val="21"/>
          <w:highlight w:val="none"/>
          <w:lang w:val="zh-CN"/>
        </w:rPr>
        <w:t>：</w:t>
      </w:r>
    </w:p>
    <w:tbl>
      <w:tblPr>
        <w:tblStyle w:val="95"/>
        <w:tblW w:w="83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9"/>
        <w:gridCol w:w="1750"/>
        <w:gridCol w:w="1703"/>
        <w:gridCol w:w="1775"/>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1579"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采购货物内容</w:t>
            </w:r>
          </w:p>
        </w:tc>
        <w:tc>
          <w:tcPr>
            <w:tcW w:w="1750"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数量</w:t>
            </w:r>
          </w:p>
        </w:tc>
        <w:tc>
          <w:tcPr>
            <w:tcW w:w="1703" w:type="dxa"/>
            <w:vAlign w:val="center"/>
          </w:tcPr>
          <w:p>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规格</w:t>
            </w:r>
          </w:p>
        </w:tc>
        <w:tc>
          <w:tcPr>
            <w:tcW w:w="1775"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最高限价</w:t>
            </w:r>
          </w:p>
          <w:p>
            <w:pPr>
              <w:jc w:val="center"/>
              <w:rPr>
                <w:rFonts w:hint="eastAsia" w:ascii="宋体" w:hAnsi="宋体"/>
                <w:color w:val="auto"/>
                <w:szCs w:val="21"/>
                <w:highlight w:val="none"/>
              </w:rPr>
            </w:pPr>
            <w:r>
              <w:rPr>
                <w:rFonts w:hint="eastAsia" w:ascii="宋体" w:hAnsi="宋体"/>
                <w:color w:val="auto"/>
                <w:szCs w:val="21"/>
                <w:highlight w:val="none"/>
              </w:rPr>
              <w:t>（人民币 元）</w:t>
            </w:r>
          </w:p>
        </w:tc>
        <w:tc>
          <w:tcPr>
            <w:tcW w:w="1513" w:type="dxa"/>
            <w:vAlign w:val="center"/>
          </w:tcPr>
          <w:p>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1579" w:type="dxa"/>
            <w:vAlign w:val="center"/>
          </w:tcPr>
          <w:p>
            <w:pPr>
              <w:jc w:val="center"/>
              <w:rPr>
                <w:rFonts w:hint="eastAsia" w:ascii="宋体" w:hAnsi="宋体" w:eastAsia="宋体"/>
                <w:color w:val="auto"/>
                <w:szCs w:val="21"/>
                <w:highlight w:val="none"/>
                <w:lang w:eastAsia="zh-CN"/>
              </w:rPr>
            </w:pPr>
            <w:r>
              <w:rPr>
                <w:rFonts w:hint="eastAsia" w:asciiTheme="minorEastAsia" w:hAnsiTheme="minorEastAsia" w:eastAsiaTheme="minorEastAsia" w:cstheme="minorEastAsia"/>
                <w:color w:val="auto"/>
                <w:sz w:val="21"/>
                <w:szCs w:val="21"/>
                <w:highlight w:val="none"/>
                <w:lang w:val="zh-CN"/>
              </w:rPr>
              <w:t>鸭笼</w:t>
            </w:r>
          </w:p>
        </w:tc>
        <w:tc>
          <w:tcPr>
            <w:tcW w:w="1750" w:type="dxa"/>
            <w:vAlign w:val="center"/>
          </w:tcPr>
          <w:p>
            <w:pPr>
              <w:jc w:val="center"/>
              <w:rPr>
                <w:rFonts w:hint="default"/>
                <w:color w:val="auto"/>
                <w:highlight w:val="none"/>
                <w:lang w:val="en-US" w:eastAsia="zh-CN"/>
              </w:rPr>
            </w:pPr>
            <w:r>
              <w:rPr>
                <w:rFonts w:hint="eastAsia" w:ascii="宋体" w:hAnsi="宋体" w:cs="Times New Roman"/>
                <w:color w:val="auto"/>
                <w:szCs w:val="21"/>
                <w:highlight w:val="none"/>
                <w:lang w:val="en-US" w:eastAsia="zh-CN"/>
              </w:rPr>
              <w:t>320组</w:t>
            </w:r>
          </w:p>
        </w:tc>
        <w:tc>
          <w:tcPr>
            <w:tcW w:w="1703" w:type="dxa"/>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1.2米/组</w:t>
            </w:r>
          </w:p>
        </w:tc>
        <w:tc>
          <w:tcPr>
            <w:tcW w:w="1775" w:type="dxa"/>
            <w:vAlign w:val="center"/>
          </w:tcPr>
          <w:p>
            <w:pPr>
              <w:jc w:val="center"/>
              <w:rPr>
                <w:rFonts w:hint="default" w:ascii="宋体" w:hAnsi="宋体" w:eastAsia="宋体"/>
                <w:color w:val="auto"/>
                <w:szCs w:val="21"/>
                <w:highlight w:val="none"/>
                <w:lang w:val="en-US" w:eastAsia="zh-CN"/>
              </w:rPr>
            </w:pPr>
            <w:r>
              <w:rPr>
                <w:rFonts w:hint="default" w:ascii="宋体" w:hAnsi="宋体" w:eastAsia="宋体"/>
                <w:color w:val="auto"/>
                <w:szCs w:val="21"/>
                <w:highlight w:val="none"/>
                <w:lang w:val="en-US" w:eastAsia="zh-CN"/>
              </w:rPr>
              <w:t>4</w:t>
            </w:r>
            <w:r>
              <w:rPr>
                <w:rFonts w:hint="eastAsia" w:ascii="宋体" w:hAnsi="宋体"/>
                <w:color w:val="auto"/>
                <w:szCs w:val="21"/>
                <w:highlight w:val="none"/>
                <w:lang w:val="en-US" w:eastAsia="zh-CN"/>
              </w:rPr>
              <w:t>88</w:t>
            </w:r>
            <w:r>
              <w:rPr>
                <w:rFonts w:hint="default" w:ascii="宋体" w:hAnsi="宋体" w:eastAsia="宋体"/>
                <w:color w:val="auto"/>
                <w:szCs w:val="21"/>
                <w:highlight w:val="none"/>
                <w:lang w:val="en-US" w:eastAsia="zh-CN"/>
              </w:rPr>
              <w:t>000.00</w:t>
            </w:r>
          </w:p>
        </w:tc>
        <w:tc>
          <w:tcPr>
            <w:tcW w:w="1513" w:type="dxa"/>
            <w:vAlign w:val="center"/>
          </w:tcPr>
          <w:p>
            <w:pPr>
              <w:jc w:val="center"/>
              <w:rPr>
                <w:rFonts w:hint="eastAsia" w:ascii="宋体" w:hAnsi="宋体"/>
                <w:color w:val="auto"/>
                <w:szCs w:val="21"/>
                <w:highlight w:val="none"/>
              </w:rPr>
            </w:pPr>
            <w:r>
              <w:rPr>
                <w:rFonts w:hint="eastAsia" w:asciiTheme="minorEastAsia" w:hAnsiTheme="minorEastAsia" w:eastAsiaTheme="minorEastAsia" w:cstheme="minorEastAsia"/>
                <w:color w:val="auto"/>
                <w:sz w:val="21"/>
                <w:szCs w:val="21"/>
                <w:highlight w:val="none"/>
                <w:lang w:val="en-US" w:eastAsia="zh-CN"/>
              </w:rPr>
              <w:t>30</w:t>
            </w:r>
            <w:r>
              <w:rPr>
                <w:rFonts w:hint="eastAsia" w:asciiTheme="minorEastAsia" w:hAnsiTheme="minorEastAsia" w:eastAsiaTheme="minorEastAsia" w:cstheme="minorEastAsia"/>
                <w:color w:val="auto"/>
                <w:sz w:val="21"/>
                <w:szCs w:val="21"/>
                <w:highlight w:val="none"/>
                <w:lang w:val="zh-CN"/>
              </w:rPr>
              <w:t>日历天内</w:t>
            </w:r>
          </w:p>
        </w:tc>
      </w:tr>
    </w:tbl>
    <w:p>
      <w:pPr>
        <w:pStyle w:val="48"/>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二、商务要求</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bookmarkStart w:id="281" w:name="_Toc317609047"/>
      <w:r>
        <w:rPr>
          <w:rFonts w:hint="eastAsia" w:asciiTheme="minorEastAsia" w:hAnsiTheme="minorEastAsia" w:eastAsiaTheme="minorEastAsia" w:cstheme="minorEastAsia"/>
          <w:color w:val="auto"/>
          <w:sz w:val="21"/>
          <w:szCs w:val="21"/>
          <w:highlight w:val="none"/>
          <w:lang w:val="zh-CN"/>
        </w:rPr>
        <w:t>1</w:t>
      </w:r>
      <w:bookmarkEnd w:id="281"/>
      <w:r>
        <w:rPr>
          <w:rFonts w:hint="eastAsia" w:asciiTheme="minorEastAsia" w:hAnsiTheme="minorEastAsia" w:eastAsiaTheme="minorEastAsia" w:cstheme="minorEastAsia"/>
          <w:color w:val="auto"/>
          <w:sz w:val="21"/>
          <w:szCs w:val="21"/>
          <w:highlight w:val="none"/>
          <w:lang w:val="zh-CN"/>
        </w:rPr>
        <w:t>、</w:t>
      </w:r>
      <w:bookmarkStart w:id="282" w:name="_Toc317609048"/>
      <w:r>
        <w:rPr>
          <w:rFonts w:hint="eastAsia" w:asciiTheme="minorEastAsia" w:hAnsiTheme="minorEastAsia" w:eastAsiaTheme="minorEastAsia" w:cstheme="minorEastAsia"/>
          <w:color w:val="auto"/>
          <w:sz w:val="21"/>
          <w:szCs w:val="21"/>
          <w:highlight w:val="none"/>
          <w:lang w:val="zh-CN"/>
        </w:rPr>
        <w:t>质量要求：按国家地方行业相关规范规程一次性验收达到合格标准。</w:t>
      </w:r>
      <w:bookmarkEnd w:id="282"/>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bookmarkStart w:id="283" w:name="_Toc317609049"/>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val="zh-CN"/>
        </w:rPr>
        <w:t>、安全文明安装要求：按广州市的相关规定执行。</w:t>
      </w:r>
      <w:bookmarkEnd w:id="283"/>
    </w:p>
    <w:p>
      <w:pPr>
        <w:pStyle w:val="48"/>
        <w:keepNext w:val="0"/>
        <w:keepLines w:val="0"/>
        <w:pageBreakBefore w:val="0"/>
        <w:numPr>
          <w:ilvl w:val="0"/>
          <w:numId w:val="0"/>
        </w:numPr>
        <w:tabs>
          <w:tab w:val="left" w:pos="7740"/>
        </w:tabs>
        <w:kinsoku/>
        <w:wordWrap/>
        <w:overflowPunct/>
        <w:topLinePunct w:val="0"/>
        <w:bidi w:val="0"/>
        <w:adjustRightInd w:val="0"/>
        <w:snapToGrid w:val="0"/>
        <w:spacing w:beforeLines="50" w:line="440" w:lineRule="exact"/>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三、技术范围</w:t>
      </w:r>
    </w:p>
    <w:tbl>
      <w:tblPr>
        <w:tblStyle w:val="95"/>
        <w:tblW w:w="8259" w:type="dxa"/>
        <w:jc w:val="center"/>
        <w:tblInd w:w="0" w:type="dxa"/>
        <w:shd w:val="clear" w:color="auto" w:fill="auto"/>
        <w:tblLayout w:type="fixed"/>
        <w:tblCellMar>
          <w:top w:w="0" w:type="dxa"/>
          <w:left w:w="0" w:type="dxa"/>
          <w:bottom w:w="0" w:type="dxa"/>
          <w:right w:w="0" w:type="dxa"/>
        </w:tblCellMar>
      </w:tblPr>
      <w:tblGrid>
        <w:gridCol w:w="1383"/>
        <w:gridCol w:w="6876"/>
      </w:tblGrid>
      <w:tr>
        <w:tblPrEx>
          <w:tblLayout w:type="fixed"/>
          <w:tblCellMar>
            <w:top w:w="0" w:type="dxa"/>
            <w:left w:w="0" w:type="dxa"/>
            <w:bottom w:w="0" w:type="dxa"/>
            <w:right w:w="0" w:type="dxa"/>
          </w:tblCellMar>
        </w:tblPrEx>
        <w:trPr>
          <w:trHeight w:val="904" w:hRule="atLeast"/>
          <w:jc w:val="center"/>
        </w:trPr>
        <w:tc>
          <w:tcPr>
            <w:tcW w:w="13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设备名称</w:t>
            </w:r>
          </w:p>
        </w:tc>
        <w:tc>
          <w:tcPr>
            <w:tcW w:w="687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技术参数及性能配置要求</w:t>
            </w:r>
          </w:p>
        </w:tc>
      </w:tr>
      <w:tr>
        <w:tblPrEx>
          <w:tblLayout w:type="fixed"/>
          <w:tblCellMar>
            <w:top w:w="0" w:type="dxa"/>
            <w:left w:w="0" w:type="dxa"/>
            <w:bottom w:w="0" w:type="dxa"/>
            <w:right w:w="0" w:type="dxa"/>
          </w:tblCellMar>
        </w:tblPrEx>
        <w:trPr>
          <w:trHeight w:val="904" w:hRule="atLeast"/>
          <w:jc w:val="center"/>
        </w:trPr>
        <w:tc>
          <w:tcPr>
            <w:tcW w:w="138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蛋鸭区笼架系统(包括镀锌鸭笼、支架、料槽、挡鸭板)</w:t>
            </w:r>
          </w:p>
        </w:tc>
        <w:tc>
          <w:tcPr>
            <w:tcW w:w="687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b/>
                <w:i w:val="0"/>
                <w:color w:val="auto"/>
                <w:kern w:val="0"/>
                <w:sz w:val="21"/>
                <w:szCs w:val="21"/>
                <w:highlight w:val="none"/>
                <w:u w:val="none"/>
                <w:lang w:val="en-US" w:eastAsia="zh-CN" w:bidi="ar"/>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（一）用材标准：</w:t>
            </w:r>
          </w:p>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1、所有网片如底网、隔网、背网、前网、笼门等均采用优质低碳钢拉拔成型的镀铝锌丝制作而成，镀锌层平均厚度≥200g/ m2；</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2、主体框架采用符合GB/T2518-2008、镀锌层平均厚度≥275g/ m2的热镀锌板制作，立柱：δ=2mm，横梁：δ=1.5mm，纵梁：δ=1mm，镀锌层平均厚度≥275g/ m2的热镀锌板制作；</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3、料槽用δ≥0.8mm，镀锌层平均厚度≥275g/ m2的热镀锌板制作；</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4、料槽托架：δ≥2mm，镀锌层平均厚度≥275g/ m2的热镀锌板制作。  </w:t>
            </w:r>
          </w:p>
          <w:p>
            <w:pPr>
              <w:keepNext w:val="0"/>
              <w:keepLines w:val="0"/>
              <w:widowControl/>
              <w:suppressLineNumbers w:val="0"/>
              <w:jc w:val="left"/>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（二）性能说明：</w:t>
            </w:r>
          </w:p>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1、全套笼架采用符合国标（GB/T2518-2008）要求、镀锌层平均厚度275g/ m2的热镀锌板制作，结构稳定，防腐性能强；</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2、料槽强度高；网片要求采用防腐蚀性高的镀铝锌丝制作；</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3、笼门采用推拉式笼门，折弯限位，操作方便；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4、底网倾斜角度为6°，底网铺在张紧的钢丝上，底网弹性大；</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5、增加底部垫网，预防脚部疾病，提高产蛋率。</w:t>
            </w:r>
          </w:p>
        </w:tc>
      </w:tr>
      <w:tr>
        <w:tblPrEx>
          <w:shd w:val="clear" w:color="auto" w:fill="auto"/>
          <w:tblLayout w:type="fixed"/>
          <w:tblCellMar>
            <w:top w:w="0" w:type="dxa"/>
            <w:left w:w="0" w:type="dxa"/>
            <w:bottom w:w="0" w:type="dxa"/>
            <w:right w:w="0" w:type="dxa"/>
          </w:tblCellMar>
        </w:tblPrEx>
        <w:trPr>
          <w:trHeight w:val="904" w:hRule="atLeast"/>
          <w:jc w:val="center"/>
        </w:trPr>
        <w:tc>
          <w:tcPr>
            <w:tcW w:w="1383" w:type="dxa"/>
            <w:vMerge w:val="continue"/>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b/>
                <w:i w:val="0"/>
                <w:color w:val="auto"/>
                <w:sz w:val="21"/>
                <w:szCs w:val="21"/>
                <w:highlight w:val="none"/>
                <w:u w:val="none"/>
              </w:rPr>
            </w:pPr>
          </w:p>
        </w:tc>
        <w:tc>
          <w:tcPr>
            <w:tcW w:w="6876" w:type="dxa"/>
            <w:vMerge w:val="continue"/>
            <w:tcBorders>
              <w:top w:val="single" w:color="auto" w:sz="4" w:space="0"/>
              <w:left w:val="nil"/>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p>
        </w:tc>
      </w:tr>
      <w:tr>
        <w:tblPrEx>
          <w:tblLayout w:type="fixed"/>
          <w:tblCellMar>
            <w:top w:w="0" w:type="dxa"/>
            <w:left w:w="0" w:type="dxa"/>
            <w:bottom w:w="0" w:type="dxa"/>
            <w:right w:w="0" w:type="dxa"/>
          </w:tblCellMar>
        </w:tblPrEx>
        <w:trPr>
          <w:trHeight w:val="904" w:hRule="atLeast"/>
          <w:jc w:val="center"/>
        </w:trPr>
        <w:tc>
          <w:tcPr>
            <w:tcW w:w="1383"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b/>
                <w:i w:val="0"/>
                <w:color w:val="auto"/>
                <w:sz w:val="21"/>
                <w:szCs w:val="21"/>
                <w:highlight w:val="none"/>
                <w:u w:val="none"/>
              </w:rPr>
            </w:pPr>
          </w:p>
        </w:tc>
        <w:tc>
          <w:tcPr>
            <w:tcW w:w="6876" w:type="dxa"/>
            <w:vMerge w:val="continue"/>
            <w:tcBorders>
              <w:left w:val="nil"/>
              <w:right w:val="single" w:color="auto" w:sz="4" w:space="0"/>
            </w:tcBorders>
            <w:shd w:val="clear" w:color="auto" w:fill="auto"/>
            <w:tcMar>
              <w:top w:w="15" w:type="dxa"/>
              <w:left w:w="15" w:type="dxa"/>
              <w:right w:w="15" w:type="dxa"/>
            </w:tcMar>
            <w:vAlign w:val="center"/>
          </w:tcPr>
          <w:p>
            <w:pPr>
              <w:jc w:val="left"/>
              <w:rPr>
                <w:rFonts w:hint="eastAsia" w:asciiTheme="minorEastAsia" w:hAnsiTheme="minorEastAsia" w:eastAsiaTheme="minorEastAsia" w:cstheme="minorEastAsia"/>
                <w:i w:val="0"/>
                <w:color w:val="auto"/>
                <w:sz w:val="21"/>
                <w:szCs w:val="21"/>
                <w:highlight w:val="none"/>
                <w:u w:val="none"/>
              </w:rPr>
            </w:pPr>
          </w:p>
        </w:tc>
      </w:tr>
      <w:tr>
        <w:tblPrEx>
          <w:tblLayout w:type="fixed"/>
          <w:tblCellMar>
            <w:top w:w="0" w:type="dxa"/>
            <w:left w:w="0" w:type="dxa"/>
            <w:bottom w:w="0" w:type="dxa"/>
            <w:right w:w="0" w:type="dxa"/>
          </w:tblCellMar>
        </w:tblPrEx>
        <w:trPr>
          <w:trHeight w:val="904" w:hRule="atLeast"/>
          <w:jc w:val="center"/>
        </w:trPr>
        <w:tc>
          <w:tcPr>
            <w:tcW w:w="1383"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b/>
                <w:i w:val="0"/>
                <w:color w:val="auto"/>
                <w:sz w:val="21"/>
                <w:szCs w:val="21"/>
                <w:highlight w:val="none"/>
                <w:u w:val="none"/>
              </w:rPr>
            </w:pPr>
          </w:p>
        </w:tc>
        <w:tc>
          <w:tcPr>
            <w:tcW w:w="6876" w:type="dxa"/>
            <w:vMerge w:val="continue"/>
            <w:tcBorders>
              <w:left w:val="nil"/>
              <w:right w:val="single" w:color="auto" w:sz="4" w:space="0"/>
            </w:tcBorders>
            <w:shd w:val="clear" w:color="auto" w:fill="auto"/>
            <w:tcMar>
              <w:top w:w="15" w:type="dxa"/>
              <w:left w:w="15" w:type="dxa"/>
              <w:right w:w="15" w:type="dxa"/>
            </w:tcMar>
            <w:vAlign w:val="center"/>
          </w:tcPr>
          <w:p>
            <w:pPr>
              <w:jc w:val="left"/>
              <w:rPr>
                <w:rFonts w:hint="eastAsia" w:asciiTheme="minorEastAsia" w:hAnsiTheme="minorEastAsia" w:eastAsiaTheme="minorEastAsia" w:cstheme="minorEastAsia"/>
                <w:i w:val="0"/>
                <w:color w:val="auto"/>
                <w:sz w:val="21"/>
                <w:szCs w:val="21"/>
                <w:highlight w:val="none"/>
                <w:u w:val="none"/>
              </w:rPr>
            </w:pPr>
          </w:p>
        </w:tc>
      </w:tr>
      <w:tr>
        <w:tblPrEx>
          <w:tblLayout w:type="fixed"/>
          <w:tblCellMar>
            <w:top w:w="0" w:type="dxa"/>
            <w:left w:w="0" w:type="dxa"/>
            <w:bottom w:w="0" w:type="dxa"/>
            <w:right w:w="0" w:type="dxa"/>
          </w:tblCellMar>
        </w:tblPrEx>
        <w:trPr>
          <w:trHeight w:val="904" w:hRule="atLeast"/>
          <w:jc w:val="center"/>
        </w:trPr>
        <w:tc>
          <w:tcPr>
            <w:tcW w:w="1383" w:type="dxa"/>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b/>
                <w:i w:val="0"/>
                <w:color w:val="auto"/>
                <w:sz w:val="21"/>
                <w:szCs w:val="21"/>
                <w:highlight w:val="none"/>
                <w:u w:val="none"/>
              </w:rPr>
            </w:pPr>
          </w:p>
        </w:tc>
        <w:tc>
          <w:tcPr>
            <w:tcW w:w="6876" w:type="dxa"/>
            <w:vMerge w:val="continue"/>
            <w:tcBorders>
              <w:left w:val="nil"/>
              <w:right w:val="single" w:color="auto" w:sz="4" w:space="0"/>
            </w:tcBorders>
            <w:shd w:val="clear" w:color="auto" w:fill="auto"/>
            <w:tcMar>
              <w:top w:w="15" w:type="dxa"/>
              <w:left w:w="15" w:type="dxa"/>
              <w:right w:w="15" w:type="dxa"/>
            </w:tcMar>
            <w:vAlign w:val="center"/>
          </w:tcPr>
          <w:p>
            <w:pPr>
              <w:jc w:val="left"/>
              <w:rPr>
                <w:rFonts w:hint="eastAsia" w:asciiTheme="minorEastAsia" w:hAnsiTheme="minorEastAsia" w:eastAsiaTheme="minorEastAsia" w:cstheme="minorEastAsia"/>
                <w:i w:val="0"/>
                <w:color w:val="auto"/>
                <w:sz w:val="21"/>
                <w:szCs w:val="21"/>
                <w:highlight w:val="none"/>
                <w:u w:val="none"/>
              </w:rPr>
            </w:pPr>
          </w:p>
        </w:tc>
      </w:tr>
      <w:tr>
        <w:tblPrEx>
          <w:tblLayout w:type="fixed"/>
          <w:tblCellMar>
            <w:top w:w="0" w:type="dxa"/>
            <w:left w:w="0" w:type="dxa"/>
            <w:bottom w:w="0" w:type="dxa"/>
            <w:right w:w="0" w:type="dxa"/>
          </w:tblCellMar>
        </w:tblPrEx>
        <w:trPr>
          <w:trHeight w:val="312" w:hRule="atLeast"/>
          <w:jc w:val="center"/>
        </w:trPr>
        <w:tc>
          <w:tcPr>
            <w:tcW w:w="1383" w:type="dxa"/>
            <w:vMerge w:val="continue"/>
            <w:tcBorders>
              <w:top w:val="single" w:color="000000"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Theme="minorEastAsia" w:hAnsiTheme="minorEastAsia" w:eastAsiaTheme="minorEastAsia" w:cstheme="minorEastAsia"/>
                <w:b/>
                <w:i w:val="0"/>
                <w:color w:val="auto"/>
                <w:sz w:val="21"/>
                <w:szCs w:val="21"/>
                <w:highlight w:val="none"/>
                <w:u w:val="none"/>
              </w:rPr>
            </w:pPr>
          </w:p>
        </w:tc>
        <w:tc>
          <w:tcPr>
            <w:tcW w:w="6876" w:type="dxa"/>
            <w:vMerge w:val="continue"/>
            <w:tcBorders>
              <w:left w:val="nil"/>
              <w:bottom w:val="single" w:color="auto" w:sz="4" w:space="0"/>
              <w:right w:val="single" w:color="auto" w:sz="4" w:space="0"/>
            </w:tcBorders>
            <w:shd w:val="clear" w:color="auto" w:fill="auto"/>
            <w:tcMar>
              <w:top w:w="15" w:type="dxa"/>
              <w:left w:w="15" w:type="dxa"/>
              <w:right w:w="15" w:type="dxa"/>
            </w:tcMar>
            <w:vAlign w:val="center"/>
          </w:tcPr>
          <w:p>
            <w:pPr>
              <w:jc w:val="left"/>
              <w:rPr>
                <w:rFonts w:hint="eastAsia" w:asciiTheme="minorEastAsia" w:hAnsiTheme="minorEastAsia" w:eastAsiaTheme="minorEastAsia" w:cstheme="minorEastAsia"/>
                <w:i w:val="0"/>
                <w:color w:val="auto"/>
                <w:sz w:val="21"/>
                <w:szCs w:val="21"/>
                <w:highlight w:val="none"/>
                <w:u w:val="none"/>
              </w:rPr>
            </w:pPr>
          </w:p>
        </w:tc>
      </w:tr>
    </w:tbl>
    <w:p>
      <w:pPr>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br w:type="page"/>
      </w:r>
    </w:p>
    <w:p>
      <w:pPr>
        <w:pStyle w:val="48"/>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四、鸭笼总图（参考尺寸）</w:t>
      </w:r>
    </w:p>
    <w:p>
      <w:pPr>
        <w:pStyle w:val="48"/>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color w:val="auto"/>
          <w:highlight w:val="none"/>
        </w:rPr>
        <w:drawing>
          <wp:inline distT="0" distB="0" distL="114300" distR="114300">
            <wp:extent cx="8776970" cy="6069330"/>
            <wp:effectExtent l="0" t="0" r="762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rot="16200000">
                      <a:off x="0" y="0"/>
                      <a:ext cx="8776970" cy="6069330"/>
                    </a:xfrm>
                    <a:prstGeom prst="rect">
                      <a:avLst/>
                    </a:prstGeom>
                    <a:noFill/>
                    <a:ln>
                      <a:noFill/>
                    </a:ln>
                  </pic:spPr>
                </pic:pic>
              </a:graphicData>
            </a:graphic>
          </wp:inline>
        </w:drawing>
      </w:r>
      <w:r>
        <w:rPr>
          <w:rFonts w:hint="eastAsia" w:asciiTheme="minorEastAsia" w:hAnsiTheme="minorEastAsia" w:eastAsiaTheme="minorEastAsia" w:cstheme="minorEastAsia"/>
          <w:b/>
          <w:color w:val="auto"/>
          <w:sz w:val="21"/>
          <w:szCs w:val="21"/>
          <w:highlight w:val="none"/>
          <w:lang w:val="zh-CN"/>
        </w:rPr>
        <w:t>五、现场踏勘</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Cs w:val="21"/>
          <w:highlight w:val="none"/>
          <w:lang w:val="zh-CN"/>
        </w:rPr>
        <w:t>本项目不集中组织</w:t>
      </w:r>
      <w:r>
        <w:rPr>
          <w:rFonts w:hint="eastAsia" w:asciiTheme="minorEastAsia" w:hAnsiTheme="minorEastAsia" w:eastAsiaTheme="minorEastAsia" w:cstheme="minorEastAsia"/>
          <w:color w:val="auto"/>
          <w:szCs w:val="21"/>
          <w:highlight w:val="none"/>
        </w:rPr>
        <w:t>现场踏勘</w:t>
      </w:r>
      <w:r>
        <w:rPr>
          <w:rFonts w:hint="eastAsia" w:asciiTheme="minorEastAsia" w:hAnsiTheme="minorEastAsia" w:eastAsiaTheme="minorEastAsia" w:cstheme="minorEastAsia"/>
          <w:color w:val="auto"/>
          <w:szCs w:val="21"/>
          <w:highlight w:val="none"/>
          <w:lang w:val="zh-CN"/>
        </w:rPr>
        <w:t>，由报价人自行踏勘；报价人应充分重视和仔细地进行这种考察，以便报价人获取那些须报价人自己负责的有关编制响应文件和签署合同所涉及现场所有的资料，报价人不进行踏勘的，视为已熟知现场条件，自行承担相关风险。一旦中标，这种考察即被认为其结果已在中标文件中得到充分反映。考察现场的费用由报价人自己承担。</w:t>
      </w:r>
    </w:p>
    <w:p>
      <w:pPr>
        <w:tabs>
          <w:tab w:val="left" w:pos="840"/>
        </w:tabs>
        <w:spacing w:line="440" w:lineRule="exact"/>
        <w:rPr>
          <w:rFonts w:asciiTheme="minorEastAsia" w:hAnsiTheme="minorEastAsia" w:eastAsiaTheme="minorEastAsia" w:cstheme="minorEastAsia"/>
          <w:b/>
          <w:color w:val="auto"/>
          <w:szCs w:val="21"/>
          <w:highlight w:val="none"/>
          <w:lang w:val="zh-CN"/>
        </w:rPr>
      </w:pPr>
      <w:r>
        <w:rPr>
          <w:rFonts w:hint="eastAsia" w:asciiTheme="minorEastAsia" w:hAnsiTheme="minorEastAsia" w:eastAsiaTheme="minorEastAsia" w:cstheme="minorEastAsia"/>
          <w:b/>
          <w:color w:val="auto"/>
          <w:szCs w:val="21"/>
          <w:highlight w:val="none"/>
          <w:lang w:eastAsia="zh-CN"/>
        </w:rPr>
        <w:t>六</w:t>
      </w:r>
      <w:r>
        <w:rPr>
          <w:rFonts w:hint="eastAsia" w:asciiTheme="minorEastAsia" w:hAnsiTheme="minorEastAsia" w:eastAsiaTheme="minorEastAsia" w:cstheme="minorEastAsia"/>
          <w:b/>
          <w:color w:val="auto"/>
          <w:szCs w:val="21"/>
          <w:highlight w:val="none"/>
          <w:lang w:val="zh-CN"/>
        </w:rPr>
        <w:t>、其他</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1.本次报价包括以上清单中所有内容，报价人必须给出清单所有项目的综合单价（综合单价须有明细内容）和合价，若有缺项漏项，应视为均摊在其他费用中。</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3.各报价人必须给出产品的详细资料，包括技术标准、产品配置、尺寸等，以便采购人综合进行评定。</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4.报价人必须保证：报价所列内容使得整个工程在功能上的完整性，并正常使用，验收合格。</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Cs w:val="21"/>
          <w:highlight w:val="none"/>
          <w:lang w:val="zh-CN"/>
        </w:rPr>
        <w:t>5.成交人责任:成交人在施工过程中需要负责处理好与周边的关系及经济问题，发生任何纠纷以及产生所有费用均由成交人自行承担。</w:t>
      </w:r>
    </w:p>
    <w:p>
      <w:pPr>
        <w:tabs>
          <w:tab w:val="left" w:pos="840"/>
        </w:tabs>
        <w:spacing w:line="440" w:lineRule="exact"/>
        <w:rPr>
          <w:rFonts w:hint="eastAsia" w:asciiTheme="minorEastAsia" w:hAnsiTheme="minorEastAsia" w:eastAsiaTheme="minorEastAsia" w:cstheme="minorEastAsia"/>
          <w:b/>
          <w:color w:val="auto"/>
          <w:szCs w:val="21"/>
          <w:highlight w:val="none"/>
          <w:lang w:val="zh-CN"/>
        </w:rPr>
      </w:pPr>
      <w:r>
        <w:rPr>
          <w:rFonts w:hint="eastAsia" w:asciiTheme="minorEastAsia" w:hAnsiTheme="minorEastAsia" w:eastAsiaTheme="minorEastAsia" w:cstheme="minorEastAsia"/>
          <w:b/>
          <w:color w:val="auto"/>
          <w:szCs w:val="21"/>
          <w:highlight w:val="none"/>
          <w:lang w:val="zh-CN" w:eastAsia="zh-CN"/>
        </w:rPr>
        <w:t>七、</w:t>
      </w:r>
      <w:r>
        <w:rPr>
          <w:rFonts w:hint="eastAsia" w:asciiTheme="minorEastAsia" w:hAnsiTheme="minorEastAsia" w:eastAsiaTheme="minorEastAsia" w:cstheme="minorEastAsia"/>
          <w:b/>
          <w:color w:val="auto"/>
          <w:szCs w:val="21"/>
          <w:highlight w:val="none"/>
          <w:lang w:val="zh-CN"/>
        </w:rPr>
        <w:t>安装、调试及验收要求</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eastAsia="zh-CN"/>
        </w:rPr>
      </w:pPr>
      <w:r>
        <w:rPr>
          <w:rFonts w:hint="eastAsia" w:asciiTheme="minorEastAsia" w:hAnsiTheme="minorEastAsia" w:eastAsiaTheme="minorEastAsia" w:cstheme="minorEastAsia"/>
          <w:color w:val="auto"/>
          <w:szCs w:val="21"/>
          <w:highlight w:val="none"/>
          <w:lang w:val="zh-CN"/>
        </w:rPr>
        <w:t>1、</w:t>
      </w:r>
      <w:r>
        <w:rPr>
          <w:rFonts w:hint="eastAsia" w:asciiTheme="minorEastAsia" w:hAnsiTheme="minorEastAsia" w:eastAsiaTheme="minorEastAsia" w:cstheme="minorEastAsia"/>
          <w:color w:val="auto"/>
          <w:szCs w:val="21"/>
          <w:highlight w:val="none"/>
          <w:lang w:val="zh-CN" w:eastAsia="zh-CN"/>
        </w:rPr>
        <w:t>成交人</w:t>
      </w:r>
      <w:r>
        <w:rPr>
          <w:rFonts w:hint="eastAsia" w:asciiTheme="minorEastAsia" w:hAnsiTheme="minorEastAsia" w:eastAsiaTheme="minorEastAsia" w:cstheme="minorEastAsia"/>
          <w:color w:val="auto"/>
          <w:szCs w:val="21"/>
          <w:highlight w:val="none"/>
          <w:lang w:val="zh-CN"/>
        </w:rPr>
        <w:t>所供货物若有国家标准按照国家标准验收，若无国家标准按行业标准验收；为原制造商制造的全新产品，整机无污染，无侵权行为、表面无划损、无任何缺陷隐患，在中国境内可依常规安全合法使用</w:t>
      </w:r>
      <w:r>
        <w:rPr>
          <w:rFonts w:hint="eastAsia" w:asciiTheme="minorEastAsia" w:hAnsiTheme="minorEastAsia" w:eastAsiaTheme="minorEastAsia" w:cstheme="minorEastAsia"/>
          <w:color w:val="auto"/>
          <w:szCs w:val="21"/>
          <w:highlight w:val="none"/>
          <w:lang w:val="zh-CN" w:eastAsia="zh-CN"/>
        </w:rPr>
        <w:t>。</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eastAsia="zh-CN"/>
        </w:rPr>
      </w:pPr>
      <w:r>
        <w:rPr>
          <w:rFonts w:hint="eastAsia" w:asciiTheme="minorEastAsia" w:hAnsiTheme="minorEastAsia" w:eastAsiaTheme="minorEastAsia" w:cstheme="minorEastAsia"/>
          <w:color w:val="auto"/>
          <w:szCs w:val="21"/>
          <w:highlight w:val="none"/>
          <w:lang w:val="zh-CN"/>
        </w:rPr>
        <w:t>2、货物为原厂商未启封全新包装，具出厂合格证，序列号、包装箱号与出厂批号一致，并可追索查阅，所有随设备的附件必须齐全</w:t>
      </w:r>
      <w:r>
        <w:rPr>
          <w:rFonts w:hint="eastAsia" w:asciiTheme="minorEastAsia" w:hAnsiTheme="minorEastAsia" w:eastAsiaTheme="minorEastAsia" w:cstheme="minorEastAsia"/>
          <w:color w:val="auto"/>
          <w:szCs w:val="21"/>
          <w:highlight w:val="none"/>
          <w:lang w:val="zh-CN" w:eastAsia="zh-CN"/>
        </w:rPr>
        <w:t>。</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3、产品包装均应有良好的防湿、防锈、防潮、防雨、防腐及防碰撞的措施，凡由于包装不良好造成的损失和由此产生的费用均由</w:t>
      </w:r>
      <w:r>
        <w:rPr>
          <w:rFonts w:hint="eastAsia" w:asciiTheme="minorEastAsia" w:hAnsiTheme="minorEastAsia" w:eastAsiaTheme="minorEastAsia" w:cstheme="minorEastAsia"/>
          <w:color w:val="auto"/>
          <w:szCs w:val="21"/>
          <w:highlight w:val="none"/>
          <w:lang w:val="zh-CN" w:eastAsia="zh-CN"/>
        </w:rPr>
        <w:t>成交人</w:t>
      </w:r>
      <w:r>
        <w:rPr>
          <w:rFonts w:hint="eastAsia" w:asciiTheme="minorEastAsia" w:hAnsiTheme="minorEastAsia" w:eastAsiaTheme="minorEastAsia" w:cstheme="minorEastAsia"/>
          <w:color w:val="auto"/>
          <w:szCs w:val="21"/>
          <w:highlight w:val="none"/>
          <w:lang w:val="zh-CN"/>
        </w:rPr>
        <w:t>承担。</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4、在产品包装及运输过程中出现的损坏或交通事故等所产生的费用及责任均由</w:t>
      </w:r>
      <w:r>
        <w:rPr>
          <w:rFonts w:hint="eastAsia" w:asciiTheme="minorEastAsia" w:hAnsiTheme="minorEastAsia" w:eastAsiaTheme="minorEastAsia" w:cstheme="minorEastAsia"/>
          <w:color w:val="auto"/>
          <w:szCs w:val="21"/>
          <w:highlight w:val="none"/>
          <w:lang w:val="zh-CN" w:eastAsia="zh-CN"/>
        </w:rPr>
        <w:t>成交人</w:t>
      </w:r>
      <w:r>
        <w:rPr>
          <w:rFonts w:hint="eastAsia" w:asciiTheme="minorEastAsia" w:hAnsiTheme="minorEastAsia" w:eastAsiaTheme="minorEastAsia" w:cstheme="minorEastAsia"/>
          <w:color w:val="auto"/>
          <w:szCs w:val="21"/>
          <w:highlight w:val="none"/>
          <w:lang w:val="zh-CN"/>
        </w:rPr>
        <w:t>承担。</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5、</w:t>
      </w:r>
      <w:r>
        <w:rPr>
          <w:rFonts w:hint="eastAsia" w:asciiTheme="minorEastAsia" w:hAnsiTheme="minorEastAsia" w:eastAsiaTheme="minorEastAsia" w:cstheme="minorEastAsia"/>
          <w:color w:val="auto"/>
          <w:szCs w:val="21"/>
          <w:highlight w:val="none"/>
          <w:lang w:val="zh-CN" w:eastAsia="zh-CN"/>
        </w:rPr>
        <w:t>成交人</w:t>
      </w:r>
      <w:r>
        <w:rPr>
          <w:rFonts w:hint="eastAsia" w:asciiTheme="minorEastAsia" w:hAnsiTheme="minorEastAsia" w:eastAsiaTheme="minorEastAsia" w:cstheme="minorEastAsia"/>
          <w:color w:val="auto"/>
          <w:szCs w:val="21"/>
          <w:highlight w:val="none"/>
          <w:lang w:val="zh-CN"/>
        </w:rPr>
        <w:t>应将关键主机设备的用户手册、保修手册、有关单证资料及配备件、随机工具等交付给采购人，使用操作及安全须知等重要资料应附有中文说明。</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6、当货物运抵采购人的现场后发现有缺陷或与合同不符，</w:t>
      </w:r>
      <w:r>
        <w:rPr>
          <w:rFonts w:hint="eastAsia" w:asciiTheme="minorEastAsia" w:hAnsiTheme="minorEastAsia" w:eastAsiaTheme="minorEastAsia" w:cstheme="minorEastAsia"/>
          <w:color w:val="auto"/>
          <w:szCs w:val="21"/>
          <w:highlight w:val="none"/>
          <w:lang w:val="zh-CN" w:eastAsia="zh-CN"/>
        </w:rPr>
        <w:t>成交人</w:t>
      </w:r>
      <w:r>
        <w:rPr>
          <w:rFonts w:hint="eastAsia" w:asciiTheme="minorEastAsia" w:hAnsiTheme="minorEastAsia" w:eastAsiaTheme="minorEastAsia" w:cstheme="minorEastAsia"/>
          <w:color w:val="auto"/>
          <w:szCs w:val="21"/>
          <w:highlight w:val="none"/>
          <w:lang w:val="zh-CN"/>
        </w:rPr>
        <w:t>应及时进行更换或修复， 并自行承担有关费用。</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en-US" w:eastAsia="zh-CN"/>
        </w:rPr>
        <w:t>7</w:t>
      </w:r>
      <w:r>
        <w:rPr>
          <w:rFonts w:hint="eastAsia" w:asciiTheme="minorEastAsia" w:hAnsiTheme="minorEastAsia" w:eastAsiaTheme="minorEastAsia" w:cstheme="minorEastAsia"/>
          <w:color w:val="auto"/>
          <w:szCs w:val="21"/>
          <w:highlight w:val="none"/>
          <w:lang w:val="zh-CN"/>
        </w:rPr>
        <w:t>、货物在现场的保管由</w:t>
      </w:r>
      <w:r>
        <w:rPr>
          <w:rFonts w:hint="eastAsia" w:asciiTheme="minorEastAsia" w:hAnsiTheme="minorEastAsia" w:eastAsiaTheme="minorEastAsia" w:cstheme="minorEastAsia"/>
          <w:color w:val="auto"/>
          <w:szCs w:val="21"/>
          <w:highlight w:val="none"/>
          <w:lang w:val="zh-CN" w:eastAsia="zh-CN"/>
        </w:rPr>
        <w:t>成交</w:t>
      </w:r>
      <w:r>
        <w:rPr>
          <w:rFonts w:hint="eastAsia" w:asciiTheme="minorEastAsia" w:hAnsiTheme="minorEastAsia" w:eastAsiaTheme="minorEastAsia" w:cstheme="minorEastAsia"/>
          <w:color w:val="auto"/>
          <w:szCs w:val="21"/>
          <w:highlight w:val="none"/>
          <w:lang w:val="zh-CN"/>
        </w:rPr>
        <w:t>人负责，直至项目安装、验收完毕。</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en-US" w:eastAsia="zh-CN"/>
        </w:rPr>
        <w:t>8</w:t>
      </w:r>
      <w:r>
        <w:rPr>
          <w:rFonts w:hint="eastAsia" w:asciiTheme="minorEastAsia" w:hAnsiTheme="minorEastAsia" w:eastAsiaTheme="minorEastAsia" w:cstheme="minorEastAsia"/>
          <w:color w:val="auto"/>
          <w:szCs w:val="21"/>
          <w:highlight w:val="none"/>
          <w:lang w:val="zh-CN"/>
        </w:rPr>
        <w:t>、货物在系统安装调试验收合格前的保险由</w:t>
      </w:r>
      <w:r>
        <w:rPr>
          <w:rFonts w:hint="eastAsia" w:asciiTheme="minorEastAsia" w:hAnsiTheme="minorEastAsia" w:eastAsiaTheme="minorEastAsia" w:cstheme="minorEastAsia"/>
          <w:color w:val="auto"/>
          <w:szCs w:val="21"/>
          <w:highlight w:val="none"/>
          <w:lang w:val="zh-CN" w:eastAsia="zh-CN"/>
        </w:rPr>
        <w:t>成交</w:t>
      </w:r>
      <w:r>
        <w:rPr>
          <w:rFonts w:hint="eastAsia" w:asciiTheme="minorEastAsia" w:hAnsiTheme="minorEastAsia" w:eastAsiaTheme="minorEastAsia" w:cstheme="minorEastAsia"/>
          <w:color w:val="auto"/>
          <w:szCs w:val="21"/>
          <w:highlight w:val="none"/>
          <w:lang w:val="zh-CN"/>
        </w:rPr>
        <w:t>人负责，</w:t>
      </w:r>
      <w:r>
        <w:rPr>
          <w:rFonts w:hint="eastAsia" w:asciiTheme="minorEastAsia" w:hAnsiTheme="minorEastAsia" w:eastAsiaTheme="minorEastAsia" w:cstheme="minorEastAsia"/>
          <w:color w:val="auto"/>
          <w:szCs w:val="21"/>
          <w:highlight w:val="none"/>
          <w:lang w:val="zh-CN" w:eastAsia="zh-CN"/>
        </w:rPr>
        <w:t>成交</w:t>
      </w:r>
      <w:r>
        <w:rPr>
          <w:rFonts w:hint="eastAsia" w:asciiTheme="minorEastAsia" w:hAnsiTheme="minorEastAsia" w:eastAsiaTheme="minorEastAsia" w:cstheme="minorEastAsia"/>
          <w:color w:val="auto"/>
          <w:szCs w:val="21"/>
          <w:highlight w:val="none"/>
          <w:lang w:val="zh-CN"/>
        </w:rPr>
        <w:t>人负责其派出的现场服务人员人身意外保险。</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en-US" w:eastAsia="zh-CN"/>
        </w:rPr>
        <w:t>9</w:t>
      </w:r>
      <w:r>
        <w:rPr>
          <w:rFonts w:hint="eastAsia" w:asciiTheme="minorEastAsia" w:hAnsiTheme="minorEastAsia" w:eastAsiaTheme="minorEastAsia" w:cstheme="minorEastAsia"/>
          <w:color w:val="auto"/>
          <w:szCs w:val="21"/>
          <w:highlight w:val="none"/>
          <w:lang w:val="zh-CN"/>
        </w:rPr>
        <w:t>、设备至采购人指定的使用现场的包装、保险及发运等环节和费用均由</w:t>
      </w:r>
      <w:r>
        <w:rPr>
          <w:rFonts w:hint="eastAsia" w:asciiTheme="minorEastAsia" w:hAnsiTheme="minorEastAsia" w:eastAsiaTheme="minorEastAsia" w:cstheme="minorEastAsia"/>
          <w:color w:val="auto"/>
          <w:szCs w:val="21"/>
          <w:highlight w:val="none"/>
          <w:lang w:val="zh-CN" w:eastAsia="zh-CN"/>
        </w:rPr>
        <w:t>成交</w:t>
      </w:r>
      <w:r>
        <w:rPr>
          <w:rFonts w:hint="eastAsia" w:asciiTheme="minorEastAsia" w:hAnsiTheme="minorEastAsia" w:eastAsiaTheme="minorEastAsia" w:cstheme="minorEastAsia"/>
          <w:color w:val="auto"/>
          <w:szCs w:val="21"/>
          <w:highlight w:val="none"/>
          <w:lang w:val="zh-CN"/>
        </w:rPr>
        <w:t>人负责。</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en-US" w:eastAsia="zh-CN"/>
        </w:rPr>
        <w:t>10</w:t>
      </w:r>
      <w:r>
        <w:rPr>
          <w:rFonts w:hint="eastAsia" w:asciiTheme="minorEastAsia" w:hAnsiTheme="minorEastAsia" w:eastAsiaTheme="minorEastAsia" w:cstheme="minorEastAsia"/>
          <w:color w:val="auto"/>
          <w:szCs w:val="21"/>
          <w:highlight w:val="none"/>
          <w:lang w:val="zh-CN"/>
        </w:rPr>
        <w:t>、到货检验仅属于预防性检验，设备是否合格应以最后整体验收的结论为准。</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en-US" w:eastAsia="zh-CN"/>
        </w:rPr>
        <w:t>11</w:t>
      </w:r>
      <w:r>
        <w:rPr>
          <w:rFonts w:hint="eastAsia" w:asciiTheme="minorEastAsia" w:hAnsiTheme="minorEastAsia" w:eastAsiaTheme="minorEastAsia" w:cstheme="minorEastAsia"/>
          <w:color w:val="auto"/>
          <w:szCs w:val="21"/>
          <w:highlight w:val="none"/>
          <w:lang w:val="zh-CN"/>
        </w:rPr>
        <w:t>、采购人组成验收小组按国家有关规定、规范进行验收，必要时邀请相关的专业人员或机构参与验收。因货物质量问题发生争议时，由本地质量技术监督部门鉴定。货物符合质量技术标准的，鉴定费由采购人承担；否则鉴定费由</w:t>
      </w:r>
      <w:r>
        <w:rPr>
          <w:rFonts w:hint="eastAsia" w:asciiTheme="minorEastAsia" w:hAnsiTheme="minorEastAsia" w:eastAsiaTheme="minorEastAsia" w:cstheme="minorEastAsia"/>
          <w:color w:val="auto"/>
          <w:szCs w:val="21"/>
          <w:highlight w:val="none"/>
          <w:lang w:val="zh-CN" w:eastAsia="zh-CN"/>
        </w:rPr>
        <w:t>成交人</w:t>
      </w:r>
      <w:r>
        <w:rPr>
          <w:rFonts w:hint="eastAsia" w:asciiTheme="minorEastAsia" w:hAnsiTheme="minorEastAsia" w:eastAsiaTheme="minorEastAsia" w:cstheme="minorEastAsia"/>
          <w:color w:val="auto"/>
          <w:szCs w:val="21"/>
          <w:highlight w:val="none"/>
          <w:lang w:val="zh-CN"/>
        </w:rPr>
        <w:t>承担。</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lang w:val="zh-CN" w:eastAsia="zh-CN"/>
        </w:rPr>
        <w:t>、</w:t>
      </w:r>
      <w:r>
        <w:rPr>
          <w:rFonts w:hint="eastAsia" w:asciiTheme="minorEastAsia" w:hAnsiTheme="minorEastAsia" w:eastAsiaTheme="minorEastAsia" w:cstheme="minorEastAsia"/>
          <w:color w:val="auto"/>
          <w:szCs w:val="21"/>
          <w:highlight w:val="none"/>
          <w:lang w:val="zh-CN"/>
        </w:rPr>
        <w:t>验收完毕由采购人及</w:t>
      </w:r>
      <w:r>
        <w:rPr>
          <w:rFonts w:hint="eastAsia" w:asciiTheme="minorEastAsia" w:hAnsiTheme="minorEastAsia" w:eastAsiaTheme="minorEastAsia" w:cstheme="minorEastAsia"/>
          <w:color w:val="auto"/>
          <w:szCs w:val="21"/>
          <w:highlight w:val="none"/>
          <w:lang w:val="zh-CN" w:eastAsia="zh-CN"/>
        </w:rPr>
        <w:t>成交人</w:t>
      </w:r>
      <w:r>
        <w:rPr>
          <w:rFonts w:hint="eastAsia" w:asciiTheme="minorEastAsia" w:hAnsiTheme="minorEastAsia" w:eastAsiaTheme="minorEastAsia" w:cstheme="minorEastAsia"/>
          <w:color w:val="auto"/>
          <w:szCs w:val="21"/>
          <w:highlight w:val="none"/>
          <w:lang w:val="zh-CN"/>
        </w:rPr>
        <w:t>在验收报告上签名。</w:t>
      </w:r>
    </w:p>
    <w:p>
      <w:pPr>
        <w:tabs>
          <w:tab w:val="left" w:pos="840"/>
        </w:tabs>
        <w:spacing w:line="440" w:lineRule="exact"/>
        <w:rPr>
          <w:rFonts w:asciiTheme="minorEastAsia" w:hAnsiTheme="minorEastAsia" w:eastAsiaTheme="minorEastAsia" w:cstheme="minorEastAsia"/>
          <w:b/>
          <w:color w:val="auto"/>
          <w:szCs w:val="21"/>
          <w:highlight w:val="none"/>
          <w:lang w:val="zh-CN"/>
        </w:rPr>
      </w:pPr>
      <w:r>
        <w:rPr>
          <w:rFonts w:hint="eastAsia" w:asciiTheme="minorEastAsia" w:hAnsiTheme="minorEastAsia" w:eastAsiaTheme="minorEastAsia" w:cstheme="minorEastAsia"/>
          <w:b/>
          <w:color w:val="auto"/>
          <w:szCs w:val="21"/>
          <w:highlight w:val="none"/>
          <w:lang w:eastAsia="zh-CN"/>
        </w:rPr>
        <w:t>八</w:t>
      </w:r>
      <w:r>
        <w:rPr>
          <w:rFonts w:hint="eastAsia" w:asciiTheme="minorEastAsia" w:hAnsiTheme="minorEastAsia" w:eastAsiaTheme="minorEastAsia" w:cstheme="minorEastAsia"/>
          <w:b/>
          <w:color w:val="auto"/>
          <w:szCs w:val="21"/>
          <w:highlight w:val="none"/>
        </w:rPr>
        <w:t>、</w:t>
      </w:r>
      <w:r>
        <w:rPr>
          <w:rFonts w:hint="eastAsia" w:asciiTheme="minorEastAsia" w:hAnsiTheme="minorEastAsia" w:eastAsiaTheme="minorEastAsia" w:cstheme="minorEastAsia"/>
          <w:b/>
          <w:color w:val="auto"/>
          <w:szCs w:val="21"/>
          <w:highlight w:val="none"/>
          <w:lang w:val="zh-CN"/>
        </w:rPr>
        <w:t>质量保修期及售后服务要求</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1、免费质保期期限（自验收合格之日起计）：</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质量保修期至少</w:t>
      </w:r>
      <w:r>
        <w:rPr>
          <w:rFonts w:hint="eastAsia" w:asciiTheme="minorEastAsia" w:hAnsiTheme="minorEastAsia" w:eastAsiaTheme="minorEastAsia" w:cstheme="minorEastAsia"/>
          <w:color w:val="auto"/>
          <w:szCs w:val="21"/>
          <w:highlight w:val="none"/>
          <w:lang w:val="en-US" w:eastAsia="zh-CN"/>
        </w:rPr>
        <w:t>一</w:t>
      </w:r>
      <w:r>
        <w:rPr>
          <w:rFonts w:hint="eastAsia" w:asciiTheme="minorEastAsia" w:hAnsiTheme="minorEastAsia" w:eastAsiaTheme="minorEastAsia" w:cstheme="minorEastAsia"/>
          <w:color w:val="auto"/>
          <w:szCs w:val="21"/>
          <w:highlight w:val="none"/>
          <w:lang w:val="zh-CN"/>
        </w:rPr>
        <w:t>年。</w:t>
      </w:r>
    </w:p>
    <w:p>
      <w:pPr>
        <w:spacing w:line="440" w:lineRule="exact"/>
        <w:ind w:firstLine="420" w:firstLineChars="200"/>
        <w:rPr>
          <w:rFonts w:hint="eastAsia"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若国家或生产厂家对本项目所涉及货物及其服务的质保期规定高于本项目要求的，应按照国家或生产厂家的规定执行。</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质量保修期内成交人对所供项目内容实行包修、包换、包维护保养</w:t>
      </w:r>
      <w:r>
        <w:rPr>
          <w:rFonts w:hint="eastAsia" w:asciiTheme="minorEastAsia" w:hAnsiTheme="minorEastAsia" w:eastAsiaTheme="minorEastAsia" w:cstheme="minorEastAsia"/>
          <w:color w:val="auto"/>
          <w:szCs w:val="21"/>
          <w:highlight w:val="none"/>
        </w:rPr>
        <w:t>，结合具体工程要求</w:t>
      </w:r>
      <w:r>
        <w:rPr>
          <w:rFonts w:hint="eastAsia" w:asciiTheme="minorEastAsia" w:hAnsiTheme="minorEastAsia" w:eastAsiaTheme="minorEastAsia" w:cstheme="minorEastAsia"/>
          <w:color w:val="auto"/>
          <w:szCs w:val="21"/>
          <w:highlight w:val="none"/>
          <w:lang w:val="zh-CN"/>
        </w:rPr>
        <w:t>。免费质保期所涉及服务的一切费用均包含在投标报价中。</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2、报价人承诺，质保期内产品实行“三包”服务：包退：产品在验收时，如发现严重的质量问题,可给予退货或更换；包换：用户在正常使用的情况下，如出现较大问题,导致不能正常使用,且产品无法修复情况下,无条件更换同一款式，规格及材质的全新产品；包修: 因生产原因造成的产品质量问题(非人为损坏或不可避免的自然灾害除外),不收取任何维修服务费和零件费。在质保期满后, 酌情收取维修或更换的材料成本费用。</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3、服务响应时间：报价人承诺在质保期内收到采购人有关售后服务的要求，电话或传真后，在3小时内安排专人到现场进行处理并在8小时内解决问题。若问题严重无法短时间解决的，必须在3小时内回复何时解决及解决办法，并做出书面解释。</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4、报价人应在广东省内有专业的售后服务机构和人员，并提供售后服务机构相关信息、联系电话及联系人。</w:t>
      </w:r>
    </w:p>
    <w:p>
      <w:pPr>
        <w:spacing w:line="440" w:lineRule="exact"/>
        <w:ind w:firstLine="420" w:firstLineChars="200"/>
        <w:rPr>
          <w:rFonts w:asciiTheme="minorEastAsia" w:hAnsiTheme="minorEastAsia" w:eastAsiaTheme="minorEastAsia" w:cstheme="minorEastAsia"/>
          <w:color w:val="auto"/>
          <w:szCs w:val="21"/>
          <w:highlight w:val="none"/>
          <w:lang w:val="zh-CN"/>
        </w:rPr>
      </w:pPr>
      <w:r>
        <w:rPr>
          <w:rFonts w:hint="eastAsia" w:asciiTheme="minorEastAsia" w:hAnsiTheme="minorEastAsia" w:eastAsiaTheme="minorEastAsia" w:cstheme="minorEastAsia"/>
          <w:color w:val="auto"/>
          <w:szCs w:val="21"/>
          <w:highlight w:val="none"/>
          <w:lang w:val="zh-CN"/>
        </w:rPr>
        <w:t>5、配件：报价人承诺在质保期内免费提供有效的常用配件。</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Cs w:val="21"/>
          <w:highlight w:val="none"/>
          <w:lang w:val="zh-CN"/>
        </w:rPr>
        <w:t>6、培训：报价人承诺在合同签订后，组织采购人相关管理人员进行产品使用和日常保养的知识培训，培训费用由报价人承担。</w:t>
      </w:r>
    </w:p>
    <w:bookmarkEnd w:id="280"/>
    <w:p>
      <w:pPr>
        <w:tabs>
          <w:tab w:val="left" w:pos="840"/>
        </w:tabs>
        <w:spacing w:line="440" w:lineRule="exact"/>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lang w:eastAsia="zh-CN"/>
        </w:rPr>
        <w:t>九</w:t>
      </w:r>
      <w:r>
        <w:rPr>
          <w:rFonts w:hint="eastAsia" w:asciiTheme="minorEastAsia" w:hAnsiTheme="minorEastAsia" w:eastAsiaTheme="minorEastAsia" w:cstheme="minorEastAsia"/>
          <w:b/>
          <w:color w:val="auto"/>
          <w:szCs w:val="21"/>
          <w:highlight w:val="none"/>
          <w:lang w:val="zh-CN"/>
        </w:rPr>
        <w:t>、支付方式</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1.支付方式：</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采购人按下述进度以转账方式支付相应款项。</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2.支付进度：</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（一）付款采用 分期付款方式；</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（二）具体付款方式：</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（1）合同签订生效后，采购人支付成交人合同金额30%预付款；</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（2）所有货物到达安装现场并经采购人确认后，采购人按合同金额向成交人支付至80%的款项；</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项目完成并经采购人及上级主管部门验收合格等手续，采购人自收到发票后30日内将资金支付到成交人账户，支付至结算金额的95%，余下5%作为本项目质保金，质保期到期后无责免息支付给成交人。若成交人在质量保证期内未完全履行缺陷保修义务的，采购人有权扣除质量保证金，并保留进一步索赔的权利。</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（三）成交人向采购人申请支付货款时需提供：</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（2）成交人开具正式全额发票；</w:t>
      </w:r>
    </w:p>
    <w:p>
      <w:pPr>
        <w:spacing w:line="440" w:lineRule="exact"/>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（3）验收调试报告加盖采购人公章；</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（4）中标（成交）通知书。</w:t>
      </w:r>
    </w:p>
    <w:p>
      <w:pPr>
        <w:pStyle w:val="3"/>
        <w:autoSpaceDE w:val="0"/>
        <w:rPr>
          <w:color w:val="auto"/>
          <w:sz w:val="44"/>
          <w:highlight w:val="none"/>
        </w:rPr>
      </w:pPr>
      <w:r>
        <w:rPr>
          <w:color w:val="auto"/>
          <w:sz w:val="44"/>
          <w:highlight w:val="none"/>
        </w:rPr>
        <w:br w:type="page"/>
      </w: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p>
    <w:p>
      <w:pPr>
        <w:spacing w:line="360" w:lineRule="auto"/>
        <w:ind w:firstLine="420" w:firstLineChars="200"/>
        <w:jc w:val="left"/>
        <w:rPr>
          <w:rFonts w:ascii="宋体" w:hAnsi="宋体" w:cs="宋体"/>
          <w:color w:val="auto"/>
          <w:szCs w:val="21"/>
          <w:highlight w:val="none"/>
          <w:u w:val="single"/>
        </w:rPr>
      </w:pPr>
      <w:r>
        <w:rPr>
          <w:rFonts w:hint="eastAsia" w:ascii="宋体" w:hAnsi="宋体"/>
          <w:color w:val="auto"/>
          <w:highlight w:val="none"/>
        </w:rPr>
        <w:br w:type="page"/>
      </w:r>
      <w:bookmarkStart w:id="284" w:name="_Toc293341641"/>
      <w:bookmarkStart w:id="285" w:name="_Toc303110406"/>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szCs w:val="21"/>
          <w:highlight w:val="none"/>
        </w:rPr>
        <w:t>注：本合同条款仅供参考，甲乙双方可根据实际情况进行补充，但不得对</w:t>
      </w:r>
      <w:r>
        <w:rPr>
          <w:rFonts w:hint="eastAsia" w:ascii="宋体" w:hAnsi="宋体"/>
          <w:color w:val="auto"/>
          <w:szCs w:val="21"/>
          <w:highlight w:val="none"/>
          <w:lang w:eastAsia="zh-CN"/>
        </w:rPr>
        <w:t>竞争性磋商文件</w:t>
      </w:r>
      <w:r>
        <w:rPr>
          <w:rFonts w:hint="eastAsia" w:ascii="宋体" w:hAnsi="宋体"/>
          <w:color w:val="auto"/>
          <w:szCs w:val="21"/>
          <w:highlight w:val="none"/>
        </w:rPr>
        <w:t>作实质性修改。</w:t>
      </w:r>
    </w:p>
    <w:p>
      <w:pPr>
        <w:jc w:val="center"/>
        <w:rPr>
          <w:rFonts w:asciiTheme="minorEastAsia" w:hAnsiTheme="minorEastAsia" w:eastAsiaTheme="minorEastAsia" w:cstheme="minorEastAsia"/>
          <w:b/>
          <w:color w:val="auto"/>
          <w:sz w:val="52"/>
          <w:szCs w:val="52"/>
          <w:highlight w:val="none"/>
        </w:rPr>
      </w:pPr>
    </w:p>
    <w:p>
      <w:pPr>
        <w:jc w:val="center"/>
        <w:rPr>
          <w:rFonts w:asciiTheme="minorEastAsia" w:hAnsiTheme="minorEastAsia" w:eastAsiaTheme="minorEastAsia" w:cstheme="minorEastAsia"/>
          <w:b/>
          <w:color w:val="auto"/>
          <w:sz w:val="52"/>
          <w:szCs w:val="52"/>
          <w:highlight w:val="none"/>
        </w:rPr>
      </w:pPr>
      <w:r>
        <w:rPr>
          <w:rFonts w:hint="eastAsia" w:asciiTheme="minorEastAsia" w:hAnsiTheme="minorEastAsia" w:eastAsiaTheme="minorEastAsia" w:cstheme="minorEastAsia"/>
          <w:b/>
          <w:color w:val="auto"/>
          <w:sz w:val="52"/>
          <w:szCs w:val="52"/>
          <w:highlight w:val="none"/>
        </w:rPr>
        <w:t>采 购 合 同</w:t>
      </w:r>
    </w:p>
    <w:p>
      <w:pPr>
        <w:jc w:val="right"/>
        <w:rPr>
          <w:rFonts w:asciiTheme="minorEastAsia" w:hAnsiTheme="minorEastAsia" w:eastAsiaTheme="minorEastAsia" w:cstheme="minorEastAsia"/>
          <w:color w:val="auto"/>
          <w:sz w:val="28"/>
          <w:highlight w:val="none"/>
        </w:rPr>
      </w:pPr>
    </w:p>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Theme="minorEastAsia" w:hAnsiTheme="minorEastAsia" w:eastAsiaTheme="minorEastAsia" w:cstheme="minorEastAsia"/>
          <w:b/>
          <w:color w:val="auto"/>
          <w:highlight w:val="none"/>
          <w:u w:val="single"/>
          <w:lang w:val="en-US" w:eastAsia="zh-CN"/>
        </w:rPr>
      </w:pPr>
      <w:r>
        <w:rPr>
          <w:rFonts w:hint="eastAsia" w:asciiTheme="minorEastAsia" w:hAnsiTheme="minorEastAsia" w:eastAsiaTheme="minorEastAsia" w:cstheme="minorEastAsia"/>
          <w:b/>
          <w:color w:val="auto"/>
          <w:highlight w:val="none"/>
        </w:rPr>
        <w:t>甲  方：</w:t>
      </w:r>
      <w:r>
        <w:rPr>
          <w:rFonts w:hint="eastAsia" w:asciiTheme="minorEastAsia" w:hAnsiTheme="minorEastAsia" w:eastAsiaTheme="minorEastAsia" w:cstheme="minorEastAsia"/>
          <w:b/>
          <w:color w:val="auto"/>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440" w:lineRule="exact"/>
        <w:textAlignment w:val="auto"/>
        <w:rPr>
          <w:rFonts w:hint="default" w:asciiTheme="minorEastAsia" w:hAnsiTheme="minorEastAsia" w:eastAsiaTheme="minorEastAsia" w:cstheme="minorEastAsia"/>
          <w:b/>
          <w:color w:val="auto"/>
          <w:highlight w:val="none"/>
          <w:u w:val="single"/>
          <w:lang w:val="en-US" w:eastAsia="zh-CN"/>
        </w:rPr>
      </w:pPr>
      <w:r>
        <w:rPr>
          <w:rFonts w:hint="eastAsia" w:asciiTheme="minorEastAsia" w:hAnsiTheme="minorEastAsia" w:eastAsiaTheme="minorEastAsia" w:cstheme="minorEastAsia"/>
          <w:b/>
          <w:color w:val="auto"/>
          <w:highlight w:val="none"/>
        </w:rPr>
        <w:t>乙  方：</w:t>
      </w:r>
      <w:r>
        <w:rPr>
          <w:rFonts w:hint="eastAsia" w:asciiTheme="minorEastAsia" w:hAnsiTheme="minorEastAsia" w:eastAsiaTheme="minorEastAsia" w:cstheme="minorEastAsia"/>
          <w:b/>
          <w:color w:val="auto"/>
          <w:highlight w:val="none"/>
          <w:u w:val="single"/>
          <w:lang w:val="en-US" w:eastAsia="zh-CN"/>
        </w:rPr>
        <w:t xml:space="preserve">                      </w:t>
      </w:r>
      <w:r>
        <w:rPr>
          <w:rFonts w:hint="eastAsia" w:asciiTheme="minorEastAsia" w:hAnsiTheme="minorEastAsia" w:eastAsiaTheme="minorEastAsia" w:cstheme="minorEastAsia"/>
          <w:b/>
          <w:color w:val="auto"/>
          <w:highlight w:val="none"/>
          <w:lang w:val="en-US" w:eastAsia="zh-CN"/>
        </w:rPr>
        <w:t xml:space="preserve"> </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根据《中华人民共和国采购法》、《中华人民共和国合同法》及年月日竞争性磋商文件（招标编号：</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rPr>
        <w:t>，采购代理机构：</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rPr>
        <w:t>）、投标文件的要求，经双方协商一致，签订本合同。具体条款如下：</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b/>
          <w:bCs/>
          <w:color w:val="auto"/>
          <w:sz w:val="24"/>
          <w:highlight w:val="none"/>
        </w:rPr>
        <w:t>1. 合同设备</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rPr>
        <w:t>乙方负责向甲方提供下表中所列采购项目和相关的安装调试服务。</w:t>
      </w:r>
    </w:p>
    <w:tbl>
      <w:tblPr>
        <w:tblStyle w:val="95"/>
        <w:tblW w:w="903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ind w:left="-2" w:firstLine="2"/>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品名</w:t>
            </w:r>
          </w:p>
        </w:tc>
        <w:tc>
          <w:tcPr>
            <w:tcW w:w="1260"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规格型号</w:t>
            </w:r>
          </w:p>
        </w:tc>
        <w:tc>
          <w:tcPr>
            <w:tcW w:w="1260"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产地厂家</w:t>
            </w:r>
          </w:p>
        </w:tc>
        <w:tc>
          <w:tcPr>
            <w:tcW w:w="787"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单位</w:t>
            </w:r>
          </w:p>
        </w:tc>
        <w:tc>
          <w:tcPr>
            <w:tcW w:w="788"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数量</w:t>
            </w:r>
          </w:p>
        </w:tc>
        <w:tc>
          <w:tcPr>
            <w:tcW w:w="751"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单价</w:t>
            </w:r>
          </w:p>
        </w:tc>
        <w:tc>
          <w:tcPr>
            <w:tcW w:w="1034"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w:t>
            </w:r>
          </w:p>
        </w:tc>
        <w:tc>
          <w:tcPr>
            <w:tcW w:w="735"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随机配件</w:t>
            </w:r>
          </w:p>
        </w:tc>
        <w:tc>
          <w:tcPr>
            <w:tcW w:w="751"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交货地点</w:t>
            </w:r>
          </w:p>
        </w:tc>
        <w:tc>
          <w:tcPr>
            <w:tcW w:w="824" w:type="dxa"/>
          </w:tcPr>
          <w:p>
            <w:pPr>
              <w:keepNext w:val="0"/>
              <w:keepLines w:val="0"/>
              <w:pageBreakBefore w:val="0"/>
              <w:widowControl w:val="0"/>
              <w:kinsoku/>
              <w:wordWrap/>
              <w:overflowPunct/>
              <w:topLinePunct w:val="0"/>
              <w:autoSpaceDE/>
              <w:autoSpaceDN/>
              <w:bidi w:val="0"/>
              <w:adjustRightInd/>
              <w:spacing w:line="440" w:lineRule="exact"/>
              <w:jc w:val="center"/>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4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260"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7"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88"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103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35"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751"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c>
          <w:tcPr>
            <w:tcW w:w="824" w:type="dxa"/>
          </w:tcPr>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color w:val="auto"/>
                <w:highlight w:val="none"/>
              </w:rPr>
            </w:pPr>
          </w:p>
        </w:tc>
      </w:tr>
    </w:tbl>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2. 合同总价</w:t>
      </w:r>
    </w:p>
    <w:p>
      <w:pPr>
        <w:keepNext w:val="0"/>
        <w:keepLines w:val="0"/>
        <w:pageBreakBefore w:val="0"/>
        <w:widowControl w:val="0"/>
        <w:kinsoku/>
        <w:wordWrap/>
        <w:overflowPunct/>
        <w:topLinePunct w:val="0"/>
        <w:autoSpaceDE/>
        <w:autoSpaceDN/>
        <w:bidi w:val="0"/>
        <w:adjustRightInd/>
        <w:spacing w:line="440" w:lineRule="exact"/>
        <w:ind w:left="315" w:leftChars="15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总价为：（大写</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eastAsiaTheme="minorEastAsia" w:cstheme="minorEastAsia"/>
          <w:color w:val="auto"/>
          <w:highlight w:val="none"/>
          <w:lang w:val="en-US" w:eastAsia="zh-CN"/>
        </w:rPr>
        <w:t xml:space="preserve"> </w:t>
      </w:r>
      <w:r>
        <w:rPr>
          <w:rFonts w:hint="eastAsia" w:asciiTheme="minorEastAsia" w:hAnsiTheme="minorEastAsia" w:eastAsiaTheme="minorEastAsia" w:cstheme="minorEastAsia"/>
          <w:color w:val="auto"/>
          <w:highlight w:val="none"/>
        </w:rPr>
        <w:t>） ，即RMB￥</w:t>
      </w:r>
      <w:r>
        <w:rPr>
          <w:rFonts w:hint="eastAsia" w:asciiTheme="minorEastAsia" w:hAnsiTheme="minorEastAsia" w:eastAsiaTheme="minorEastAsia" w:cstheme="minorEastAsia"/>
          <w:color w:val="auto"/>
          <w:highlight w:val="none"/>
          <w:u w:val="single"/>
          <w:lang w:val="en-US" w:eastAsia="zh-CN"/>
        </w:rPr>
        <w:t xml:space="preserve">              </w:t>
      </w:r>
      <w:r>
        <w:rPr>
          <w:rFonts w:hint="eastAsia" w:asciiTheme="minorEastAsia" w:hAnsiTheme="minorEastAsia" w:eastAsiaTheme="minorEastAsia" w:cstheme="minorEastAsia"/>
          <w:color w:val="auto"/>
          <w:highlight w:val="none"/>
        </w:rPr>
        <w:t>元，</w:t>
      </w:r>
      <w:r>
        <w:rPr>
          <w:rFonts w:hint="eastAsia" w:ascii="宋体" w:hAnsi="宋体" w:cs="宋体"/>
          <w:color w:val="auto"/>
          <w:szCs w:val="21"/>
          <w:highlight w:val="none"/>
        </w:rPr>
        <w:t>本项目是交钥匙工程，</w:t>
      </w:r>
      <w:r>
        <w:rPr>
          <w:rFonts w:hint="eastAsia" w:asciiTheme="minorEastAsia" w:hAnsiTheme="minorEastAsia" w:eastAsiaTheme="minorEastAsia" w:cstheme="minorEastAsia"/>
          <w:color w:val="auto"/>
          <w:highlight w:val="none"/>
        </w:rPr>
        <w:t>该合同总金额</w:t>
      </w:r>
      <w:r>
        <w:rPr>
          <w:rFonts w:hint="eastAsia" w:ascii="宋体" w:hAnsi="宋体" w:cs="宋体"/>
          <w:color w:val="auto"/>
          <w:szCs w:val="21"/>
          <w:highlight w:val="none"/>
        </w:rPr>
        <w:t>包括设备采购及相关运输、设计、安装、调试、培训、售后等服务</w:t>
      </w:r>
      <w:r>
        <w:rPr>
          <w:rFonts w:hint="eastAsia" w:asciiTheme="minorEastAsia" w:hAnsiTheme="minorEastAsia" w:eastAsiaTheme="minorEastAsia" w:cstheme="minorEastAsia"/>
          <w:color w:val="auto"/>
          <w:highlight w:val="none"/>
        </w:rPr>
        <w:t>。本合同执行期间合同总金额不变。</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3、结算方式</w:t>
      </w:r>
    </w:p>
    <w:p>
      <w:pPr>
        <w:keepNext w:val="0"/>
        <w:keepLines w:val="0"/>
        <w:pageBreakBefore w:val="0"/>
        <w:widowControl w:val="0"/>
        <w:kinsoku/>
        <w:wordWrap/>
        <w:overflowPunct/>
        <w:topLinePunct w:val="0"/>
        <w:autoSpaceDE/>
        <w:autoSpaceDN/>
        <w:bidi w:val="0"/>
        <w:adjustRightInd/>
        <w:snapToGrid w:val="0"/>
        <w:spacing w:line="440" w:lineRule="exact"/>
        <w:ind w:firstLine="422" w:firstLineChars="200"/>
        <w:textAlignment w:val="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3.1、支付方式：</w:t>
      </w:r>
    </w:p>
    <w:p>
      <w:pPr>
        <w:keepNext w:val="0"/>
        <w:keepLines w:val="0"/>
        <w:pageBreakBefore w:val="0"/>
        <w:widowControl w:val="0"/>
        <w:kinsoku/>
        <w:wordWrap/>
        <w:overflowPunct/>
        <w:topLinePunct w:val="0"/>
        <w:autoSpaceDE/>
        <w:autoSpaceDN/>
        <w:bidi w:val="0"/>
        <w:adjustRightInd/>
        <w:snapToGrid w:val="0"/>
        <w:spacing w:line="440" w:lineRule="exact"/>
        <w:ind w:firstLine="422" w:firstLineChars="200"/>
        <w:textAlignment w:val="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甲方按下述进度以转账方式支付相应款项。</w:t>
      </w:r>
    </w:p>
    <w:p>
      <w:pPr>
        <w:keepNext w:val="0"/>
        <w:keepLines w:val="0"/>
        <w:pageBreakBefore w:val="0"/>
        <w:widowControl w:val="0"/>
        <w:kinsoku/>
        <w:wordWrap/>
        <w:overflowPunct/>
        <w:topLinePunct w:val="0"/>
        <w:autoSpaceDE/>
        <w:autoSpaceDN/>
        <w:bidi w:val="0"/>
        <w:adjustRightInd/>
        <w:snapToGrid w:val="0"/>
        <w:spacing w:line="440" w:lineRule="exact"/>
        <w:ind w:firstLine="422" w:firstLineChars="200"/>
        <w:textAlignment w:val="auto"/>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3.2、支付进度：</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3.2.1付款采用</w:t>
      </w:r>
      <w:r>
        <w:rPr>
          <w:rFonts w:hint="eastAsia" w:asciiTheme="minorEastAsia" w:hAnsiTheme="minorEastAsia" w:eastAsiaTheme="minorEastAsia" w:cstheme="minorEastAsia"/>
          <w:color w:val="auto"/>
          <w:szCs w:val="21"/>
          <w:highlight w:val="none"/>
          <w:u w:val="single"/>
        </w:rPr>
        <w:t xml:space="preserve"> 分期付款 </w:t>
      </w:r>
      <w:r>
        <w:rPr>
          <w:rFonts w:hint="eastAsia" w:asciiTheme="minorEastAsia" w:hAnsiTheme="minorEastAsia" w:eastAsiaTheme="minorEastAsia" w:cstheme="minorEastAsia"/>
          <w:color w:val="auto"/>
          <w:szCs w:val="21"/>
          <w:highlight w:val="none"/>
        </w:rPr>
        <w:t>方式；</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3.2.2具体付款方式：</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3．2.2.1合同签订生效后，甲方支付乙方合同金额30%预付款</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3.2.2.2</w:t>
      </w:r>
      <w:r>
        <w:rPr>
          <w:rFonts w:hint="eastAsia" w:cs="Calibri"/>
          <w:color w:val="auto"/>
          <w:szCs w:val="21"/>
          <w:highlight w:val="none"/>
        </w:rPr>
        <w:t>所有货物到达安装现场</w:t>
      </w:r>
      <w:r>
        <w:rPr>
          <w:rFonts w:hint="eastAsia" w:ascii="宋体" w:hAnsi="宋体"/>
          <w:color w:val="auto"/>
          <w:szCs w:val="21"/>
          <w:highlight w:val="none"/>
        </w:rPr>
        <w:t>并经甲方确认后，甲方按合同金额向乙方支付至80%的款项；</w:t>
      </w:r>
    </w:p>
    <w:p>
      <w:pPr>
        <w:keepNext w:val="0"/>
        <w:keepLines w:val="0"/>
        <w:pageBreakBefore w:val="0"/>
        <w:widowControl w:val="0"/>
        <w:kinsoku/>
        <w:wordWrap/>
        <w:overflowPunct/>
        <w:topLinePunct w:val="0"/>
        <w:autoSpaceDE/>
        <w:autoSpaceDN/>
        <w:bidi w:val="0"/>
        <w:adjustRightInd/>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3.2.2.3</w:t>
      </w:r>
      <w:r>
        <w:rPr>
          <w:rFonts w:hint="eastAsia" w:ascii="宋体" w:hAnsi="宋体" w:cs="宋体"/>
          <w:color w:val="auto"/>
          <w:szCs w:val="21"/>
          <w:highlight w:val="none"/>
        </w:rPr>
        <w:t>项目完成并经</w:t>
      </w:r>
      <w:r>
        <w:rPr>
          <w:rFonts w:hint="eastAsia" w:asciiTheme="minorEastAsia" w:hAnsiTheme="minorEastAsia" w:eastAsiaTheme="minorEastAsia" w:cstheme="minorEastAsia"/>
          <w:color w:val="auto"/>
          <w:szCs w:val="21"/>
          <w:highlight w:val="none"/>
        </w:rPr>
        <w:t>甲方及上级主管部门</w:t>
      </w:r>
      <w:r>
        <w:rPr>
          <w:rFonts w:hint="eastAsia" w:ascii="宋体" w:hAnsi="宋体" w:cs="宋体"/>
          <w:color w:val="auto"/>
          <w:szCs w:val="21"/>
          <w:highlight w:val="none"/>
        </w:rPr>
        <w:t>验收合格等手续，甲方自收到发票后30日内将资金支付到乙方账户，支付至结算金额的95%，余下5%作为本项目质保金，质保期到期后无责免息支付给乙方。若乙方在质量保证期内未完全履行缺陷保修义务的，甲方有权扣除质量保证金，并保留进一步索赔的权利。</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3.3乙方向</w:t>
      </w:r>
      <w:r>
        <w:rPr>
          <w:rFonts w:hint="eastAsia" w:asciiTheme="minorEastAsia" w:hAnsiTheme="minorEastAsia" w:eastAsiaTheme="minorEastAsia" w:cstheme="minorEastAsia"/>
          <w:b w:val="0"/>
          <w:bCs/>
          <w:color w:val="auto"/>
          <w:szCs w:val="21"/>
          <w:highlight w:val="none"/>
        </w:rPr>
        <w:t>甲方申请</w:t>
      </w:r>
      <w:r>
        <w:rPr>
          <w:rFonts w:hint="eastAsia" w:asciiTheme="minorEastAsia" w:hAnsiTheme="minorEastAsia" w:eastAsiaTheme="minorEastAsia" w:cstheme="minorEastAsia"/>
          <w:color w:val="auto"/>
          <w:szCs w:val="21"/>
          <w:highlight w:val="none"/>
        </w:rPr>
        <w:t>支付货款时需提供：</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（1）合同；</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（2）乙方开具正式全额发票；</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（3）验收调试报告加盖甲方公章；</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color w:val="auto"/>
          <w:highlight w:val="none"/>
        </w:rPr>
      </w:pPr>
      <w:r>
        <w:rPr>
          <w:rFonts w:hint="eastAsia" w:asciiTheme="minorEastAsia" w:hAnsiTheme="minorEastAsia" w:eastAsiaTheme="minorEastAsia" w:cstheme="minorEastAsia"/>
          <w:color w:val="auto"/>
          <w:szCs w:val="21"/>
          <w:highlight w:val="none"/>
        </w:rPr>
        <w:t>（4）中标（成交）通知书。</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4. 合同组成</w:t>
      </w:r>
    </w:p>
    <w:p>
      <w:pPr>
        <w:keepNext w:val="0"/>
        <w:keepLines w:val="0"/>
        <w:pageBreakBefore w:val="0"/>
        <w:widowControl w:val="0"/>
        <w:kinsoku/>
        <w:wordWrap/>
        <w:overflowPunct/>
        <w:topLinePunct w:val="0"/>
        <w:autoSpaceDE/>
        <w:autoSpaceDN/>
        <w:bidi w:val="0"/>
        <w:adjustRightInd/>
        <w:spacing w:line="440" w:lineRule="exact"/>
        <w:ind w:left="420" w:leftChars="20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详细价格、技术说明及其它有关合同设备的特定信息由合同附件说明。所有附件及本项目的招投标文件、会议纪要、协议等均为本合同不可分割之一部分。</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5. 技术要求</w:t>
      </w:r>
    </w:p>
    <w:p>
      <w:pPr>
        <w:keepNext w:val="0"/>
        <w:keepLines w:val="0"/>
        <w:pageBreakBefore w:val="0"/>
        <w:widowControl w:val="0"/>
        <w:kinsoku/>
        <w:wordWrap/>
        <w:overflowPunct/>
        <w:topLinePunct w:val="0"/>
        <w:autoSpaceDE/>
        <w:autoSpaceDN/>
        <w:bidi w:val="0"/>
        <w:adjustRightInd/>
        <w:spacing w:line="440" w:lineRule="exact"/>
        <w:ind w:left="315" w:leftChars="15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乙方所提供设备，必须符合国家有关规范和环保要求及甲方的技术要求，并提供设备的厂试测验报告。</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6、 设备包装、交货、安装、调试及验收</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6.1  合同设备的包装：</w:t>
      </w:r>
    </w:p>
    <w:p>
      <w:pPr>
        <w:keepNext w:val="0"/>
        <w:keepLines w:val="0"/>
        <w:pageBreakBefore w:val="0"/>
        <w:widowControl w:val="0"/>
        <w:kinsoku/>
        <w:wordWrap/>
        <w:overflowPunct/>
        <w:topLinePunct w:val="0"/>
        <w:autoSpaceDE/>
        <w:autoSpaceDN/>
        <w:bidi w:val="0"/>
        <w:adjustRightInd/>
        <w:spacing w:line="440" w:lineRule="exact"/>
        <w:ind w:left="630" w:leftChars="300" w:firstLine="2"/>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设备的包装均应有良好的防湿、防锈、防潮、防雨、防腐及防碰撞的措施。凡由于包装不良造成的损失和由此产生的费用均由乙方承担。</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6.2  设备的交货：</w:t>
      </w:r>
    </w:p>
    <w:p>
      <w:pPr>
        <w:keepNext w:val="0"/>
        <w:keepLines w:val="0"/>
        <w:pageBreakBefore w:val="0"/>
        <w:widowControl w:val="0"/>
        <w:numPr>
          <w:ilvl w:val="0"/>
          <w:numId w:val="7"/>
        </w:numPr>
        <w:tabs>
          <w:tab w:val="left" w:pos="945"/>
          <w:tab w:val="clear" w:pos="1352"/>
        </w:tabs>
        <w:kinsoku/>
        <w:wordWrap/>
        <w:overflowPunct/>
        <w:topLinePunct w:val="0"/>
        <w:autoSpaceDE/>
        <w:autoSpaceDN/>
        <w:bidi w:val="0"/>
        <w:adjustRightInd/>
        <w:spacing w:line="440" w:lineRule="exact"/>
        <w:ind w:left="94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乙方交付使用时间：成交人签订合同后起天内完成全部货物的安装、调试和验收。</w:t>
      </w:r>
    </w:p>
    <w:p>
      <w:pPr>
        <w:keepNext w:val="0"/>
        <w:keepLines w:val="0"/>
        <w:pageBreakBefore w:val="0"/>
        <w:widowControl w:val="0"/>
        <w:numPr>
          <w:ilvl w:val="0"/>
          <w:numId w:val="7"/>
        </w:numPr>
        <w:tabs>
          <w:tab w:val="left" w:pos="945"/>
          <w:tab w:val="clear" w:pos="1352"/>
        </w:tabs>
        <w:kinsoku/>
        <w:wordWrap/>
        <w:overflowPunct/>
        <w:topLinePunct w:val="0"/>
        <w:autoSpaceDE/>
        <w:autoSpaceDN/>
        <w:bidi w:val="0"/>
        <w:adjustRightInd/>
        <w:spacing w:line="440" w:lineRule="exact"/>
        <w:ind w:hanging="827"/>
        <w:textAlignment w:val="auto"/>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乙方交货地点：广州市内用户指定地点。</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6.3 合同设备的安装调试：</w:t>
      </w:r>
    </w:p>
    <w:p>
      <w:pPr>
        <w:keepNext w:val="0"/>
        <w:keepLines w:val="0"/>
        <w:pageBreakBefore w:val="0"/>
        <w:widowControl w:val="0"/>
        <w:numPr>
          <w:ilvl w:val="0"/>
          <w:numId w:val="8"/>
        </w:numPr>
        <w:tabs>
          <w:tab w:val="left" w:pos="945"/>
          <w:tab w:val="clear" w:pos="1215"/>
        </w:tabs>
        <w:kinsoku/>
        <w:wordWrap/>
        <w:overflowPunct/>
        <w:topLinePunct w:val="0"/>
        <w:autoSpaceDE/>
        <w:autoSpaceDN/>
        <w:bidi w:val="0"/>
        <w:adjustRightInd/>
        <w:spacing w:line="440" w:lineRule="exact"/>
        <w:ind w:hanging="69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乙方负责合同项下的安装调试，一切费用由乙方负责。</w:t>
      </w:r>
    </w:p>
    <w:p>
      <w:pPr>
        <w:keepNext w:val="0"/>
        <w:keepLines w:val="0"/>
        <w:pageBreakBefore w:val="0"/>
        <w:widowControl w:val="0"/>
        <w:numPr>
          <w:ilvl w:val="0"/>
          <w:numId w:val="8"/>
        </w:numPr>
        <w:tabs>
          <w:tab w:val="left" w:pos="945"/>
          <w:tab w:val="clear" w:pos="1215"/>
        </w:tabs>
        <w:kinsoku/>
        <w:wordWrap/>
        <w:overflowPunct/>
        <w:topLinePunct w:val="0"/>
        <w:autoSpaceDE/>
        <w:autoSpaceDN/>
        <w:bidi w:val="0"/>
        <w:adjustRightInd/>
        <w:spacing w:line="440" w:lineRule="exact"/>
        <w:ind w:hanging="69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乙方安装时须对各安装场地内的其它设备、设施有良好保护措施。</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6.4 设备的验收：</w:t>
      </w:r>
    </w:p>
    <w:p>
      <w:pPr>
        <w:keepNext w:val="0"/>
        <w:keepLines w:val="0"/>
        <w:pageBreakBefore w:val="0"/>
        <w:widowControl w:val="0"/>
        <w:numPr>
          <w:ilvl w:val="0"/>
          <w:numId w:val="9"/>
        </w:numPr>
        <w:tabs>
          <w:tab w:val="left" w:pos="945"/>
          <w:tab w:val="clear" w:pos="1215"/>
        </w:tabs>
        <w:kinsoku/>
        <w:wordWrap/>
        <w:overflowPunct/>
        <w:topLinePunct w:val="0"/>
        <w:autoSpaceDE/>
        <w:autoSpaceDN/>
        <w:bidi w:val="0"/>
        <w:adjustRightInd/>
        <w:spacing w:line="440" w:lineRule="exact"/>
        <w:ind w:left="945" w:right="-420" w:right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合同设备安装调试完成正常工作15个工作日，验收应在甲乙双方共同参加下进行。</w:t>
      </w:r>
    </w:p>
    <w:p>
      <w:pPr>
        <w:keepNext w:val="0"/>
        <w:keepLines w:val="0"/>
        <w:pageBreakBefore w:val="0"/>
        <w:widowControl w:val="0"/>
        <w:numPr>
          <w:ilvl w:val="0"/>
          <w:numId w:val="9"/>
        </w:numPr>
        <w:tabs>
          <w:tab w:val="left" w:pos="945"/>
          <w:tab w:val="clear" w:pos="1215"/>
        </w:tabs>
        <w:kinsoku/>
        <w:wordWrap/>
        <w:overflowPunct/>
        <w:topLinePunct w:val="0"/>
        <w:autoSpaceDE/>
        <w:autoSpaceDN/>
        <w:bidi w:val="0"/>
        <w:adjustRightInd/>
        <w:spacing w:line="440" w:lineRule="exact"/>
        <w:ind w:left="945" w:right="-420" w:right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keepNext w:val="0"/>
        <w:keepLines w:val="0"/>
        <w:pageBreakBefore w:val="0"/>
        <w:widowControl w:val="0"/>
        <w:numPr>
          <w:ilvl w:val="0"/>
          <w:numId w:val="9"/>
        </w:numPr>
        <w:tabs>
          <w:tab w:val="left" w:pos="945"/>
          <w:tab w:val="clear" w:pos="1215"/>
        </w:tabs>
        <w:kinsoku/>
        <w:wordWrap/>
        <w:overflowPunct/>
        <w:topLinePunct w:val="0"/>
        <w:autoSpaceDE/>
        <w:autoSpaceDN/>
        <w:bidi w:val="0"/>
        <w:adjustRightInd/>
        <w:spacing w:line="440" w:lineRule="exact"/>
        <w:ind w:left="94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如果合同设备运输和安装调试过程中因事故造成货物短缺、损坏，乙方应及时安排换装，以保证合同设备安装调试的成功完成。换货的相关费用由乙方承担。</w:t>
      </w:r>
    </w:p>
    <w:p>
      <w:pPr>
        <w:keepNext w:val="0"/>
        <w:keepLines w:val="0"/>
        <w:pageBreakBefore w:val="0"/>
        <w:widowControl w:val="0"/>
        <w:numPr>
          <w:ilvl w:val="0"/>
          <w:numId w:val="9"/>
        </w:numPr>
        <w:tabs>
          <w:tab w:val="left" w:pos="945"/>
          <w:tab w:val="clear" w:pos="1215"/>
        </w:tabs>
        <w:kinsoku/>
        <w:wordWrap/>
        <w:overflowPunct/>
        <w:topLinePunct w:val="0"/>
        <w:autoSpaceDE/>
        <w:autoSpaceDN/>
        <w:bidi w:val="0"/>
        <w:adjustRightInd/>
        <w:spacing w:line="440" w:lineRule="exact"/>
        <w:ind w:left="94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国内产品或合资厂的产品必须具备出厂合格证。</w:t>
      </w:r>
    </w:p>
    <w:p>
      <w:pPr>
        <w:keepNext w:val="0"/>
        <w:keepLines w:val="0"/>
        <w:pageBreakBefore w:val="0"/>
        <w:widowControl w:val="0"/>
        <w:numPr>
          <w:ilvl w:val="0"/>
          <w:numId w:val="9"/>
        </w:numPr>
        <w:tabs>
          <w:tab w:val="left" w:pos="945"/>
          <w:tab w:val="clear" w:pos="1215"/>
        </w:tabs>
        <w:kinsoku/>
        <w:wordWrap/>
        <w:overflowPunct/>
        <w:topLinePunct w:val="0"/>
        <w:autoSpaceDE/>
        <w:autoSpaceDN/>
        <w:bidi w:val="0"/>
        <w:adjustRightInd/>
        <w:spacing w:line="440" w:lineRule="exact"/>
        <w:ind w:left="94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进口产品必须具备省级（或相当于省级）商检部门的检验证明。</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6.5  乙方保证合同项下提供的设备不侵犯任何第三方的专利、商标或版权。否则，乙方须承担对第三方的专利或版权的侵权责任并承担因此而发生的所有费用。</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7. 质量保证及售后服务</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lang w:val="en-US" w:eastAsia="zh-CN"/>
        </w:rPr>
        <w:t xml:space="preserve">7.1 </w:t>
      </w:r>
      <w:r>
        <w:rPr>
          <w:rFonts w:hint="eastAsia" w:asciiTheme="minorEastAsia" w:hAnsiTheme="minorEastAsia" w:eastAsiaTheme="minorEastAsia" w:cstheme="minorEastAsia"/>
          <w:color w:val="auto"/>
          <w:highlight w:val="none"/>
        </w:rPr>
        <w:t>乙方保</w:t>
      </w:r>
      <w:r>
        <w:rPr>
          <w:rFonts w:hint="eastAsia" w:asciiTheme="minorEastAsia" w:hAnsiTheme="minorEastAsia" w:eastAsiaTheme="minorEastAsia" w:cstheme="minorEastAsia"/>
          <w:color w:val="auto"/>
          <w:szCs w:val="21"/>
          <w:highlight w:val="none"/>
        </w:rPr>
        <w:t>证合同设备是全新、未曾使用过的，其质量、规格及技术特征符合合同附件的要求。保证备品配件在同机型设备停产后3年以上的供应。</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 xml:space="preserve">7.2 </w:t>
      </w:r>
      <w:r>
        <w:rPr>
          <w:rFonts w:hint="eastAsia" w:asciiTheme="minorEastAsia" w:hAnsiTheme="minorEastAsia" w:eastAsiaTheme="minorEastAsia" w:cstheme="minorEastAsia"/>
          <w:color w:val="auto"/>
          <w:szCs w:val="21"/>
          <w:highlight w:val="none"/>
        </w:rPr>
        <w:t>合同设备保质保用期为设备最终验收合格并经本项目有关部门验收签字之日起不少于12个月。</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 xml:space="preserve">7.3 </w:t>
      </w:r>
      <w:r>
        <w:rPr>
          <w:rFonts w:hint="eastAsia" w:asciiTheme="minorEastAsia" w:hAnsiTheme="minorEastAsia" w:eastAsiaTheme="minorEastAsia" w:cstheme="minorEastAsia"/>
          <w:color w:val="auto"/>
          <w:szCs w:val="21"/>
          <w:highlight w:val="none"/>
        </w:rPr>
        <w:t>保质保用期内出现产品质量及安装问题，由乙方负责包修、包换或包退，并承担因此而产生的一切费用。乙方应在收到甲方通知后24小时内派员到现场免费维修(技术要求另有规定除外)。</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szCs w:val="21"/>
          <w:highlight w:val="none"/>
          <w:lang w:val="en-US" w:eastAsia="zh-CN"/>
        </w:rPr>
        <w:t xml:space="preserve">7.4 </w:t>
      </w:r>
      <w:r>
        <w:rPr>
          <w:rFonts w:hint="eastAsia" w:asciiTheme="minorEastAsia" w:hAnsiTheme="minorEastAsia" w:eastAsiaTheme="minorEastAsia" w:cstheme="minorEastAsia"/>
          <w:color w:val="auto"/>
          <w:szCs w:val="21"/>
          <w:highlight w:val="none"/>
        </w:rPr>
        <w:t>因设备的质量问题而发生争议，由广东省或广州市质检部门进行质量鉴定。设备符合质量标准的，鉴定费用由甲方</w:t>
      </w:r>
      <w:r>
        <w:rPr>
          <w:rFonts w:hint="eastAsia" w:asciiTheme="minorEastAsia" w:hAnsiTheme="minorEastAsia" w:eastAsiaTheme="minorEastAsia" w:cstheme="minorEastAsia"/>
          <w:color w:val="auto"/>
          <w:highlight w:val="none"/>
        </w:rPr>
        <w:t>承担；设备不符合质量标准的，鉴定费用由乙方承担。</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8、 技术服务</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 xml:space="preserve">8.1 </w:t>
      </w:r>
      <w:r>
        <w:rPr>
          <w:rFonts w:hint="eastAsia" w:asciiTheme="minorEastAsia" w:hAnsiTheme="minorEastAsia" w:eastAsiaTheme="minorEastAsia" w:cstheme="minorEastAsia"/>
          <w:color w:val="auto"/>
          <w:szCs w:val="21"/>
          <w:highlight w:val="none"/>
        </w:rPr>
        <w:t>乙方应派员到甲方指定地点配合工作。</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 xml:space="preserve">8.2 </w:t>
      </w:r>
      <w:r>
        <w:rPr>
          <w:rFonts w:hint="eastAsia" w:asciiTheme="minorEastAsia" w:hAnsiTheme="minorEastAsia" w:eastAsiaTheme="minorEastAsia" w:cstheme="minorEastAsia"/>
          <w:color w:val="auto"/>
          <w:szCs w:val="21"/>
          <w:highlight w:val="none"/>
        </w:rPr>
        <w:t>乙方按甲方提供的合同执行进度计划，再配合甲方及有关单位，以此做好合同执行进度上的配合工作。</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9、 不可抗力</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 不可抗力指战争、严重火灾、洪水、台风、地震等或其它双方认定的不可抗力事件。</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9.2 签约双方中任何一方由于不可抗力影响合同执行时，发生不可抗力一方应尽快将事故通知另一方。 在此情况下，乙方仍然有责任采取必要的措施加速供货，双方应通过友好协商尽快解决本合同的执行问题。</w:t>
      </w:r>
    </w:p>
    <w:p>
      <w:pPr>
        <w:keepNext w:val="0"/>
        <w:keepLines w:val="0"/>
        <w:pageBreakBefore w:val="0"/>
        <w:widowControl w:val="0"/>
        <w:kinsoku/>
        <w:wordWrap/>
        <w:overflowPunct/>
        <w:topLinePunct w:val="0"/>
        <w:autoSpaceDE/>
        <w:autoSpaceDN/>
        <w:bidi w:val="0"/>
        <w:adjustRightInd/>
        <w:spacing w:line="440" w:lineRule="exact"/>
        <w:ind w:left="528" w:leftChars="-57" w:hanging="648" w:hangingChars="269"/>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10、 索赔</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10.1  如有异议，甲方有权根据有关政府部门的检验结果向乙方提出索赔。</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10.2  在合同执行期间，如果乙方对甲方提出的索赔和差异负有责任，乙方应按照甲方同意的下列一种或多种方式解决索赔事宜：</w:t>
      </w:r>
    </w:p>
    <w:p>
      <w:pPr>
        <w:keepNext w:val="0"/>
        <w:keepLines w:val="0"/>
        <w:pageBreakBefore w:val="0"/>
        <w:widowControl w:val="0"/>
        <w:numPr>
          <w:ilvl w:val="0"/>
          <w:numId w:val="10"/>
        </w:numPr>
        <w:tabs>
          <w:tab w:val="clear" w:pos="1215"/>
        </w:tabs>
        <w:kinsoku/>
        <w:wordWrap/>
        <w:overflowPunct/>
        <w:topLinePunct w:val="0"/>
        <w:autoSpaceDE/>
        <w:autoSpaceDN/>
        <w:bidi w:val="0"/>
        <w:adjustRightInd/>
        <w:spacing w:line="440" w:lineRule="exact"/>
        <w:ind w:left="840" w:hanging="31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乙方同意退货，并按合同规定的同种货币将货款退还给甲方，并承担由此发生的一切损失和费用。</w:t>
      </w:r>
    </w:p>
    <w:p>
      <w:pPr>
        <w:keepNext w:val="0"/>
        <w:keepLines w:val="0"/>
        <w:pageBreakBefore w:val="0"/>
        <w:widowControl w:val="0"/>
        <w:numPr>
          <w:ilvl w:val="0"/>
          <w:numId w:val="10"/>
        </w:numPr>
        <w:tabs>
          <w:tab w:val="clear" w:pos="1215"/>
        </w:tabs>
        <w:kinsoku/>
        <w:wordWrap/>
        <w:overflowPunct/>
        <w:topLinePunct w:val="0"/>
        <w:autoSpaceDE/>
        <w:autoSpaceDN/>
        <w:bidi w:val="0"/>
        <w:adjustRightInd/>
        <w:spacing w:line="440" w:lineRule="exact"/>
        <w:ind w:left="840" w:hanging="31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根据货物低劣程度、损坏程度以及甲方所遭受损失的数额甲乙双方商定降低货物的价格。</w:t>
      </w:r>
    </w:p>
    <w:p>
      <w:pPr>
        <w:keepNext w:val="0"/>
        <w:keepLines w:val="0"/>
        <w:pageBreakBefore w:val="0"/>
        <w:widowControl w:val="0"/>
        <w:numPr>
          <w:ilvl w:val="0"/>
          <w:numId w:val="10"/>
        </w:numPr>
        <w:tabs>
          <w:tab w:val="clear" w:pos="1215"/>
        </w:tabs>
        <w:kinsoku/>
        <w:wordWrap/>
        <w:overflowPunct/>
        <w:topLinePunct w:val="0"/>
        <w:autoSpaceDE/>
        <w:autoSpaceDN/>
        <w:bidi w:val="0"/>
        <w:adjustRightInd/>
        <w:spacing w:line="440" w:lineRule="exact"/>
        <w:ind w:left="840" w:hanging="315"/>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用符合规格、质量和性能要求的新零件、部件或货物来更换有缺陷的部分或修补缺陷的部分，乙方应承担一切费用和风险并负有甲方所发生的一切直接费用。同时，相应延长质量保证期。</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10.3  如果在甲方发出索赔通知后</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天内，乙方未作答复，上述索赔应视为已被乙方接受。甲方将从合同款项中扣回索赔金额。如果这些金额不足以补偿索赔金额，甲方有权向乙方提出不足部分的补偿。</w:t>
      </w:r>
    </w:p>
    <w:p>
      <w:pPr>
        <w:keepNext w:val="0"/>
        <w:keepLines w:val="0"/>
        <w:pageBreakBefore w:val="0"/>
        <w:widowControl w:val="0"/>
        <w:kinsoku/>
        <w:wordWrap/>
        <w:overflowPunct/>
        <w:topLinePunct w:val="0"/>
        <w:autoSpaceDE/>
        <w:autoSpaceDN/>
        <w:bidi w:val="0"/>
        <w:adjustRightInd/>
        <w:spacing w:line="440" w:lineRule="exact"/>
        <w:ind w:left="528" w:leftChars="-57" w:hanging="648" w:hangingChars="269"/>
        <w:textAlignment w:val="auto"/>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highlight w:val="none"/>
        </w:rPr>
        <w:t>11、 违约与处罚</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11.1  甲方应依合同规定时间内，向乙方支付货款，每拖延一天乙方可向甲方加收合同金额的3‰的违约金。</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11.2  乙方未能按时交货，每拖延一天，须向甲方支付合同金额的3‰的违约金。</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11.3  乙方交付的货物不符合合同规定的，甲方有权拒收，乙方向甲方支付合同金额的5%的违约金。</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11.4  甲方无正当理由拒收货物的，甲方向乙方支付合同金额的5%的违约金。</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11.5  乙方未能交付货物，则向甲方支付合同金额的7.5%的违约金。</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12、合同终止</w:t>
      </w:r>
    </w:p>
    <w:p>
      <w:pPr>
        <w:keepNext w:val="0"/>
        <w:keepLines w:val="0"/>
        <w:pageBreakBefore w:val="0"/>
        <w:widowControl w:val="0"/>
        <w:kinsoku/>
        <w:wordWrap/>
        <w:overflowPunct/>
        <w:topLinePunct w:val="0"/>
        <w:autoSpaceDE/>
        <w:autoSpaceDN/>
        <w:bidi w:val="0"/>
        <w:adjustRightInd/>
        <w:spacing w:line="440" w:lineRule="exact"/>
        <w:ind w:left="525" w:leftChars="250" w:firstLine="12" w:firstLineChars="6"/>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如果一方严重违反合同，并在收到对方违约通知书后在</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天内仍未能改正违约的，另一方可立即终止本合同。</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13、 法律诉讼</w:t>
      </w:r>
    </w:p>
    <w:p>
      <w:pPr>
        <w:keepNext w:val="0"/>
        <w:keepLines w:val="0"/>
        <w:pageBreakBefore w:val="0"/>
        <w:widowControl w:val="0"/>
        <w:kinsoku/>
        <w:wordWrap/>
        <w:overflowPunct/>
        <w:topLinePunct w:val="0"/>
        <w:autoSpaceDE/>
        <w:autoSpaceDN/>
        <w:bidi w:val="0"/>
        <w:adjustRightInd/>
        <w:spacing w:line="440" w:lineRule="exact"/>
        <w:ind w:left="630" w:leftChars="3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签约双方在履约中发生争执和分歧，双方应通过友好协商解决，若经协商不能达成协议时，则由合同签订地或招标人所在地人民法院提起诉讼。受理期间，双方应继续执行合同其余部分。</w:t>
      </w:r>
    </w:p>
    <w:p>
      <w:pPr>
        <w:keepNext w:val="0"/>
        <w:keepLines w:val="0"/>
        <w:pageBreakBefore w:val="0"/>
        <w:widowControl w:val="0"/>
        <w:kinsoku/>
        <w:wordWrap/>
        <w:overflowPunct/>
        <w:topLinePunct w:val="0"/>
        <w:autoSpaceDE/>
        <w:autoSpaceDN/>
        <w:bidi w:val="0"/>
        <w:adjustRightInd/>
        <w:spacing w:line="440" w:lineRule="exact"/>
        <w:textAlignment w:val="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14、 其它</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14.1 本合同正本四份，具有同等法律效力，甲、乙双方各执一份，省教育装备中心一份，采购代理机构一份。合同自签字之日起即时生效。</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14.2 下列文件是本合同的一部分，并与本合同一起阅读和解释</w:t>
      </w:r>
    </w:p>
    <w:p>
      <w:pPr>
        <w:keepNext w:val="0"/>
        <w:keepLines w:val="0"/>
        <w:pageBreakBefore w:val="0"/>
        <w:widowControl w:val="0"/>
        <w:numPr>
          <w:ilvl w:val="0"/>
          <w:numId w:val="11"/>
        </w:numPr>
        <w:kinsoku/>
        <w:wordWrap/>
        <w:overflowPunct/>
        <w:topLinePunct w:val="0"/>
        <w:autoSpaceDE/>
        <w:autoSpaceDN/>
        <w:bidi w:val="0"/>
        <w:adjustRightInd/>
        <w:snapToGrid w:val="0"/>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成交人提交的投标函和投标一览表；</w:t>
      </w:r>
    </w:p>
    <w:p>
      <w:pPr>
        <w:keepNext w:val="0"/>
        <w:keepLines w:val="0"/>
        <w:pageBreakBefore w:val="0"/>
        <w:widowControl w:val="0"/>
        <w:numPr>
          <w:ilvl w:val="0"/>
          <w:numId w:val="11"/>
        </w:numPr>
        <w:kinsoku/>
        <w:wordWrap/>
        <w:overflowPunct/>
        <w:topLinePunct w:val="0"/>
        <w:autoSpaceDE/>
        <w:autoSpaceDN/>
        <w:bidi w:val="0"/>
        <w:adjustRightInd/>
        <w:snapToGrid w:val="0"/>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资格声明函；</w:t>
      </w:r>
    </w:p>
    <w:p>
      <w:pPr>
        <w:keepNext w:val="0"/>
        <w:keepLines w:val="0"/>
        <w:pageBreakBefore w:val="0"/>
        <w:widowControl w:val="0"/>
        <w:numPr>
          <w:ilvl w:val="0"/>
          <w:numId w:val="11"/>
        </w:numPr>
        <w:kinsoku/>
        <w:wordWrap/>
        <w:overflowPunct/>
        <w:topLinePunct w:val="0"/>
        <w:autoSpaceDE/>
        <w:autoSpaceDN/>
        <w:bidi w:val="0"/>
        <w:adjustRightInd/>
        <w:snapToGrid w:val="0"/>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中标通知书；</w:t>
      </w:r>
    </w:p>
    <w:p>
      <w:pPr>
        <w:keepNext w:val="0"/>
        <w:keepLines w:val="0"/>
        <w:pageBreakBefore w:val="0"/>
        <w:widowControl w:val="0"/>
        <w:numPr>
          <w:ilvl w:val="0"/>
          <w:numId w:val="11"/>
        </w:numPr>
        <w:kinsoku/>
        <w:wordWrap/>
        <w:overflowPunct/>
        <w:topLinePunct w:val="0"/>
        <w:autoSpaceDE/>
        <w:autoSpaceDN/>
        <w:bidi w:val="0"/>
        <w:adjustRightInd/>
        <w:snapToGrid w:val="0"/>
        <w:spacing w:line="440" w:lineRule="exact"/>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其他相关投标文件。 </w:t>
      </w:r>
    </w:p>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14.3  本合同未尽事宜，由双方协商处理。</w:t>
      </w: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hint="eastAsia" w:asciiTheme="minorEastAsia" w:hAnsiTheme="minorEastAsia" w:eastAsiaTheme="minorEastAsia" w:cstheme="minorEastAsia"/>
          <w:color w:val="auto"/>
          <w:szCs w:val="21"/>
          <w:highlight w:val="none"/>
        </w:rPr>
      </w:pPr>
    </w:p>
    <w:p>
      <w:pPr>
        <w:pStyle w:val="2"/>
        <w:keepNext w:val="0"/>
        <w:keepLines w:val="0"/>
        <w:pageBreakBefore w:val="0"/>
        <w:widowControl w:val="0"/>
        <w:kinsoku/>
        <w:wordWrap/>
        <w:overflowPunct/>
        <w:topLinePunct w:val="0"/>
        <w:autoSpaceDE/>
        <w:autoSpaceDN/>
        <w:bidi w:val="0"/>
        <w:adjustRightInd/>
        <w:spacing w:line="440" w:lineRule="exact"/>
        <w:textAlignment w:val="auto"/>
        <w:rPr>
          <w:rFonts w:hint="eastAsia" w:asciiTheme="minorEastAsia" w:hAnsiTheme="minorEastAsia" w:eastAsiaTheme="minorEastAsia" w:cstheme="minorEastAsia"/>
          <w:color w:val="auto"/>
          <w:szCs w:val="21"/>
          <w:highlight w:val="none"/>
        </w:rPr>
      </w:pPr>
    </w:p>
    <w:p>
      <w:pPr>
        <w:pStyle w:val="2"/>
        <w:keepNext w:val="0"/>
        <w:keepLines w:val="0"/>
        <w:pageBreakBefore w:val="0"/>
        <w:widowControl w:val="0"/>
        <w:kinsoku/>
        <w:wordWrap/>
        <w:overflowPunct/>
        <w:topLinePunct w:val="0"/>
        <w:autoSpaceDE/>
        <w:autoSpaceDN/>
        <w:bidi w:val="0"/>
        <w:adjustRightInd/>
        <w:spacing w:line="440" w:lineRule="exact"/>
        <w:textAlignment w:val="auto"/>
        <w:rPr>
          <w:rFonts w:hint="eastAsia" w:asciiTheme="minorEastAsia" w:hAnsiTheme="minorEastAsia" w:eastAsiaTheme="minorEastAsia" w:cstheme="minorEastAsia"/>
          <w:color w:val="auto"/>
          <w:szCs w:val="21"/>
          <w:highlight w:val="none"/>
        </w:rPr>
      </w:pP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甲方：                                    乙方： </w:t>
      </w: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hint="eastAsia" w:asciiTheme="minorEastAsia" w:hAnsiTheme="minorEastAsia" w:eastAsiaTheme="minorEastAsia" w:cstheme="minorEastAsia"/>
          <w:color w:val="auto"/>
          <w:szCs w:val="21"/>
          <w:highlight w:val="none"/>
        </w:rPr>
      </w:pP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                                签约代表：</w:t>
      </w: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hint="eastAsia" w:asciiTheme="minorEastAsia" w:hAnsiTheme="minorEastAsia" w:eastAsiaTheme="minorEastAsia" w:cstheme="minorEastAsia"/>
          <w:color w:val="auto"/>
          <w:szCs w:val="21"/>
          <w:highlight w:val="none"/>
        </w:rPr>
      </w:pP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                                    地址：</w:t>
      </w:r>
    </w:p>
    <w:p>
      <w:pPr>
        <w:keepNext w:val="0"/>
        <w:keepLines w:val="0"/>
        <w:pageBreakBefore w:val="0"/>
        <w:widowControl w:val="0"/>
        <w:kinsoku/>
        <w:wordWrap/>
        <w:overflowPunct/>
        <w:topLinePunct w:val="0"/>
        <w:autoSpaceDE/>
        <w:autoSpaceDN/>
        <w:bidi w:val="0"/>
        <w:adjustRightInd/>
        <w:spacing w:line="440" w:lineRule="exact"/>
        <w:ind w:firstLine="840" w:firstLineChars="400"/>
        <w:jc w:val="left"/>
        <w:textAlignment w:val="auto"/>
        <w:rPr>
          <w:rFonts w:hint="eastAsia" w:asciiTheme="minorEastAsia" w:hAnsiTheme="minorEastAsia" w:eastAsiaTheme="minorEastAsia" w:cstheme="minorEastAsia"/>
          <w:color w:val="auto"/>
          <w:szCs w:val="21"/>
          <w:highlight w:val="none"/>
        </w:rPr>
      </w:pPr>
    </w:p>
    <w:p>
      <w:pPr>
        <w:keepNext w:val="0"/>
        <w:keepLines w:val="0"/>
        <w:pageBreakBefore w:val="0"/>
        <w:widowControl w:val="0"/>
        <w:kinsoku/>
        <w:wordWrap/>
        <w:overflowPunct/>
        <w:topLinePunct w:val="0"/>
        <w:autoSpaceDE/>
        <w:autoSpaceDN/>
        <w:bidi w:val="0"/>
        <w:adjustRightInd/>
        <w:spacing w:line="440" w:lineRule="exact"/>
        <w:ind w:left="718" w:leftChars="342"/>
        <w:textAlignment w:val="auto"/>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 xml:space="preserve">日                     </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lang w:val="en-US" w:eastAsia="zh-CN"/>
        </w:rPr>
        <w:t xml:space="preserve">  </w:t>
      </w:r>
      <w:r>
        <w:rPr>
          <w:rFonts w:hint="eastAsia" w:asciiTheme="minorEastAsia" w:hAnsiTheme="minorEastAsia" w:eastAsiaTheme="minorEastAsia" w:cstheme="minorEastAsia"/>
          <w:color w:val="auto"/>
          <w:szCs w:val="21"/>
          <w:highlight w:val="none"/>
        </w:rPr>
        <w:t>日</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4"/>
    <w:bookmarkEnd w:id="285"/>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pStyle w:val="48"/>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8"/>
        <w:rPr>
          <w:rFonts w:hAnsi="宋体" w:cs="宋体"/>
          <w:color w:val="auto"/>
          <w:kern w:val="0"/>
          <w:szCs w:val="21"/>
          <w:highlight w:val="none"/>
        </w:rPr>
      </w:pPr>
    </w:p>
    <w:p>
      <w:pPr>
        <w:pStyle w:val="49"/>
        <w:rPr>
          <w:rFonts w:hAnsi="宋体"/>
          <w:color w:val="auto"/>
          <w:szCs w:val="21"/>
          <w:highlight w:val="none"/>
        </w:rPr>
      </w:pPr>
    </w:p>
    <w:p>
      <w:pPr>
        <w:pStyle w:val="49"/>
        <w:rPr>
          <w:rFonts w:hAnsi="宋体"/>
          <w:color w:val="auto"/>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86" w:name="OLE_LINK4"/>
    </w:p>
    <w:p>
      <w:pPr>
        <w:pStyle w:val="3"/>
        <w:autoSpaceDE w:val="0"/>
        <w:rPr>
          <w:b w:val="0"/>
          <w:bCs w:val="0"/>
          <w:color w:val="auto"/>
          <w:sz w:val="44"/>
          <w:highlight w:val="none"/>
        </w:rPr>
      </w:pPr>
      <w:bookmarkStart w:id="287" w:name="_Toc475104528"/>
      <w:r>
        <w:rPr>
          <w:rFonts w:hint="eastAsia"/>
          <w:color w:val="auto"/>
          <w:sz w:val="44"/>
          <w:highlight w:val="none"/>
        </w:rPr>
        <w:t>第五章 评分体系与标准</w:t>
      </w:r>
      <w:bookmarkEnd w:id="287"/>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12"/>
        </w:numPr>
        <w:autoSpaceDE w:val="0"/>
        <w:autoSpaceDN w:val="0"/>
        <w:adjustRightInd w:val="0"/>
        <w:snapToGrid w:val="0"/>
        <w:spacing w:line="360" w:lineRule="auto"/>
        <w:outlineLvl w:val="0"/>
        <w:rPr>
          <w:rFonts w:ascii="宋体" w:hAnsi="宋体"/>
          <w:bCs/>
          <w:color w:val="auto"/>
          <w:szCs w:val="21"/>
          <w:highlight w:val="none"/>
        </w:rPr>
      </w:pPr>
      <w:bookmarkStart w:id="288" w:name="_Toc475104529"/>
      <w:bookmarkStart w:id="289" w:name="_Toc98580289"/>
      <w:bookmarkStart w:id="290" w:name="_Toc101775128"/>
      <w:bookmarkStart w:id="291" w:name="_Toc264203535"/>
      <w:bookmarkStart w:id="292" w:name="_Toc98579065"/>
      <w:bookmarkStart w:id="293" w:name="_Toc98579007"/>
      <w:bookmarkStart w:id="294" w:name="_Toc101951266"/>
      <w:bookmarkStart w:id="295" w:name="_Toc50276153"/>
      <w:bookmarkStart w:id="296" w:name="_Toc101843128"/>
      <w:bookmarkStart w:id="297" w:name="_Toc101771375"/>
      <w:bookmarkStart w:id="298" w:name="_Toc98579606"/>
      <w:bookmarkStart w:id="299" w:name="_Toc42394513"/>
      <w:bookmarkStart w:id="300" w:name="_Toc42394669"/>
      <w:bookmarkStart w:id="301" w:name="_Toc41723931"/>
      <w:bookmarkStart w:id="302" w:name="_Toc41884701"/>
      <w:bookmarkStart w:id="303" w:name="_Toc42313167"/>
      <w:bookmarkStart w:id="304" w:name="_Toc34535380"/>
      <w:bookmarkStart w:id="305" w:name="_Toc104902929"/>
      <w:bookmarkStart w:id="306" w:name="_Toc138568672"/>
      <w:bookmarkStart w:id="307" w:name="_Toc101553661"/>
      <w:bookmarkStart w:id="308" w:name="_Toc150050902"/>
      <w:bookmarkStart w:id="309" w:name="_Toc67911942"/>
      <w:bookmarkStart w:id="310" w:name="_Toc95249607"/>
      <w:bookmarkStart w:id="311" w:name="_Toc28142601"/>
      <w:bookmarkStart w:id="312" w:name="_Toc124646434"/>
      <w:bookmarkStart w:id="313" w:name="_Toc108243616"/>
      <w:bookmarkStart w:id="314" w:name="_Toc131904930"/>
      <w:bookmarkStart w:id="315" w:name="_Toc95304223"/>
      <w:bookmarkStart w:id="316" w:name="_Toc101553556"/>
      <w:bookmarkStart w:id="317" w:name="_Toc108001800"/>
      <w:bookmarkStart w:id="318" w:name="_Toc148420070"/>
      <w:bookmarkStart w:id="319" w:name="_Toc104874465"/>
      <w:bookmarkStart w:id="320" w:name="_Toc66722112"/>
      <w:bookmarkStart w:id="321" w:name="_Toc125770208"/>
      <w:bookmarkStart w:id="322" w:name="_Toc124401382"/>
      <w:bookmarkStart w:id="323" w:name="_Toc102211724"/>
      <w:bookmarkStart w:id="324" w:name="_Toc169334816"/>
      <w:bookmarkStart w:id="325" w:name="_Toc68620012"/>
      <w:bookmarkStart w:id="326" w:name="_Toc35834934"/>
      <w:bookmarkStart w:id="327" w:name="_Toc148060906"/>
      <w:bookmarkStart w:id="328" w:name="_Toc138506092"/>
      <w:bookmarkStart w:id="329" w:name="_Toc113277292"/>
      <w:bookmarkStart w:id="330" w:name="_Toc131922503"/>
      <w:bookmarkStart w:id="331" w:name="_Toc124570687"/>
      <w:bookmarkStart w:id="332" w:name="_Toc28489533"/>
      <w:r>
        <w:rPr>
          <w:rFonts w:hint="eastAsia" w:ascii="宋体" w:hAnsi="宋体"/>
          <w:bCs/>
          <w:color w:val="auto"/>
          <w:szCs w:val="21"/>
          <w:highlight w:val="none"/>
        </w:rPr>
        <w:t>本评审办法采用综合评分法。</w:t>
      </w:r>
      <w:bookmarkEnd w:id="288"/>
    </w:p>
    <w:p>
      <w:pPr>
        <w:numPr>
          <w:ilvl w:val="0"/>
          <w:numId w:val="12"/>
        </w:numPr>
        <w:autoSpaceDE w:val="0"/>
        <w:autoSpaceDN w:val="0"/>
        <w:adjustRightInd w:val="0"/>
        <w:snapToGrid w:val="0"/>
        <w:spacing w:line="360" w:lineRule="auto"/>
        <w:outlineLvl w:val="0"/>
        <w:rPr>
          <w:rFonts w:ascii="宋体" w:cs="宋体"/>
          <w:color w:val="auto"/>
          <w:highlight w:val="none"/>
        </w:rPr>
      </w:pPr>
      <w:bookmarkStart w:id="333" w:name="_Toc475104530"/>
      <w:bookmarkStart w:id="334"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设定的程序和规则推荐评审结果</w:t>
      </w:r>
      <w:r>
        <w:rPr>
          <w:rFonts w:hint="eastAsia" w:ascii="宋体" w:hAnsi="宋体" w:cs="宋体"/>
          <w:color w:val="auto"/>
          <w:szCs w:val="21"/>
          <w:highlight w:val="none"/>
        </w:rPr>
        <w:t>；</w:t>
      </w:r>
    </w:p>
    <w:p>
      <w:pPr>
        <w:numPr>
          <w:ilvl w:val="0"/>
          <w:numId w:val="12"/>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通过资格性和符合性检查的有效报价人方有资格提交最后报价及进行技术、商务及价格的详细评审，最后磋商小组出具竞争性磋商报告。</w:t>
      </w:r>
      <w:bookmarkEnd w:id="333"/>
    </w:p>
    <w:bookmarkEnd w:id="289"/>
    <w:bookmarkEnd w:id="290"/>
    <w:bookmarkEnd w:id="291"/>
    <w:bookmarkEnd w:id="292"/>
    <w:bookmarkEnd w:id="293"/>
    <w:bookmarkEnd w:id="294"/>
    <w:bookmarkEnd w:id="295"/>
    <w:bookmarkEnd w:id="296"/>
    <w:bookmarkEnd w:id="297"/>
    <w:bookmarkEnd w:id="298"/>
    <w:bookmarkEnd w:id="299"/>
    <w:bookmarkEnd w:id="300"/>
    <w:bookmarkEnd w:id="334"/>
    <w:p>
      <w:pPr>
        <w:numPr>
          <w:ilvl w:val="0"/>
          <w:numId w:val="12"/>
        </w:numPr>
        <w:autoSpaceDE w:val="0"/>
        <w:autoSpaceDN w:val="0"/>
        <w:adjustRightInd w:val="0"/>
        <w:snapToGrid w:val="0"/>
        <w:spacing w:line="360" w:lineRule="auto"/>
        <w:outlineLvl w:val="0"/>
        <w:rPr>
          <w:rFonts w:ascii="宋体" w:hAnsi="宋体"/>
          <w:bCs/>
          <w:color w:val="auto"/>
          <w:szCs w:val="21"/>
          <w:highlight w:val="none"/>
        </w:rPr>
      </w:pPr>
      <w:bookmarkStart w:id="335"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报价人</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12"/>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35"/>
    </w:p>
    <w:tbl>
      <w:tblPr>
        <w:tblStyle w:val="95"/>
        <w:tblpPr w:leftFromText="180" w:rightFromText="180" w:vertAnchor="text" w:tblpX="318" w:tblpY="2"/>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8"/>
        <w:gridCol w:w="2620"/>
        <w:gridCol w:w="2330"/>
        <w:gridCol w:w="2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938" w:type="dxa"/>
            <w:vAlign w:val="center"/>
          </w:tcPr>
          <w:p>
            <w:pPr>
              <w:spacing w:line="360" w:lineRule="auto"/>
              <w:jc w:val="center"/>
              <w:rPr>
                <w:rFonts w:ascii="宋体" w:hAnsi="宋体" w:cs="宋体"/>
                <w:color w:val="auto"/>
                <w:highlight w:val="none"/>
              </w:rPr>
            </w:pPr>
            <w:bookmarkStart w:id="336" w:name="_Toc333236678"/>
            <w:bookmarkStart w:id="337" w:name="_Toc475104533"/>
            <w:r>
              <w:rPr>
                <w:rFonts w:hint="eastAsia" w:ascii="宋体" w:hAnsi="宋体" w:cs="宋体"/>
                <w:color w:val="auto"/>
                <w:highlight w:val="none"/>
              </w:rPr>
              <w:t>评分项目</w:t>
            </w:r>
          </w:p>
        </w:tc>
        <w:tc>
          <w:tcPr>
            <w:tcW w:w="262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w:t>
            </w:r>
            <w:r>
              <w:rPr>
                <w:rFonts w:hint="eastAsia" w:ascii="宋体" w:hAnsi="宋体" w:cs="宋体"/>
                <w:color w:val="auto"/>
                <w:highlight w:val="none"/>
                <w:lang w:eastAsia="zh-CN"/>
              </w:rPr>
              <w:t>商务</w:t>
            </w:r>
            <w:r>
              <w:rPr>
                <w:rFonts w:hint="eastAsia" w:ascii="宋体" w:hAnsi="宋体" w:cs="宋体"/>
                <w:color w:val="auto"/>
                <w:highlight w:val="none"/>
              </w:rPr>
              <w:t>部分</w:t>
            </w:r>
          </w:p>
        </w:tc>
        <w:tc>
          <w:tcPr>
            <w:tcW w:w="233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2112"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93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262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70</w:t>
            </w:r>
            <w:r>
              <w:rPr>
                <w:rFonts w:hint="eastAsia" w:ascii="宋体" w:hAnsi="宋体" w:cs="宋体"/>
                <w:color w:val="auto"/>
                <w:highlight w:val="none"/>
              </w:rPr>
              <w:t>%</w:t>
            </w:r>
          </w:p>
        </w:tc>
        <w:tc>
          <w:tcPr>
            <w:tcW w:w="233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30%</w:t>
            </w:r>
          </w:p>
        </w:tc>
        <w:tc>
          <w:tcPr>
            <w:tcW w:w="2112"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12"/>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36"/>
    <w:bookmarkEnd w:id="337"/>
    <w:p>
      <w:pPr>
        <w:numPr>
          <w:ilvl w:val="0"/>
          <w:numId w:val="12"/>
        </w:numPr>
        <w:autoSpaceDE w:val="0"/>
        <w:autoSpaceDN w:val="0"/>
        <w:adjustRightInd w:val="0"/>
        <w:snapToGrid w:val="0"/>
        <w:spacing w:line="360" w:lineRule="auto"/>
        <w:outlineLvl w:val="0"/>
        <w:rPr>
          <w:rFonts w:ascii="宋体" w:hAnsi="宋体"/>
          <w:color w:val="auto"/>
          <w:szCs w:val="21"/>
          <w:highlight w:val="none"/>
        </w:rPr>
      </w:pPr>
      <w:bookmarkStart w:id="338" w:name="_Toc333236680"/>
      <w:bookmarkStart w:id="339"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12"/>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w:t>
      </w:r>
      <w:r>
        <w:rPr>
          <w:rFonts w:hint="eastAsia" w:ascii="宋体" w:hAnsi="宋体"/>
          <w:color w:val="auto"/>
          <w:szCs w:val="21"/>
          <w:highlight w:val="none"/>
          <w:lang w:eastAsia="zh-CN"/>
        </w:rPr>
        <w:t>技术</w:t>
      </w:r>
      <w:r>
        <w:rPr>
          <w:rFonts w:hint="eastAsia" w:ascii="宋体" w:hAnsi="宋体"/>
          <w:color w:val="auto"/>
          <w:szCs w:val="21"/>
          <w:highlight w:val="none"/>
        </w:rPr>
        <w:t>商务响应评分表》。评审内容见附表。</w:t>
      </w:r>
    </w:p>
    <w:p>
      <w:pPr>
        <w:numPr>
          <w:ilvl w:val="1"/>
          <w:numId w:val="12"/>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磋商小组各成员应当独立对每个有效响应的文件进行评价、打分，然后汇总每个报价人每项评分因素的得分。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01"/>
    <w:bookmarkEnd w:id="302"/>
    <w:bookmarkEnd w:id="303"/>
    <w:bookmarkEnd w:id="338"/>
    <w:bookmarkEnd w:id="339"/>
    <w:p>
      <w:pPr>
        <w:numPr>
          <w:ilvl w:val="0"/>
          <w:numId w:val="12"/>
        </w:numPr>
        <w:autoSpaceDE w:val="0"/>
        <w:autoSpaceDN w:val="0"/>
        <w:adjustRightInd w:val="0"/>
        <w:snapToGrid w:val="0"/>
        <w:spacing w:line="360" w:lineRule="auto"/>
        <w:outlineLvl w:val="0"/>
        <w:rPr>
          <w:rFonts w:ascii="宋体" w:hAnsi="宋体"/>
          <w:color w:val="auto"/>
          <w:szCs w:val="21"/>
          <w:highlight w:val="none"/>
        </w:rPr>
      </w:pPr>
      <w:bookmarkStart w:id="340" w:name="_Toc333236685"/>
      <w:bookmarkStart w:id="341" w:name="_Toc475104535"/>
      <w:r>
        <w:rPr>
          <w:rFonts w:hint="eastAsia" w:ascii="宋体" w:hAnsi="宋体"/>
          <w:color w:val="auto"/>
          <w:szCs w:val="21"/>
          <w:highlight w:val="none"/>
        </w:rPr>
        <w:t>价格评定</w:t>
      </w:r>
    </w:p>
    <w:p>
      <w:pPr>
        <w:numPr>
          <w:ilvl w:val="1"/>
          <w:numId w:val="12"/>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报价人</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12"/>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价格评分：综合评分法中的价格分统一采用低价优先法计算，即满足磋商文件要求且最后报价最低的报价人的价格为磋商基准价，其价格分为满分。其他报价人的价格分统一按照下列公式计算：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，以报价人第二次报价作为基准，计算价格扣减作为报价人的价格评分，评标价只作为分值的计算，最终成交价格按照报价人第二次响应报价为准。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bCs/>
          <w:color w:val="auto"/>
          <w:szCs w:val="21"/>
          <w:highlight w:val="none"/>
        </w:rPr>
        <w:t>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3</w:t>
      </w:r>
      <w:r>
        <w:rPr>
          <w:rFonts w:hint="eastAsia" w:ascii="宋体" w:hAnsi="宋体" w:cs="宋体"/>
          <w:bCs/>
          <w:color w:val="auto"/>
          <w:szCs w:val="21"/>
          <w:highlight w:val="none"/>
        </w:rPr>
        <w:t>）提供本企业制造的货物、承担的工程或者服务，或者提供其他中小企业制造的货物。本项所称货物不包括使用大型企业注册商标的货物。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4</w:t>
      </w:r>
      <w:r>
        <w:rPr>
          <w:rFonts w:hint="eastAsia" w:ascii="宋体" w:hAnsi="宋体" w:cs="宋体"/>
          <w:bCs/>
          <w:color w:val="auto"/>
          <w:szCs w:val="21"/>
          <w:highlight w:val="none"/>
        </w:rPr>
        <w:t>）中小企业划分标准以《工业和信息化部、国家统计局、国家发展和改革委员会、财政部关于印发中小企业划型标准规定的通知》（工信部联企业[2011]300号）规定的划分标准为准。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如报价人为非制造商，其代理产品的制造商也应同时提交《中小企业声明函》，否则评审时不能享受相应的价格扣除。</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报价人提供的《残疾人福利性单位声明函》与事实不符的，依照《政府采购法》第七十七条第一款的规定追究法律责任。</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报价人公章）。</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同时为小型、微型企业、监狱企业、残疾人福利性单位任两种或以上情况的，评审中只享受一次价格扣除，不重复进行价格扣除。</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rPr>
        <w:t>报价人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12"/>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12"/>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12"/>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12"/>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w:t>
      </w:r>
      <w:r>
        <w:rPr>
          <w:rFonts w:hint="eastAsia" w:ascii="宋体" w:hAnsi="宋体" w:cs="宋体"/>
          <w:color w:val="auto"/>
          <w:szCs w:val="21"/>
          <w:highlight w:val="none"/>
          <w:lang w:eastAsia="zh-CN"/>
        </w:rPr>
        <w:t>技术</w:t>
      </w:r>
      <w:r>
        <w:rPr>
          <w:rFonts w:hint="eastAsia" w:ascii="宋体" w:hAnsi="宋体" w:cs="宋体"/>
          <w:color w:val="auto"/>
          <w:szCs w:val="21"/>
          <w:highlight w:val="none"/>
        </w:rPr>
        <w:t>商务得分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12"/>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40"/>
      <w:bookmarkEnd w:id="341"/>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w:t>
      </w:r>
      <w:r>
        <w:rPr>
          <w:rFonts w:hint="eastAsia" w:ascii="宋体" w:hAnsi="宋体"/>
          <w:color w:val="auto"/>
          <w:kern w:val="0"/>
          <w:szCs w:val="21"/>
          <w:highlight w:val="none"/>
          <w:lang w:eastAsia="zh-CN"/>
        </w:rPr>
        <w:t>商务</w:t>
      </w:r>
      <w:r>
        <w:rPr>
          <w:rFonts w:hint="eastAsia" w:ascii="宋体" w:hAnsi="宋体"/>
          <w:color w:val="auto"/>
          <w:kern w:val="0"/>
          <w:szCs w:val="21"/>
          <w:highlight w:val="none"/>
        </w:rPr>
        <w:t>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w:t>
      </w:r>
      <w:r>
        <w:rPr>
          <w:rFonts w:hint="eastAsia" w:ascii="宋体" w:hAnsi="宋体"/>
          <w:color w:val="auto"/>
          <w:kern w:val="0"/>
          <w:szCs w:val="21"/>
          <w:highlight w:val="none"/>
          <w:lang w:val="en-US" w:eastAsia="zh-CN"/>
        </w:rPr>
        <w:t>3</w:t>
      </w:r>
      <w:r>
        <w:rPr>
          <w:rFonts w:hint="eastAsia" w:ascii="宋体" w:hAnsi="宋体"/>
          <w:color w:val="auto"/>
          <w:kern w:val="0"/>
          <w:szCs w:val="21"/>
          <w:highlight w:val="none"/>
        </w:rPr>
        <w:t xml:space="preserve">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3"/>
        <w:rPr>
          <w:color w:val="auto"/>
          <w:sz w:val="24"/>
          <w:highlight w:val="none"/>
        </w:rPr>
      </w:pPr>
      <w:bookmarkStart w:id="342" w:name="_Toc475104536"/>
      <w:r>
        <w:rPr>
          <w:rFonts w:hint="eastAsia"/>
          <w:color w:val="auto"/>
          <w:sz w:val="24"/>
          <w:highlight w:val="none"/>
        </w:rPr>
        <w:t>资格性审查及符合性检查表</w:t>
      </w:r>
      <w:bookmarkEnd w:id="342"/>
    </w:p>
    <w:p>
      <w:pPr>
        <w:pStyle w:val="38"/>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8"/>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5"/>
        <w:tblW w:w="938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报价人</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报价人</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报价人</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3.报价人的所有评审项均填写“○”才被视为“通过”，其中一项为“×”则被视为不通过。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w:t>
      </w:r>
      <w:r>
        <w:rPr>
          <w:rFonts w:hint="eastAsia" w:ascii="宋体" w:hAnsi="宋体" w:cs="宋体"/>
          <w:b/>
          <w:color w:val="auto"/>
          <w:sz w:val="24"/>
          <w:highlight w:val="none"/>
          <w:lang w:eastAsia="zh-CN"/>
        </w:rPr>
        <w:t>商务</w:t>
      </w:r>
      <w:r>
        <w:rPr>
          <w:rFonts w:hint="eastAsia" w:ascii="宋体" w:hAnsi="宋体" w:cs="宋体"/>
          <w:b/>
          <w:color w:val="auto"/>
          <w:sz w:val="24"/>
          <w:highlight w:val="none"/>
        </w:rPr>
        <w:t>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95"/>
        <w:tblW w:w="995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55"/>
        <w:gridCol w:w="1938"/>
        <w:gridCol w:w="6444"/>
        <w:gridCol w:w="101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53" w:hRule="atLeast"/>
          <w:tblHeader/>
          <w:jc w:val="center"/>
        </w:trPr>
        <w:tc>
          <w:tcPr>
            <w:tcW w:w="555"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93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评分项目</w:t>
            </w:r>
          </w:p>
        </w:tc>
        <w:tc>
          <w:tcPr>
            <w:tcW w:w="6444"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评分标准</w:t>
            </w:r>
          </w:p>
        </w:tc>
        <w:tc>
          <w:tcPr>
            <w:tcW w:w="1015"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457" w:hRule="atLeast"/>
          <w:jc w:val="center"/>
        </w:trPr>
        <w:tc>
          <w:tcPr>
            <w:tcW w:w="555"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938" w:type="dxa"/>
            <w:tcBorders>
              <w:top w:val="single" w:color="auto" w:sz="4" w:space="0"/>
              <w:bottom w:val="single" w:color="auto" w:sz="4" w:space="0"/>
            </w:tcBorders>
            <w:vAlign w:val="center"/>
          </w:tcPr>
          <w:p>
            <w:pPr>
              <w:rPr>
                <w:rFonts w:ascii="宋体" w:hAnsi="宋体" w:cs="宋体"/>
                <w:color w:val="auto"/>
                <w:szCs w:val="21"/>
                <w:highlight w:val="none"/>
              </w:rPr>
            </w:pPr>
            <w:r>
              <w:rPr>
                <w:rFonts w:hint="eastAsia" w:ascii="宋体" w:hAnsi="宋体"/>
                <w:color w:val="auto"/>
                <w:szCs w:val="21"/>
                <w:highlight w:val="none"/>
                <w:lang w:val="zh-CN"/>
              </w:rPr>
              <w:t>对所投产品设备技术参数、性能指标、质量的响应情况和符合性</w:t>
            </w:r>
          </w:p>
        </w:tc>
        <w:tc>
          <w:tcPr>
            <w:tcW w:w="6444"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技术指标响应情况：完全满足或优于招标参数，得</w:t>
            </w:r>
            <w:r>
              <w:rPr>
                <w:rFonts w:hint="eastAsia" w:cs="宋体"/>
                <w:color w:val="auto"/>
                <w:kern w:val="0"/>
                <w:szCs w:val="21"/>
                <w:highlight w:val="none"/>
                <w:lang w:val="en-US" w:eastAsia="zh-CN"/>
              </w:rPr>
              <w:t>20</w:t>
            </w:r>
            <w:r>
              <w:rPr>
                <w:rFonts w:hint="eastAsia" w:cs="宋体"/>
                <w:color w:val="auto"/>
                <w:kern w:val="0"/>
                <w:szCs w:val="21"/>
                <w:highlight w:val="none"/>
              </w:rPr>
              <w:t>分，每负偏离一个条款的，扣</w:t>
            </w:r>
            <w:r>
              <w:rPr>
                <w:rFonts w:hint="eastAsia" w:cs="宋体"/>
                <w:color w:val="auto"/>
                <w:kern w:val="0"/>
                <w:szCs w:val="21"/>
                <w:highlight w:val="none"/>
                <w:lang w:val="en-US" w:eastAsia="zh-CN"/>
              </w:rPr>
              <w:t>2.5</w:t>
            </w:r>
            <w:r>
              <w:rPr>
                <w:rFonts w:hint="eastAsia" w:cs="宋体"/>
                <w:color w:val="auto"/>
                <w:kern w:val="0"/>
                <w:szCs w:val="21"/>
                <w:highlight w:val="none"/>
              </w:rPr>
              <w:t>分，扣完为止。</w:t>
            </w:r>
          </w:p>
          <w:p>
            <w:pPr>
              <w:widowControl/>
              <w:jc w:val="left"/>
              <w:rPr>
                <w:color w:val="auto"/>
                <w:szCs w:val="21"/>
                <w:highlight w:val="none"/>
              </w:rPr>
            </w:pPr>
            <w:r>
              <w:rPr>
                <w:rFonts w:hint="eastAsia" w:hAnsi="宋体"/>
                <w:color w:val="auto"/>
                <w:szCs w:val="21"/>
                <w:highlight w:val="none"/>
                <w:lang w:val="zh-CN"/>
              </w:rPr>
              <w:t>（注：</w:t>
            </w:r>
            <w:r>
              <w:rPr>
                <w:rFonts w:hint="eastAsia" w:hAnsi="宋体"/>
                <w:color w:val="auto"/>
                <w:szCs w:val="21"/>
                <w:highlight w:val="none"/>
                <w:lang w:val="en-US" w:eastAsia="zh-CN"/>
              </w:rPr>
              <w:t>投标时需详细描述所投</w:t>
            </w:r>
            <w:r>
              <w:rPr>
                <w:rFonts w:hint="eastAsia" w:hAnsi="宋体"/>
                <w:color w:val="auto"/>
                <w:szCs w:val="21"/>
                <w:highlight w:val="none"/>
                <w:lang w:val="zh-CN"/>
              </w:rPr>
              <w:t>产品设备技术参数，</w:t>
            </w:r>
            <w:r>
              <w:rPr>
                <w:rFonts w:hint="eastAsia" w:hAnsi="宋体"/>
                <w:color w:val="auto"/>
                <w:szCs w:val="21"/>
                <w:highlight w:val="none"/>
                <w:lang w:val="en-US" w:eastAsia="zh-CN"/>
              </w:rPr>
              <w:t>所描述的技术参数</w:t>
            </w:r>
            <w:r>
              <w:rPr>
                <w:rFonts w:hint="eastAsia" w:hAnsi="宋体"/>
                <w:color w:val="auto"/>
                <w:szCs w:val="21"/>
                <w:highlight w:val="none"/>
                <w:lang w:val="zh-CN"/>
              </w:rPr>
              <w:t>必须逐项对应招标文件的技术条款。</w:t>
            </w:r>
            <w:r>
              <w:rPr>
                <w:rFonts w:hint="eastAsia" w:hAnsi="宋体"/>
                <w:color w:val="auto"/>
                <w:szCs w:val="21"/>
                <w:highlight w:val="none"/>
                <w:lang w:val="en-US" w:eastAsia="zh-CN"/>
              </w:rPr>
              <w:t>没有详细描述的</w:t>
            </w:r>
            <w:r>
              <w:rPr>
                <w:rFonts w:hint="eastAsia" w:hAnsi="宋体"/>
                <w:color w:val="auto"/>
                <w:szCs w:val="21"/>
                <w:highlight w:val="none"/>
                <w:lang w:val="zh-CN"/>
              </w:rPr>
              <w:t>，</w:t>
            </w:r>
            <w:r>
              <w:rPr>
                <w:rFonts w:hint="eastAsia" w:hAnsi="宋体"/>
                <w:color w:val="auto"/>
                <w:szCs w:val="21"/>
                <w:highlight w:val="none"/>
                <w:lang w:val="en-US" w:eastAsia="zh-CN"/>
              </w:rPr>
              <w:t>将被</w:t>
            </w:r>
            <w:r>
              <w:rPr>
                <w:rFonts w:hint="eastAsia" w:hAnsi="宋体"/>
                <w:color w:val="auto"/>
                <w:szCs w:val="21"/>
                <w:highlight w:val="none"/>
                <w:lang w:val="zh-CN"/>
              </w:rPr>
              <w:t>视为负偏离并扣除对应条款分数。）</w:t>
            </w:r>
          </w:p>
        </w:tc>
        <w:tc>
          <w:tcPr>
            <w:tcW w:w="1015" w:type="dxa"/>
            <w:tcBorders>
              <w:top w:val="single" w:color="auto" w:sz="4" w:space="0"/>
              <w:bottom w:val="single" w:color="auto" w:sz="4" w:space="0"/>
            </w:tcBorders>
            <w:vAlign w:val="center"/>
          </w:tcPr>
          <w:p>
            <w:pPr>
              <w:pStyle w:val="210"/>
              <w:jc w:val="center"/>
              <w:rPr>
                <w:rFonts w:hint="default" w:ascii="宋体" w:hAnsi="宋体" w:eastAsia="宋体" w:cs="宋体"/>
                <w:bCs/>
                <w:color w:val="auto"/>
                <w:szCs w:val="21"/>
                <w:highlight w:val="none"/>
                <w:lang w:val="en-US" w:eastAsia="zh-CN"/>
              </w:rPr>
            </w:pPr>
            <w:r>
              <w:rPr>
                <w:rFonts w:hint="eastAsia" w:ascii="宋体" w:hAnsi="宋体" w:cs="宋体"/>
                <w:color w:val="auto"/>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7" w:hRule="atLeast"/>
          <w:jc w:val="center"/>
        </w:trPr>
        <w:tc>
          <w:tcPr>
            <w:tcW w:w="555" w:type="dxa"/>
            <w:tcBorders>
              <w:top w:val="single" w:color="auto" w:sz="4" w:space="0"/>
              <w:bottom w:val="single" w:color="auto" w:sz="4" w:space="0"/>
            </w:tcBorders>
            <w:vAlign w:val="center"/>
          </w:tcPr>
          <w:p>
            <w:pPr>
              <w:snapToGrid w:val="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2</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合同履行期进度计划承诺</w:t>
            </w:r>
          </w:p>
        </w:tc>
        <w:tc>
          <w:tcPr>
            <w:tcW w:w="6444"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lang w:val="en-GB"/>
              </w:rPr>
              <w:t>本项目竞争性磋商文件规定的合同履行期限为</w:t>
            </w:r>
            <w:r>
              <w:rPr>
                <w:rFonts w:hint="eastAsia" w:cs="宋体"/>
                <w:color w:val="auto"/>
                <w:kern w:val="0"/>
                <w:szCs w:val="21"/>
                <w:highlight w:val="none"/>
                <w:lang w:val="en-US" w:eastAsia="zh-CN"/>
              </w:rPr>
              <w:t>30</w:t>
            </w:r>
            <w:r>
              <w:rPr>
                <w:rFonts w:hint="eastAsia" w:cs="宋体"/>
                <w:color w:val="auto"/>
                <w:kern w:val="0"/>
                <w:szCs w:val="21"/>
                <w:highlight w:val="none"/>
              </w:rPr>
              <w:t>日历天</w:t>
            </w:r>
            <w:r>
              <w:rPr>
                <w:rFonts w:hint="eastAsia" w:cs="宋体"/>
                <w:color w:val="auto"/>
                <w:kern w:val="0"/>
                <w:szCs w:val="21"/>
                <w:highlight w:val="none"/>
                <w:lang w:val="en-GB"/>
              </w:rPr>
              <w:t>，合同履行期限为</w:t>
            </w:r>
            <w:r>
              <w:rPr>
                <w:rFonts w:hint="eastAsia" w:cs="宋体"/>
                <w:color w:val="auto"/>
                <w:kern w:val="0"/>
                <w:szCs w:val="21"/>
                <w:highlight w:val="none"/>
                <w:lang w:val="en-US" w:eastAsia="zh-CN"/>
              </w:rPr>
              <w:t>30</w:t>
            </w:r>
            <w:r>
              <w:rPr>
                <w:rFonts w:hint="eastAsia" w:cs="宋体"/>
                <w:color w:val="auto"/>
                <w:kern w:val="0"/>
                <w:szCs w:val="21"/>
                <w:highlight w:val="none"/>
              </w:rPr>
              <w:t>日历天</w:t>
            </w:r>
            <w:r>
              <w:rPr>
                <w:rFonts w:hint="eastAsia" w:cs="宋体"/>
                <w:color w:val="auto"/>
                <w:kern w:val="0"/>
                <w:szCs w:val="21"/>
                <w:highlight w:val="none"/>
                <w:lang w:val="en-GB"/>
              </w:rPr>
              <w:t>的不得分，每承诺提前</w:t>
            </w:r>
            <w:r>
              <w:rPr>
                <w:rFonts w:hint="eastAsia" w:cs="宋体"/>
                <w:color w:val="auto"/>
                <w:kern w:val="0"/>
                <w:szCs w:val="21"/>
                <w:highlight w:val="none"/>
                <w:lang w:val="en-US" w:eastAsia="zh-CN"/>
              </w:rPr>
              <w:t>1</w:t>
            </w:r>
            <w:r>
              <w:rPr>
                <w:rFonts w:hint="eastAsia" w:cs="宋体"/>
                <w:color w:val="auto"/>
                <w:kern w:val="0"/>
                <w:szCs w:val="21"/>
                <w:highlight w:val="none"/>
              </w:rPr>
              <w:t>日历天</w:t>
            </w:r>
            <w:r>
              <w:rPr>
                <w:rFonts w:hint="eastAsia" w:cs="宋体"/>
                <w:color w:val="auto"/>
                <w:kern w:val="0"/>
                <w:szCs w:val="21"/>
                <w:highlight w:val="none"/>
                <w:lang w:val="en-GB"/>
              </w:rPr>
              <w:t>的得</w:t>
            </w:r>
            <w:r>
              <w:rPr>
                <w:rFonts w:hint="eastAsia" w:cs="宋体"/>
                <w:color w:val="auto"/>
                <w:kern w:val="0"/>
                <w:szCs w:val="21"/>
                <w:highlight w:val="none"/>
                <w:lang w:val="en-US" w:eastAsia="zh-CN"/>
              </w:rPr>
              <w:t>1</w:t>
            </w:r>
            <w:r>
              <w:rPr>
                <w:rFonts w:hint="eastAsia" w:cs="宋体"/>
                <w:color w:val="auto"/>
                <w:kern w:val="0"/>
                <w:szCs w:val="21"/>
                <w:highlight w:val="none"/>
                <w:lang w:val="en-GB"/>
              </w:rPr>
              <w:t>分，此项满分为</w:t>
            </w:r>
            <w:r>
              <w:rPr>
                <w:rFonts w:hint="eastAsia" w:cs="宋体"/>
                <w:color w:val="auto"/>
                <w:kern w:val="0"/>
                <w:szCs w:val="21"/>
                <w:highlight w:val="none"/>
                <w:lang w:val="en-US" w:eastAsia="zh-CN"/>
              </w:rPr>
              <w:t>8</w:t>
            </w:r>
            <w:r>
              <w:rPr>
                <w:rFonts w:hint="eastAsia" w:cs="宋体"/>
                <w:color w:val="auto"/>
                <w:kern w:val="0"/>
                <w:szCs w:val="21"/>
                <w:highlight w:val="none"/>
                <w:lang w:val="en-GB"/>
              </w:rPr>
              <w:t>分。</w:t>
            </w:r>
          </w:p>
        </w:tc>
        <w:tc>
          <w:tcPr>
            <w:tcW w:w="1015" w:type="dxa"/>
            <w:tcBorders>
              <w:top w:val="single" w:color="auto" w:sz="4" w:space="0"/>
              <w:bottom w:val="single" w:color="auto" w:sz="4" w:space="0"/>
            </w:tcBorders>
            <w:vAlign w:val="center"/>
          </w:tcPr>
          <w:p>
            <w:pPr>
              <w:pStyle w:val="21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477" w:hRule="atLeast"/>
          <w:jc w:val="center"/>
        </w:trPr>
        <w:tc>
          <w:tcPr>
            <w:tcW w:w="555" w:type="dxa"/>
            <w:tcBorders>
              <w:top w:val="single" w:color="auto" w:sz="4" w:space="0"/>
              <w:bottom w:val="single" w:color="auto" w:sz="4" w:space="0"/>
            </w:tcBorders>
            <w:vAlign w:val="center"/>
          </w:tcPr>
          <w:p>
            <w:pPr>
              <w:snapToGrid w:val="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3</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ascii="宋体" w:hAnsi="宋体" w:cs="宋体"/>
                <w:color w:val="auto"/>
                <w:kern w:val="0"/>
                <w:szCs w:val="21"/>
                <w:highlight w:val="none"/>
              </w:rPr>
              <w:t>安装方案、安装组织设计及保证措施</w:t>
            </w:r>
          </w:p>
        </w:tc>
        <w:tc>
          <w:tcPr>
            <w:tcW w:w="6444"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1.有详细设备生产、安装、调试及验收等安装方案，方案全面完整，且具有很强的操作性和科学合理性。安装组织设计详尽、可靠、科学、实用，有切实可行的保证交货期的措施的，得</w:t>
            </w:r>
            <w:r>
              <w:rPr>
                <w:rFonts w:hint="eastAsia" w:ascii="宋体" w:hAnsi="宋体" w:cs="宋体"/>
                <w:color w:val="auto"/>
                <w:kern w:val="0"/>
                <w:szCs w:val="21"/>
                <w:highlight w:val="none"/>
                <w:lang w:val="en-US" w:eastAsia="zh-CN"/>
              </w:rPr>
              <w:t>10</w:t>
            </w:r>
            <w:r>
              <w:rPr>
                <w:rFonts w:hint="eastAsia" w:ascii="宋体" w:hAnsi="宋体" w:cs="宋体"/>
                <w:color w:val="auto"/>
                <w:kern w:val="0"/>
                <w:szCs w:val="21"/>
                <w:highlight w:val="none"/>
              </w:rPr>
              <w:t>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2.有设备生产、安装、调试及验收等安装方案，方案基本完整，可操作性一般。安装组织设计一般，有基本的保证交货期的措施的，得</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3.有设备生产、安装、调试及验收等安装方案，方案不完整，可操作性不强。安装组织设计较差，基本不能的保证交货期的，得1分；</w:t>
            </w:r>
          </w:p>
          <w:p>
            <w:pPr>
              <w:widowControl/>
              <w:jc w:val="left"/>
              <w:rPr>
                <w:rFonts w:cs="宋体"/>
                <w:color w:val="auto"/>
                <w:kern w:val="0"/>
                <w:szCs w:val="21"/>
                <w:highlight w:val="none"/>
              </w:rPr>
            </w:pPr>
            <w:r>
              <w:rPr>
                <w:rFonts w:hint="eastAsia" w:ascii="宋体" w:hAnsi="宋体" w:cs="宋体"/>
                <w:color w:val="auto"/>
                <w:kern w:val="0"/>
                <w:szCs w:val="21"/>
                <w:highlight w:val="none"/>
              </w:rPr>
              <w:t>4.其他不得分。</w:t>
            </w:r>
          </w:p>
        </w:tc>
        <w:tc>
          <w:tcPr>
            <w:tcW w:w="1015" w:type="dxa"/>
            <w:tcBorders>
              <w:top w:val="single" w:color="auto" w:sz="4" w:space="0"/>
              <w:bottom w:val="single" w:color="auto" w:sz="4" w:space="0"/>
            </w:tcBorders>
            <w:vAlign w:val="center"/>
          </w:tcPr>
          <w:p>
            <w:pPr>
              <w:pStyle w:val="21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54" w:hRule="atLeast"/>
          <w:jc w:val="center"/>
        </w:trPr>
        <w:tc>
          <w:tcPr>
            <w:tcW w:w="555" w:type="dxa"/>
            <w:tcBorders>
              <w:top w:val="single" w:color="auto" w:sz="4" w:space="0"/>
              <w:bottom w:val="single" w:color="auto" w:sz="4" w:space="0"/>
            </w:tcBorders>
            <w:vAlign w:val="center"/>
          </w:tcPr>
          <w:p>
            <w:pPr>
              <w:snapToGrid w:val="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4</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ascii="宋体" w:hAnsi="宋体" w:cs="宋体"/>
                <w:color w:val="auto"/>
                <w:kern w:val="0"/>
                <w:szCs w:val="21"/>
                <w:highlight w:val="none"/>
              </w:rPr>
              <w:t>文明安全安装措施</w:t>
            </w:r>
          </w:p>
        </w:tc>
        <w:tc>
          <w:tcPr>
            <w:tcW w:w="6444" w:type="dxa"/>
            <w:tcBorders>
              <w:top w:val="single" w:color="auto" w:sz="4" w:space="0"/>
              <w:bottom w:val="single" w:color="auto" w:sz="4" w:space="0"/>
            </w:tcBorders>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1.具有详细的文明、安全安装保证措施的，得</w:t>
            </w:r>
            <w:r>
              <w:rPr>
                <w:rFonts w:hint="eastAsia" w:ascii="宋体" w:hAnsi="宋体" w:cs="宋体"/>
                <w:color w:val="auto"/>
                <w:kern w:val="0"/>
                <w:szCs w:val="21"/>
                <w:highlight w:val="none"/>
                <w:lang w:val="en-US" w:eastAsia="zh-CN"/>
              </w:rPr>
              <w:t>10</w:t>
            </w:r>
            <w:r>
              <w:rPr>
                <w:rFonts w:hint="eastAsia" w:ascii="宋体" w:hAnsi="宋体" w:cs="宋体"/>
                <w:color w:val="auto"/>
                <w:kern w:val="0"/>
                <w:szCs w:val="21"/>
                <w:highlight w:val="none"/>
              </w:rPr>
              <w:t>分；</w:t>
            </w:r>
          </w:p>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2.有文明、安全安装保证措施，叙述</w:t>
            </w:r>
            <w:r>
              <w:rPr>
                <w:rFonts w:hint="eastAsia" w:ascii="宋体" w:hAnsi="宋体" w:cs="宋体"/>
                <w:color w:val="auto"/>
                <w:kern w:val="0"/>
                <w:szCs w:val="21"/>
                <w:highlight w:val="none"/>
                <w:lang w:eastAsia="zh-CN"/>
              </w:rPr>
              <w:t>一般</w:t>
            </w:r>
            <w:r>
              <w:rPr>
                <w:rFonts w:hint="eastAsia" w:ascii="宋体" w:hAnsi="宋体" w:cs="宋体"/>
                <w:color w:val="auto"/>
                <w:kern w:val="0"/>
                <w:szCs w:val="21"/>
                <w:highlight w:val="none"/>
              </w:rPr>
              <w:t>的，得</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分；</w:t>
            </w:r>
          </w:p>
          <w:p>
            <w:pPr>
              <w:widowControl/>
              <w:jc w:val="left"/>
              <w:rPr>
                <w:rFonts w:hint="default"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有文明、安全安装保证措施，叙述不强的，得</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分；</w:t>
            </w:r>
          </w:p>
          <w:p>
            <w:pPr>
              <w:widowControl/>
              <w:jc w:val="left"/>
              <w:rPr>
                <w:rFonts w:cs="宋体"/>
                <w:color w:val="auto"/>
                <w:kern w:val="0"/>
                <w:szCs w:val="21"/>
                <w:highlight w:val="none"/>
              </w:rPr>
            </w:pP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.其他不得分。</w:t>
            </w:r>
          </w:p>
        </w:tc>
        <w:tc>
          <w:tcPr>
            <w:tcW w:w="1015" w:type="dxa"/>
            <w:tcBorders>
              <w:top w:val="single" w:color="auto" w:sz="4" w:space="0"/>
              <w:bottom w:val="single" w:color="auto" w:sz="4" w:space="0"/>
            </w:tcBorders>
            <w:vAlign w:val="center"/>
          </w:tcPr>
          <w:p>
            <w:pPr>
              <w:pStyle w:val="21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56" w:hRule="atLeast"/>
          <w:jc w:val="center"/>
        </w:trPr>
        <w:tc>
          <w:tcPr>
            <w:tcW w:w="555" w:type="dxa"/>
            <w:tcBorders>
              <w:top w:val="single" w:color="auto" w:sz="4" w:space="0"/>
              <w:bottom w:val="single" w:color="auto" w:sz="4" w:space="0"/>
            </w:tcBorders>
            <w:vAlign w:val="center"/>
          </w:tcPr>
          <w:p>
            <w:pPr>
              <w:snapToGrid w:val="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938" w:type="dxa"/>
            <w:tcBorders>
              <w:top w:val="single" w:color="auto" w:sz="4" w:space="0"/>
              <w:bottom w:val="single" w:color="auto" w:sz="4" w:space="0"/>
            </w:tcBorders>
            <w:vAlign w:val="center"/>
          </w:tcPr>
          <w:p>
            <w:pPr>
              <w:pStyle w:val="183"/>
              <w:jc w:val="center"/>
              <w:rPr>
                <w:rFonts w:ascii="宋体" w:hAnsi="宋体" w:cs="宋体"/>
                <w:color w:val="auto"/>
                <w:kern w:val="0"/>
                <w:szCs w:val="21"/>
                <w:highlight w:val="none"/>
              </w:rPr>
            </w:pPr>
            <w:r>
              <w:rPr>
                <w:rFonts w:hint="eastAsia" w:ascii="宋体" w:hAnsi="宋体"/>
                <w:color w:val="auto"/>
                <w:szCs w:val="21"/>
                <w:highlight w:val="none"/>
                <w:lang w:val="en-GB"/>
              </w:rPr>
              <w:t>同类项目业绩</w:t>
            </w:r>
          </w:p>
        </w:tc>
        <w:tc>
          <w:tcPr>
            <w:tcW w:w="6444" w:type="dxa"/>
            <w:tcBorders>
              <w:top w:val="single" w:color="auto" w:sz="4" w:space="0"/>
              <w:bottom w:val="single" w:color="auto" w:sz="4" w:space="0"/>
            </w:tcBorders>
            <w:vAlign w:val="center"/>
          </w:tcPr>
          <w:p>
            <w:pPr>
              <w:rPr>
                <w:rFonts w:ascii="宋体" w:hAnsi="宋体" w:cs="宋体"/>
                <w:color w:val="auto"/>
                <w:kern w:val="0"/>
                <w:szCs w:val="21"/>
                <w:highlight w:val="none"/>
              </w:rPr>
            </w:pPr>
            <w:r>
              <w:rPr>
                <w:rFonts w:hint="eastAsia" w:cs="宋体"/>
                <w:color w:val="auto"/>
                <w:kern w:val="0"/>
                <w:szCs w:val="21"/>
                <w:highlight w:val="none"/>
              </w:rPr>
              <w:t>提供201</w:t>
            </w:r>
            <w:r>
              <w:rPr>
                <w:rFonts w:hint="eastAsia" w:cs="宋体"/>
                <w:color w:val="auto"/>
                <w:kern w:val="0"/>
                <w:szCs w:val="21"/>
                <w:highlight w:val="none"/>
                <w:lang w:val="en-US" w:eastAsia="zh-CN"/>
              </w:rPr>
              <w:t>8</w:t>
            </w:r>
            <w:r>
              <w:rPr>
                <w:rFonts w:hint="eastAsia" w:cs="宋体"/>
                <w:color w:val="auto"/>
                <w:kern w:val="0"/>
                <w:szCs w:val="21"/>
                <w:highlight w:val="none"/>
              </w:rPr>
              <w:t>年以来完成类似项目业绩（附</w:t>
            </w:r>
            <w:r>
              <w:rPr>
                <w:rFonts w:hint="eastAsia" w:ascii="宋体" w:hAnsi="宋体"/>
                <w:color w:val="auto"/>
                <w:szCs w:val="21"/>
                <w:highlight w:val="none"/>
              </w:rPr>
              <w:t>上成交/中标通知书或合同复印件</w:t>
            </w:r>
            <w:r>
              <w:rPr>
                <w:rFonts w:hint="eastAsia" w:ascii="宋体" w:hAnsi="宋体"/>
                <w:color w:val="auto"/>
                <w:szCs w:val="21"/>
                <w:highlight w:val="none"/>
                <w:lang w:eastAsia="zh-CN"/>
              </w:rPr>
              <w:t>，以</w:t>
            </w:r>
            <w:r>
              <w:rPr>
                <w:rFonts w:hint="eastAsia" w:ascii="宋体" w:hAnsi="宋体"/>
                <w:color w:val="auto"/>
                <w:szCs w:val="21"/>
                <w:highlight w:val="none"/>
              </w:rPr>
              <w:t>成交/中标通知书</w:t>
            </w:r>
            <w:r>
              <w:rPr>
                <w:rFonts w:hint="eastAsia" w:ascii="宋体" w:hAnsi="宋体"/>
                <w:color w:val="auto"/>
                <w:szCs w:val="21"/>
                <w:highlight w:val="none"/>
                <w:lang w:eastAsia="zh-CN"/>
              </w:rPr>
              <w:t>签发时间为准</w:t>
            </w:r>
            <w:r>
              <w:rPr>
                <w:rFonts w:hint="eastAsia" w:cs="宋体"/>
                <w:color w:val="auto"/>
                <w:kern w:val="0"/>
                <w:szCs w:val="21"/>
                <w:highlight w:val="none"/>
              </w:rPr>
              <w:t>）每提供一份业绩得2分，满分</w:t>
            </w:r>
            <w:r>
              <w:rPr>
                <w:rFonts w:hint="eastAsia" w:cs="宋体"/>
                <w:color w:val="auto"/>
                <w:kern w:val="0"/>
                <w:szCs w:val="21"/>
                <w:highlight w:val="none"/>
                <w:lang w:val="en-US" w:eastAsia="zh-CN"/>
              </w:rPr>
              <w:t>8</w:t>
            </w:r>
            <w:r>
              <w:rPr>
                <w:rFonts w:hint="eastAsia" w:cs="宋体"/>
                <w:color w:val="auto"/>
                <w:kern w:val="0"/>
                <w:szCs w:val="21"/>
                <w:highlight w:val="none"/>
              </w:rPr>
              <w:t>分。</w:t>
            </w:r>
          </w:p>
        </w:tc>
        <w:tc>
          <w:tcPr>
            <w:tcW w:w="1015" w:type="dxa"/>
            <w:tcBorders>
              <w:top w:val="single" w:color="auto" w:sz="4" w:space="0"/>
              <w:bottom w:val="single" w:color="auto" w:sz="4" w:space="0"/>
            </w:tcBorders>
            <w:vAlign w:val="center"/>
          </w:tcPr>
          <w:p>
            <w:pPr>
              <w:pStyle w:val="183"/>
              <w:jc w:val="center"/>
              <w:rPr>
                <w:rFonts w:hint="eastAsia" w:ascii="宋体" w:hAnsi="宋体" w:eastAsia="宋体" w:cs="宋体"/>
                <w:color w:val="auto"/>
                <w:szCs w:val="21"/>
                <w:highlight w:val="none"/>
                <w:lang w:eastAsia="zh-CN"/>
              </w:rPr>
            </w:pPr>
            <w:r>
              <w:rPr>
                <w:rFonts w:hint="eastAsia" w:ascii="宋体" w:hAnsi="宋体"/>
                <w:color w:val="auto"/>
                <w:szCs w:val="21"/>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32" w:hRule="atLeast"/>
          <w:jc w:val="center"/>
        </w:trPr>
        <w:tc>
          <w:tcPr>
            <w:tcW w:w="555" w:type="dxa"/>
            <w:tcBorders>
              <w:top w:val="single" w:color="auto" w:sz="4" w:space="0"/>
              <w:bottom w:val="single" w:color="auto" w:sz="4" w:space="0"/>
            </w:tcBorders>
            <w:vAlign w:val="center"/>
          </w:tcPr>
          <w:p>
            <w:pPr>
              <w:snapToGrid w:val="0"/>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1938" w:type="dxa"/>
            <w:tcBorders>
              <w:top w:val="single" w:color="auto" w:sz="4" w:space="0"/>
              <w:bottom w:val="single" w:color="auto" w:sz="4" w:space="0"/>
            </w:tcBorders>
            <w:vAlign w:val="center"/>
          </w:tcPr>
          <w:p>
            <w:pPr>
              <w:jc w:val="center"/>
              <w:rPr>
                <w:rFonts w:hint="eastAsia" w:ascii="宋体" w:hAnsi="宋体"/>
                <w:color w:val="auto"/>
                <w:szCs w:val="21"/>
                <w:highlight w:val="none"/>
                <w:lang w:val="en-GB"/>
              </w:rPr>
            </w:pPr>
            <w:r>
              <w:rPr>
                <w:rFonts w:hint="eastAsia" w:cs="宋体"/>
                <w:color w:val="auto"/>
                <w:kern w:val="0"/>
                <w:szCs w:val="21"/>
                <w:highlight w:val="none"/>
              </w:rPr>
              <w:t>质量保修期年限</w:t>
            </w:r>
          </w:p>
        </w:tc>
        <w:tc>
          <w:tcPr>
            <w:tcW w:w="6444" w:type="dxa"/>
            <w:tcBorders>
              <w:top w:val="single" w:color="auto" w:sz="4" w:space="0"/>
              <w:bottom w:val="single" w:color="auto" w:sz="4" w:space="0"/>
            </w:tcBorders>
            <w:vAlign w:val="center"/>
          </w:tcPr>
          <w:p>
            <w:pPr>
              <w:widowControl/>
              <w:jc w:val="left"/>
              <w:rPr>
                <w:rFonts w:hint="eastAsia" w:cs="宋体"/>
                <w:color w:val="auto"/>
                <w:kern w:val="0"/>
                <w:szCs w:val="21"/>
                <w:highlight w:val="none"/>
                <w:lang w:val="en-GB"/>
              </w:rPr>
            </w:pPr>
            <w:r>
              <w:rPr>
                <w:rFonts w:hint="eastAsia" w:cs="宋体"/>
                <w:color w:val="auto"/>
                <w:kern w:val="0"/>
                <w:szCs w:val="21"/>
                <w:highlight w:val="none"/>
                <w:lang w:val="en-GB"/>
              </w:rPr>
              <w:t>本项目竞争性磋商文件规定的质量保修期不低于</w:t>
            </w:r>
            <w:r>
              <w:rPr>
                <w:rFonts w:hint="eastAsia" w:cs="宋体"/>
                <w:color w:val="auto"/>
                <w:kern w:val="0"/>
                <w:szCs w:val="21"/>
                <w:highlight w:val="none"/>
                <w:lang w:val="en-US" w:eastAsia="zh-CN"/>
              </w:rPr>
              <w:t>一</w:t>
            </w:r>
            <w:r>
              <w:rPr>
                <w:rFonts w:hint="eastAsia" w:cs="宋体"/>
                <w:color w:val="auto"/>
                <w:kern w:val="0"/>
                <w:szCs w:val="21"/>
                <w:highlight w:val="none"/>
                <w:lang w:val="en-GB"/>
              </w:rPr>
              <w:t>年，每增加一年得</w:t>
            </w:r>
            <w:r>
              <w:rPr>
                <w:rFonts w:hint="eastAsia" w:cs="宋体"/>
                <w:color w:val="auto"/>
                <w:kern w:val="0"/>
                <w:szCs w:val="21"/>
                <w:highlight w:val="none"/>
                <w:lang w:val="en-US" w:eastAsia="zh-CN"/>
              </w:rPr>
              <w:t>2</w:t>
            </w:r>
            <w:r>
              <w:rPr>
                <w:rFonts w:hint="eastAsia" w:cs="宋体"/>
                <w:color w:val="auto"/>
                <w:kern w:val="0"/>
                <w:szCs w:val="21"/>
                <w:highlight w:val="none"/>
                <w:lang w:val="en-GB"/>
              </w:rPr>
              <w:t>分。</w:t>
            </w:r>
          </w:p>
          <w:p>
            <w:pPr>
              <w:widowControl/>
              <w:jc w:val="left"/>
              <w:rPr>
                <w:rFonts w:hint="eastAsia" w:cs="宋体"/>
                <w:color w:val="auto"/>
                <w:kern w:val="0"/>
                <w:szCs w:val="21"/>
                <w:highlight w:val="none"/>
              </w:rPr>
            </w:pPr>
            <w:r>
              <w:rPr>
                <w:rFonts w:hint="eastAsia" w:cs="宋体"/>
                <w:color w:val="auto"/>
                <w:kern w:val="0"/>
                <w:szCs w:val="21"/>
                <w:highlight w:val="none"/>
                <w:lang w:val="en-GB"/>
              </w:rPr>
              <w:t>此项满分为</w:t>
            </w:r>
            <w:r>
              <w:rPr>
                <w:rFonts w:hint="eastAsia" w:cs="宋体"/>
                <w:color w:val="auto"/>
                <w:kern w:val="0"/>
                <w:szCs w:val="21"/>
                <w:highlight w:val="none"/>
                <w:lang w:val="en-US" w:eastAsia="zh-CN"/>
              </w:rPr>
              <w:t>6</w:t>
            </w:r>
            <w:r>
              <w:rPr>
                <w:rFonts w:hint="eastAsia" w:cs="宋体"/>
                <w:color w:val="auto"/>
                <w:kern w:val="0"/>
                <w:szCs w:val="21"/>
                <w:highlight w:val="none"/>
                <w:lang w:val="en-GB"/>
              </w:rPr>
              <w:t>分。</w:t>
            </w:r>
          </w:p>
        </w:tc>
        <w:tc>
          <w:tcPr>
            <w:tcW w:w="1015" w:type="dxa"/>
            <w:tcBorders>
              <w:top w:val="single" w:color="auto" w:sz="4" w:space="0"/>
              <w:bottom w:val="single" w:color="auto" w:sz="4" w:space="0"/>
            </w:tcBorders>
            <w:vAlign w:val="center"/>
          </w:tcPr>
          <w:p>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94" w:hRule="atLeast"/>
          <w:jc w:val="center"/>
        </w:trPr>
        <w:tc>
          <w:tcPr>
            <w:tcW w:w="555" w:type="dxa"/>
            <w:tcBorders>
              <w:top w:val="single" w:color="auto" w:sz="4" w:space="0"/>
              <w:bottom w:val="single" w:color="auto" w:sz="4" w:space="0"/>
            </w:tcBorders>
            <w:vAlign w:val="center"/>
          </w:tcPr>
          <w:p>
            <w:pPr>
              <w:snapToGrid w:val="0"/>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1938" w:type="dxa"/>
            <w:tcBorders>
              <w:top w:val="single" w:color="auto" w:sz="4" w:space="0"/>
              <w:bottom w:val="single" w:color="auto" w:sz="4" w:space="0"/>
            </w:tcBorders>
            <w:vAlign w:val="center"/>
          </w:tcPr>
          <w:p>
            <w:pPr>
              <w:pStyle w:val="183"/>
              <w:jc w:val="center"/>
              <w:rPr>
                <w:rFonts w:hint="eastAsia" w:cs="宋体"/>
                <w:color w:val="auto"/>
                <w:kern w:val="0"/>
                <w:szCs w:val="21"/>
                <w:highlight w:val="none"/>
              </w:rPr>
            </w:pPr>
            <w:r>
              <w:rPr>
                <w:rFonts w:hint="eastAsia" w:cs="宋体"/>
                <w:color w:val="auto"/>
                <w:kern w:val="0"/>
                <w:szCs w:val="21"/>
                <w:highlight w:val="none"/>
              </w:rPr>
              <w:t>售后服务响应时间</w:t>
            </w:r>
          </w:p>
        </w:tc>
        <w:tc>
          <w:tcPr>
            <w:tcW w:w="6444"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1.售后服务响应时间最快能到达现场的，得</w:t>
            </w:r>
            <w:r>
              <w:rPr>
                <w:rFonts w:hint="eastAsia" w:cs="宋体"/>
                <w:color w:val="auto"/>
                <w:kern w:val="0"/>
                <w:szCs w:val="21"/>
                <w:highlight w:val="none"/>
                <w:lang w:val="en-US" w:eastAsia="zh-CN"/>
              </w:rPr>
              <w:t>8</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2.售后服务响应时间比较快能到达现场的，得</w:t>
            </w:r>
            <w:r>
              <w:rPr>
                <w:rFonts w:hint="eastAsia" w:cs="宋体"/>
                <w:color w:val="auto"/>
                <w:kern w:val="0"/>
                <w:szCs w:val="21"/>
                <w:highlight w:val="none"/>
                <w:lang w:val="en-US" w:eastAsia="zh-CN"/>
              </w:rPr>
              <w:t>4</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3.售后服务响应时间一般，得</w:t>
            </w:r>
            <w:r>
              <w:rPr>
                <w:rFonts w:hint="eastAsia" w:cs="宋体"/>
                <w:color w:val="auto"/>
                <w:kern w:val="0"/>
                <w:szCs w:val="21"/>
                <w:highlight w:val="none"/>
                <w:lang w:val="en-US" w:eastAsia="zh-CN"/>
              </w:rPr>
              <w:t>2</w:t>
            </w:r>
            <w:r>
              <w:rPr>
                <w:rFonts w:hint="eastAsia" w:cs="宋体"/>
                <w:color w:val="auto"/>
                <w:kern w:val="0"/>
                <w:szCs w:val="21"/>
                <w:highlight w:val="none"/>
              </w:rPr>
              <w:t>分。</w:t>
            </w:r>
          </w:p>
          <w:p>
            <w:pPr>
              <w:rPr>
                <w:rFonts w:hint="eastAsia" w:cs="宋体"/>
                <w:color w:val="auto"/>
                <w:kern w:val="0"/>
                <w:szCs w:val="21"/>
                <w:highlight w:val="none"/>
              </w:rPr>
            </w:pPr>
            <w:r>
              <w:rPr>
                <w:rFonts w:hint="eastAsia" w:cs="宋体"/>
                <w:color w:val="auto"/>
                <w:kern w:val="0"/>
                <w:szCs w:val="21"/>
                <w:highlight w:val="none"/>
              </w:rPr>
              <w:t>4.其他不得分。</w:t>
            </w:r>
          </w:p>
        </w:tc>
        <w:tc>
          <w:tcPr>
            <w:tcW w:w="1015" w:type="dxa"/>
            <w:tcBorders>
              <w:top w:val="single" w:color="auto" w:sz="4" w:space="0"/>
              <w:bottom w:val="single" w:color="auto" w:sz="4" w:space="0"/>
            </w:tcBorders>
            <w:vAlign w:val="center"/>
          </w:tcPr>
          <w:p>
            <w:pPr>
              <w:pStyle w:val="183"/>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52" w:hRule="atLeast"/>
          <w:jc w:val="center"/>
        </w:trPr>
        <w:tc>
          <w:tcPr>
            <w:tcW w:w="8937" w:type="dxa"/>
            <w:gridSpan w:val="3"/>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1015" w:type="dxa"/>
            <w:tcBorders>
              <w:top w:val="single" w:color="auto" w:sz="4" w:space="0"/>
              <w:bottom w:val="single" w:color="auto" w:sz="4" w:space="0"/>
            </w:tcBorders>
            <w:vAlign w:val="center"/>
          </w:tcPr>
          <w:p>
            <w:pPr>
              <w:snapToGrid w:val="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70</w:t>
            </w:r>
          </w:p>
        </w:tc>
      </w:tr>
    </w:tbl>
    <w:p>
      <w:pPr>
        <w:snapToGrid w:val="0"/>
        <w:spacing w:line="360" w:lineRule="auto"/>
        <w:rPr>
          <w:rFonts w:ascii="宋体" w:hAnsi="宋体" w:cs="宋体"/>
          <w:b/>
          <w:bCs/>
          <w:color w:val="auto"/>
          <w:highlight w:val="none"/>
        </w:rPr>
      </w:pPr>
      <w:r>
        <w:rPr>
          <w:rFonts w:hint="eastAsia" w:ascii="宋体" w:hAnsi="宋体" w:cs="宋体"/>
          <w:b/>
          <w:bCs/>
          <w:color w:val="auto"/>
          <w:highlight w:val="none"/>
        </w:rPr>
        <w:t>备注：竞争性磋商文件要求提交的与评价指标体系相关的各类有效资料，报价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评委签名：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spacing w:line="360" w:lineRule="auto"/>
        <w:rPr>
          <w:rFonts w:ascii="宋体" w:hAnsi="宋体"/>
          <w:color w:val="auto"/>
          <w:sz w:val="24"/>
          <w:highlight w:val="none"/>
        </w:rPr>
      </w:pPr>
      <w:r>
        <w:rPr>
          <w:rFonts w:hint="eastAsia" w:ascii="宋体" w:hAnsi="宋体"/>
          <w:b/>
          <w:color w:val="auto"/>
          <w:sz w:val="24"/>
          <w:highlight w:val="none"/>
        </w:rPr>
        <w:t>附件</w:t>
      </w:r>
      <w:r>
        <w:rPr>
          <w:rFonts w:hint="eastAsia" w:ascii="宋体" w:hAnsi="宋体"/>
          <w:b/>
          <w:color w:val="auto"/>
          <w:sz w:val="24"/>
          <w:highlight w:val="none"/>
          <w:lang w:val="en-US" w:eastAsia="zh-CN"/>
        </w:rPr>
        <w:t>3</w:t>
      </w:r>
      <w:r>
        <w:rPr>
          <w:rFonts w:hint="eastAsia" w:ascii="宋体" w:hAnsi="宋体"/>
          <w:b/>
          <w:color w:val="auto"/>
          <w:sz w:val="24"/>
          <w:highlight w:val="none"/>
        </w:rPr>
        <w:t xml:space="preserve">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5"/>
        <w:tblW w:w="947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有效报价人</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1、价格核准：磋商小组对有效报价人的详细报价进行复核，看其是否有计算错误或供货范围上的错误，修正错误的原则详见招标相关条款。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综合评分法中的价格分统一采用低价优先法计算，即满足磋商文件要求且最后报价最低的报价人的价格为磋商基准价，其价格分为满分。其他报价人的价格分统一按照下列公式计算：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3、磋商报价得分四舍五入后，小数点后保留两位有效数。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3"/>
        <w:autoSpaceDE w:val="0"/>
        <w:rPr>
          <w:color w:val="auto"/>
          <w:sz w:val="44"/>
          <w:highlight w:val="none"/>
        </w:rPr>
      </w:pPr>
      <w:bookmarkStart w:id="343" w:name="_Toc475104537"/>
      <w:bookmarkStart w:id="344" w:name="_Toc320515058"/>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r>
        <w:rPr>
          <w:rFonts w:hint="eastAsia"/>
          <w:color w:val="auto"/>
          <w:sz w:val="44"/>
          <w:highlight w:val="none"/>
        </w:rPr>
        <w:t>第六章 附  件（格式）</w:t>
      </w:r>
      <w:bookmarkEnd w:id="343"/>
      <w:bookmarkEnd w:id="344"/>
    </w:p>
    <w:p>
      <w:pPr>
        <w:spacing w:line="360" w:lineRule="auto"/>
        <w:rPr>
          <w:rFonts w:ascii="宋体" w:hAnsi="宋体"/>
          <w:bCs/>
          <w:color w:val="auto"/>
          <w:sz w:val="28"/>
          <w:highlight w:val="none"/>
        </w:rPr>
      </w:pPr>
      <w:bookmarkStart w:id="345" w:name="_Toc109467908"/>
      <w:bookmarkStart w:id="346" w:name="_Toc14450838"/>
      <w:bookmarkStart w:id="347" w:name="_Toc35834912"/>
      <w:bookmarkStart w:id="348" w:name="_Toc28489496"/>
      <w:bookmarkStart w:id="349" w:name="_Toc3453535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50" w:name="_Toc163481918"/>
      <w:r>
        <w:rPr>
          <w:rFonts w:hint="eastAsia"/>
          <w:color w:val="auto"/>
          <w:szCs w:val="30"/>
          <w:highlight w:val="none"/>
        </w:rPr>
        <w:br w:type="page"/>
      </w:r>
    </w:p>
    <w:p>
      <w:pPr>
        <w:pStyle w:val="4"/>
        <w:numPr>
          <w:ilvl w:val="0"/>
          <w:numId w:val="13"/>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50"/>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5"/>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★具有独立承担民事责任的能力【提供法人或者其他组织的营业执照、组织机构代码证和税务登记证（或三证合一证明）等证明文件】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★具有良好的商业信誉和健全的财务会计制度【提供2018年或2019年的财务状况报告或基本开户行（提供开户许可证）出具的资信证明复印件。如报价人为新注册的，提供成立至今的月或季度财务状况报告复印件】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★具有履行合同所必需的设备和专业技术能力【提供履行合同所必需的设备清单以及技术人员的名单材料】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★参加政府采购活动前三年内，在经营活动中没有重大违法记录【提供书面声明】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报价人《公平竞争承诺书》原件(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公平竞争承诺书（附件6)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报价人基本情况表(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w:t>
            </w:r>
            <w:r>
              <w:rPr>
                <w:rFonts w:hint="eastAsia" w:ascii="宋体" w:hAnsi="宋体" w:cs="宋体"/>
                <w:color w:val="auto"/>
                <w:kern w:val="0"/>
                <w:szCs w:val="21"/>
                <w:highlight w:val="none"/>
                <w:lang w:val="en-US" w:eastAsia="zh-CN"/>
              </w:rPr>
              <w:t>18</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19</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▲条款响应一览表（附件2</w:t>
            </w:r>
            <w:r>
              <w:rPr>
                <w:rFonts w:hint="eastAsia" w:ascii="宋体" w:hAnsi="宋体" w:cs="宋体"/>
                <w:color w:val="auto"/>
                <w:kern w:val="0"/>
                <w:szCs w:val="21"/>
                <w:highlight w:val="none"/>
                <w:lang w:val="en-US" w:eastAsia="zh-CN"/>
              </w:rPr>
              <w:t>0</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14"/>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报价人认为有必要说明的其他文件(附件2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r>
        <w:rPr>
          <w:rFonts w:hint="eastAsia"/>
          <w:color w:val="auto"/>
          <w:szCs w:val="30"/>
          <w:highlight w:val="none"/>
        </w:rPr>
        <w:br w:type="page"/>
      </w:r>
    </w:p>
    <w:p>
      <w:pPr>
        <w:pStyle w:val="4"/>
        <w:numPr>
          <w:ilvl w:val="0"/>
          <w:numId w:val="13"/>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（报价人名称）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天有效，如被确定为报价人成交报价人，有效期将延至合同终止日为止；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6.我方如被确定为报价人成交报价人，将保证履行竞争性磋商文件以及竞争性磋商文件修改书（如有的话）中的全部责任和义务，按质、按量、按期完成《合同》中的全部任务；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报价人全称（加盖公章）：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51" w:name="_Toc25224019"/>
      <w:bookmarkStart w:id="352" w:name="_Toc86065029"/>
      <w:bookmarkStart w:id="353" w:name="_Toc35834913"/>
      <w:bookmarkStart w:id="354" w:name="_Toc14450839"/>
      <w:bookmarkStart w:id="355" w:name="_Toc41448359"/>
      <w:bookmarkStart w:id="356" w:name="_Toc55816096"/>
      <w:bookmarkStart w:id="357" w:name="_Toc34535359"/>
      <w:bookmarkStart w:id="358" w:name="_Toc28489497"/>
      <w:bookmarkStart w:id="359" w:name="_Toc10946790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8"/>
        <w:spacing w:line="360" w:lineRule="auto"/>
        <w:rPr>
          <w:rFonts w:hAnsi="宋体"/>
          <w:color w:val="auto"/>
          <w:szCs w:val="21"/>
          <w:highlight w:val="none"/>
        </w:rPr>
      </w:pPr>
      <w:bookmarkStart w:id="360" w:name="_Toc223939105"/>
      <w:r>
        <w:rPr>
          <w:rFonts w:hint="eastAsia" w:hAnsi="宋体"/>
          <w:color w:val="auto"/>
          <w:szCs w:val="21"/>
          <w:highlight w:val="none"/>
        </w:rPr>
        <w:t>现任我单位职务，为法定代表人，特此证明。</w:t>
      </w:r>
      <w:bookmarkEnd w:id="360"/>
      <w:bookmarkStart w:id="361" w:name="_Toc223939106"/>
    </w:p>
    <w:p>
      <w:pPr>
        <w:pStyle w:val="48"/>
        <w:spacing w:line="360" w:lineRule="auto"/>
        <w:rPr>
          <w:rFonts w:hAnsi="宋体"/>
          <w:color w:val="auto"/>
          <w:szCs w:val="21"/>
          <w:highlight w:val="none"/>
          <w:u w:val="single"/>
        </w:rPr>
      </w:pPr>
      <w:r>
        <w:rPr>
          <w:rFonts w:hint="eastAsia" w:hAnsi="宋体"/>
          <w:color w:val="auto"/>
          <w:szCs w:val="21"/>
          <w:highlight w:val="none"/>
        </w:rPr>
        <w:t>有效期限：</w:t>
      </w:r>
      <w:bookmarkEnd w:id="361"/>
      <w:bookmarkStart w:id="362" w:name="_Toc223939107"/>
    </w:p>
    <w:p>
      <w:pPr>
        <w:pStyle w:val="48"/>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2"/>
      <w:bookmarkStart w:id="363" w:name="_Toc223939108"/>
    </w:p>
    <w:p>
      <w:pPr>
        <w:pStyle w:val="48"/>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8"/>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bookmarkEnd w:id="363"/>
      <w:bookmarkStart w:id="364" w:name="_Toc223939109"/>
    </w:p>
    <w:p>
      <w:pPr>
        <w:pStyle w:val="48"/>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64"/>
    </w:p>
    <w:p>
      <w:pPr>
        <w:pStyle w:val="48"/>
        <w:spacing w:line="360" w:lineRule="auto"/>
        <w:jc w:val="center"/>
        <w:rPr>
          <w:rFonts w:hAnsi="宋体"/>
          <w:color w:val="auto"/>
          <w:szCs w:val="21"/>
          <w:highlight w:val="none"/>
        </w:rPr>
      </w:pPr>
    </w:p>
    <w:tbl>
      <w:tblPr>
        <w:tblStyle w:val="95"/>
        <w:tblW w:w="6615"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8"/>
              <w:spacing w:line="360" w:lineRule="auto"/>
              <w:jc w:val="center"/>
              <w:rPr>
                <w:rFonts w:hAnsi="宋体"/>
                <w:color w:val="auto"/>
                <w:szCs w:val="21"/>
                <w:highlight w:val="none"/>
              </w:rPr>
            </w:pPr>
          </w:p>
          <w:p>
            <w:pPr>
              <w:pStyle w:val="48"/>
              <w:spacing w:line="360" w:lineRule="auto"/>
              <w:jc w:val="center"/>
              <w:rPr>
                <w:rFonts w:hAnsi="宋体"/>
                <w:color w:val="auto"/>
                <w:szCs w:val="21"/>
                <w:highlight w:val="none"/>
              </w:rPr>
            </w:pPr>
          </w:p>
          <w:p>
            <w:pPr>
              <w:pStyle w:val="48"/>
              <w:spacing w:line="360" w:lineRule="auto"/>
              <w:jc w:val="center"/>
              <w:rPr>
                <w:rFonts w:hAnsi="宋体"/>
                <w:b/>
                <w:color w:val="auto"/>
                <w:szCs w:val="21"/>
                <w:highlight w:val="none"/>
              </w:rPr>
            </w:pPr>
          </w:p>
          <w:p>
            <w:pPr>
              <w:pStyle w:val="48"/>
              <w:spacing w:line="360" w:lineRule="auto"/>
              <w:jc w:val="center"/>
              <w:rPr>
                <w:rFonts w:hAnsi="宋体"/>
                <w:b/>
                <w:color w:val="auto"/>
                <w:szCs w:val="21"/>
                <w:highlight w:val="none"/>
              </w:rPr>
            </w:pPr>
          </w:p>
          <w:p>
            <w:pPr>
              <w:pStyle w:val="48"/>
              <w:spacing w:line="360" w:lineRule="auto"/>
              <w:jc w:val="center"/>
              <w:rPr>
                <w:rFonts w:hAnsi="宋体"/>
                <w:b/>
                <w:color w:val="auto"/>
                <w:szCs w:val="21"/>
                <w:highlight w:val="none"/>
              </w:rPr>
            </w:pPr>
          </w:p>
          <w:p>
            <w:pPr>
              <w:pStyle w:val="48"/>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8"/>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8"/>
              <w:spacing w:line="360" w:lineRule="auto"/>
              <w:jc w:val="center"/>
              <w:rPr>
                <w:rFonts w:hAnsi="宋体"/>
                <w:b/>
                <w:color w:val="auto"/>
                <w:szCs w:val="21"/>
                <w:highlight w:val="none"/>
              </w:rPr>
            </w:pPr>
            <w:r>
              <w:rPr>
                <w:rFonts w:hint="eastAsia" w:hAnsi="宋体"/>
                <w:b/>
                <w:color w:val="auto"/>
                <w:szCs w:val="21"/>
                <w:highlight w:val="none"/>
              </w:rPr>
              <w:t>（正反面）</w:t>
            </w:r>
          </w:p>
          <w:p>
            <w:pPr>
              <w:pStyle w:val="48"/>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8"/>
        <w:spacing w:line="360" w:lineRule="auto"/>
        <w:jc w:val="left"/>
        <w:rPr>
          <w:rFonts w:hAnsi="宋体"/>
          <w:b/>
          <w:color w:val="auto"/>
          <w:sz w:val="24"/>
          <w:szCs w:val="24"/>
          <w:highlight w:val="none"/>
        </w:rPr>
      </w:pPr>
    </w:p>
    <w:p>
      <w:pPr>
        <w:pStyle w:val="48"/>
        <w:spacing w:line="360" w:lineRule="auto"/>
        <w:jc w:val="left"/>
        <w:rPr>
          <w:rFonts w:hAnsi="宋体"/>
          <w:b/>
          <w:color w:val="auto"/>
          <w:sz w:val="24"/>
          <w:szCs w:val="24"/>
          <w:highlight w:val="none"/>
        </w:rPr>
      </w:pPr>
    </w:p>
    <w:p>
      <w:pPr>
        <w:pStyle w:val="48"/>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8"/>
        <w:spacing w:line="360" w:lineRule="auto"/>
        <w:ind w:firstLine="420" w:firstLineChars="200"/>
        <w:jc w:val="left"/>
        <w:rPr>
          <w:rFonts w:hAnsi="宋体"/>
          <w:color w:val="auto"/>
          <w:szCs w:val="21"/>
          <w:highlight w:val="none"/>
        </w:rPr>
      </w:pPr>
    </w:p>
    <w:p>
      <w:pPr>
        <w:pStyle w:val="48"/>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8"/>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报价人</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5"/>
        <w:tblW w:w="573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8"/>
              <w:spacing w:line="360" w:lineRule="auto"/>
              <w:jc w:val="left"/>
              <w:rPr>
                <w:rFonts w:hAnsi="宋体"/>
                <w:b/>
                <w:color w:val="auto"/>
                <w:szCs w:val="21"/>
                <w:highlight w:val="none"/>
              </w:rPr>
            </w:pPr>
          </w:p>
          <w:p>
            <w:pPr>
              <w:pStyle w:val="48"/>
              <w:spacing w:line="360" w:lineRule="auto"/>
              <w:jc w:val="center"/>
              <w:rPr>
                <w:rFonts w:hAnsi="宋体"/>
                <w:b/>
                <w:color w:val="auto"/>
                <w:szCs w:val="21"/>
                <w:highlight w:val="none"/>
              </w:rPr>
            </w:pPr>
            <w:r>
              <w:rPr>
                <w:rFonts w:hint="eastAsia" w:hAnsi="宋体"/>
                <w:b/>
                <w:color w:val="auto"/>
                <w:szCs w:val="21"/>
                <w:highlight w:val="none"/>
              </w:rPr>
              <w:t>被授权人(报价人授权代表)</w:t>
            </w:r>
          </w:p>
          <w:p>
            <w:pPr>
              <w:pStyle w:val="48"/>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8"/>
              <w:spacing w:line="360" w:lineRule="auto"/>
              <w:jc w:val="center"/>
              <w:rPr>
                <w:rFonts w:hAnsi="宋体"/>
                <w:b/>
                <w:color w:val="auto"/>
                <w:szCs w:val="21"/>
                <w:highlight w:val="none"/>
              </w:rPr>
            </w:pPr>
            <w:r>
              <w:rPr>
                <w:rFonts w:hint="eastAsia" w:hAnsi="宋体"/>
                <w:b/>
                <w:color w:val="auto"/>
                <w:szCs w:val="21"/>
                <w:highlight w:val="none"/>
              </w:rPr>
              <w:t>（正反面）</w:t>
            </w:r>
          </w:p>
          <w:p>
            <w:pPr>
              <w:pStyle w:val="48"/>
              <w:spacing w:line="360" w:lineRule="auto"/>
              <w:jc w:val="left"/>
              <w:rPr>
                <w:rFonts w:hAnsi="宋体"/>
                <w:color w:val="auto"/>
                <w:szCs w:val="21"/>
                <w:highlight w:val="none"/>
              </w:rPr>
            </w:pPr>
          </w:p>
        </w:tc>
      </w:tr>
    </w:tbl>
    <w:p>
      <w:pPr>
        <w:pStyle w:val="48"/>
        <w:spacing w:line="360" w:lineRule="auto"/>
        <w:ind w:firstLine="422"/>
        <w:jc w:val="left"/>
        <w:rPr>
          <w:rFonts w:hAnsi="宋体"/>
          <w:b/>
          <w:color w:val="auto"/>
          <w:szCs w:val="21"/>
          <w:highlight w:val="none"/>
        </w:rPr>
      </w:pPr>
    </w:p>
    <w:p>
      <w:pPr>
        <w:pStyle w:val="48"/>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“报价信封”内。如是法定代表人作为报价人代表，则无需提交此资料。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一、本公司（企业）具备《中华人民共和国政府采购法》第二十二条资格条件：</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（一）具有独立承担民事责任的能力【</w:t>
      </w:r>
      <w:r>
        <w:rPr>
          <w:rFonts w:hint="eastAsia"/>
          <w:color w:val="auto"/>
          <w:highlight w:val="none"/>
        </w:rPr>
        <w:t>提供法人或者其他组织的营业执照、组织机构代码证和税务登记证（或三证合一证明）等证明文件</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（二）具有良好的商业信誉和健全的财务会计制度【</w:t>
      </w:r>
      <w:r>
        <w:rPr>
          <w:rFonts w:hint="eastAsia"/>
          <w:color w:val="auto"/>
          <w:highlight w:val="none"/>
        </w:rPr>
        <w:t>提供2018年或2019年的财务状况报告或基本开户行（提供开户许可证）出具的资信证明复印件。如报价人为新注册的，提供成立至今的月或季度财务状况报告复印件</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（三）具有履行合同所必需的设备和专业技术能力【</w:t>
      </w:r>
      <w:r>
        <w:rPr>
          <w:rFonts w:hint="eastAsia"/>
          <w:color w:val="auto"/>
          <w:highlight w:val="none"/>
        </w:rPr>
        <w:t>提供履行合同所必需的设备清单以及技术人员的名单材料</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（四）有依法缴纳税收和社会保障资金的良好记录【</w:t>
      </w:r>
      <w:r>
        <w:rPr>
          <w:rFonts w:hint="eastAsia"/>
          <w:color w:val="auto"/>
          <w:highlight w:val="none"/>
        </w:rPr>
        <w:t>提供缴纳税收和社会保险的凭证。如依法免税或不需要缴纳社会保障资金的，应提供相应文件证明</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（五）参加政府采购活动前三年内，在经营活动中没有重大违法记录【</w:t>
      </w:r>
      <w:r>
        <w:rPr>
          <w:rFonts w:hint="eastAsia"/>
          <w:color w:val="auto"/>
          <w:highlight w:val="none"/>
        </w:rPr>
        <w:t>提供书面声明</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（六）法律、行政法规规定的其他条件。</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二、根据《中华人民共和国政府采购法实施条例》的规定，本公司（企业）如为采购项目提供整体设计、规范编制或者项目管理、监理、检测等服务的报价人，不再参加该采购项目的其他采购活动。否则，由此所造成的损失、不良后果及法律责任，一律由我公司（企业）承担。</w:t>
      </w:r>
    </w:p>
    <w:p>
      <w:pPr>
        <w:snapToGrid w:val="0"/>
        <w:spacing w:beforeLines="50" w:line="360" w:lineRule="auto"/>
        <w:ind w:firstLine="525" w:firstLineChars="250"/>
        <w:rPr>
          <w:rFonts w:ascii="宋体" w:hAnsi="宋体" w:cs="宋体"/>
          <w:color w:val="auto"/>
          <w:highlight w:val="none"/>
        </w:rPr>
      </w:pPr>
      <w:r>
        <w:rPr>
          <w:rFonts w:hint="eastAsia" w:ascii="宋体" w:hAnsi="宋体" w:cs="宋体"/>
          <w:color w:val="auto"/>
          <w:szCs w:val="21"/>
          <w:highlight w:val="none"/>
        </w:rPr>
        <w:t>三、</w:t>
      </w:r>
      <w:r>
        <w:rPr>
          <w:rFonts w:hint="eastAsia" w:ascii="宋体" w:hAnsi="宋体" w:cs="宋体"/>
          <w:color w:val="auto"/>
          <w:highlight w:val="none"/>
        </w:rPr>
        <w:t>本公司（企业）的法定代表人或单位负责人与本项目其他报价人的法定代表人或单位负责人不为同一人且与其他报价人之间不存在直接控股、管理关系。</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四、本公司（企业）政府采购活动前三年内，没有正在被司法机关立案调查。</w:t>
      </w:r>
    </w:p>
    <w:p>
      <w:pPr>
        <w:snapToGrid w:val="0"/>
        <w:spacing w:line="360" w:lineRule="auto"/>
        <w:ind w:firstLine="420" w:firstLineChars="200"/>
        <w:jc w:val="left"/>
        <w:rPr>
          <w:color w:val="auto"/>
          <w:szCs w:val="21"/>
          <w:highlight w:val="none"/>
        </w:rPr>
      </w:pPr>
      <w:r>
        <w:rPr>
          <w:rFonts w:hint="eastAsia" w:ascii="宋体" w:hAnsi="宋体" w:cs="宋体"/>
          <w:color w:val="auto"/>
          <w:szCs w:val="21"/>
          <w:highlight w:val="none"/>
        </w:rPr>
        <w:t>本公司（企业）已清楚竞争性磋商文件的要求及有关文件规定，并承诺在本次招标采购活动中，如有违法、违规、弄虚作假行为，所造成的损失、不良后果及法律责任，一律由我公司（企业）承担。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adjustRightInd w:val="0"/>
        <w:snapToGrid w:val="0"/>
        <w:spacing w:line="360" w:lineRule="auto"/>
        <w:jc w:val="left"/>
        <w:rPr>
          <w:rFonts w:ascii="宋体" w:hAnsi="宋体"/>
          <w:color w:val="auto"/>
          <w:szCs w:val="21"/>
          <w:highlight w:val="none"/>
        </w:rPr>
      </w:pPr>
    </w:p>
    <w:p>
      <w:pPr>
        <w:pStyle w:val="48"/>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报价人</w:t>
      </w:r>
      <w:r>
        <w:rPr>
          <w:rFonts w:hint="eastAsia" w:hAnsi="宋体"/>
          <w:color w:val="auto"/>
          <w:szCs w:val="21"/>
          <w:highlight w:val="none"/>
        </w:rPr>
        <w:t>全称（加盖公章）：</w:t>
      </w:r>
    </w:p>
    <w:p>
      <w:pPr>
        <w:pStyle w:val="48"/>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8"/>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报价人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8"/>
        <w:spacing w:line="360" w:lineRule="auto"/>
        <w:ind w:right="480"/>
        <w:jc w:val="left"/>
        <w:rPr>
          <w:rFonts w:hAnsi="宋体"/>
          <w:color w:val="auto"/>
          <w:highlight w:val="none"/>
        </w:rPr>
      </w:pPr>
    </w:p>
    <w:p>
      <w:pPr>
        <w:pStyle w:val="48"/>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8"/>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tbl>
      <w:tblPr>
        <w:tblStyle w:val="95"/>
        <w:tblW w:w="81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报价人单位名称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pStyle w:val="48"/>
        <w:spacing w:line="360" w:lineRule="auto"/>
        <w:ind w:right="482"/>
        <w:jc w:val="left"/>
        <w:rPr>
          <w:rFonts w:hAnsi="宋体" w:cs="宋体"/>
          <w:color w:val="auto"/>
          <w:szCs w:val="21"/>
          <w:highlight w:val="none"/>
        </w:rPr>
      </w:pPr>
    </w:p>
    <w:p>
      <w:pPr>
        <w:spacing w:line="360" w:lineRule="auto"/>
        <w:ind w:left="1206" w:leftChars="195" w:hanging="797" w:hangingChars="294"/>
        <w:jc w:val="left"/>
        <w:rPr>
          <w:rStyle w:val="91"/>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注:1.报价人应按“采购人需求”的要求，根据实际情况进行报价。本表内的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2.报价人报价高于采购项目预算金额的报价响应无效；</w:t>
      </w:r>
    </w:p>
    <w:p>
      <w:pPr>
        <w:snapToGrid w:val="0"/>
        <w:spacing w:line="360" w:lineRule="auto"/>
        <w:ind w:left="515" w:leftChars="150" w:hanging="200" w:hangingChars="95"/>
        <w:rPr>
          <w:rFonts w:ascii="宋体" w:hAnsi="宋体" w:cs="宋体"/>
          <w:b/>
          <w:color w:val="auto"/>
          <w:szCs w:val="21"/>
          <w:highlight w:val="none"/>
        </w:rPr>
      </w:pPr>
      <w:r>
        <w:rPr>
          <w:rFonts w:hint="eastAsia" w:ascii="宋体" w:hAnsi="宋体" w:cs="宋体"/>
          <w:b/>
          <w:color w:val="auto"/>
          <w:szCs w:val="21"/>
          <w:highlight w:val="none"/>
        </w:rPr>
        <w:t>3.中文大写金额用汉字，如壹、贰、叁、肆、伍、陆、柒、捌、玖、拾、佰、仟、万、亿、元、角、分、零、整（正）等。如：小写： 1230000，大写：</w:t>
      </w:r>
      <w:r>
        <w:rPr>
          <w:rFonts w:hint="eastAsia" w:ascii="宋体" w:hAnsi="宋体" w:cs="宋体"/>
          <w:b/>
          <w:color w:val="auto"/>
          <w:szCs w:val="21"/>
          <w:highlight w:val="none"/>
          <w:u w:val="single"/>
        </w:rPr>
        <w:t>壹佰贰拾叁万元整</w:t>
      </w:r>
      <w:r>
        <w:rPr>
          <w:rFonts w:hint="eastAsia" w:ascii="宋体" w:hAnsi="宋体" w:cs="宋体"/>
          <w:b/>
          <w:color w:val="auto"/>
          <w:szCs w:val="21"/>
          <w:highlight w:val="none"/>
        </w:rPr>
        <w:t>。</w:t>
      </w:r>
    </w:p>
    <w:p>
      <w:pPr>
        <w:snapToGrid w:val="0"/>
        <w:spacing w:line="360" w:lineRule="auto"/>
        <w:ind w:left="512" w:leftChars="195" w:hanging="103" w:hangingChars="49"/>
        <w:rPr>
          <w:rFonts w:ascii="宋体" w:hAnsi="宋体" w:cs="宋体"/>
          <w:b/>
          <w:color w:val="auto"/>
          <w:szCs w:val="21"/>
          <w:highlight w:val="none"/>
        </w:rPr>
      </w:pPr>
      <w:r>
        <w:rPr>
          <w:rFonts w:hint="eastAsia" w:ascii="宋体" w:hAnsi="宋体" w:cs="宋体"/>
          <w:b/>
          <w:color w:val="auto"/>
          <w:szCs w:val="21"/>
          <w:highlight w:val="none"/>
        </w:rPr>
        <w:t>4.投标总报价应包含采购项目的全部费用，报价人不得再向采购人收取任何费用；</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5.报价以人民币元为单位，保留小数点后两位；</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6.投标报价要求具体见第二章“投标报价”及采购人需求要求；</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7.本表格须附在正副的投标文件中，并另封装一份在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8"/>
        <w:tabs>
          <w:tab w:val="left" w:pos="3960"/>
        </w:tabs>
        <w:spacing w:line="360" w:lineRule="auto"/>
        <w:ind w:firstLine="4330" w:firstLineChars="2062"/>
        <w:jc w:val="left"/>
        <w:rPr>
          <w:rFonts w:hAnsi="宋体"/>
          <w:color w:val="auto"/>
          <w:szCs w:val="21"/>
          <w:highlight w:val="none"/>
        </w:rPr>
      </w:pPr>
    </w:p>
    <w:p>
      <w:pPr>
        <w:pStyle w:val="48"/>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8"/>
        <w:tabs>
          <w:tab w:val="left" w:pos="3960"/>
        </w:tabs>
        <w:spacing w:line="360" w:lineRule="auto"/>
        <w:ind w:firstLine="4330" w:firstLineChars="2062"/>
        <w:rPr>
          <w:rFonts w:hAnsi="宋体"/>
          <w:color w:val="auto"/>
          <w:highlight w:val="none"/>
        </w:rPr>
      </w:pPr>
    </w:p>
    <w:p>
      <w:pPr>
        <w:pStyle w:val="48"/>
        <w:tabs>
          <w:tab w:val="left" w:pos="3960"/>
        </w:tabs>
        <w:spacing w:line="360" w:lineRule="auto"/>
        <w:ind w:firstLine="4330" w:firstLineChars="2062"/>
        <w:rPr>
          <w:rFonts w:hAnsi="宋体"/>
          <w:color w:val="auto"/>
          <w:highlight w:val="none"/>
        </w:rPr>
      </w:pPr>
    </w:p>
    <w:p>
      <w:pPr>
        <w:pStyle w:val="48"/>
        <w:tabs>
          <w:tab w:val="left" w:pos="3960"/>
        </w:tabs>
        <w:spacing w:line="360" w:lineRule="auto"/>
        <w:ind w:firstLine="4330" w:firstLineChars="2062"/>
        <w:rPr>
          <w:rFonts w:hAnsi="宋体"/>
          <w:color w:val="auto"/>
          <w:highlight w:val="none"/>
        </w:rPr>
      </w:pPr>
    </w:p>
    <w:p>
      <w:pPr>
        <w:pStyle w:val="48"/>
        <w:tabs>
          <w:tab w:val="left" w:pos="3960"/>
        </w:tabs>
        <w:spacing w:line="360" w:lineRule="auto"/>
        <w:ind w:firstLine="4330" w:firstLineChars="2062"/>
        <w:rPr>
          <w:rFonts w:hAnsi="宋体"/>
          <w:color w:val="auto"/>
          <w:highlight w:val="none"/>
        </w:rPr>
      </w:pPr>
    </w:p>
    <w:p>
      <w:pPr>
        <w:pStyle w:val="48"/>
        <w:tabs>
          <w:tab w:val="left" w:pos="3960"/>
        </w:tabs>
        <w:spacing w:line="360" w:lineRule="auto"/>
        <w:ind w:firstLine="4330" w:firstLineChars="2062"/>
        <w:rPr>
          <w:rFonts w:hAnsi="宋体"/>
          <w:color w:val="auto"/>
          <w:highlight w:val="none"/>
        </w:rPr>
      </w:pPr>
    </w:p>
    <w:p>
      <w:pPr>
        <w:pStyle w:val="48"/>
        <w:tabs>
          <w:tab w:val="left" w:pos="3960"/>
        </w:tabs>
        <w:spacing w:line="360" w:lineRule="auto"/>
        <w:ind w:firstLine="4330" w:firstLineChars="2062"/>
        <w:rPr>
          <w:rFonts w:hAnsi="宋体"/>
          <w:color w:val="auto"/>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8"/>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8"/>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rPr>
          <w:rFonts w:hint="eastAsia" w:hAnsi="宋体" w:cs="宋体"/>
          <w:color w:val="auto"/>
          <w:kern w:val="0"/>
          <w:szCs w:val="21"/>
          <w:highlight w:val="none"/>
        </w:rPr>
      </w:pPr>
    </w:p>
    <w:p>
      <w:pPr>
        <w:spacing w:line="360" w:lineRule="auto"/>
        <w:jc w:val="center"/>
        <w:rPr>
          <w:rFonts w:hint="eastAsia" w:ascii="宋体" w:hAnsi="宋体"/>
          <w:b/>
          <w:bCs/>
          <w:color w:val="auto"/>
          <w:kern w:val="0"/>
          <w:sz w:val="28"/>
          <w:szCs w:val="28"/>
          <w:highlight w:val="none"/>
          <w:lang w:eastAsia="zh-CN"/>
        </w:rPr>
      </w:pPr>
      <w:r>
        <w:rPr>
          <w:rFonts w:hint="eastAsia" w:ascii="宋体" w:hAnsi="宋体"/>
          <w:b/>
          <w:bCs/>
          <w:color w:val="auto"/>
          <w:kern w:val="0"/>
          <w:sz w:val="28"/>
          <w:szCs w:val="28"/>
          <w:highlight w:val="none"/>
          <w:lang w:eastAsia="zh-CN"/>
        </w:rPr>
        <w:t>格式自拟</w:t>
      </w:r>
    </w:p>
    <w:p>
      <w:pPr>
        <w:pStyle w:val="2"/>
        <w:rPr>
          <w:rFonts w:hint="eastAsia" w:hAnsi="宋体" w:cs="宋体"/>
          <w:color w:val="auto"/>
          <w:kern w:val="0"/>
          <w:szCs w:val="21"/>
          <w:highlight w:val="none"/>
        </w:rPr>
      </w:pPr>
    </w:p>
    <w:p>
      <w:pPr>
        <w:pStyle w:val="2"/>
        <w:rPr>
          <w:rFonts w:hint="eastAsia" w:hAnsi="宋体" w:cs="宋体"/>
          <w:color w:val="auto"/>
          <w:kern w:val="0"/>
          <w:szCs w:val="21"/>
          <w:highlight w:val="none"/>
        </w:rPr>
      </w:pPr>
    </w:p>
    <w:p>
      <w:pPr>
        <w:pStyle w:val="2"/>
        <w:rPr>
          <w:rFonts w:hint="eastAsia" w:hAnsi="宋体" w:cs="宋体"/>
          <w:color w:val="auto"/>
          <w:kern w:val="0"/>
          <w:szCs w:val="21"/>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报价人自行设计。报价人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3.该表格式仅作参考，报价人的详细报价表格式可自定。</w:t>
      </w:r>
    </w:p>
    <w:p>
      <w:pPr>
        <w:pStyle w:val="48"/>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2" w:type="default"/>
          <w:footerReference r:id="rId13" w:type="default"/>
          <w:pgSz w:w="11906" w:h="16838"/>
          <w:pgMar w:top="1134" w:right="1134" w:bottom="1134" w:left="1134" w:header="567" w:footer="737" w:gutter="0"/>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5"/>
        <w:tblW w:w="93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）小微企业投标且提供其它小型、微型企业产品的，请填写下表内容(如报价人为中小企业，请填写下面的《中小企业声明函》一起提交)：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tabs>
          <w:tab w:val="left" w:pos="0"/>
        </w:tabs>
        <w:spacing w:line="360" w:lineRule="auto"/>
        <w:ind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8"/>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报价人</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3"/>
          <w:rFonts w:hint="eastAsia" w:ascii="宋体" w:hAnsi="宋体"/>
          <w:color w:val="auto"/>
          <w:szCs w:val="21"/>
          <w:highlight w:val="none"/>
        </w:rPr>
        <w:t>http://hzs.nd</w:t>
      </w:r>
      <w:r>
        <w:rPr>
          <w:rStyle w:val="93"/>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8"/>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报价人</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报价人</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报价人</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报价人</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报价人</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报价人</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报价人</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p>
    <w:p>
      <w:pPr>
        <w:spacing w:line="360" w:lineRule="auto"/>
        <w:ind w:left="718" w:hanging="718" w:hangingChars="342"/>
        <w:rPr>
          <w:rFonts w:ascii="宋体" w:hAnsi="宋体"/>
          <w:color w:val="auto"/>
          <w:szCs w:val="21"/>
          <w:highlight w:val="none"/>
          <w:lang w:val="en-GB"/>
        </w:rPr>
      </w:pPr>
    </w:p>
    <w:p>
      <w:pPr>
        <w:pStyle w:val="5"/>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说明：监狱企业参加政府采购活动时，应当提供由省级以上监狱管理局、戒毒管理局（含新疆生产建设兵团）出具的属于监狱企业的证明文件。</w:t>
      </w:r>
    </w:p>
    <w:p>
      <w:pPr>
        <w:pStyle w:val="5"/>
        <w:ind w:firstLine="422" w:firstLineChars="200"/>
        <w:rPr>
          <w:color w:val="auto"/>
          <w:sz w:val="21"/>
          <w:szCs w:val="21"/>
          <w:highlight w:val="none"/>
        </w:rPr>
      </w:pPr>
      <w:bookmarkStart w:id="365" w:name="OLE_LINK14"/>
      <w:bookmarkStart w:id="366" w:name="OLE_LINK13"/>
    </w:p>
    <w:p>
      <w:pPr>
        <w:pStyle w:val="5"/>
        <w:rPr>
          <w:color w:val="auto"/>
          <w:sz w:val="21"/>
          <w:szCs w:val="21"/>
          <w:highlight w:val="none"/>
        </w:rPr>
      </w:pPr>
    </w:p>
    <w:p>
      <w:pPr>
        <w:pStyle w:val="5"/>
        <w:rPr>
          <w:b w:val="0"/>
          <w:bCs/>
          <w:color w:val="auto"/>
          <w:sz w:val="21"/>
          <w:szCs w:val="21"/>
          <w:highlight w:val="none"/>
        </w:rPr>
      </w:pPr>
      <w:r>
        <w:rPr>
          <w:rFonts w:hint="eastAsia"/>
          <w:b w:val="0"/>
          <w:bCs/>
          <w:color w:val="auto"/>
          <w:sz w:val="21"/>
          <w:szCs w:val="21"/>
          <w:highlight w:val="none"/>
        </w:rPr>
        <w:t>报价人全称（加盖公章）:</w:t>
      </w:r>
    </w:p>
    <w:p>
      <w:pPr>
        <w:pStyle w:val="5"/>
        <w:rPr>
          <w:b w:val="0"/>
          <w:bCs/>
          <w:color w:val="auto"/>
          <w:sz w:val="21"/>
          <w:szCs w:val="21"/>
          <w:highlight w:val="none"/>
        </w:rPr>
      </w:pPr>
      <w:r>
        <w:rPr>
          <w:rFonts w:hint="eastAsia"/>
          <w:b w:val="0"/>
          <w:bCs/>
          <w:color w:val="auto"/>
          <w:sz w:val="21"/>
          <w:szCs w:val="21"/>
          <w:highlight w:val="none"/>
        </w:rPr>
        <w:t>法定代表或其授权代表(签字或签章)：</w:t>
      </w:r>
    </w:p>
    <w:p>
      <w:pPr>
        <w:pStyle w:val="5"/>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367" w:name="_Toc512331248"/>
    </w:p>
    <w:p>
      <w:pPr>
        <w:pStyle w:val="5"/>
        <w:rPr>
          <w:bCs/>
          <w:color w:val="auto"/>
          <w:szCs w:val="28"/>
          <w:highlight w:val="none"/>
        </w:rPr>
      </w:pPr>
      <w:r>
        <w:rPr>
          <w:rFonts w:hint="eastAsia"/>
          <w:bCs/>
          <w:color w:val="auto"/>
          <w:szCs w:val="28"/>
          <w:highlight w:val="none"/>
        </w:rPr>
        <w:t>附件12 残疾人福利性单位声明函（如适用）</w:t>
      </w:r>
      <w:bookmarkEnd w:id="367"/>
    </w:p>
    <w:p>
      <w:pPr>
        <w:rPr>
          <w:color w:val="auto"/>
          <w:highlight w:val="none"/>
        </w:rPr>
      </w:pPr>
    </w:p>
    <w:bookmarkEnd w:id="365"/>
    <w:bookmarkEnd w:id="366"/>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本单位郑重声明，根据《财政部 民政部 中国残疾人联合会关于促进残疾人就业政府采购政策的通知》（财库</w:t>
      </w:r>
      <w:r>
        <w:rPr>
          <w:rFonts w:hint="eastAsia" w:ascii="宋体" w:hAnsi="宋体"/>
          <w:color w:val="auto"/>
          <w:szCs w:val="21"/>
          <w:highlight w:val="none"/>
        </w:rPr>
        <w:t>〔2017〕 141</w:t>
      </w:r>
      <w:r>
        <w:rPr>
          <w:rFonts w:hint="eastAsia" w:ascii="宋体" w:hAnsi="宋体"/>
          <w:color w:val="auto"/>
          <w:spacing w:val="6"/>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Cs w:val="21"/>
          <w:highlight w:val="none"/>
        </w:rPr>
      </w:pPr>
    </w:p>
    <w:p>
      <w:pPr>
        <w:spacing w:line="360" w:lineRule="auto"/>
        <w:ind w:firstLine="444" w:firstLineChars="200"/>
        <w:rPr>
          <w:rFonts w:ascii="宋体" w:hAnsi="宋体"/>
          <w:color w:val="auto"/>
          <w:spacing w:val="6"/>
          <w:szCs w:val="21"/>
          <w:highlight w:val="none"/>
        </w:rPr>
      </w:pPr>
    </w:p>
    <w:p>
      <w:pPr>
        <w:tabs>
          <w:tab w:val="left" w:pos="4860"/>
        </w:tabs>
        <w:spacing w:line="360" w:lineRule="auto"/>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单位名称（盖章）：</w:t>
      </w:r>
    </w:p>
    <w:p>
      <w:pPr>
        <w:tabs>
          <w:tab w:val="left" w:pos="4860"/>
        </w:tabs>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报价人基本情况表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报价人</w:t>
      </w:r>
      <w:r>
        <w:rPr>
          <w:rFonts w:hint="eastAsia" w:ascii="宋体" w:hAnsi="宋体"/>
          <w:color w:val="auto"/>
          <w:szCs w:val="21"/>
          <w:highlight w:val="none"/>
        </w:rPr>
        <w:t>获得资质和荣誉证书复印件一览表（后附相关证书复印件加盖公章）</w:t>
      </w:r>
    </w:p>
    <w:tbl>
      <w:tblPr>
        <w:tblStyle w:val="95"/>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68" w:name="_Toc81142098"/>
      <w:bookmarkStart w:id="369"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8"/>
        <w:spacing w:line="360" w:lineRule="auto"/>
        <w:ind w:right="482"/>
        <w:rPr>
          <w:rFonts w:hAnsi="宋体"/>
          <w:color w:val="auto"/>
          <w:szCs w:val="21"/>
          <w:highlight w:val="none"/>
        </w:rPr>
      </w:pPr>
    </w:p>
    <w:p>
      <w:pPr>
        <w:pStyle w:val="48"/>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8"/>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95"/>
        <w:tblW w:w="9210" w:type="dxa"/>
        <w:tblInd w:w="0" w:type="dxa"/>
        <w:tblLayout w:type="fixed"/>
        <w:tblCellMar>
          <w:top w:w="0" w:type="dxa"/>
          <w:left w:w="30" w:type="dxa"/>
          <w:bottom w:w="0" w:type="dxa"/>
          <w:right w:w="30" w:type="dxa"/>
        </w:tblCellMar>
      </w:tblPr>
      <w:tblGrid>
        <w:gridCol w:w="930"/>
        <w:gridCol w:w="4680"/>
        <w:gridCol w:w="1080"/>
        <w:gridCol w:w="2520"/>
      </w:tblGrid>
      <w:tr>
        <w:tblPrEx>
          <w:tblLayout w:type="fixed"/>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Layout w:type="fixed"/>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报价人全称（盖公章）：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2.采购人需求书中的服务要求仅为最低要求。报价人在磋商响应文件中必须列出具体报价响应内容。如果报价人只注明“符合”或“满足”，将被视为“不符合”，从而可能导致严重影响评标结果。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3.报价人没有在磋商响应文件中注明偏离（文字说明或在服务、商务偏离表注明）的参数、配置、条款视为报价人完全接受。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报价人</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5"/>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注：报价人对竞争性磋商文件的合同（样本）不允许实质性偏离，否则将视为不响应。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68"/>
    <w:bookmarkEnd w:id="369"/>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8"/>
        <w:spacing w:line="360" w:lineRule="auto"/>
        <w:ind w:right="482"/>
        <w:rPr>
          <w:rFonts w:hAnsi="宋体"/>
          <w:color w:val="auto"/>
          <w:szCs w:val="21"/>
          <w:highlight w:val="none"/>
        </w:rPr>
      </w:pPr>
    </w:p>
    <w:p>
      <w:pPr>
        <w:pStyle w:val="48"/>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5"/>
        <w:tblW w:w="93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8"/>
        <w:spacing w:line="360" w:lineRule="auto"/>
        <w:ind w:right="482"/>
        <w:rPr>
          <w:rFonts w:hAnsi="宋体"/>
          <w:color w:val="auto"/>
          <w:szCs w:val="21"/>
          <w:highlight w:val="none"/>
        </w:rPr>
      </w:pPr>
      <w:r>
        <w:rPr>
          <w:rFonts w:hint="eastAsia" w:hAnsi="宋体"/>
          <w:color w:val="auto"/>
          <w:szCs w:val="21"/>
          <w:highlight w:val="none"/>
        </w:rPr>
        <w:t>项目名称：</w:t>
      </w:r>
    </w:p>
    <w:p>
      <w:pPr>
        <w:pStyle w:val="48"/>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[说明]报价人应按照竞争性磋商文件的要求，根据采购人需求要求内容做出全面响应并编制服务方案。其内容应包括但不限于：</w:t>
      </w:r>
    </w:p>
    <w:p>
      <w:pPr>
        <w:spacing w:line="360" w:lineRule="auto"/>
        <w:ind w:left="420" w:leftChars="200" w:firstLine="105" w:firstLineChars="50"/>
        <w:rPr>
          <w:rFonts w:ascii="宋体" w:hAnsi="宋体"/>
          <w:bCs/>
          <w:color w:val="auto"/>
          <w:szCs w:val="21"/>
          <w:highlight w:val="none"/>
        </w:rPr>
      </w:pP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（1）对所投产品设备技术参数、性能指标、质量</w:t>
      </w:r>
      <w:r>
        <w:rPr>
          <w:rFonts w:hint="eastAsia" w:ascii="宋体" w:hAnsi="宋体"/>
          <w:bCs/>
          <w:color w:val="auto"/>
          <w:szCs w:val="21"/>
          <w:highlight w:val="none"/>
          <w:lang w:eastAsia="zh-CN"/>
        </w:rPr>
        <w:t>的</w:t>
      </w:r>
      <w:r>
        <w:rPr>
          <w:rFonts w:hint="eastAsia" w:ascii="宋体" w:hAnsi="宋体"/>
          <w:bCs/>
          <w:color w:val="auto"/>
          <w:szCs w:val="21"/>
          <w:highlight w:val="none"/>
        </w:rPr>
        <w:t>响应情况和符合性；</w:t>
      </w:r>
    </w:p>
    <w:p>
      <w:pPr>
        <w:spacing w:line="360" w:lineRule="auto"/>
        <w:ind w:left="420" w:leftChars="200" w:firstLine="105" w:firstLineChars="50"/>
        <w:rPr>
          <w:rFonts w:ascii="宋体" w:hAnsi="宋体"/>
          <w:bCs/>
          <w:color w:val="auto"/>
          <w:szCs w:val="21"/>
          <w:highlight w:val="none"/>
          <w:lang w:val="zh-CN"/>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2</w:t>
      </w:r>
      <w:r>
        <w:rPr>
          <w:rFonts w:hint="eastAsia" w:ascii="宋体" w:hAnsi="宋体"/>
          <w:bCs/>
          <w:color w:val="auto"/>
          <w:szCs w:val="21"/>
          <w:highlight w:val="none"/>
        </w:rPr>
        <w:t>）合同履行期进度计划承诺</w:t>
      </w:r>
      <w:r>
        <w:rPr>
          <w:rFonts w:hint="eastAsia" w:ascii="宋体" w:hAnsi="宋体"/>
          <w:bCs/>
          <w:color w:val="auto"/>
          <w:szCs w:val="21"/>
          <w:highlight w:val="none"/>
          <w:lang w:val="zh-CN"/>
        </w:rPr>
        <w:t>；</w:t>
      </w:r>
    </w:p>
    <w:p>
      <w:pPr>
        <w:spacing w:line="360" w:lineRule="auto"/>
        <w:ind w:left="420" w:leftChars="200" w:firstLine="105" w:firstLineChars="50"/>
        <w:rPr>
          <w:rFonts w:ascii="宋体" w:hAnsi="宋体"/>
          <w:bCs/>
          <w:color w:val="auto"/>
          <w:szCs w:val="21"/>
          <w:highlight w:val="none"/>
          <w:lang w:val="zh-CN"/>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3</w:t>
      </w:r>
      <w:r>
        <w:rPr>
          <w:rFonts w:hint="eastAsia" w:ascii="宋体" w:hAnsi="宋体"/>
          <w:bCs/>
          <w:color w:val="auto"/>
          <w:szCs w:val="21"/>
          <w:highlight w:val="none"/>
        </w:rPr>
        <w:t>）安装方案、安装组织设计及保证措施</w:t>
      </w:r>
      <w:r>
        <w:rPr>
          <w:rFonts w:hint="eastAsia" w:ascii="宋体" w:hAnsi="宋体"/>
          <w:bCs/>
          <w:color w:val="auto"/>
          <w:szCs w:val="21"/>
          <w:highlight w:val="none"/>
          <w:lang w:val="zh-CN"/>
        </w:rPr>
        <w:t>；</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4</w:t>
      </w:r>
      <w:r>
        <w:rPr>
          <w:rFonts w:hint="eastAsia" w:ascii="宋体" w:hAnsi="宋体"/>
          <w:bCs/>
          <w:color w:val="auto"/>
          <w:szCs w:val="21"/>
          <w:highlight w:val="none"/>
        </w:rPr>
        <w:t>）文明安全安装措施；</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5</w:t>
      </w:r>
      <w:r>
        <w:rPr>
          <w:rFonts w:hint="eastAsia" w:ascii="宋体" w:hAnsi="宋体"/>
          <w:bCs/>
          <w:color w:val="auto"/>
          <w:szCs w:val="21"/>
          <w:highlight w:val="none"/>
        </w:rPr>
        <w:t>）深化设计方案。</w:t>
      </w:r>
    </w:p>
    <w:p>
      <w:pPr>
        <w:pStyle w:val="48"/>
        <w:rPr>
          <w:color w:val="auto"/>
          <w:highlight w:val="none"/>
        </w:rPr>
      </w:pPr>
    </w:p>
    <w:p>
      <w:pPr>
        <w:rPr>
          <w:color w:val="auto"/>
          <w:highlight w:val="none"/>
        </w:rPr>
      </w:pPr>
    </w:p>
    <w:p>
      <w:pPr>
        <w:pStyle w:val="2"/>
        <w:rPr>
          <w:b/>
          <w:color w:val="auto"/>
          <w:sz w:val="24"/>
          <w:highlight w:val="none"/>
        </w:rPr>
      </w:pPr>
    </w:p>
    <w:p>
      <w:pPr>
        <w:pStyle w:val="2"/>
        <w:rPr>
          <w:b/>
          <w:color w:val="auto"/>
          <w:sz w:val="24"/>
          <w:highlight w:val="none"/>
        </w:rPr>
      </w:pPr>
    </w:p>
    <w:p>
      <w:pPr>
        <w:pStyle w:val="2"/>
        <w:rPr>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w:t>
      </w:r>
      <w:r>
        <w:rPr>
          <w:rFonts w:hint="eastAsia" w:ascii="宋体" w:hAnsi="宋体"/>
          <w:b/>
          <w:bCs/>
          <w:color w:val="auto"/>
          <w:kern w:val="0"/>
          <w:sz w:val="28"/>
          <w:szCs w:val="28"/>
          <w:highlight w:val="none"/>
          <w:lang w:val="en-US" w:eastAsia="zh-CN"/>
        </w:rPr>
        <w:t>8</w:t>
      </w:r>
      <w:r>
        <w:rPr>
          <w:rFonts w:hint="eastAsia" w:ascii="宋体" w:hAnsi="宋体"/>
          <w:b/>
          <w:bCs/>
          <w:color w:val="auto"/>
          <w:kern w:val="0"/>
          <w:sz w:val="28"/>
          <w:szCs w:val="28"/>
          <w:highlight w:val="none"/>
        </w:rPr>
        <w:t xml:space="preserve"> 拟派本项目负责人及主要人员情况表</w:t>
      </w:r>
    </w:p>
    <w:p>
      <w:pPr>
        <w:spacing w:line="360" w:lineRule="auto"/>
        <w:rPr>
          <w:rFonts w:hint="eastAsia" w:ascii="宋体" w:hAnsi="宋体" w:cs="Tahoma"/>
          <w:color w:val="auto"/>
          <w:szCs w:val="21"/>
          <w:highlight w:val="none"/>
        </w:rPr>
      </w:pPr>
    </w:p>
    <w:p>
      <w:pPr>
        <w:spacing w:line="360" w:lineRule="auto"/>
        <w:rPr>
          <w:rFonts w:ascii="宋体" w:hAnsi="宋体" w:cs="Tahoma"/>
          <w:color w:val="auto"/>
          <w:kern w:val="28"/>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bCs/>
          <w:color w:val="auto"/>
          <w:szCs w:val="21"/>
          <w:highlight w:val="none"/>
        </w:rPr>
      </w:pPr>
      <w:r>
        <w:rPr>
          <w:rFonts w:hint="eastAsia" w:cs="Tahoma"/>
          <w:color w:val="auto"/>
          <w:szCs w:val="21"/>
          <w:highlight w:val="none"/>
        </w:rPr>
        <w:t>项目编号：</w:t>
      </w:r>
    </w:p>
    <w:tbl>
      <w:tblPr>
        <w:tblStyle w:val="95"/>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default" w:asciiTheme="minorEastAsia" w:hAnsiTheme="minorEastAsia" w:eastAsiaTheme="minorEastAsia" w:cstheme="minorEastAsia"/>
                <w:color w:val="auto"/>
                <w:kern w:val="2"/>
                <w:sz w:val="21"/>
                <w:szCs w:val="21"/>
                <w:highlight w:val="none"/>
              </w:rPr>
            </w:pPr>
            <w:r>
              <w:rPr>
                <w:rFonts w:asciiTheme="minorEastAsia" w:hAnsiTheme="minorEastAsia" w:eastAsiaTheme="minorEastAsia" w:cstheme="minorEastAsia"/>
                <w:color w:val="auto"/>
                <w:kern w:val="2"/>
                <w:sz w:val="21"/>
                <w:szCs w:val="21"/>
                <w:highlight w:val="none"/>
              </w:rPr>
              <w:t>从事</w:t>
            </w:r>
            <w:r>
              <w:rPr>
                <w:rFonts w:asciiTheme="minorEastAsia" w:hAnsiTheme="minorEastAsia" w:eastAsiaTheme="minorEastAsia" w:cstheme="minorEastAsia"/>
                <w:color w:val="auto"/>
                <w:sz w:val="21"/>
                <w:szCs w:val="21"/>
                <w:highlight w:val="none"/>
              </w:rPr>
              <w:t>同类</w:t>
            </w:r>
            <w:r>
              <w:rPr>
                <w:rFonts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8"/>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注：1.在合同执行期间，成交报价人须设立项目负责人和专业专职的主要技术及服务人员，并在上表中列明；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19</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5"/>
        <w:tblW w:w="90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★具有独立承担民事责任的能力【提供法人或者其他组织的营业执照、组织机构代码证和税务登记证（或三证合一证明）等证明文件】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★具有良好的商业信誉和健全的财务会计制度【提供2018年或2019年的财务状况报告或基本开户行（提供开户许可证）出具的资信证明复印件。如报价人为新注册的，提供成立至今的月或季度财务状况报告复印件】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★具有履行合同所必需的设备和专业技术能力【提供履行合同所必需的设备清单以及技术人员的名单材料】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★参加政府采购活动前三年内，在经营活动中没有重大违法记录【提供书面声明】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报价人《公平竞争承诺书》原件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说明：1、报价人必须对应竞争性磋商文件的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86"/>
      <w:bookmarkEnd w:id="345"/>
      <w:bookmarkEnd w:id="346"/>
      <w:bookmarkEnd w:id="347"/>
      <w:bookmarkEnd w:id="348"/>
      <w:bookmarkEnd w:id="349"/>
      <w:bookmarkEnd w:id="351"/>
      <w:bookmarkEnd w:id="352"/>
      <w:bookmarkEnd w:id="353"/>
      <w:bookmarkEnd w:id="354"/>
      <w:bookmarkEnd w:id="355"/>
      <w:bookmarkEnd w:id="356"/>
      <w:bookmarkEnd w:id="357"/>
      <w:bookmarkEnd w:id="358"/>
      <w:bookmarkEnd w:id="359"/>
    </w:p>
    <w:p>
      <w:pPr>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0</w:t>
      </w:r>
      <w:r>
        <w:rPr>
          <w:rFonts w:hint="eastAsia" w:ascii="宋体" w:hAnsi="宋体"/>
          <w:b/>
          <w:bCs/>
          <w:color w:val="auto"/>
          <w:kern w:val="0"/>
          <w:sz w:val="28"/>
          <w:szCs w:val="28"/>
          <w:highlight w:val="none"/>
        </w:rPr>
        <w:t xml:space="preserve">   ▲条款响应一览表</w:t>
      </w:r>
      <w:r>
        <w:rPr>
          <w:rFonts w:hint="eastAsia" w:ascii="宋体" w:hAnsi="宋体"/>
          <w:b/>
          <w:bCs/>
          <w:color w:val="auto"/>
          <w:kern w:val="0"/>
          <w:sz w:val="28"/>
          <w:szCs w:val="28"/>
          <w:highlight w:val="none"/>
          <w:lang w:eastAsia="zh-CN"/>
        </w:rPr>
        <w:t>（如适用）</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项目名称</w:t>
      </w:r>
      <w:r>
        <w:rPr>
          <w:rFonts w:hint="eastAsia" w:ascii="宋体" w:hAnsi="宋体" w:cs="宋体"/>
          <w:color w:val="auto"/>
          <w:kern w:val="28"/>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项目编号：</w:t>
      </w:r>
    </w:p>
    <w:tbl>
      <w:tblPr>
        <w:tblStyle w:val="95"/>
        <w:tblW w:w="94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5347"/>
        <w:gridCol w:w="1088"/>
        <w:gridCol w:w="1187"/>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347" w:type="dxa"/>
            <w:tcBorders>
              <w:left w:val="single" w:color="000000" w:sz="4" w:space="0"/>
            </w:tcBorders>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带“▲”号响应内容</w:t>
            </w:r>
          </w:p>
        </w:tc>
        <w:tc>
          <w:tcPr>
            <w:tcW w:w="108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是否响应</w:t>
            </w:r>
          </w:p>
        </w:tc>
        <w:tc>
          <w:tcPr>
            <w:tcW w:w="1187"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偏离说明</w:t>
            </w:r>
          </w:p>
        </w:tc>
        <w:tc>
          <w:tcPr>
            <w:tcW w:w="1105"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1</w:t>
            </w:r>
          </w:p>
        </w:tc>
        <w:tc>
          <w:tcPr>
            <w:tcW w:w="5347" w:type="dxa"/>
            <w:tcBorders>
              <w:left w:val="single" w:color="000000" w:sz="4" w:space="0"/>
            </w:tcBorders>
            <w:vAlign w:val="center"/>
          </w:tcPr>
          <w:p>
            <w:pPr>
              <w:widowControl/>
              <w:snapToGrid w:val="0"/>
              <w:rPr>
                <w:rFonts w:hint="eastAsia" w:ascii="宋体" w:hAnsi="宋体" w:cs="宋体"/>
                <w:color w:val="auto"/>
                <w:szCs w:val="21"/>
                <w:highlight w:val="none"/>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2</w:t>
            </w:r>
          </w:p>
        </w:tc>
        <w:tc>
          <w:tcPr>
            <w:tcW w:w="5347" w:type="dxa"/>
            <w:tcBorders>
              <w:left w:val="single" w:color="000000" w:sz="4" w:space="0"/>
            </w:tcBorders>
            <w:vAlign w:val="center"/>
          </w:tcPr>
          <w:p>
            <w:pPr>
              <w:widowControl/>
              <w:snapToGrid w:val="0"/>
              <w:rPr>
                <w:rFonts w:hint="eastAsia" w:ascii="宋体" w:hAnsi="宋体" w:cs="宋体"/>
                <w:color w:val="auto"/>
                <w:szCs w:val="21"/>
                <w:highlight w:val="none"/>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3</w:t>
            </w:r>
          </w:p>
        </w:tc>
        <w:tc>
          <w:tcPr>
            <w:tcW w:w="5347" w:type="dxa"/>
            <w:tcBorders>
              <w:left w:val="single" w:color="000000" w:sz="4" w:space="0"/>
            </w:tcBorders>
            <w:vAlign w:val="center"/>
          </w:tcPr>
          <w:p>
            <w:pPr>
              <w:widowControl/>
              <w:snapToGrid w:val="0"/>
              <w:rPr>
                <w:rFonts w:hint="eastAsia" w:ascii="宋体" w:hAnsi="宋体" w:cs="宋体"/>
                <w:color w:val="auto"/>
                <w:szCs w:val="21"/>
                <w:highlight w:val="none"/>
              </w:rPr>
            </w:pP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bl>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说明：1、报价人必须对应</w:t>
      </w:r>
      <w:r>
        <w:rPr>
          <w:rFonts w:hint="eastAsia" w:ascii="宋体" w:hAnsi="宋体" w:cs="宋体"/>
          <w:b/>
          <w:bCs/>
          <w:color w:val="auto"/>
          <w:szCs w:val="21"/>
          <w:highlight w:val="none"/>
          <w:lang w:eastAsia="zh-CN"/>
        </w:rPr>
        <w:t>竞争性磋商文件</w:t>
      </w:r>
      <w:r>
        <w:rPr>
          <w:rFonts w:hint="eastAsia" w:ascii="宋体" w:hAnsi="宋体" w:cs="宋体"/>
          <w:b/>
          <w:bCs/>
          <w:color w:val="auto"/>
          <w:szCs w:val="21"/>
          <w:highlight w:val="none"/>
        </w:rPr>
        <w:t>的 “</w:t>
      </w:r>
      <w:r>
        <w:rPr>
          <w:rFonts w:hint="eastAsia" w:ascii="宋体" w:hAnsi="宋体" w:cs="宋体"/>
          <w:color w:val="auto"/>
          <w:szCs w:val="21"/>
          <w:highlight w:val="none"/>
        </w:rPr>
        <w:t>▲</w:t>
      </w:r>
      <w:r>
        <w:rPr>
          <w:rFonts w:hint="eastAsia" w:ascii="宋体" w:hAnsi="宋体" w:cs="宋体"/>
          <w:b/>
          <w:bCs/>
          <w:color w:val="auto"/>
          <w:szCs w:val="21"/>
          <w:highlight w:val="none"/>
        </w:rPr>
        <w:t>”号条款逐条应答并按要求填写下表。</w:t>
      </w:r>
    </w:p>
    <w:p>
      <w:pPr>
        <w:rPr>
          <w:rFonts w:ascii="宋体" w:hAnsi="宋体" w:cs="宋体"/>
          <w:b/>
          <w:bCs/>
          <w:color w:val="auto"/>
          <w:kern w:val="0"/>
          <w:sz w:val="24"/>
          <w:highlight w:val="none"/>
        </w:rPr>
      </w:pPr>
      <w:r>
        <w:rPr>
          <w:rFonts w:hint="eastAsia" w:ascii="宋体" w:hAnsi="宋体" w:cs="宋体"/>
          <w:b/>
          <w:bCs/>
          <w:color w:val="auto"/>
          <w:szCs w:val="21"/>
          <w:highlight w:val="none"/>
        </w:rPr>
        <w:t>2、对完全响应的条目在下表相应列中标注“○”。对有偏离的条目在下表相应列中标注“×”，并简述偏离内容。</w:t>
      </w: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报价人全称（加盖公章）:</w:t>
      </w: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法定代表或其授权代表(</w:t>
      </w:r>
      <w:r>
        <w:rPr>
          <w:rFonts w:hint="eastAsia" w:ascii="宋体" w:hAnsi="宋体" w:cs="宋体"/>
          <w:color w:val="auto"/>
          <w:szCs w:val="21"/>
          <w:highlight w:val="none"/>
        </w:rPr>
        <w:t>签字或签章</w:t>
      </w:r>
      <w:r>
        <w:rPr>
          <w:rFonts w:hint="eastAsia" w:ascii="宋体" w:hAnsi="宋体" w:cs="宋体"/>
          <w:bCs/>
          <w:color w:val="auto"/>
          <w:szCs w:val="21"/>
          <w:highlight w:val="none"/>
        </w:rPr>
        <w:t>)：</w:t>
      </w:r>
    </w:p>
    <w:p>
      <w:pPr>
        <w:rPr>
          <w:rFonts w:ascii="宋体" w:hAnsi="宋体"/>
          <w:b/>
          <w:bCs/>
          <w:color w:val="auto"/>
          <w:kern w:val="0"/>
          <w:sz w:val="28"/>
          <w:szCs w:val="28"/>
          <w:highlight w:val="none"/>
        </w:rPr>
      </w:pPr>
      <w:r>
        <w:rPr>
          <w:rFonts w:hint="eastAsia" w:ascii="宋体" w:hAnsi="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报价人</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 xml:space="preserve">2 </w:t>
      </w:r>
      <w:r>
        <w:rPr>
          <w:rFonts w:hint="eastAsia" w:ascii="宋体" w:hAnsi="宋体"/>
          <w:b/>
          <w:bCs/>
          <w:color w:val="auto"/>
          <w:kern w:val="0"/>
          <w:sz w:val="28"/>
          <w:szCs w:val="28"/>
          <w:highlight w:val="none"/>
        </w:rPr>
        <w:t>报价人认为有必要说明的其他文件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文鼎CS书宋二">
    <w:altName w:val="宋体"/>
    <w:panose1 w:val="0201060901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9"/>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9"/>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framePr w:wrap="around" w:vAnchor="text" w:hAnchor="margin" w:xAlign="right" w:y="1"/>
      <w:rPr>
        <w:rStyle w:val="92"/>
      </w:rPr>
    </w:pPr>
    <w:r>
      <w:fldChar w:fldCharType="begin"/>
    </w:r>
    <w:r>
      <w:rPr>
        <w:rStyle w:val="92"/>
      </w:rPr>
      <w:instrText xml:space="preserve">PAGE  </w:instrText>
    </w:r>
    <w:r>
      <w:fldChar w:fldCharType="end"/>
    </w:r>
  </w:p>
  <w:p>
    <w:pPr>
      <w:pStyle w:val="5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9"/>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9"/>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9"/>
                            <w:rPr>
                              <w:rStyle w:val="92"/>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9"/>
                      <w:rPr>
                        <w:rStyle w:val="92"/>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9"/>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9"/>
                          </w:pPr>
                          <w:r>
                            <w:fldChar w:fldCharType="begin"/>
                          </w:r>
                          <w:r>
                            <w:instrText xml:space="preserve"> PAGE  \* MERGEFORMAT </w:instrText>
                          </w:r>
                          <w:r>
                            <w:fldChar w:fldCharType="separate"/>
                          </w:r>
                          <w:r>
                            <w:t>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9"/>
                    </w:pPr>
                    <w:r>
                      <w:fldChar w:fldCharType="begin"/>
                    </w:r>
                    <w:r>
                      <w:instrText xml:space="preserve"> PAGE  \* MERGEFORMAT </w:instrText>
                    </w:r>
                    <w:r>
                      <w:fldChar w:fldCharType="separate"/>
                    </w:r>
                    <w:r>
                      <w:t>54</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8">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9">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1">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3">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11"/>
  </w:num>
  <w:num w:numId="5">
    <w:abstractNumId w:val="10"/>
  </w:num>
  <w:num w:numId="6">
    <w:abstractNumId w:val="8"/>
  </w:num>
  <w:num w:numId="7">
    <w:abstractNumId w:val="7"/>
  </w:num>
  <w:num w:numId="8">
    <w:abstractNumId w:val="13"/>
  </w:num>
  <w:num w:numId="9">
    <w:abstractNumId w:val="3"/>
  </w:num>
  <w:num w:numId="10">
    <w:abstractNumId w:val="9"/>
  </w:num>
  <w:num w:numId="11">
    <w:abstractNumId w:val="4"/>
  </w:num>
  <w:num w:numId="12">
    <w:abstractNumId w:val="12"/>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4544BB"/>
    <w:rsid w:val="005054B5"/>
    <w:rsid w:val="00511485"/>
    <w:rsid w:val="00542854"/>
    <w:rsid w:val="00545874"/>
    <w:rsid w:val="00553854"/>
    <w:rsid w:val="006E4DAE"/>
    <w:rsid w:val="007A5220"/>
    <w:rsid w:val="007C756C"/>
    <w:rsid w:val="00801945"/>
    <w:rsid w:val="00822326"/>
    <w:rsid w:val="00845AC9"/>
    <w:rsid w:val="008E4121"/>
    <w:rsid w:val="009F7297"/>
    <w:rsid w:val="00A50D6E"/>
    <w:rsid w:val="00C56CAD"/>
    <w:rsid w:val="00C86501"/>
    <w:rsid w:val="00CD3B18"/>
    <w:rsid w:val="00D71D8C"/>
    <w:rsid w:val="00D75658"/>
    <w:rsid w:val="00D908A5"/>
    <w:rsid w:val="00E6627F"/>
    <w:rsid w:val="00FA526C"/>
    <w:rsid w:val="01980809"/>
    <w:rsid w:val="05006FA0"/>
    <w:rsid w:val="06421AB1"/>
    <w:rsid w:val="07161791"/>
    <w:rsid w:val="084429CB"/>
    <w:rsid w:val="08694ADA"/>
    <w:rsid w:val="09407E21"/>
    <w:rsid w:val="0A9A3C00"/>
    <w:rsid w:val="0AE11E48"/>
    <w:rsid w:val="0B7447CD"/>
    <w:rsid w:val="0BF136BB"/>
    <w:rsid w:val="0C045CD2"/>
    <w:rsid w:val="0CDF06FD"/>
    <w:rsid w:val="0D8152E8"/>
    <w:rsid w:val="0D8D2929"/>
    <w:rsid w:val="0E0D6402"/>
    <w:rsid w:val="0E294FAB"/>
    <w:rsid w:val="0E4105B3"/>
    <w:rsid w:val="0EC7159B"/>
    <w:rsid w:val="0F36745B"/>
    <w:rsid w:val="105C59F3"/>
    <w:rsid w:val="10D149BD"/>
    <w:rsid w:val="11A42212"/>
    <w:rsid w:val="137179C0"/>
    <w:rsid w:val="14C1417A"/>
    <w:rsid w:val="1617052D"/>
    <w:rsid w:val="167654DF"/>
    <w:rsid w:val="16A36F9A"/>
    <w:rsid w:val="17291C72"/>
    <w:rsid w:val="172E356F"/>
    <w:rsid w:val="199B7D6D"/>
    <w:rsid w:val="1A251978"/>
    <w:rsid w:val="1A3C0A9F"/>
    <w:rsid w:val="1A4C5B34"/>
    <w:rsid w:val="1B62425E"/>
    <w:rsid w:val="1B9B22B5"/>
    <w:rsid w:val="1C245DE6"/>
    <w:rsid w:val="1D461912"/>
    <w:rsid w:val="1D633DE0"/>
    <w:rsid w:val="1F1539B4"/>
    <w:rsid w:val="1F9E3FD7"/>
    <w:rsid w:val="20630372"/>
    <w:rsid w:val="210359FE"/>
    <w:rsid w:val="210C2156"/>
    <w:rsid w:val="216E2E07"/>
    <w:rsid w:val="22535329"/>
    <w:rsid w:val="22BF6C29"/>
    <w:rsid w:val="22C869D7"/>
    <w:rsid w:val="2301305E"/>
    <w:rsid w:val="233D3FD3"/>
    <w:rsid w:val="242C59D1"/>
    <w:rsid w:val="24EE7B33"/>
    <w:rsid w:val="255A3784"/>
    <w:rsid w:val="261C0F45"/>
    <w:rsid w:val="286C1CE4"/>
    <w:rsid w:val="28AE3C70"/>
    <w:rsid w:val="2988523F"/>
    <w:rsid w:val="2A1810D7"/>
    <w:rsid w:val="2A4464A6"/>
    <w:rsid w:val="2B8F5A11"/>
    <w:rsid w:val="2CC3315B"/>
    <w:rsid w:val="2DD84808"/>
    <w:rsid w:val="2E306885"/>
    <w:rsid w:val="32711968"/>
    <w:rsid w:val="34877BFC"/>
    <w:rsid w:val="348E0D5D"/>
    <w:rsid w:val="354A32AA"/>
    <w:rsid w:val="35504E75"/>
    <w:rsid w:val="36AC6E7F"/>
    <w:rsid w:val="370D4E81"/>
    <w:rsid w:val="39144DD2"/>
    <w:rsid w:val="39613E61"/>
    <w:rsid w:val="399937EE"/>
    <w:rsid w:val="39BA4527"/>
    <w:rsid w:val="3A817547"/>
    <w:rsid w:val="3B91650A"/>
    <w:rsid w:val="3C47493F"/>
    <w:rsid w:val="3D116FAF"/>
    <w:rsid w:val="3D5D5A1C"/>
    <w:rsid w:val="3FAD613F"/>
    <w:rsid w:val="40B056D5"/>
    <w:rsid w:val="40F2232A"/>
    <w:rsid w:val="413E03B5"/>
    <w:rsid w:val="41AE4F2E"/>
    <w:rsid w:val="422B07EA"/>
    <w:rsid w:val="433C464F"/>
    <w:rsid w:val="44F17376"/>
    <w:rsid w:val="45816D95"/>
    <w:rsid w:val="45BC0B50"/>
    <w:rsid w:val="47F7074A"/>
    <w:rsid w:val="48BB5163"/>
    <w:rsid w:val="498664A7"/>
    <w:rsid w:val="4BA44348"/>
    <w:rsid w:val="4BAB4FBE"/>
    <w:rsid w:val="4BC27EF0"/>
    <w:rsid w:val="4BD95E6C"/>
    <w:rsid w:val="4CDD744B"/>
    <w:rsid w:val="4DBE3804"/>
    <w:rsid w:val="4DD70E8B"/>
    <w:rsid w:val="4E5221B2"/>
    <w:rsid w:val="4E6A4F99"/>
    <w:rsid w:val="4ECA1C10"/>
    <w:rsid w:val="500819AE"/>
    <w:rsid w:val="527065EF"/>
    <w:rsid w:val="52A95F17"/>
    <w:rsid w:val="52D32D48"/>
    <w:rsid w:val="53DE7831"/>
    <w:rsid w:val="54A35848"/>
    <w:rsid w:val="55137FB5"/>
    <w:rsid w:val="56A0651B"/>
    <w:rsid w:val="5A0E3D30"/>
    <w:rsid w:val="5A74079C"/>
    <w:rsid w:val="5A7B2ED9"/>
    <w:rsid w:val="5CE9656C"/>
    <w:rsid w:val="5DE55A9A"/>
    <w:rsid w:val="5E363818"/>
    <w:rsid w:val="5E421EBB"/>
    <w:rsid w:val="5F4F61BA"/>
    <w:rsid w:val="5F9100C4"/>
    <w:rsid w:val="60AB21A0"/>
    <w:rsid w:val="61C679A6"/>
    <w:rsid w:val="62113364"/>
    <w:rsid w:val="629F1549"/>
    <w:rsid w:val="63333EE0"/>
    <w:rsid w:val="633406B9"/>
    <w:rsid w:val="634D7B2F"/>
    <w:rsid w:val="65FE204E"/>
    <w:rsid w:val="66CD6C6A"/>
    <w:rsid w:val="68BC1C18"/>
    <w:rsid w:val="6C3237AC"/>
    <w:rsid w:val="6CF57457"/>
    <w:rsid w:val="6D4939B5"/>
    <w:rsid w:val="6D6E5707"/>
    <w:rsid w:val="6D757E5C"/>
    <w:rsid w:val="6DBB2FB8"/>
    <w:rsid w:val="6E7252CC"/>
    <w:rsid w:val="7151618F"/>
    <w:rsid w:val="71EA1747"/>
    <w:rsid w:val="730C44E0"/>
    <w:rsid w:val="73E10AC3"/>
    <w:rsid w:val="740C6DDC"/>
    <w:rsid w:val="7641621C"/>
    <w:rsid w:val="76AC3FB9"/>
    <w:rsid w:val="775F6D60"/>
    <w:rsid w:val="77D008D6"/>
    <w:rsid w:val="785574EC"/>
    <w:rsid w:val="789F18E1"/>
    <w:rsid w:val="78E967AD"/>
    <w:rsid w:val="790A39E1"/>
    <w:rsid w:val="79C925F3"/>
    <w:rsid w:val="7A4A1906"/>
    <w:rsid w:val="7B0503DB"/>
    <w:rsid w:val="7B0759B6"/>
    <w:rsid w:val="7B2E0E6C"/>
    <w:rsid w:val="7CC65E6E"/>
    <w:rsid w:val="7CE37D39"/>
    <w:rsid w:val="7D8D6193"/>
    <w:rsid w:val="7E7E2AD4"/>
    <w:rsid w:val="7F141D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4">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5">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6">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8">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9">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0">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1">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0">
    <w:name w:val="Default Paragraph Font"/>
    <w:unhideWhenUsed/>
    <w:qFormat/>
    <w:uiPriority w:val="1"/>
  </w:style>
  <w:style w:type="table" w:default="1" w:styleId="95">
    <w:name w:val="Normal Table"/>
    <w:unhideWhenUsed/>
    <w:qFormat/>
    <w:uiPriority w:val="99"/>
    <w:tblPr>
      <w:tblLayout w:type="fixed"/>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12">
    <w:name w:val="List 3"/>
    <w:basedOn w:val="1"/>
    <w:qFormat/>
    <w:uiPriority w:val="0"/>
    <w:pPr>
      <w:ind w:left="100" w:leftChars="400" w:hanging="200" w:hangingChars="200"/>
    </w:pPr>
  </w:style>
  <w:style w:type="paragraph" w:styleId="13">
    <w:name w:val="annotation subject"/>
    <w:basedOn w:val="14"/>
    <w:next w:val="14"/>
    <w:link w:val="116"/>
    <w:qFormat/>
    <w:uiPriority w:val="0"/>
    <w:rPr>
      <w:rFonts w:eastAsiaTheme="minorEastAsia"/>
      <w:b/>
      <w:bCs/>
    </w:rPr>
  </w:style>
  <w:style w:type="paragraph" w:styleId="14">
    <w:name w:val="annotation text"/>
    <w:basedOn w:val="1"/>
    <w:link w:val="113"/>
    <w:semiHidden/>
    <w:qFormat/>
    <w:uiPriority w:val="0"/>
    <w:pPr>
      <w:jc w:val="left"/>
    </w:pPr>
    <w:rPr>
      <w:rFonts w:asciiTheme="minorHAnsi" w:hAnsiTheme="minorHAnsi" w:cstheme="minorBidi"/>
    </w:rPr>
  </w:style>
  <w:style w:type="paragraph" w:styleId="15">
    <w:name w:val="toc 7"/>
    <w:basedOn w:val="1"/>
    <w:next w:val="1"/>
    <w:qFormat/>
    <w:uiPriority w:val="0"/>
    <w:pPr>
      <w:ind w:left="1260"/>
      <w:jc w:val="left"/>
    </w:pPr>
    <w:rPr>
      <w:sz w:val="18"/>
      <w:szCs w:val="18"/>
    </w:rPr>
  </w:style>
  <w:style w:type="paragraph" w:styleId="16">
    <w:name w:val="Body Text First Indent"/>
    <w:basedOn w:val="17"/>
    <w:link w:val="117"/>
    <w:qFormat/>
    <w:uiPriority w:val="0"/>
    <w:pPr>
      <w:widowControl/>
      <w:ind w:firstLine="420" w:firstLineChars="100"/>
      <w:jc w:val="left"/>
    </w:pPr>
    <w:rPr>
      <w:rFonts w:ascii="楷体_GB2312" w:eastAsia="楷体_GB2312"/>
      <w:b/>
      <w:sz w:val="30"/>
    </w:rPr>
  </w:style>
  <w:style w:type="paragraph" w:styleId="17">
    <w:name w:val="Body Text"/>
    <w:basedOn w:val="1"/>
    <w:link w:val="109"/>
    <w:qFormat/>
    <w:uiPriority w:val="0"/>
    <w:pPr>
      <w:spacing w:after="120"/>
    </w:pPr>
    <w:rPr>
      <w:rFonts w:asciiTheme="minorHAnsi" w:hAnsiTheme="minorHAnsi" w:cstheme="minorBidi"/>
    </w:rPr>
  </w:style>
  <w:style w:type="paragraph" w:styleId="18">
    <w:name w:val="List Number 2"/>
    <w:basedOn w:val="1"/>
    <w:qFormat/>
    <w:uiPriority w:val="0"/>
    <w:pPr>
      <w:tabs>
        <w:tab w:val="left" w:pos="780"/>
      </w:tabs>
      <w:ind w:left="780" w:hanging="360"/>
    </w:pPr>
  </w:style>
  <w:style w:type="paragraph" w:styleId="19">
    <w:name w:val="table of authorities"/>
    <w:basedOn w:val="1"/>
    <w:next w:val="1"/>
    <w:semiHidden/>
    <w:qFormat/>
    <w:uiPriority w:val="0"/>
    <w:pPr>
      <w:ind w:left="420" w:leftChars="200"/>
    </w:pPr>
  </w:style>
  <w:style w:type="paragraph" w:styleId="20">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21">
    <w:name w:val="Note Heading"/>
    <w:basedOn w:val="1"/>
    <w:next w:val="1"/>
    <w:link w:val="143"/>
    <w:qFormat/>
    <w:uiPriority w:val="0"/>
    <w:pPr>
      <w:jc w:val="center"/>
    </w:pPr>
  </w:style>
  <w:style w:type="paragraph" w:styleId="22">
    <w:name w:val="List Bullet 4"/>
    <w:basedOn w:val="1"/>
    <w:qFormat/>
    <w:uiPriority w:val="0"/>
    <w:pPr>
      <w:tabs>
        <w:tab w:val="left" w:pos="1620"/>
      </w:tabs>
      <w:ind w:left="1620" w:hanging="360"/>
    </w:pPr>
  </w:style>
  <w:style w:type="paragraph" w:styleId="23">
    <w:name w:val="index 8"/>
    <w:basedOn w:val="1"/>
    <w:next w:val="1"/>
    <w:semiHidden/>
    <w:qFormat/>
    <w:uiPriority w:val="0"/>
    <w:pPr>
      <w:ind w:left="1400" w:leftChars="1400"/>
    </w:pPr>
  </w:style>
  <w:style w:type="paragraph" w:styleId="24">
    <w:name w:val="E-mail Signature"/>
    <w:basedOn w:val="1"/>
    <w:link w:val="154"/>
    <w:qFormat/>
    <w:uiPriority w:val="0"/>
  </w:style>
  <w:style w:type="paragraph" w:styleId="25">
    <w:name w:val="List Number"/>
    <w:basedOn w:val="1"/>
    <w:qFormat/>
    <w:uiPriority w:val="0"/>
    <w:pPr>
      <w:tabs>
        <w:tab w:val="left" w:pos="360"/>
      </w:tabs>
      <w:ind w:left="360" w:hanging="360"/>
    </w:pPr>
  </w:style>
  <w:style w:type="paragraph" w:styleId="26">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7">
    <w:name w:val="caption"/>
    <w:basedOn w:val="1"/>
    <w:next w:val="1"/>
    <w:qFormat/>
    <w:uiPriority w:val="0"/>
    <w:rPr>
      <w:rFonts w:ascii="Arial" w:hAnsi="Arial" w:eastAsia="黑体" w:cs="Arial"/>
      <w:sz w:val="20"/>
      <w:szCs w:val="20"/>
    </w:rPr>
  </w:style>
  <w:style w:type="paragraph" w:styleId="28">
    <w:name w:val="index 5"/>
    <w:basedOn w:val="1"/>
    <w:next w:val="1"/>
    <w:semiHidden/>
    <w:qFormat/>
    <w:uiPriority w:val="0"/>
    <w:pPr>
      <w:ind w:left="800" w:leftChars="800"/>
    </w:pPr>
  </w:style>
  <w:style w:type="paragraph" w:styleId="29">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30">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31">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32">
    <w:name w:val="toa heading"/>
    <w:basedOn w:val="1"/>
    <w:next w:val="1"/>
    <w:semiHidden/>
    <w:qFormat/>
    <w:uiPriority w:val="0"/>
    <w:pPr>
      <w:spacing w:before="120"/>
    </w:pPr>
    <w:rPr>
      <w:rFonts w:ascii="Arial" w:hAnsi="Arial" w:cs="Arial"/>
      <w:sz w:val="24"/>
    </w:rPr>
  </w:style>
  <w:style w:type="paragraph" w:styleId="33">
    <w:name w:val="index 6"/>
    <w:basedOn w:val="1"/>
    <w:next w:val="1"/>
    <w:semiHidden/>
    <w:qFormat/>
    <w:uiPriority w:val="0"/>
    <w:pPr>
      <w:ind w:left="1000" w:leftChars="1000"/>
    </w:pPr>
  </w:style>
  <w:style w:type="paragraph" w:styleId="34">
    <w:name w:val="Salutation"/>
    <w:basedOn w:val="1"/>
    <w:next w:val="1"/>
    <w:link w:val="131"/>
    <w:qFormat/>
    <w:uiPriority w:val="0"/>
  </w:style>
  <w:style w:type="paragraph" w:styleId="35">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6">
    <w:name w:val="Closing"/>
    <w:basedOn w:val="1"/>
    <w:link w:val="142"/>
    <w:qFormat/>
    <w:uiPriority w:val="0"/>
    <w:pPr>
      <w:ind w:left="100" w:leftChars="2100"/>
    </w:pPr>
  </w:style>
  <w:style w:type="paragraph" w:styleId="37">
    <w:name w:val="List Bullet 3"/>
    <w:basedOn w:val="1"/>
    <w:qFormat/>
    <w:uiPriority w:val="0"/>
    <w:pPr>
      <w:tabs>
        <w:tab w:val="left" w:pos="905"/>
      </w:tabs>
      <w:ind w:left="905" w:hanging="425"/>
    </w:pPr>
    <w:rPr>
      <w:sz w:val="24"/>
      <w:szCs w:val="20"/>
    </w:rPr>
  </w:style>
  <w:style w:type="paragraph" w:styleId="38">
    <w:name w:val="Body Text Indent"/>
    <w:basedOn w:val="1"/>
    <w:link w:val="126"/>
    <w:unhideWhenUsed/>
    <w:qFormat/>
    <w:uiPriority w:val="0"/>
    <w:pPr>
      <w:spacing w:after="120"/>
      <w:ind w:left="420" w:leftChars="200"/>
    </w:pPr>
  </w:style>
  <w:style w:type="paragraph" w:styleId="39">
    <w:name w:val="List Number 3"/>
    <w:basedOn w:val="1"/>
    <w:qFormat/>
    <w:uiPriority w:val="0"/>
    <w:pPr>
      <w:tabs>
        <w:tab w:val="left" w:pos="1200"/>
      </w:tabs>
      <w:ind w:left="1200" w:hanging="360"/>
    </w:pPr>
  </w:style>
  <w:style w:type="paragraph" w:styleId="40">
    <w:name w:val="List 2"/>
    <w:basedOn w:val="1"/>
    <w:qFormat/>
    <w:uiPriority w:val="0"/>
    <w:pPr>
      <w:ind w:left="100" w:leftChars="200" w:hanging="200" w:hangingChars="200"/>
    </w:pPr>
  </w:style>
  <w:style w:type="paragraph" w:styleId="41">
    <w:name w:val="List Continue"/>
    <w:basedOn w:val="1"/>
    <w:qFormat/>
    <w:uiPriority w:val="0"/>
    <w:pPr>
      <w:spacing w:after="120"/>
      <w:ind w:left="420" w:leftChars="200"/>
    </w:pPr>
  </w:style>
  <w:style w:type="paragraph" w:styleId="42">
    <w:name w:val="Block Text"/>
    <w:basedOn w:val="1"/>
    <w:qFormat/>
    <w:uiPriority w:val="0"/>
    <w:pPr>
      <w:spacing w:after="120"/>
      <w:ind w:left="1440" w:leftChars="700" w:right="1440" w:rightChars="700"/>
    </w:pPr>
  </w:style>
  <w:style w:type="paragraph" w:styleId="43">
    <w:name w:val="List Bullet 2"/>
    <w:basedOn w:val="1"/>
    <w:qFormat/>
    <w:uiPriority w:val="0"/>
    <w:pPr>
      <w:tabs>
        <w:tab w:val="left" w:pos="780"/>
      </w:tabs>
      <w:ind w:left="780" w:hanging="360"/>
    </w:pPr>
  </w:style>
  <w:style w:type="paragraph" w:styleId="44">
    <w:name w:val="HTML Address"/>
    <w:basedOn w:val="1"/>
    <w:link w:val="135"/>
    <w:qFormat/>
    <w:uiPriority w:val="0"/>
    <w:rPr>
      <w:i/>
      <w:iCs/>
    </w:rPr>
  </w:style>
  <w:style w:type="paragraph" w:styleId="45">
    <w:name w:val="index 4"/>
    <w:basedOn w:val="1"/>
    <w:next w:val="1"/>
    <w:semiHidden/>
    <w:qFormat/>
    <w:uiPriority w:val="0"/>
    <w:pPr>
      <w:ind w:left="600" w:leftChars="600"/>
    </w:pPr>
  </w:style>
  <w:style w:type="paragraph" w:styleId="46">
    <w:name w:val="toc 5"/>
    <w:basedOn w:val="1"/>
    <w:next w:val="1"/>
    <w:qFormat/>
    <w:uiPriority w:val="0"/>
    <w:pPr>
      <w:ind w:left="840"/>
      <w:jc w:val="left"/>
    </w:pPr>
    <w:rPr>
      <w:sz w:val="18"/>
      <w:szCs w:val="18"/>
    </w:rPr>
  </w:style>
  <w:style w:type="paragraph" w:styleId="47">
    <w:name w:val="toc 3"/>
    <w:basedOn w:val="1"/>
    <w:next w:val="1"/>
    <w:qFormat/>
    <w:uiPriority w:val="0"/>
    <w:pPr>
      <w:ind w:left="420"/>
      <w:jc w:val="left"/>
    </w:pPr>
    <w:rPr>
      <w:i/>
      <w:iCs/>
      <w:sz w:val="20"/>
      <w:szCs w:val="20"/>
    </w:rPr>
  </w:style>
  <w:style w:type="paragraph" w:styleId="48">
    <w:name w:val="Plain Text"/>
    <w:basedOn w:val="1"/>
    <w:next w:val="49"/>
    <w:link w:val="108"/>
    <w:qFormat/>
    <w:uiPriority w:val="0"/>
    <w:rPr>
      <w:rFonts w:ascii="宋体" w:hAnsi="Courier New" w:cstheme="minorBidi"/>
      <w:szCs w:val="22"/>
    </w:rPr>
  </w:style>
  <w:style w:type="paragraph" w:customStyle="1" w:styleId="4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0">
    <w:name w:val="List Bullet 5"/>
    <w:basedOn w:val="1"/>
    <w:qFormat/>
    <w:uiPriority w:val="0"/>
    <w:pPr>
      <w:tabs>
        <w:tab w:val="left" w:pos="2040"/>
      </w:tabs>
      <w:ind w:left="2040" w:hanging="360"/>
    </w:pPr>
  </w:style>
  <w:style w:type="paragraph" w:styleId="51">
    <w:name w:val="List Number 4"/>
    <w:basedOn w:val="1"/>
    <w:qFormat/>
    <w:uiPriority w:val="0"/>
    <w:pPr>
      <w:tabs>
        <w:tab w:val="left" w:pos="1620"/>
      </w:tabs>
      <w:ind w:left="1620" w:hanging="360"/>
    </w:pPr>
  </w:style>
  <w:style w:type="paragraph" w:styleId="52">
    <w:name w:val="toc 8"/>
    <w:basedOn w:val="1"/>
    <w:next w:val="1"/>
    <w:qFormat/>
    <w:uiPriority w:val="0"/>
    <w:pPr>
      <w:ind w:left="1470"/>
      <w:jc w:val="left"/>
    </w:pPr>
    <w:rPr>
      <w:sz w:val="18"/>
      <w:szCs w:val="18"/>
    </w:rPr>
  </w:style>
  <w:style w:type="paragraph" w:styleId="53">
    <w:name w:val="index 3"/>
    <w:basedOn w:val="1"/>
    <w:next w:val="1"/>
    <w:semiHidden/>
    <w:qFormat/>
    <w:uiPriority w:val="0"/>
    <w:pPr>
      <w:ind w:left="400" w:leftChars="400"/>
    </w:pPr>
  </w:style>
  <w:style w:type="paragraph" w:styleId="54">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5">
    <w:name w:val="Body Text Indent 2"/>
    <w:basedOn w:val="1"/>
    <w:link w:val="134"/>
    <w:qFormat/>
    <w:uiPriority w:val="0"/>
    <w:pPr>
      <w:spacing w:line="360" w:lineRule="auto"/>
      <w:ind w:left="718" w:leftChars="342"/>
    </w:pPr>
    <w:rPr>
      <w:rFonts w:ascii="宋体" w:hAnsi="宋体"/>
      <w:sz w:val="24"/>
    </w:rPr>
  </w:style>
  <w:style w:type="paragraph" w:styleId="56">
    <w:name w:val="endnote text"/>
    <w:basedOn w:val="1"/>
    <w:link w:val="141"/>
    <w:semiHidden/>
    <w:qFormat/>
    <w:uiPriority w:val="0"/>
    <w:pPr>
      <w:snapToGrid w:val="0"/>
      <w:jc w:val="left"/>
    </w:pPr>
  </w:style>
  <w:style w:type="paragraph" w:styleId="57">
    <w:name w:val="List Continue 5"/>
    <w:basedOn w:val="1"/>
    <w:qFormat/>
    <w:uiPriority w:val="0"/>
    <w:pPr>
      <w:spacing w:after="120"/>
      <w:ind w:left="2100" w:leftChars="1000"/>
    </w:pPr>
  </w:style>
  <w:style w:type="paragraph" w:styleId="58">
    <w:name w:val="Balloon Text"/>
    <w:basedOn w:val="1"/>
    <w:link w:val="114"/>
    <w:qFormat/>
    <w:uiPriority w:val="0"/>
    <w:rPr>
      <w:rFonts w:asciiTheme="minorHAnsi" w:hAnsiTheme="minorHAnsi" w:eastAsiaTheme="minorEastAsia" w:cstheme="minorBidi"/>
      <w:sz w:val="18"/>
      <w:szCs w:val="18"/>
    </w:rPr>
  </w:style>
  <w:style w:type="paragraph" w:styleId="59">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60">
    <w:name w:val="envelope return"/>
    <w:basedOn w:val="1"/>
    <w:qFormat/>
    <w:uiPriority w:val="0"/>
    <w:pPr>
      <w:snapToGrid w:val="0"/>
    </w:pPr>
    <w:rPr>
      <w:rFonts w:ascii="Arial" w:hAnsi="Arial" w:cs="Arial"/>
    </w:rPr>
  </w:style>
  <w:style w:type="paragraph" w:styleId="61">
    <w:name w:val="Body Text First Indent 2"/>
    <w:basedOn w:val="38"/>
    <w:link w:val="127"/>
    <w:qFormat/>
    <w:uiPriority w:val="0"/>
    <w:pPr>
      <w:ind w:firstLine="420" w:firstLineChars="200"/>
    </w:pPr>
    <w:rPr>
      <w:rFonts w:ascii="Times New Roman" w:hAnsi="Times New Roman"/>
    </w:rPr>
  </w:style>
  <w:style w:type="paragraph" w:styleId="62">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3">
    <w:name w:val="Signature"/>
    <w:basedOn w:val="1"/>
    <w:link w:val="146"/>
    <w:qFormat/>
    <w:uiPriority w:val="0"/>
    <w:pPr>
      <w:ind w:left="100" w:leftChars="2100"/>
    </w:pPr>
  </w:style>
  <w:style w:type="paragraph" w:styleId="64">
    <w:name w:val="toc 1"/>
    <w:basedOn w:val="1"/>
    <w:next w:val="1"/>
    <w:qFormat/>
    <w:uiPriority w:val="39"/>
    <w:pPr>
      <w:spacing w:before="120" w:after="120"/>
      <w:jc w:val="left"/>
    </w:pPr>
    <w:rPr>
      <w:b/>
      <w:bCs/>
      <w:caps/>
      <w:sz w:val="20"/>
      <w:szCs w:val="20"/>
    </w:rPr>
  </w:style>
  <w:style w:type="paragraph" w:styleId="65">
    <w:name w:val="List Continue 4"/>
    <w:basedOn w:val="1"/>
    <w:qFormat/>
    <w:uiPriority w:val="0"/>
    <w:pPr>
      <w:spacing w:after="120"/>
      <w:ind w:left="1680" w:leftChars="800"/>
    </w:pPr>
  </w:style>
  <w:style w:type="paragraph" w:styleId="66">
    <w:name w:val="toc 4"/>
    <w:basedOn w:val="1"/>
    <w:next w:val="1"/>
    <w:qFormat/>
    <w:uiPriority w:val="0"/>
    <w:pPr>
      <w:ind w:left="630"/>
      <w:jc w:val="left"/>
    </w:pPr>
    <w:rPr>
      <w:sz w:val="18"/>
      <w:szCs w:val="18"/>
    </w:rPr>
  </w:style>
  <w:style w:type="paragraph" w:styleId="67">
    <w:name w:val="index heading"/>
    <w:basedOn w:val="1"/>
    <w:next w:val="68"/>
    <w:semiHidden/>
    <w:qFormat/>
    <w:uiPriority w:val="0"/>
    <w:rPr>
      <w:rFonts w:ascii="Arial" w:hAnsi="Arial" w:cs="Arial"/>
      <w:b/>
      <w:bCs/>
    </w:rPr>
  </w:style>
  <w:style w:type="paragraph" w:styleId="68">
    <w:name w:val="index 1"/>
    <w:basedOn w:val="1"/>
    <w:next w:val="1"/>
    <w:semiHidden/>
    <w:qFormat/>
    <w:uiPriority w:val="0"/>
  </w:style>
  <w:style w:type="paragraph" w:styleId="69">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70">
    <w:name w:val="List Number 5"/>
    <w:basedOn w:val="1"/>
    <w:qFormat/>
    <w:uiPriority w:val="0"/>
    <w:pPr>
      <w:tabs>
        <w:tab w:val="left" w:pos="2040"/>
      </w:tabs>
      <w:ind w:left="2040" w:hanging="360"/>
    </w:pPr>
  </w:style>
  <w:style w:type="paragraph" w:styleId="71">
    <w:name w:val="List"/>
    <w:basedOn w:val="1"/>
    <w:qFormat/>
    <w:uiPriority w:val="0"/>
    <w:pPr>
      <w:tabs>
        <w:tab w:val="left" w:pos="360"/>
        <w:tab w:val="left" w:pos="709"/>
      </w:tabs>
      <w:spacing w:line="300" w:lineRule="auto"/>
      <w:ind w:left="363" w:hanging="170"/>
    </w:pPr>
    <w:rPr>
      <w:spacing w:val="20"/>
      <w:szCs w:val="20"/>
    </w:rPr>
  </w:style>
  <w:style w:type="paragraph" w:styleId="72">
    <w:name w:val="footnote text"/>
    <w:basedOn w:val="1"/>
    <w:link w:val="156"/>
    <w:semiHidden/>
    <w:qFormat/>
    <w:uiPriority w:val="0"/>
    <w:pPr>
      <w:snapToGrid w:val="0"/>
      <w:jc w:val="left"/>
    </w:pPr>
    <w:rPr>
      <w:sz w:val="18"/>
      <w:szCs w:val="18"/>
    </w:rPr>
  </w:style>
  <w:style w:type="paragraph" w:styleId="73">
    <w:name w:val="toc 6"/>
    <w:basedOn w:val="1"/>
    <w:next w:val="1"/>
    <w:qFormat/>
    <w:uiPriority w:val="0"/>
    <w:pPr>
      <w:ind w:left="1050"/>
      <w:jc w:val="left"/>
    </w:pPr>
    <w:rPr>
      <w:sz w:val="18"/>
      <w:szCs w:val="18"/>
    </w:rPr>
  </w:style>
  <w:style w:type="paragraph" w:styleId="74">
    <w:name w:val="List 5"/>
    <w:basedOn w:val="1"/>
    <w:qFormat/>
    <w:uiPriority w:val="0"/>
    <w:pPr>
      <w:ind w:left="100" w:leftChars="800" w:hanging="200" w:hangingChars="200"/>
    </w:pPr>
  </w:style>
  <w:style w:type="paragraph" w:styleId="75">
    <w:name w:val="Body Text Indent 3"/>
    <w:basedOn w:val="1"/>
    <w:link w:val="157"/>
    <w:qFormat/>
    <w:uiPriority w:val="0"/>
    <w:pPr>
      <w:spacing w:line="360" w:lineRule="auto"/>
      <w:ind w:firstLine="480" w:firstLineChars="200"/>
    </w:pPr>
    <w:rPr>
      <w:rFonts w:ascii="宋体" w:hAnsi="宋体"/>
      <w:sz w:val="24"/>
    </w:rPr>
  </w:style>
  <w:style w:type="paragraph" w:styleId="76">
    <w:name w:val="index 7"/>
    <w:basedOn w:val="1"/>
    <w:next w:val="1"/>
    <w:semiHidden/>
    <w:qFormat/>
    <w:uiPriority w:val="0"/>
    <w:pPr>
      <w:ind w:left="1200" w:leftChars="1200"/>
    </w:pPr>
  </w:style>
  <w:style w:type="paragraph" w:styleId="77">
    <w:name w:val="index 9"/>
    <w:basedOn w:val="1"/>
    <w:next w:val="1"/>
    <w:semiHidden/>
    <w:qFormat/>
    <w:uiPriority w:val="0"/>
    <w:pPr>
      <w:ind w:left="1600" w:leftChars="1600"/>
    </w:pPr>
  </w:style>
  <w:style w:type="paragraph" w:styleId="78">
    <w:name w:val="table of figures"/>
    <w:basedOn w:val="1"/>
    <w:next w:val="1"/>
    <w:semiHidden/>
    <w:qFormat/>
    <w:uiPriority w:val="0"/>
    <w:pPr>
      <w:ind w:left="200" w:leftChars="200" w:hanging="200" w:hangingChars="200"/>
    </w:pPr>
  </w:style>
  <w:style w:type="paragraph" w:styleId="79">
    <w:name w:val="toc 2"/>
    <w:basedOn w:val="1"/>
    <w:next w:val="1"/>
    <w:qFormat/>
    <w:uiPriority w:val="0"/>
    <w:pPr>
      <w:ind w:left="210"/>
      <w:jc w:val="left"/>
    </w:pPr>
    <w:rPr>
      <w:smallCaps/>
      <w:sz w:val="20"/>
      <w:szCs w:val="20"/>
    </w:rPr>
  </w:style>
  <w:style w:type="paragraph" w:styleId="80">
    <w:name w:val="toc 9"/>
    <w:basedOn w:val="1"/>
    <w:next w:val="1"/>
    <w:qFormat/>
    <w:uiPriority w:val="0"/>
    <w:pPr>
      <w:ind w:left="1680"/>
      <w:jc w:val="left"/>
    </w:pPr>
    <w:rPr>
      <w:sz w:val="18"/>
      <w:szCs w:val="18"/>
    </w:rPr>
  </w:style>
  <w:style w:type="paragraph" w:styleId="81">
    <w:name w:val="Body Text 2"/>
    <w:basedOn w:val="1"/>
    <w:link w:val="119"/>
    <w:qFormat/>
    <w:uiPriority w:val="0"/>
    <w:rPr>
      <w:rFonts w:asciiTheme="minorHAnsi" w:hAnsiTheme="minorHAnsi" w:eastAsiaTheme="minorEastAsia" w:cstheme="minorBidi"/>
      <w:sz w:val="18"/>
    </w:rPr>
  </w:style>
  <w:style w:type="paragraph" w:styleId="82">
    <w:name w:val="List 4"/>
    <w:basedOn w:val="1"/>
    <w:qFormat/>
    <w:uiPriority w:val="0"/>
    <w:pPr>
      <w:ind w:left="100" w:leftChars="600" w:hanging="200" w:hangingChars="200"/>
    </w:pPr>
  </w:style>
  <w:style w:type="paragraph" w:styleId="83">
    <w:name w:val="List Continue 2"/>
    <w:basedOn w:val="1"/>
    <w:qFormat/>
    <w:uiPriority w:val="0"/>
    <w:pPr>
      <w:spacing w:after="120"/>
      <w:ind w:left="840" w:leftChars="400"/>
    </w:pPr>
  </w:style>
  <w:style w:type="paragraph" w:styleId="84">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6">
    <w:name w:val="Normal (Web)"/>
    <w:basedOn w:val="1"/>
    <w:qFormat/>
    <w:uiPriority w:val="0"/>
    <w:pPr>
      <w:widowControl/>
      <w:spacing w:before="100" w:beforeAutospacing="1" w:after="100" w:afterAutospacing="1"/>
      <w:jc w:val="left"/>
    </w:pPr>
    <w:rPr>
      <w:rFonts w:ascii="宋体" w:hAnsi="宋体"/>
      <w:kern w:val="0"/>
      <w:sz w:val="24"/>
    </w:rPr>
  </w:style>
  <w:style w:type="paragraph" w:styleId="87">
    <w:name w:val="List Continue 3"/>
    <w:basedOn w:val="1"/>
    <w:qFormat/>
    <w:uiPriority w:val="0"/>
    <w:pPr>
      <w:spacing w:after="120"/>
      <w:ind w:left="1260" w:leftChars="600"/>
    </w:pPr>
  </w:style>
  <w:style w:type="paragraph" w:styleId="88">
    <w:name w:val="index 2"/>
    <w:basedOn w:val="1"/>
    <w:next w:val="1"/>
    <w:semiHidden/>
    <w:qFormat/>
    <w:uiPriority w:val="0"/>
    <w:pPr>
      <w:ind w:left="200" w:leftChars="200"/>
    </w:pPr>
  </w:style>
  <w:style w:type="paragraph" w:styleId="89">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character" w:styleId="91">
    <w:name w:val="Strong"/>
    <w:qFormat/>
    <w:uiPriority w:val="0"/>
    <w:rPr>
      <w:rFonts w:eastAsia="黑体"/>
      <w:b/>
      <w:bCs/>
      <w:sz w:val="44"/>
    </w:rPr>
  </w:style>
  <w:style w:type="character" w:styleId="92">
    <w:name w:val="page number"/>
    <w:basedOn w:val="90"/>
    <w:qFormat/>
    <w:uiPriority w:val="0"/>
  </w:style>
  <w:style w:type="character" w:styleId="93">
    <w:name w:val="Hyperlink"/>
    <w:qFormat/>
    <w:uiPriority w:val="99"/>
    <w:rPr>
      <w:color w:val="0000FF"/>
      <w:u w:val="single"/>
    </w:rPr>
  </w:style>
  <w:style w:type="character" w:styleId="94">
    <w:name w:val="annotation reference"/>
    <w:qFormat/>
    <w:uiPriority w:val="0"/>
    <w:rPr>
      <w:sz w:val="21"/>
      <w:szCs w:val="21"/>
    </w:rPr>
  </w:style>
  <w:style w:type="table" w:styleId="96">
    <w:name w:val="Table Grid"/>
    <w:basedOn w:val="95"/>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7">
    <w:name w:val="标题 1 Char"/>
    <w:basedOn w:val="90"/>
    <w:link w:val="3"/>
    <w:qFormat/>
    <w:uiPriority w:val="0"/>
    <w:rPr>
      <w:rFonts w:ascii="宋体" w:hAnsi="宋体" w:eastAsia="宋体" w:cs="Times New Roman"/>
      <w:b/>
      <w:bCs/>
      <w:sz w:val="48"/>
      <w:szCs w:val="24"/>
    </w:rPr>
  </w:style>
  <w:style w:type="character" w:customStyle="1" w:styleId="98">
    <w:name w:val="标题 2 Char"/>
    <w:basedOn w:val="90"/>
    <w:link w:val="4"/>
    <w:qFormat/>
    <w:uiPriority w:val="0"/>
    <w:rPr>
      <w:rFonts w:ascii="宋体" w:hAnsi="宋体" w:eastAsia="宋体" w:cs="Times New Roman"/>
      <w:b/>
      <w:kern w:val="0"/>
      <w:sz w:val="30"/>
      <w:szCs w:val="20"/>
    </w:rPr>
  </w:style>
  <w:style w:type="character" w:customStyle="1" w:styleId="99">
    <w:name w:val="标题 3 Char"/>
    <w:basedOn w:val="90"/>
    <w:link w:val="5"/>
    <w:qFormat/>
    <w:uiPriority w:val="0"/>
    <w:rPr>
      <w:rFonts w:ascii="宋体" w:hAnsi="宋体" w:eastAsia="宋体" w:cs="Times New Roman"/>
      <w:b/>
      <w:kern w:val="0"/>
      <w:sz w:val="28"/>
      <w:szCs w:val="20"/>
    </w:rPr>
  </w:style>
  <w:style w:type="character" w:customStyle="1" w:styleId="100">
    <w:name w:val="标题 4 Char"/>
    <w:basedOn w:val="90"/>
    <w:link w:val="6"/>
    <w:qFormat/>
    <w:uiPriority w:val="0"/>
    <w:rPr>
      <w:rFonts w:ascii="Arial" w:hAnsi="Arial" w:eastAsia="黑体" w:cs="Times New Roman"/>
      <w:b/>
      <w:bCs/>
      <w:sz w:val="28"/>
      <w:szCs w:val="28"/>
    </w:rPr>
  </w:style>
  <w:style w:type="character" w:customStyle="1" w:styleId="101">
    <w:name w:val="标题 5 Char"/>
    <w:basedOn w:val="90"/>
    <w:link w:val="7"/>
    <w:qFormat/>
    <w:uiPriority w:val="0"/>
    <w:rPr>
      <w:rFonts w:ascii="Arial" w:hAnsi="Arial" w:eastAsia="宋体" w:cs="Times New Roman"/>
      <w:kern w:val="0"/>
      <w:sz w:val="22"/>
      <w:szCs w:val="20"/>
    </w:rPr>
  </w:style>
  <w:style w:type="character" w:customStyle="1" w:styleId="102">
    <w:name w:val="标题 6 Char"/>
    <w:basedOn w:val="90"/>
    <w:link w:val="8"/>
    <w:qFormat/>
    <w:uiPriority w:val="0"/>
    <w:rPr>
      <w:rFonts w:ascii="Calibri" w:hAnsi="Arial" w:eastAsia="宋体" w:cs="Times New Roman"/>
      <w:i/>
      <w:kern w:val="0"/>
      <w:sz w:val="22"/>
      <w:szCs w:val="20"/>
    </w:rPr>
  </w:style>
  <w:style w:type="character" w:customStyle="1" w:styleId="103">
    <w:name w:val="标题 7 Char"/>
    <w:basedOn w:val="90"/>
    <w:link w:val="9"/>
    <w:qFormat/>
    <w:uiPriority w:val="0"/>
    <w:rPr>
      <w:rFonts w:ascii="Arial" w:hAnsi="Arial" w:eastAsia="宋体" w:cs="Times New Roman"/>
      <w:kern w:val="0"/>
      <w:sz w:val="20"/>
      <w:szCs w:val="20"/>
    </w:rPr>
  </w:style>
  <w:style w:type="character" w:customStyle="1" w:styleId="104">
    <w:name w:val="标题 8 Char"/>
    <w:basedOn w:val="90"/>
    <w:link w:val="10"/>
    <w:qFormat/>
    <w:uiPriority w:val="0"/>
    <w:rPr>
      <w:rFonts w:ascii="Arial" w:hAnsi="Arial" w:eastAsia="宋体" w:cs="Times New Roman"/>
      <w:i/>
      <w:kern w:val="0"/>
      <w:sz w:val="20"/>
      <w:szCs w:val="20"/>
    </w:rPr>
  </w:style>
  <w:style w:type="character" w:customStyle="1" w:styleId="105">
    <w:name w:val="标题 9 Char"/>
    <w:basedOn w:val="90"/>
    <w:link w:val="11"/>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8"/>
    <w:qFormat/>
    <w:locked/>
    <w:uiPriority w:val="0"/>
    <w:rPr>
      <w:rFonts w:ascii="宋体" w:hAnsi="Courier New" w:eastAsia="宋体"/>
    </w:rPr>
  </w:style>
  <w:style w:type="character" w:customStyle="1" w:styleId="109">
    <w:name w:val="正文文本 Char"/>
    <w:link w:val="17"/>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9"/>
    <w:qFormat/>
    <w:uiPriority w:val="0"/>
    <w:rPr>
      <w:sz w:val="18"/>
    </w:rPr>
  </w:style>
  <w:style w:type="character" w:customStyle="1" w:styleId="112">
    <w:name w:val="页眉 Char"/>
    <w:link w:val="62"/>
    <w:qFormat/>
    <w:uiPriority w:val="0"/>
    <w:rPr>
      <w:sz w:val="18"/>
      <w:szCs w:val="18"/>
    </w:rPr>
  </w:style>
  <w:style w:type="character" w:customStyle="1" w:styleId="113">
    <w:name w:val="批注文字 Char"/>
    <w:link w:val="14"/>
    <w:semiHidden/>
    <w:qFormat/>
    <w:uiPriority w:val="0"/>
    <w:rPr>
      <w:rFonts w:eastAsia="宋体"/>
      <w:szCs w:val="24"/>
    </w:rPr>
  </w:style>
  <w:style w:type="character" w:customStyle="1" w:styleId="114">
    <w:name w:val="批注框文本 Char"/>
    <w:link w:val="58"/>
    <w:qFormat/>
    <w:uiPriority w:val="0"/>
    <w:rPr>
      <w:sz w:val="18"/>
      <w:szCs w:val="18"/>
    </w:rPr>
  </w:style>
  <w:style w:type="character" w:customStyle="1" w:styleId="115">
    <w:name w:val="文档结构图 Char"/>
    <w:link w:val="31"/>
    <w:qFormat/>
    <w:uiPriority w:val="0"/>
    <w:rPr>
      <w:szCs w:val="24"/>
      <w:shd w:val="clear" w:color="auto" w:fill="000080"/>
    </w:rPr>
  </w:style>
  <w:style w:type="character" w:customStyle="1" w:styleId="116">
    <w:name w:val="批注主题 Char"/>
    <w:link w:val="13"/>
    <w:qFormat/>
    <w:uiPriority w:val="0"/>
    <w:rPr>
      <w:b/>
      <w:bCs/>
      <w:szCs w:val="24"/>
    </w:rPr>
  </w:style>
  <w:style w:type="character" w:customStyle="1" w:styleId="117">
    <w:name w:val="正文首行缩进 Char"/>
    <w:link w:val="16"/>
    <w:qFormat/>
    <w:uiPriority w:val="0"/>
    <w:rPr>
      <w:rFonts w:ascii="楷体_GB2312" w:eastAsia="楷体_GB2312"/>
      <w:b/>
      <w:sz w:val="30"/>
      <w:szCs w:val="24"/>
    </w:rPr>
  </w:style>
  <w:style w:type="character" w:customStyle="1" w:styleId="118">
    <w:name w:val="正文文本 3 Char"/>
    <w:link w:val="35"/>
    <w:qFormat/>
    <w:uiPriority w:val="0"/>
    <w:rPr>
      <w:sz w:val="24"/>
    </w:rPr>
  </w:style>
  <w:style w:type="character" w:customStyle="1" w:styleId="119">
    <w:name w:val="正文文本 2 Char"/>
    <w:link w:val="81"/>
    <w:qFormat/>
    <w:uiPriority w:val="0"/>
    <w:rPr>
      <w:sz w:val="18"/>
      <w:szCs w:val="24"/>
    </w:rPr>
  </w:style>
  <w:style w:type="character" w:customStyle="1" w:styleId="120">
    <w:name w:val="正文缩进 Char"/>
    <w:link w:val="26"/>
    <w:qFormat/>
    <w:uiPriority w:val="0"/>
  </w:style>
  <w:style w:type="character" w:customStyle="1" w:styleId="121">
    <w:name w:val="列出段落 Char"/>
    <w:link w:val="122"/>
    <w:qFormat/>
    <w:uiPriority w:val="0"/>
    <w:rPr>
      <w:rFonts w:ascii="Calibri" w:hAnsi="Calibri"/>
    </w:rPr>
  </w:style>
  <w:style w:type="paragraph" w:customStyle="1" w:styleId="122">
    <w:name w:val="列出段落1"/>
    <w:basedOn w:val="1"/>
    <w:link w:val="121"/>
    <w:qFormat/>
    <w:uiPriority w:val="0"/>
    <w:pPr>
      <w:ind w:firstLine="420" w:firstLineChars="200"/>
    </w:pPr>
    <w:rPr>
      <w:rFonts w:eastAsiaTheme="minorEastAsia" w:cstheme="minorBidi"/>
      <w:szCs w:val="22"/>
    </w:rPr>
  </w:style>
  <w:style w:type="character" w:customStyle="1" w:styleId="123">
    <w:name w:val="标题 Char"/>
    <w:link w:val="89"/>
    <w:qFormat/>
    <w:uiPriority w:val="0"/>
    <w:rPr>
      <w:rFonts w:ascii="Arial" w:hAnsi="Arial"/>
      <w:b/>
      <w:bCs/>
      <w:sz w:val="32"/>
      <w:szCs w:val="32"/>
    </w:rPr>
  </w:style>
  <w:style w:type="character" w:customStyle="1" w:styleId="124">
    <w:name w:val="页眉 Char1"/>
    <w:basedOn w:val="90"/>
    <w:semiHidden/>
    <w:qFormat/>
    <w:uiPriority w:val="99"/>
    <w:rPr>
      <w:rFonts w:ascii="Calibri" w:hAnsi="Calibri" w:eastAsia="宋体" w:cs="Times New Roman"/>
      <w:sz w:val="18"/>
      <w:szCs w:val="18"/>
    </w:rPr>
  </w:style>
  <w:style w:type="character" w:customStyle="1" w:styleId="125">
    <w:name w:val="HTML 预设格式 Char"/>
    <w:basedOn w:val="90"/>
    <w:link w:val="85"/>
    <w:qFormat/>
    <w:uiPriority w:val="0"/>
    <w:rPr>
      <w:rFonts w:ascii="黑体" w:hAnsi="Courier New" w:eastAsia="黑体" w:cs="Courier New"/>
      <w:kern w:val="0"/>
      <w:sz w:val="20"/>
      <w:szCs w:val="20"/>
    </w:rPr>
  </w:style>
  <w:style w:type="character" w:customStyle="1" w:styleId="126">
    <w:name w:val="正文文本缩进 Char1"/>
    <w:basedOn w:val="90"/>
    <w:link w:val="38"/>
    <w:semiHidden/>
    <w:qFormat/>
    <w:uiPriority w:val="99"/>
    <w:rPr>
      <w:rFonts w:ascii="Calibri" w:hAnsi="Calibri" w:eastAsia="宋体" w:cs="Times New Roman"/>
      <w:szCs w:val="24"/>
    </w:rPr>
  </w:style>
  <w:style w:type="character" w:customStyle="1" w:styleId="127">
    <w:name w:val="正文首行缩进 2 Char"/>
    <w:basedOn w:val="126"/>
    <w:link w:val="61"/>
    <w:qFormat/>
    <w:uiPriority w:val="0"/>
    <w:rPr>
      <w:rFonts w:ascii="Times New Roman" w:hAnsi="Times New Roman" w:eastAsia="宋体" w:cs="Times New Roman"/>
      <w:szCs w:val="24"/>
    </w:rPr>
  </w:style>
  <w:style w:type="character" w:customStyle="1" w:styleId="128">
    <w:name w:val="正文文本 3 Char1"/>
    <w:basedOn w:val="90"/>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0"/>
    <w:semiHidden/>
    <w:qFormat/>
    <w:uiPriority w:val="99"/>
    <w:rPr>
      <w:rFonts w:ascii="Calibri" w:hAnsi="Calibri" w:eastAsia="宋体" w:cs="Times New Roman"/>
      <w:szCs w:val="24"/>
    </w:rPr>
  </w:style>
  <w:style w:type="character" w:customStyle="1" w:styleId="131">
    <w:name w:val="称呼 Char"/>
    <w:basedOn w:val="90"/>
    <w:link w:val="34"/>
    <w:qFormat/>
    <w:uiPriority w:val="0"/>
    <w:rPr>
      <w:rFonts w:ascii="Calibri" w:hAnsi="Calibri" w:eastAsia="宋体" w:cs="Times New Roman"/>
      <w:szCs w:val="24"/>
    </w:rPr>
  </w:style>
  <w:style w:type="character" w:customStyle="1" w:styleId="132">
    <w:name w:val="正文文本 2 Char1"/>
    <w:basedOn w:val="90"/>
    <w:semiHidden/>
    <w:qFormat/>
    <w:uiPriority w:val="99"/>
    <w:rPr>
      <w:rFonts w:ascii="Calibri" w:hAnsi="Calibri" w:eastAsia="宋体" w:cs="Times New Roman"/>
      <w:szCs w:val="24"/>
    </w:rPr>
  </w:style>
  <w:style w:type="character" w:customStyle="1" w:styleId="133">
    <w:name w:val="副标题 Char"/>
    <w:basedOn w:val="90"/>
    <w:link w:val="69"/>
    <w:qFormat/>
    <w:uiPriority w:val="0"/>
    <w:rPr>
      <w:rFonts w:ascii="Arial" w:hAnsi="Arial" w:eastAsia="宋体" w:cs="Arial"/>
      <w:b/>
      <w:bCs/>
      <w:kern w:val="28"/>
      <w:sz w:val="32"/>
      <w:szCs w:val="32"/>
    </w:rPr>
  </w:style>
  <w:style w:type="character" w:customStyle="1" w:styleId="134">
    <w:name w:val="正文文本缩进 2 Char"/>
    <w:basedOn w:val="90"/>
    <w:link w:val="55"/>
    <w:qFormat/>
    <w:uiPriority w:val="0"/>
    <w:rPr>
      <w:rFonts w:ascii="宋体" w:hAnsi="宋体" w:eastAsia="宋体" w:cs="Times New Roman"/>
      <w:sz w:val="24"/>
      <w:szCs w:val="24"/>
    </w:rPr>
  </w:style>
  <w:style w:type="character" w:customStyle="1" w:styleId="135">
    <w:name w:val="HTML 地址 Char"/>
    <w:basedOn w:val="90"/>
    <w:link w:val="44"/>
    <w:qFormat/>
    <w:uiPriority w:val="0"/>
    <w:rPr>
      <w:rFonts w:ascii="Calibri" w:hAnsi="Calibri" w:eastAsia="宋体" w:cs="Times New Roman"/>
      <w:i/>
      <w:iCs/>
      <w:szCs w:val="24"/>
    </w:rPr>
  </w:style>
  <w:style w:type="character" w:customStyle="1" w:styleId="136">
    <w:name w:val="批注文字 Char1"/>
    <w:basedOn w:val="90"/>
    <w:semiHidden/>
    <w:qFormat/>
    <w:uiPriority w:val="99"/>
    <w:rPr>
      <w:rFonts w:ascii="Calibri" w:hAnsi="Calibri" w:eastAsia="宋体" w:cs="Times New Roman"/>
      <w:szCs w:val="24"/>
    </w:rPr>
  </w:style>
  <w:style w:type="character" w:customStyle="1" w:styleId="137">
    <w:name w:val="日期 Char"/>
    <w:basedOn w:val="90"/>
    <w:link w:val="54"/>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0"/>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31"/>
    <w:qFormat/>
    <w:uiPriority w:val="0"/>
    <w:rPr>
      <w:szCs w:val="20"/>
    </w:rPr>
  </w:style>
  <w:style w:type="character" w:customStyle="1" w:styleId="141">
    <w:name w:val="尾注文本 Char"/>
    <w:basedOn w:val="90"/>
    <w:link w:val="56"/>
    <w:semiHidden/>
    <w:qFormat/>
    <w:uiPriority w:val="0"/>
    <w:rPr>
      <w:rFonts w:ascii="Calibri" w:hAnsi="Calibri" w:eastAsia="宋体" w:cs="Times New Roman"/>
      <w:szCs w:val="24"/>
    </w:rPr>
  </w:style>
  <w:style w:type="character" w:customStyle="1" w:styleId="142">
    <w:name w:val="结束语 Char"/>
    <w:basedOn w:val="90"/>
    <w:link w:val="36"/>
    <w:qFormat/>
    <w:uiPriority w:val="0"/>
    <w:rPr>
      <w:rFonts w:ascii="Calibri" w:hAnsi="Calibri" w:eastAsia="宋体" w:cs="Times New Roman"/>
      <w:szCs w:val="24"/>
    </w:rPr>
  </w:style>
  <w:style w:type="character" w:customStyle="1" w:styleId="143">
    <w:name w:val="注释标题 Char"/>
    <w:basedOn w:val="90"/>
    <w:link w:val="21"/>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0"/>
    <w:qFormat/>
    <w:uiPriority w:val="10"/>
    <w:rPr>
      <w:rFonts w:eastAsia="宋体" w:asciiTheme="majorHAnsi" w:hAnsiTheme="majorHAnsi" w:cstheme="majorBidi"/>
      <w:b/>
      <w:bCs/>
      <w:sz w:val="32"/>
      <w:szCs w:val="32"/>
    </w:rPr>
  </w:style>
  <w:style w:type="character" w:customStyle="1" w:styleId="146">
    <w:name w:val="签名 Char"/>
    <w:basedOn w:val="90"/>
    <w:link w:val="63"/>
    <w:qFormat/>
    <w:uiPriority w:val="0"/>
    <w:rPr>
      <w:rFonts w:ascii="Calibri" w:hAnsi="Calibri" w:eastAsia="宋体" w:cs="Times New Roman"/>
      <w:szCs w:val="24"/>
    </w:rPr>
  </w:style>
  <w:style w:type="character" w:customStyle="1" w:styleId="147">
    <w:name w:val="信息标题 Char"/>
    <w:basedOn w:val="90"/>
    <w:link w:val="84"/>
    <w:qFormat/>
    <w:uiPriority w:val="0"/>
    <w:rPr>
      <w:rFonts w:ascii="Arial" w:hAnsi="Arial" w:eastAsia="宋体" w:cs="Arial"/>
      <w:sz w:val="24"/>
      <w:szCs w:val="24"/>
      <w:shd w:val="pct20" w:color="auto" w:fill="auto"/>
    </w:rPr>
  </w:style>
  <w:style w:type="character" w:customStyle="1" w:styleId="148">
    <w:name w:val="批注框文本 Char1"/>
    <w:basedOn w:val="90"/>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0"/>
    <w:link w:val="20"/>
    <w:semiHidden/>
    <w:qFormat/>
    <w:uiPriority w:val="0"/>
    <w:rPr>
      <w:rFonts w:ascii="Courier New" w:hAnsi="Courier New" w:eastAsia="宋体" w:cs="Courier New"/>
      <w:sz w:val="24"/>
      <w:szCs w:val="24"/>
    </w:rPr>
  </w:style>
  <w:style w:type="character" w:customStyle="1" w:styleId="151">
    <w:name w:val="页脚 Char1"/>
    <w:basedOn w:val="90"/>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0"/>
    <w:semiHidden/>
    <w:qFormat/>
    <w:uiPriority w:val="99"/>
    <w:rPr>
      <w:rFonts w:ascii="宋体" w:hAnsi="Courier New" w:eastAsia="宋体" w:cs="Courier New"/>
      <w:szCs w:val="21"/>
    </w:rPr>
  </w:style>
  <w:style w:type="character" w:customStyle="1" w:styleId="154">
    <w:name w:val="电子邮件签名 Char"/>
    <w:basedOn w:val="90"/>
    <w:link w:val="24"/>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0"/>
    <w:link w:val="72"/>
    <w:semiHidden/>
    <w:qFormat/>
    <w:uiPriority w:val="0"/>
    <w:rPr>
      <w:rFonts w:ascii="Calibri" w:hAnsi="Calibri" w:eastAsia="宋体" w:cs="Times New Roman"/>
      <w:sz w:val="18"/>
      <w:szCs w:val="18"/>
    </w:rPr>
  </w:style>
  <w:style w:type="character" w:customStyle="1" w:styleId="157">
    <w:name w:val="正文文本缩进 3 Char"/>
    <w:basedOn w:val="90"/>
    <w:link w:val="75"/>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12"/>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8"/>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17"/>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71"/>
    <w:next w:val="71"/>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31"/>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5"/>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08">
    <w:name w:val="网格型2"/>
    <w:basedOn w:val="95"/>
    <w:qFormat/>
    <w:uiPriority w:val="0"/>
    <w:pPr>
      <w:spacing w:beforeAutospacing="1" w:afterAutospacing="1"/>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0"/>
    <w:qFormat/>
    <w:uiPriority w:val="0"/>
    <w:rPr>
      <w:rFonts w:hint="eastAsia" w:ascii="宋体" w:hAnsi="宋体" w:eastAsia="宋体" w:cs="宋体"/>
      <w:color w:val="000000"/>
      <w:sz w:val="22"/>
      <w:szCs w:val="22"/>
      <w:u w:val="none"/>
    </w:rPr>
  </w:style>
  <w:style w:type="character" w:customStyle="1" w:styleId="212">
    <w:name w:val="font01"/>
    <w:basedOn w:val="90"/>
    <w:qFormat/>
    <w:uiPriority w:val="0"/>
    <w:rPr>
      <w:rFonts w:hint="eastAsia" w:ascii="宋体" w:hAnsi="宋体" w:eastAsia="宋体" w:cs="宋体"/>
      <w:color w:val="333333"/>
      <w:sz w:val="22"/>
      <w:szCs w:val="22"/>
      <w:u w:val="none"/>
    </w:rPr>
  </w:style>
  <w:style w:type="character" w:customStyle="1" w:styleId="213">
    <w:name w:val="font51"/>
    <w:basedOn w:val="90"/>
    <w:qFormat/>
    <w:uiPriority w:val="0"/>
    <w:rPr>
      <w:rFonts w:hint="eastAsia" w:ascii="宋体" w:hAnsi="宋体" w:eastAsia="宋体" w:cs="宋体"/>
      <w:color w:val="000000"/>
      <w:sz w:val="22"/>
      <w:szCs w:val="22"/>
      <w:u w:val="none"/>
    </w:rPr>
  </w:style>
  <w:style w:type="paragraph" w:customStyle="1" w:styleId="214">
    <w:name w:val="文一"/>
    <w:basedOn w:val="1"/>
    <w:qFormat/>
    <w:uiPriority w:val="0"/>
    <w:pPr>
      <w:topLinePunct/>
      <w:adjustRightInd w:val="0"/>
      <w:snapToGrid w:val="0"/>
      <w:spacing w:line="360" w:lineRule="auto"/>
      <w:ind w:firstLine="200" w:firstLineChars="200"/>
    </w:pPr>
    <w:rPr>
      <w:spacing w:val="4"/>
      <w:kern w:val="0"/>
      <w:sz w:val="24"/>
    </w:rPr>
  </w:style>
  <w:style w:type="character" w:customStyle="1" w:styleId="215">
    <w:name w:val="font41"/>
    <w:basedOn w:val="90"/>
    <w:qFormat/>
    <w:uiPriority w:val="0"/>
    <w:rPr>
      <w:rFonts w:hint="eastAsia" w:ascii="宋体" w:hAnsi="宋体" w:eastAsia="宋体" w:cs="宋体"/>
      <w:color w:val="000000"/>
      <w:sz w:val="22"/>
      <w:szCs w:val="22"/>
      <w:u w:val="none"/>
    </w:rPr>
  </w:style>
  <w:style w:type="character" w:customStyle="1" w:styleId="216">
    <w:name w:val="font61"/>
    <w:basedOn w:val="90"/>
    <w:qFormat/>
    <w:uiPriority w:val="0"/>
    <w:rPr>
      <w:rFonts w:hint="eastAsia" w:ascii="宋体" w:hAnsi="宋体" w:eastAsia="宋体" w:cs="宋体"/>
      <w:color w:val="000000"/>
      <w:sz w:val="22"/>
      <w:szCs w:val="22"/>
      <w:u w:val="none"/>
    </w:rPr>
  </w:style>
  <w:style w:type="character" w:customStyle="1" w:styleId="217">
    <w:name w:val="font21"/>
    <w:basedOn w:val="90"/>
    <w:qFormat/>
    <w:uiPriority w:val="0"/>
    <w:rPr>
      <w:rFonts w:hint="eastAsia" w:ascii="宋体" w:hAnsi="宋体" w:eastAsia="宋体" w:cs="宋体"/>
      <w:color w:val="000000"/>
      <w:sz w:val="22"/>
      <w:szCs w:val="22"/>
      <w:u w:val="none"/>
    </w:rPr>
  </w:style>
  <w:style w:type="character" w:customStyle="1" w:styleId="218">
    <w:name w:val="font151"/>
    <w:basedOn w:val="90"/>
    <w:qFormat/>
    <w:uiPriority w:val="0"/>
    <w:rPr>
      <w:rFonts w:hint="default" w:ascii="Times New Roman" w:hAnsi="Times New Roman" w:cs="Times New Roman"/>
      <w:color w:val="000000"/>
      <w:sz w:val="20"/>
      <w:szCs w:val="20"/>
      <w:u w:val="none"/>
    </w:rPr>
  </w:style>
  <w:style w:type="character" w:customStyle="1" w:styleId="219">
    <w:name w:val="font71"/>
    <w:basedOn w:val="90"/>
    <w:qFormat/>
    <w:uiPriority w:val="0"/>
    <w:rPr>
      <w:rFonts w:hint="default" w:ascii="Times New Roman" w:hAnsi="Times New Roman" w:cs="Times New Roman"/>
      <w:color w:val="000000"/>
      <w:sz w:val="20"/>
      <w:szCs w:val="20"/>
      <w:u w:val="none"/>
    </w:rPr>
  </w:style>
  <w:style w:type="character" w:customStyle="1" w:styleId="220">
    <w:name w:val="font11"/>
    <w:basedOn w:val="90"/>
    <w:qFormat/>
    <w:uiPriority w:val="0"/>
    <w:rPr>
      <w:rFonts w:hint="eastAsia" w:ascii="宋体" w:hAnsi="宋体" w:eastAsia="宋体" w:cs="宋体"/>
      <w:color w:val="000000"/>
      <w:sz w:val="22"/>
      <w:szCs w:val="22"/>
      <w:u w:val="none"/>
    </w:rPr>
  </w:style>
  <w:style w:type="character" w:customStyle="1" w:styleId="221">
    <w:name w:val="font101"/>
    <w:basedOn w:val="90"/>
    <w:qFormat/>
    <w:uiPriority w:val="0"/>
    <w:rPr>
      <w:rFonts w:hint="eastAsia" w:ascii="宋体" w:hAnsi="宋体" w:eastAsia="宋体" w:cs="宋体"/>
      <w:color w:val="000000"/>
      <w:sz w:val="22"/>
      <w:szCs w:val="22"/>
      <w:u w:val="none"/>
    </w:rPr>
  </w:style>
  <w:style w:type="character" w:customStyle="1" w:styleId="222">
    <w:name w:val="font81"/>
    <w:basedOn w:val="90"/>
    <w:qFormat/>
    <w:uiPriority w:val="0"/>
    <w:rPr>
      <w:rFonts w:hint="eastAsia" w:ascii="宋体" w:hAnsi="宋体" w:eastAsia="宋体" w:cs="宋体"/>
      <w:color w:val="000000"/>
      <w:sz w:val="20"/>
      <w:szCs w:val="20"/>
      <w:u w:val="none"/>
    </w:rPr>
  </w:style>
  <w:style w:type="character" w:customStyle="1" w:styleId="223">
    <w:name w:val="font131"/>
    <w:basedOn w:val="90"/>
    <w:qFormat/>
    <w:uiPriority w:val="0"/>
    <w:rPr>
      <w:rFonts w:hint="eastAsia" w:ascii="宋体" w:hAnsi="宋体" w:eastAsia="宋体" w:cs="宋体"/>
      <w:color w:val="000000"/>
      <w:sz w:val="20"/>
      <w:szCs w:val="20"/>
      <w:u w:val="none"/>
    </w:rPr>
  </w:style>
  <w:style w:type="paragraph" w:customStyle="1" w:styleId="224">
    <w:name w:val="正文_0"/>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101</Pages>
  <Words>9918</Words>
  <Characters>56537</Characters>
  <Lines>471</Lines>
  <Paragraphs>132</Paragraphs>
  <TotalTime>2</TotalTime>
  <ScaleCrop>false</ScaleCrop>
  <LinksUpToDate>false</LinksUpToDate>
  <CharactersWithSpaces>66323</CharactersWithSpaces>
  <Application>WPS Office_10.1.0.7311_F1E327BC-269C-435d-A152-05C5408002CA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lenovo</cp:lastModifiedBy>
  <cp:lastPrinted>2020-02-27T05:24:00Z</cp:lastPrinted>
  <dcterms:modified xsi:type="dcterms:W3CDTF">2020-12-25T06:03:13Z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