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right="560"/>
        <w:rPr>
          <w:rFonts w:ascii="宋体" w:hAnsi="宋体" w:eastAsia="宋体" w:cs="Times New Roman"/>
          <w:b/>
          <w:bCs/>
          <w:color w:val="auto"/>
          <w:sz w:val="28"/>
          <w:szCs w:val="28"/>
          <w:highlight w:val="none"/>
        </w:rPr>
      </w:pPr>
    </w:p>
    <w:p>
      <w:pPr>
        <w:spacing w:line="360" w:lineRule="auto"/>
        <w:rPr>
          <w:rFonts w:ascii="宋体" w:hAnsi="宋体" w:eastAsia="宋体" w:cs="Times New Roman"/>
          <w:b/>
          <w:bCs/>
          <w:color w:val="auto"/>
          <w:spacing w:val="100"/>
          <w:sz w:val="28"/>
          <w:szCs w:val="28"/>
          <w:highlight w:val="none"/>
        </w:rPr>
      </w:pPr>
    </w:p>
    <w:p>
      <w:pPr>
        <w:spacing w:line="360" w:lineRule="auto"/>
        <w:jc w:val="center"/>
        <w:rPr>
          <w:rFonts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项目名称：</w:t>
      </w:r>
      <w:r>
        <w:rPr>
          <w:rFonts w:hint="eastAsia" w:ascii="宋体" w:hAnsi="宋体" w:eastAsia="宋体" w:cs="宋体"/>
          <w:b/>
          <w:bCs/>
          <w:color w:val="auto"/>
          <w:sz w:val="32"/>
          <w:szCs w:val="32"/>
          <w:highlight w:val="none"/>
        </w:rPr>
        <w:t>广州市生态环境局越秀分局</w:t>
      </w:r>
      <w:r>
        <w:rPr>
          <w:rFonts w:ascii="宋体" w:hAnsi="宋体" w:eastAsia="宋体" w:cs="宋体"/>
          <w:b/>
          <w:bCs/>
          <w:color w:val="auto"/>
          <w:sz w:val="32"/>
          <w:szCs w:val="32"/>
          <w:highlight w:val="none"/>
        </w:rPr>
        <w:t>2021</w:t>
      </w:r>
      <w:r>
        <w:rPr>
          <w:rFonts w:hint="eastAsia" w:ascii="宋体" w:hAnsi="宋体" w:eastAsia="宋体" w:cs="宋体"/>
          <w:b/>
          <w:bCs/>
          <w:color w:val="auto"/>
          <w:sz w:val="32"/>
          <w:szCs w:val="32"/>
          <w:highlight w:val="none"/>
        </w:rPr>
        <w:t>年污染源监督性监测服务项目</w:t>
      </w:r>
      <w:r>
        <w:rPr>
          <w:rFonts w:ascii="宋体" w:hAnsi="宋体" w:eastAsia="宋体" w:cs="宋体"/>
          <w:b/>
          <w:bCs/>
          <w:color w:val="auto"/>
          <w:sz w:val="32"/>
          <w:szCs w:val="32"/>
          <w:highlight w:val="none"/>
        </w:rPr>
        <w:t xml:space="preserve"> </w:t>
      </w:r>
    </w:p>
    <w:p>
      <w:pPr>
        <w:spacing w:line="360" w:lineRule="auto"/>
        <w:jc w:val="center"/>
        <w:rPr>
          <w:rFonts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项目编号：</w:t>
      </w:r>
      <w:r>
        <w:rPr>
          <w:rFonts w:ascii="宋体" w:hAnsi="宋体" w:eastAsia="宋体" w:cs="宋体"/>
          <w:b/>
          <w:bCs/>
          <w:color w:val="auto"/>
          <w:sz w:val="32"/>
          <w:szCs w:val="32"/>
          <w:highlight w:val="none"/>
        </w:rPr>
        <w:t xml:space="preserve">202107-184098-0081  </w:t>
      </w:r>
    </w:p>
    <w:p>
      <w:pPr>
        <w:spacing w:line="360" w:lineRule="auto"/>
        <w:rPr>
          <w:rFonts w:ascii="宋体" w:hAnsi="宋体" w:eastAsia="宋体" w:cs="Times New Roman"/>
          <w:color w:val="auto"/>
          <w:sz w:val="84"/>
          <w:szCs w:val="84"/>
          <w:highlight w:val="none"/>
        </w:rPr>
      </w:pPr>
    </w:p>
    <w:p>
      <w:pPr>
        <w:spacing w:line="360" w:lineRule="auto"/>
        <w:ind w:firstLine="1687" w:firstLineChars="200"/>
        <w:rPr>
          <w:rFonts w:ascii="宋体" w:hAnsi="宋体" w:eastAsia="宋体" w:cs="Times New Roman"/>
          <w:b/>
          <w:bCs/>
          <w:color w:val="auto"/>
          <w:sz w:val="84"/>
          <w:szCs w:val="84"/>
          <w:highlight w:val="none"/>
        </w:rPr>
      </w:pPr>
    </w:p>
    <w:p>
      <w:pPr>
        <w:spacing w:line="360" w:lineRule="auto"/>
        <w:ind w:firstLine="1687" w:firstLineChars="200"/>
        <w:rPr>
          <w:rFonts w:ascii="宋体" w:hAnsi="宋体" w:eastAsia="宋体" w:cs="Times New Roman"/>
          <w:b/>
          <w:bCs/>
          <w:color w:val="auto"/>
          <w:sz w:val="84"/>
          <w:szCs w:val="84"/>
          <w:highlight w:val="none"/>
        </w:rPr>
      </w:pPr>
      <w:r>
        <w:rPr>
          <w:rFonts w:hint="eastAsia" w:ascii="宋体" w:hAnsi="宋体" w:eastAsia="宋体" w:cs="宋体"/>
          <w:b/>
          <w:bCs/>
          <w:color w:val="auto"/>
          <w:sz w:val="84"/>
          <w:szCs w:val="84"/>
          <w:highlight w:val="none"/>
        </w:rPr>
        <w:t>公开遴选文件</w:t>
      </w:r>
    </w:p>
    <w:p>
      <w:pPr>
        <w:spacing w:line="360" w:lineRule="auto"/>
        <w:rPr>
          <w:rFonts w:ascii="宋体" w:hAnsi="宋体" w:eastAsia="宋体" w:cs="Times New Roman"/>
          <w:color w:val="auto"/>
          <w:sz w:val="32"/>
          <w:szCs w:val="32"/>
          <w:highlight w:val="none"/>
        </w:rPr>
      </w:pPr>
    </w:p>
    <w:p>
      <w:pPr>
        <w:spacing w:line="360" w:lineRule="auto"/>
        <w:rPr>
          <w:rFonts w:ascii="宋体" w:hAnsi="宋体" w:eastAsia="宋体" w:cs="Times New Roman"/>
          <w:color w:val="auto"/>
          <w:sz w:val="32"/>
          <w:szCs w:val="32"/>
          <w:highlight w:val="none"/>
        </w:rPr>
      </w:pPr>
    </w:p>
    <w:p>
      <w:pPr>
        <w:spacing w:line="360" w:lineRule="auto"/>
        <w:rPr>
          <w:rFonts w:ascii="宋体" w:hAnsi="宋体" w:eastAsia="宋体" w:cs="Times New Roman"/>
          <w:color w:val="auto"/>
          <w:sz w:val="32"/>
          <w:szCs w:val="32"/>
          <w:highlight w:val="none"/>
        </w:rPr>
      </w:pPr>
    </w:p>
    <w:p>
      <w:pPr>
        <w:spacing w:line="360" w:lineRule="auto"/>
        <w:rPr>
          <w:rFonts w:ascii="宋体" w:hAnsi="宋体" w:eastAsia="宋体" w:cs="Times New Roman"/>
          <w:color w:val="auto"/>
          <w:sz w:val="32"/>
          <w:szCs w:val="32"/>
          <w:highlight w:val="none"/>
        </w:rPr>
      </w:pPr>
    </w:p>
    <w:p>
      <w:pPr>
        <w:spacing w:line="360" w:lineRule="auto"/>
        <w:rPr>
          <w:rFonts w:ascii="宋体" w:hAnsi="宋体" w:eastAsia="宋体" w:cs="Times New Roman"/>
          <w:color w:val="auto"/>
          <w:sz w:val="32"/>
          <w:szCs w:val="32"/>
          <w:highlight w:val="none"/>
        </w:rPr>
      </w:pPr>
    </w:p>
    <w:p>
      <w:pPr>
        <w:snapToGrid w:val="0"/>
        <w:spacing w:line="360" w:lineRule="auto"/>
        <w:ind w:firstLine="1205" w:firstLineChars="400"/>
        <w:rPr>
          <w:rFonts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t>采</w:t>
      </w:r>
      <w:r>
        <w:rPr>
          <w:rFonts w:ascii="宋体" w:hAnsi="宋体" w:eastAsia="宋体" w:cs="宋体"/>
          <w:b/>
          <w:bCs/>
          <w:color w:val="auto"/>
          <w:sz w:val="30"/>
          <w:szCs w:val="30"/>
          <w:highlight w:val="none"/>
        </w:rPr>
        <w:t xml:space="preserve">   </w:t>
      </w:r>
      <w:r>
        <w:rPr>
          <w:rFonts w:hint="eastAsia" w:ascii="宋体" w:hAnsi="宋体" w:eastAsia="宋体" w:cs="宋体"/>
          <w:b/>
          <w:bCs/>
          <w:color w:val="auto"/>
          <w:sz w:val="30"/>
          <w:szCs w:val="30"/>
          <w:highlight w:val="none"/>
        </w:rPr>
        <w:t>购</w:t>
      </w:r>
      <w:r>
        <w:rPr>
          <w:rFonts w:ascii="宋体" w:hAnsi="宋体" w:eastAsia="宋体" w:cs="宋体"/>
          <w:b/>
          <w:bCs/>
          <w:color w:val="auto"/>
          <w:sz w:val="30"/>
          <w:szCs w:val="30"/>
          <w:highlight w:val="none"/>
        </w:rPr>
        <w:t xml:space="preserve">   </w:t>
      </w:r>
      <w:r>
        <w:rPr>
          <w:rFonts w:hint="eastAsia" w:ascii="宋体" w:hAnsi="宋体" w:eastAsia="宋体" w:cs="宋体"/>
          <w:b/>
          <w:bCs/>
          <w:color w:val="auto"/>
          <w:sz w:val="30"/>
          <w:szCs w:val="30"/>
          <w:highlight w:val="none"/>
        </w:rPr>
        <w:t>人：广州市生态环境局越秀分局</w:t>
      </w:r>
      <w:r>
        <w:rPr>
          <w:rFonts w:ascii="宋体" w:hAnsi="宋体" w:eastAsia="宋体" w:cs="宋体"/>
          <w:b/>
          <w:bCs/>
          <w:color w:val="auto"/>
          <w:sz w:val="30"/>
          <w:szCs w:val="30"/>
          <w:highlight w:val="none"/>
        </w:rPr>
        <w:t xml:space="preserve">  </w:t>
      </w:r>
    </w:p>
    <w:p>
      <w:pPr>
        <w:snapToGrid w:val="0"/>
        <w:spacing w:line="360" w:lineRule="auto"/>
        <w:ind w:firstLine="1205" w:firstLineChars="400"/>
        <w:rPr>
          <w:rFonts w:ascii="宋体" w:hAnsi="宋体" w:eastAsia="宋体" w:cs="Times New Roman"/>
          <w:b/>
          <w:bCs/>
          <w:color w:val="auto"/>
          <w:sz w:val="30"/>
          <w:szCs w:val="30"/>
          <w:highlight w:val="none"/>
        </w:rPr>
      </w:pPr>
      <w:r>
        <w:rPr>
          <w:rFonts w:hint="eastAsia" w:ascii="宋体" w:hAnsi="宋体" w:eastAsia="宋体" w:cs="宋体"/>
          <w:b/>
          <w:bCs/>
          <w:color w:val="auto"/>
          <w:sz w:val="30"/>
          <w:szCs w:val="30"/>
          <w:highlight w:val="none"/>
        </w:rPr>
        <w:t>采购代理机构：广州市信怡招标代理有限公司</w:t>
      </w:r>
    </w:p>
    <w:p>
      <w:pPr>
        <w:snapToGrid w:val="0"/>
        <w:spacing w:line="360" w:lineRule="auto"/>
        <w:ind w:firstLine="1205" w:firstLineChars="400"/>
        <w:rPr>
          <w:rFonts w:ascii="宋体" w:hAnsi="宋体" w:eastAsia="宋体" w:cs="Times New Roman"/>
          <w:b/>
          <w:bCs/>
          <w:color w:val="auto"/>
          <w:sz w:val="30"/>
          <w:szCs w:val="30"/>
          <w:highlight w:val="none"/>
        </w:rPr>
        <w:sectPr>
          <w:headerReference r:id="rId3" w:type="first"/>
          <w:footerReference r:id="rId5" w:type="first"/>
          <w:footerReference r:id="rId4" w:type="default"/>
          <w:pgSz w:w="11906" w:h="16838"/>
          <w:pgMar w:top="567" w:right="1304" w:bottom="567" w:left="1361" w:header="567" w:footer="737" w:gutter="0"/>
          <w:cols w:space="720" w:num="1"/>
          <w:titlePg/>
          <w:docGrid w:linePitch="312" w:charSpace="0"/>
        </w:sectPr>
      </w:pPr>
      <w:r>
        <w:rPr>
          <w:rFonts w:hint="eastAsia" w:ascii="宋体" w:hAnsi="宋体" w:eastAsia="宋体" w:cs="宋体"/>
          <w:b/>
          <w:bCs/>
          <w:color w:val="auto"/>
          <w:sz w:val="30"/>
          <w:szCs w:val="30"/>
          <w:highlight w:val="none"/>
        </w:rPr>
        <w:t>日</w:t>
      </w:r>
      <w:r>
        <w:rPr>
          <w:rFonts w:ascii="宋体" w:hAnsi="宋体" w:eastAsia="宋体" w:cs="宋体"/>
          <w:b/>
          <w:bCs/>
          <w:color w:val="auto"/>
          <w:sz w:val="30"/>
          <w:szCs w:val="30"/>
          <w:highlight w:val="none"/>
        </w:rPr>
        <w:t xml:space="preserve">        </w:t>
      </w:r>
      <w:r>
        <w:rPr>
          <w:rFonts w:hint="eastAsia" w:ascii="宋体" w:hAnsi="宋体" w:eastAsia="宋体" w:cs="宋体"/>
          <w:b/>
          <w:bCs/>
          <w:color w:val="auto"/>
          <w:sz w:val="30"/>
          <w:szCs w:val="30"/>
          <w:highlight w:val="none"/>
        </w:rPr>
        <w:t>期：</w:t>
      </w:r>
      <w:bookmarkStart w:id="0" w:name="_Toc28489433"/>
      <w:bookmarkStart w:id="1" w:name="_Toc14450806"/>
      <w:r>
        <w:rPr>
          <w:rFonts w:ascii="宋体" w:hAnsi="宋体" w:eastAsia="宋体" w:cs="宋体"/>
          <w:b/>
          <w:bCs/>
          <w:color w:val="auto"/>
          <w:sz w:val="30"/>
          <w:szCs w:val="30"/>
          <w:highlight w:val="none"/>
        </w:rPr>
        <w:t xml:space="preserve"> </w:t>
      </w:r>
      <w:r>
        <w:rPr>
          <w:rFonts w:hint="eastAsia" w:ascii="宋体" w:hAnsi="宋体" w:eastAsia="宋体" w:cs="宋体"/>
          <w:b/>
          <w:bCs/>
          <w:color w:val="auto"/>
          <w:sz w:val="30"/>
          <w:szCs w:val="30"/>
          <w:highlight w:val="none"/>
        </w:rPr>
        <w:t>二○二一年</w:t>
      </w:r>
    </w:p>
    <w:p>
      <w:pPr>
        <w:spacing w:before="120" w:beforeLines="50" w:after="120" w:afterLines="50" w:line="360" w:lineRule="auto"/>
        <w:rPr>
          <w:rFonts w:ascii="宋体" w:hAnsi="宋体" w:eastAsia="宋体" w:cs="Times New Roman"/>
          <w:b/>
          <w:bCs/>
          <w:color w:val="auto"/>
          <w:sz w:val="36"/>
          <w:szCs w:val="36"/>
          <w:highlight w:val="none"/>
        </w:rPr>
      </w:pPr>
    </w:p>
    <w:p>
      <w:pPr>
        <w:spacing w:before="120" w:beforeLines="50" w:after="120" w:afterLines="50" w:line="360" w:lineRule="auto"/>
        <w:jc w:val="center"/>
        <w:rPr>
          <w:rFonts w:ascii="宋体" w:hAnsi="宋体" w:eastAsia="宋体" w:cs="Times New Roman"/>
          <w:b/>
          <w:bCs/>
          <w:color w:val="auto"/>
          <w:sz w:val="36"/>
          <w:szCs w:val="36"/>
          <w:highlight w:val="none"/>
        </w:rPr>
      </w:pPr>
    </w:p>
    <w:p>
      <w:pPr>
        <w:rPr>
          <w:rFonts w:ascii="宋体" w:hAnsi="宋体" w:eastAsia="宋体" w:cs="Times New Roman"/>
          <w:b/>
          <w:bCs/>
          <w:color w:val="auto"/>
          <w:sz w:val="28"/>
          <w:szCs w:val="28"/>
          <w:highlight w:val="none"/>
        </w:rPr>
      </w:pPr>
      <w:r>
        <w:rPr>
          <w:rFonts w:ascii="宋体" w:hAnsi="宋体" w:eastAsia="宋体" w:cs="Times New Roman"/>
          <w:b/>
          <w:bCs/>
          <w:color w:val="auto"/>
          <w:sz w:val="28"/>
          <w:szCs w:val="28"/>
          <w:highlight w:val="none"/>
        </w:rPr>
        <w:br w:type="page"/>
      </w:r>
    </w:p>
    <w:p>
      <w:pPr>
        <w:spacing w:line="360" w:lineRule="auto"/>
        <w:jc w:val="center"/>
        <w:rPr>
          <w:rFonts w:ascii="宋体" w:hAnsi="宋体" w:eastAsia="宋体" w:cs="Times New Roman"/>
          <w:b/>
          <w:bCs/>
          <w:color w:val="auto"/>
          <w:sz w:val="28"/>
          <w:szCs w:val="28"/>
          <w:highlight w:val="none"/>
        </w:rPr>
      </w:pPr>
      <w:r>
        <w:rPr>
          <w:rFonts w:hint="eastAsia" w:ascii="宋体" w:hAnsi="宋体" w:eastAsia="宋体" w:cs="宋体"/>
          <w:b/>
          <w:bCs/>
          <w:color w:val="auto"/>
          <w:sz w:val="28"/>
          <w:szCs w:val="28"/>
          <w:highlight w:val="none"/>
        </w:rPr>
        <w:t>温馨提示</w:t>
      </w:r>
    </w:p>
    <w:p>
      <w:pPr>
        <w:spacing w:line="360" w:lineRule="auto"/>
        <w:rPr>
          <w:rFonts w:ascii="宋体" w:hAnsi="宋体" w:eastAsia="宋体" w:cs="Times New Roman"/>
          <w:color w:val="auto"/>
          <w:highlight w:val="none"/>
        </w:rPr>
      </w:pPr>
    </w:p>
    <w:p>
      <w:pPr>
        <w:numPr>
          <w:ilvl w:val="0"/>
          <w:numId w:val="1"/>
        </w:numPr>
        <w:tabs>
          <w:tab w:val="left" w:pos="540"/>
        </w:tabs>
        <w:spacing w:line="600" w:lineRule="auto"/>
        <w:ind w:left="851" w:hanging="851"/>
        <w:rPr>
          <w:rFonts w:ascii="宋体" w:hAnsi="宋体" w:eastAsia="宋体" w:cs="Times New Roman"/>
          <w:color w:val="auto"/>
          <w:highlight w:val="none"/>
        </w:rPr>
      </w:pPr>
      <w:r>
        <w:rPr>
          <w:rFonts w:hint="eastAsia" w:ascii="宋体" w:hAnsi="宋体" w:eastAsia="宋体" w:cs="宋体"/>
          <w:color w:val="auto"/>
          <w:highlight w:val="none"/>
        </w:rPr>
        <w:t>如无另行说明，投标</w:t>
      </w:r>
      <w:r>
        <w:rPr>
          <w:rFonts w:ascii="宋体" w:hAnsi="宋体" w:eastAsia="宋体" w:cs="宋体"/>
          <w:color w:val="auto"/>
          <w:highlight w:val="none"/>
        </w:rPr>
        <w:t>/</w:t>
      </w:r>
      <w:r>
        <w:rPr>
          <w:rFonts w:hint="eastAsia" w:ascii="宋体" w:hAnsi="宋体" w:eastAsia="宋体" w:cs="宋体"/>
          <w:color w:val="auto"/>
          <w:highlight w:val="none"/>
        </w:rPr>
        <w:t>报价文件递交时间为投标</w:t>
      </w:r>
      <w:r>
        <w:rPr>
          <w:rFonts w:ascii="宋体" w:hAnsi="宋体" w:eastAsia="宋体" w:cs="宋体"/>
          <w:color w:val="auto"/>
          <w:highlight w:val="none"/>
        </w:rPr>
        <w:t>/</w:t>
      </w:r>
      <w:r>
        <w:rPr>
          <w:rFonts w:hint="eastAsia" w:ascii="宋体" w:hAnsi="宋体" w:eastAsia="宋体" w:cs="宋体"/>
          <w:color w:val="auto"/>
          <w:highlight w:val="none"/>
        </w:rPr>
        <w:t>报价文件</w:t>
      </w:r>
      <w:r>
        <w:rPr>
          <w:rFonts w:hint="eastAsia" w:ascii="宋体" w:hAnsi="宋体" w:eastAsia="宋体" w:cs="宋体"/>
          <w:b/>
          <w:bCs/>
          <w:color w:val="auto"/>
          <w:highlight w:val="none"/>
          <w:u w:val="single"/>
        </w:rPr>
        <w:t>递交截止时间之前</w:t>
      </w:r>
      <w:r>
        <w:rPr>
          <w:rFonts w:ascii="宋体" w:hAnsi="宋体" w:eastAsia="宋体" w:cs="宋体"/>
          <w:b/>
          <w:bCs/>
          <w:color w:val="auto"/>
          <w:highlight w:val="none"/>
          <w:u w:val="single"/>
        </w:rPr>
        <w:t>30</w:t>
      </w:r>
      <w:r>
        <w:rPr>
          <w:rFonts w:hint="eastAsia" w:ascii="宋体" w:hAnsi="宋体" w:eastAsia="宋体" w:cs="宋体"/>
          <w:b/>
          <w:bCs/>
          <w:color w:val="auto"/>
          <w:highlight w:val="none"/>
          <w:u w:val="single"/>
        </w:rPr>
        <w:t>分钟内</w:t>
      </w:r>
      <w:r>
        <w:rPr>
          <w:rFonts w:hint="eastAsia" w:ascii="宋体" w:hAnsi="宋体" w:eastAsia="宋体" w:cs="宋体"/>
          <w:color w:val="auto"/>
          <w:highlight w:val="none"/>
        </w:rPr>
        <w:t>。</w:t>
      </w:r>
    </w:p>
    <w:p>
      <w:pPr>
        <w:numPr>
          <w:ilvl w:val="0"/>
          <w:numId w:val="1"/>
        </w:numPr>
        <w:tabs>
          <w:tab w:val="left" w:pos="540"/>
        </w:tabs>
        <w:spacing w:line="600" w:lineRule="auto"/>
        <w:ind w:left="851" w:hanging="851"/>
        <w:rPr>
          <w:rFonts w:ascii="宋体" w:hAnsi="宋体" w:eastAsia="宋体" w:cs="Times New Roman"/>
          <w:color w:val="auto"/>
          <w:highlight w:val="none"/>
        </w:rPr>
      </w:pPr>
      <w:r>
        <w:rPr>
          <w:rFonts w:hint="eastAsia" w:ascii="宋体" w:hAnsi="宋体" w:eastAsia="宋体" w:cs="宋体"/>
          <w:color w:val="auto"/>
          <w:highlight w:val="none"/>
        </w:rPr>
        <w:t>为避免因迟到而失去投标</w:t>
      </w:r>
      <w:r>
        <w:rPr>
          <w:rFonts w:ascii="宋体" w:hAnsi="宋体" w:eastAsia="宋体" w:cs="宋体"/>
          <w:color w:val="auto"/>
          <w:highlight w:val="none"/>
        </w:rPr>
        <w:t>/</w:t>
      </w:r>
      <w:r>
        <w:rPr>
          <w:rFonts w:hint="eastAsia" w:ascii="宋体" w:hAnsi="宋体" w:eastAsia="宋体" w:cs="宋体"/>
          <w:color w:val="auto"/>
          <w:highlight w:val="none"/>
        </w:rPr>
        <w:t>报价资格，请</w:t>
      </w:r>
      <w:r>
        <w:rPr>
          <w:rFonts w:hint="eastAsia" w:ascii="宋体" w:hAnsi="宋体" w:eastAsia="宋体" w:cs="宋体"/>
          <w:b/>
          <w:bCs/>
          <w:color w:val="auto"/>
          <w:highlight w:val="none"/>
          <w:u w:val="single"/>
        </w:rPr>
        <w:t>适当提前到达</w:t>
      </w:r>
      <w:r>
        <w:rPr>
          <w:rFonts w:hint="eastAsia" w:ascii="宋体" w:hAnsi="宋体" w:eastAsia="宋体" w:cs="宋体"/>
          <w:color w:val="auto"/>
          <w:highlight w:val="none"/>
        </w:rPr>
        <w:t>。</w:t>
      </w:r>
    </w:p>
    <w:p>
      <w:pPr>
        <w:numPr>
          <w:ilvl w:val="0"/>
          <w:numId w:val="1"/>
        </w:numPr>
        <w:tabs>
          <w:tab w:val="left" w:pos="540"/>
        </w:tabs>
        <w:spacing w:line="600" w:lineRule="auto"/>
        <w:ind w:left="851" w:hanging="851"/>
        <w:rPr>
          <w:rFonts w:ascii="宋体" w:hAnsi="宋体" w:eastAsia="宋体" w:cs="Times New Roman"/>
          <w:color w:val="auto"/>
          <w:highlight w:val="none"/>
        </w:rPr>
      </w:pPr>
      <w:r>
        <w:rPr>
          <w:rFonts w:hint="eastAsia" w:ascii="宋体" w:hAnsi="宋体" w:eastAsia="宋体" w:cs="宋体"/>
          <w:color w:val="auto"/>
          <w:highlight w:val="none"/>
        </w:rPr>
        <w:t>投标</w:t>
      </w:r>
      <w:r>
        <w:rPr>
          <w:rFonts w:ascii="宋体" w:hAnsi="宋体" w:eastAsia="宋体" w:cs="宋体"/>
          <w:color w:val="auto"/>
          <w:highlight w:val="none"/>
        </w:rPr>
        <w:t>/</w:t>
      </w:r>
      <w:r>
        <w:rPr>
          <w:rFonts w:hint="eastAsia" w:ascii="宋体" w:hAnsi="宋体" w:eastAsia="宋体" w:cs="宋体"/>
          <w:color w:val="auto"/>
          <w:highlight w:val="none"/>
        </w:rPr>
        <w:t>报价文件应按顺序</w:t>
      </w:r>
      <w:r>
        <w:rPr>
          <w:rFonts w:hint="eastAsia" w:ascii="宋体" w:hAnsi="宋体" w:eastAsia="宋体" w:cs="宋体"/>
          <w:b/>
          <w:bCs/>
          <w:color w:val="auto"/>
          <w:highlight w:val="none"/>
          <w:u w:val="single"/>
        </w:rPr>
        <w:t>编制页码</w:t>
      </w:r>
      <w:r>
        <w:rPr>
          <w:rFonts w:hint="eastAsia" w:ascii="宋体" w:hAnsi="宋体" w:eastAsia="宋体" w:cs="宋体"/>
          <w:color w:val="auto"/>
          <w:highlight w:val="none"/>
        </w:rPr>
        <w:t>。</w:t>
      </w:r>
    </w:p>
    <w:p>
      <w:pPr>
        <w:numPr>
          <w:ilvl w:val="0"/>
          <w:numId w:val="1"/>
        </w:numPr>
        <w:tabs>
          <w:tab w:val="left" w:pos="540"/>
        </w:tabs>
        <w:spacing w:line="600" w:lineRule="auto"/>
        <w:ind w:left="851" w:hanging="851"/>
        <w:rPr>
          <w:rFonts w:ascii="宋体" w:hAnsi="宋体" w:eastAsia="宋体" w:cs="Times New Roman"/>
          <w:color w:val="auto"/>
          <w:highlight w:val="none"/>
        </w:rPr>
      </w:pPr>
      <w:r>
        <w:rPr>
          <w:rFonts w:hint="eastAsia" w:ascii="宋体" w:hAnsi="宋体" w:eastAsia="宋体" w:cs="宋体"/>
          <w:color w:val="auto"/>
          <w:highlight w:val="none"/>
        </w:rPr>
        <w:t>请仔细检查投标</w:t>
      </w:r>
      <w:r>
        <w:rPr>
          <w:rFonts w:ascii="宋体" w:hAnsi="宋体" w:eastAsia="宋体" w:cs="宋体"/>
          <w:color w:val="auto"/>
          <w:highlight w:val="none"/>
        </w:rPr>
        <w:t>/</w:t>
      </w:r>
      <w:r>
        <w:rPr>
          <w:rFonts w:hint="eastAsia" w:ascii="宋体" w:hAnsi="宋体" w:eastAsia="宋体" w:cs="宋体"/>
          <w:color w:val="auto"/>
          <w:highlight w:val="none"/>
        </w:rPr>
        <w:t>报价文件是否已按公开遴选文件要求</w:t>
      </w:r>
      <w:r>
        <w:rPr>
          <w:rFonts w:hint="eastAsia" w:ascii="宋体" w:hAnsi="宋体" w:eastAsia="宋体" w:cs="宋体"/>
          <w:b/>
          <w:bCs/>
          <w:color w:val="auto"/>
          <w:highlight w:val="none"/>
          <w:u w:val="single"/>
        </w:rPr>
        <w:t>盖章、签名、签署日期</w:t>
      </w:r>
      <w:r>
        <w:rPr>
          <w:rFonts w:hint="eastAsia" w:ascii="宋体" w:hAnsi="宋体" w:eastAsia="宋体" w:cs="宋体"/>
          <w:color w:val="auto"/>
          <w:highlight w:val="none"/>
        </w:rPr>
        <w:t>。</w:t>
      </w:r>
    </w:p>
    <w:p>
      <w:pPr>
        <w:numPr>
          <w:ilvl w:val="0"/>
          <w:numId w:val="1"/>
        </w:numPr>
        <w:tabs>
          <w:tab w:val="left" w:pos="540"/>
        </w:tabs>
        <w:spacing w:line="600" w:lineRule="auto"/>
        <w:ind w:left="851" w:hanging="851"/>
        <w:rPr>
          <w:rFonts w:ascii="宋体" w:hAnsi="宋体" w:eastAsia="宋体" w:cs="Times New Roman"/>
          <w:color w:val="auto"/>
          <w:highlight w:val="none"/>
        </w:rPr>
      </w:pPr>
      <w:r>
        <w:rPr>
          <w:rFonts w:hint="eastAsia" w:ascii="宋体" w:hAnsi="宋体" w:eastAsia="宋体" w:cs="宋体"/>
          <w:color w:val="auto"/>
          <w:highlight w:val="none"/>
        </w:rPr>
        <w:t>请正确填写《报价一览表》。多子包项目请仔细检查子包号，子包号与子包名称必须对应。</w:t>
      </w:r>
    </w:p>
    <w:p>
      <w:pPr>
        <w:numPr>
          <w:ilvl w:val="0"/>
          <w:numId w:val="1"/>
        </w:numPr>
        <w:tabs>
          <w:tab w:val="left" w:pos="540"/>
        </w:tabs>
        <w:spacing w:line="600" w:lineRule="auto"/>
        <w:ind w:left="851" w:hanging="851"/>
        <w:rPr>
          <w:rFonts w:ascii="宋体" w:hAnsi="宋体" w:eastAsia="宋体" w:cs="Times New Roman"/>
          <w:color w:val="auto"/>
          <w:highlight w:val="none"/>
        </w:rPr>
      </w:pPr>
      <w:r>
        <w:rPr>
          <w:rFonts w:hint="eastAsia" w:ascii="宋体" w:hAnsi="宋体" w:eastAsia="宋体" w:cs="宋体"/>
          <w:color w:val="auto"/>
          <w:highlight w:val="none"/>
        </w:rPr>
        <w:t>如投标</w:t>
      </w:r>
      <w:r>
        <w:rPr>
          <w:rFonts w:ascii="宋体" w:hAnsi="宋体" w:eastAsia="宋体" w:cs="宋体"/>
          <w:color w:val="auto"/>
          <w:highlight w:val="none"/>
        </w:rPr>
        <w:t>/</w:t>
      </w:r>
      <w:r>
        <w:rPr>
          <w:rFonts w:hint="eastAsia" w:ascii="宋体" w:hAnsi="宋体" w:eastAsia="宋体" w:cs="宋体"/>
          <w:color w:val="auto"/>
          <w:highlight w:val="none"/>
        </w:rPr>
        <w:t>报价产品属于许可证管理范围内的，须提交相应的许可证复印件。</w:t>
      </w:r>
    </w:p>
    <w:p>
      <w:pPr>
        <w:numPr>
          <w:ilvl w:val="0"/>
          <w:numId w:val="1"/>
        </w:numPr>
        <w:tabs>
          <w:tab w:val="left" w:pos="540"/>
        </w:tabs>
        <w:spacing w:line="600" w:lineRule="auto"/>
        <w:ind w:left="540" w:hanging="540"/>
        <w:rPr>
          <w:rFonts w:ascii="宋体" w:hAnsi="宋体" w:eastAsia="宋体" w:cs="Times New Roman"/>
          <w:color w:val="auto"/>
          <w:highlight w:val="none"/>
        </w:rPr>
      </w:pPr>
      <w:r>
        <w:rPr>
          <w:rFonts w:hint="eastAsia" w:ascii="Arial" w:hAnsi="宋体" w:eastAsia="宋体" w:cs="宋体"/>
          <w:color w:val="auto"/>
          <w:highlight w:val="none"/>
        </w:rPr>
        <w:t>如投标</w:t>
      </w:r>
      <w:r>
        <w:rPr>
          <w:rFonts w:ascii="宋体" w:hAnsi="宋体" w:eastAsia="宋体" w:cs="宋体"/>
          <w:color w:val="auto"/>
          <w:highlight w:val="none"/>
        </w:rPr>
        <w:t>/</w:t>
      </w:r>
      <w:r>
        <w:rPr>
          <w:rFonts w:hint="eastAsia" w:ascii="Arial" w:hAnsi="宋体" w:eastAsia="宋体" w:cs="宋体"/>
          <w:color w:val="auto"/>
          <w:highlight w:val="none"/>
        </w:rPr>
        <w:t>报价供应商以非独立法人注册的分公司名义代表总公司盖章和签署文件的</w:t>
      </w:r>
      <w:r>
        <w:rPr>
          <w:rFonts w:hint="eastAsia" w:ascii="宋体" w:hAnsi="宋体" w:eastAsia="宋体" w:cs="宋体"/>
          <w:color w:val="auto"/>
          <w:highlight w:val="none"/>
        </w:rPr>
        <w:t>，须提供总公司的营业执照副本复印件及总公司针对本项目投标</w:t>
      </w:r>
      <w:r>
        <w:rPr>
          <w:rFonts w:ascii="宋体" w:hAnsi="宋体" w:eastAsia="宋体" w:cs="宋体"/>
          <w:color w:val="auto"/>
          <w:highlight w:val="none"/>
        </w:rPr>
        <w:t>/</w:t>
      </w:r>
      <w:r>
        <w:rPr>
          <w:rFonts w:hint="eastAsia" w:ascii="宋体" w:hAnsi="宋体" w:eastAsia="宋体" w:cs="宋体"/>
          <w:color w:val="auto"/>
          <w:highlight w:val="none"/>
        </w:rPr>
        <w:t>报价的授权书原件。</w:t>
      </w:r>
    </w:p>
    <w:p>
      <w:pPr>
        <w:numPr>
          <w:ilvl w:val="0"/>
          <w:numId w:val="1"/>
        </w:numPr>
        <w:tabs>
          <w:tab w:val="left" w:pos="540"/>
        </w:tabs>
        <w:spacing w:line="600" w:lineRule="auto"/>
        <w:ind w:left="540" w:hanging="540"/>
        <w:rPr>
          <w:rFonts w:ascii="宋体" w:hAnsi="宋体" w:eastAsia="宋体" w:cs="宋体"/>
          <w:color w:val="auto"/>
          <w:highlight w:val="none"/>
        </w:rPr>
      </w:pPr>
      <w:r>
        <w:rPr>
          <w:rFonts w:hint="eastAsia" w:ascii="宋体" w:hAnsi="宋体" w:eastAsia="宋体" w:cs="宋体"/>
          <w:b/>
          <w:bCs/>
          <w:color w:val="auto"/>
          <w:highlight w:val="none"/>
        </w:rPr>
        <w:t>加★号的条款均被视为重要的指标要求，必须一一响应。若有一项带“★”的指标要求未响应或不满足，将按投标无效处理。</w:t>
      </w:r>
      <w:r>
        <w:rPr>
          <w:rFonts w:ascii="宋体" w:hAnsi="宋体" w:eastAsia="宋体" w:cs="宋体"/>
          <w:color w:val="auto"/>
          <w:highlight w:val="none"/>
        </w:rPr>
        <w:t xml:space="preserve"> </w:t>
      </w:r>
    </w:p>
    <w:p>
      <w:pPr>
        <w:numPr>
          <w:ilvl w:val="0"/>
          <w:numId w:val="1"/>
        </w:numPr>
        <w:tabs>
          <w:tab w:val="left" w:pos="540"/>
        </w:tabs>
        <w:spacing w:line="600" w:lineRule="auto"/>
        <w:ind w:left="851" w:hanging="851"/>
        <w:rPr>
          <w:rFonts w:ascii="宋体" w:hAnsi="宋体" w:eastAsia="宋体" w:cs="Times New Roman"/>
          <w:color w:val="auto"/>
          <w:highlight w:val="none"/>
        </w:rPr>
      </w:pPr>
      <w:r>
        <w:rPr>
          <w:rFonts w:hint="eastAsia" w:ascii="宋体" w:hAnsi="宋体" w:eastAsia="宋体" w:cs="宋体"/>
          <w:color w:val="auto"/>
          <w:highlight w:val="none"/>
        </w:rPr>
        <w:t>以联合体形式投标</w:t>
      </w:r>
      <w:r>
        <w:rPr>
          <w:rFonts w:ascii="宋体" w:hAnsi="宋体" w:eastAsia="宋体" w:cs="宋体"/>
          <w:color w:val="auto"/>
          <w:highlight w:val="none"/>
        </w:rPr>
        <w:t>/</w:t>
      </w:r>
      <w:r>
        <w:rPr>
          <w:rFonts w:hint="eastAsia" w:ascii="宋体" w:hAnsi="宋体" w:eastAsia="宋体" w:cs="宋体"/>
          <w:color w:val="auto"/>
          <w:highlight w:val="none"/>
        </w:rPr>
        <w:t>报价的，请提交《联合体共同投标协议书》。</w:t>
      </w:r>
    </w:p>
    <w:p>
      <w:pPr>
        <w:numPr>
          <w:ilvl w:val="0"/>
          <w:numId w:val="1"/>
        </w:numPr>
        <w:tabs>
          <w:tab w:val="left" w:pos="540"/>
        </w:tabs>
        <w:spacing w:line="600" w:lineRule="auto"/>
        <w:ind w:left="851" w:hanging="851"/>
        <w:rPr>
          <w:rFonts w:ascii="宋体" w:hAnsi="宋体" w:eastAsia="宋体" w:cs="Times New Roman"/>
          <w:color w:val="auto"/>
          <w:highlight w:val="none"/>
        </w:rPr>
      </w:pPr>
      <w:r>
        <w:rPr>
          <w:rFonts w:hint="eastAsia" w:ascii="宋体" w:hAnsi="宋体" w:eastAsia="宋体" w:cs="宋体"/>
          <w:color w:val="auto"/>
          <w:highlight w:val="none"/>
        </w:rPr>
        <w:t>投标</w:t>
      </w:r>
      <w:r>
        <w:rPr>
          <w:rFonts w:ascii="宋体" w:hAnsi="宋体" w:eastAsia="宋体" w:cs="宋体"/>
          <w:color w:val="auto"/>
          <w:highlight w:val="none"/>
        </w:rPr>
        <w:t>/</w:t>
      </w:r>
      <w:r>
        <w:rPr>
          <w:rFonts w:hint="eastAsia" w:ascii="宋体" w:hAnsi="宋体" w:eastAsia="宋体" w:cs="宋体"/>
          <w:color w:val="auto"/>
          <w:highlight w:val="none"/>
        </w:rPr>
        <w:t>报价供应商为中型、小型、微型企业的，请提交《中小企业声明函》。</w:t>
      </w:r>
    </w:p>
    <w:p>
      <w:pPr>
        <w:numPr>
          <w:ilvl w:val="0"/>
          <w:numId w:val="1"/>
        </w:numPr>
        <w:tabs>
          <w:tab w:val="left" w:pos="540"/>
        </w:tabs>
        <w:spacing w:line="600" w:lineRule="auto"/>
        <w:ind w:left="540" w:hanging="540"/>
        <w:rPr>
          <w:rFonts w:ascii="宋体" w:hAnsi="宋体" w:eastAsia="宋体" w:cs="Times New Roman"/>
          <w:color w:val="auto"/>
          <w:highlight w:val="none"/>
        </w:rPr>
      </w:pPr>
      <w:r>
        <w:rPr>
          <w:rFonts w:hint="eastAsia" w:ascii="宋体" w:hAnsi="宋体" w:eastAsia="宋体" w:cs="宋体"/>
          <w:color w:val="auto"/>
          <w:highlight w:val="none"/>
        </w:rPr>
        <w:t>为了提高政府采购效率，节约社会交易成本与时间，希望购买了公开遴选文件而决定不参加本次投标</w:t>
      </w:r>
      <w:r>
        <w:rPr>
          <w:rFonts w:ascii="宋体" w:hAnsi="宋体" w:eastAsia="宋体" w:cs="宋体"/>
          <w:color w:val="auto"/>
          <w:highlight w:val="none"/>
        </w:rPr>
        <w:t>/</w:t>
      </w:r>
      <w:r>
        <w:rPr>
          <w:rFonts w:hint="eastAsia" w:ascii="宋体" w:hAnsi="宋体" w:eastAsia="宋体" w:cs="宋体"/>
          <w:color w:val="auto"/>
          <w:highlight w:val="none"/>
        </w:rPr>
        <w:t>报价的供应商，在投标</w:t>
      </w:r>
      <w:r>
        <w:rPr>
          <w:rFonts w:ascii="宋体" w:hAnsi="宋体" w:eastAsia="宋体" w:cs="宋体"/>
          <w:color w:val="auto"/>
          <w:highlight w:val="none"/>
        </w:rPr>
        <w:t>/</w:t>
      </w:r>
      <w:r>
        <w:rPr>
          <w:rFonts w:hint="eastAsia" w:ascii="宋体" w:hAnsi="宋体" w:eastAsia="宋体" w:cs="宋体"/>
          <w:color w:val="auto"/>
          <w:highlight w:val="none"/>
        </w:rPr>
        <w:t>报价文件递交截止时间的</w:t>
      </w:r>
      <w:r>
        <w:rPr>
          <w:rFonts w:ascii="宋体" w:hAnsi="宋体" w:eastAsia="宋体" w:cs="宋体"/>
          <w:color w:val="auto"/>
          <w:highlight w:val="none"/>
        </w:rPr>
        <w:t>3</w:t>
      </w:r>
      <w:r>
        <w:rPr>
          <w:rFonts w:hint="eastAsia" w:ascii="宋体" w:hAnsi="宋体" w:eastAsia="宋体" w:cs="宋体"/>
          <w:color w:val="auto"/>
          <w:highlight w:val="none"/>
        </w:rPr>
        <w:t>日前，按《投标</w:t>
      </w:r>
      <w:r>
        <w:rPr>
          <w:rFonts w:ascii="宋体" w:hAnsi="宋体" w:eastAsia="宋体" w:cs="宋体"/>
          <w:color w:val="auto"/>
          <w:highlight w:val="none"/>
        </w:rPr>
        <w:t>/</w:t>
      </w:r>
      <w:r>
        <w:rPr>
          <w:rFonts w:hint="eastAsia" w:ascii="宋体" w:hAnsi="宋体" w:eastAsia="宋体" w:cs="宋体"/>
          <w:color w:val="auto"/>
          <w:highlight w:val="none"/>
        </w:rPr>
        <w:t>报价邀请函》中的联系方式，以书面形式告知采购代理机构。对您的支持与配合，谨此致谢。</w:t>
      </w:r>
    </w:p>
    <w:p>
      <w:pPr>
        <w:spacing w:before="120" w:beforeLines="50" w:after="120" w:afterLines="50" w:line="600" w:lineRule="auto"/>
        <w:jc w:val="center"/>
        <w:rPr>
          <w:rFonts w:ascii="宋体" w:hAnsi="宋体" w:eastAsia="宋体" w:cs="Times New Roman"/>
          <w:b/>
          <w:bCs/>
          <w:color w:val="auto"/>
          <w:sz w:val="36"/>
          <w:szCs w:val="36"/>
          <w:highlight w:val="none"/>
        </w:rPr>
      </w:pPr>
      <w:r>
        <w:rPr>
          <w:rFonts w:ascii="宋体" w:hAnsi="宋体" w:eastAsia="宋体" w:cs="Times New Roman"/>
          <w:color w:val="auto"/>
          <w:highlight w:val="none"/>
        </w:rPr>
        <w:tab/>
      </w:r>
      <w:r>
        <w:rPr>
          <w:rFonts w:hint="eastAsia" w:ascii="宋体" w:hAnsi="宋体" w:eastAsia="宋体" w:cs="宋体"/>
          <w:color w:val="auto"/>
          <w:highlight w:val="none"/>
        </w:rPr>
        <w:t>（本提示内容非公开遴选文件的组成部分，仅为善意提醒。如有不一致，以公开遴选文件为准）</w:t>
      </w:r>
      <w:r>
        <w:rPr>
          <w:rFonts w:ascii="宋体" w:hAnsi="宋体" w:eastAsia="宋体" w:cs="Times New Roman"/>
          <w:b/>
          <w:bCs/>
          <w:color w:val="auto"/>
          <w:sz w:val="36"/>
          <w:szCs w:val="36"/>
          <w:highlight w:val="none"/>
        </w:rPr>
        <w:br w:type="page"/>
      </w:r>
      <w:r>
        <w:rPr>
          <w:rFonts w:hint="eastAsia" w:ascii="宋体" w:hAnsi="宋体" w:eastAsia="宋体" w:cs="宋体"/>
          <w:b/>
          <w:bCs/>
          <w:color w:val="auto"/>
          <w:sz w:val="36"/>
          <w:szCs w:val="36"/>
          <w:highlight w:val="none"/>
        </w:rPr>
        <w:t>目</w:t>
      </w:r>
      <w:r>
        <w:rPr>
          <w:rFonts w:ascii="宋体" w:hAnsi="宋体" w:eastAsia="宋体" w:cs="宋体"/>
          <w:b/>
          <w:bCs/>
          <w:color w:val="auto"/>
          <w:sz w:val="36"/>
          <w:szCs w:val="36"/>
          <w:highlight w:val="none"/>
        </w:rPr>
        <w:t xml:space="preserve">   </w:t>
      </w:r>
      <w:r>
        <w:rPr>
          <w:rFonts w:hint="eastAsia" w:ascii="宋体" w:hAnsi="宋体" w:eastAsia="宋体" w:cs="宋体"/>
          <w:b/>
          <w:bCs/>
          <w:color w:val="auto"/>
          <w:sz w:val="36"/>
          <w:szCs w:val="36"/>
          <w:highlight w:val="none"/>
        </w:rPr>
        <w:t>录</w:t>
      </w:r>
    </w:p>
    <w:p>
      <w:pPr>
        <w:spacing w:before="240" w:beforeLines="100" w:after="240" w:afterLines="100" w:line="360" w:lineRule="auto"/>
        <w:rPr>
          <w:rFonts w:ascii="宋体" w:hAnsi="宋体" w:eastAsia="宋体" w:cs="Times New Roman"/>
          <w:smallCaps/>
          <w:color w:val="auto"/>
          <w:sz w:val="28"/>
          <w:szCs w:val="28"/>
          <w:highlight w:val="none"/>
          <w:u w:val="single"/>
        </w:rPr>
      </w:pPr>
    </w:p>
    <w:p>
      <w:pPr>
        <w:tabs>
          <w:tab w:val="right" w:leader="dot" w:pos="9231"/>
        </w:tabs>
        <w:spacing w:before="120" w:after="120" w:line="360" w:lineRule="auto"/>
        <w:jc w:val="left"/>
        <w:rPr>
          <w:rFonts w:ascii="Calibri" w:hAnsi="Calibri" w:eastAsia="宋体" w:cs="Times New Roman"/>
          <w:color w:val="auto"/>
          <w:sz w:val="28"/>
          <w:szCs w:val="28"/>
          <w:highlight w:val="none"/>
        </w:rPr>
      </w:pPr>
      <w:r>
        <w:rPr>
          <w:rFonts w:ascii="宋体" w:hAnsi="宋体" w:eastAsia="宋体" w:cs="宋体"/>
          <w:b/>
          <w:bCs/>
          <w:smallCaps/>
          <w:color w:val="auto"/>
          <w:sz w:val="28"/>
          <w:szCs w:val="28"/>
          <w:highlight w:val="none"/>
          <w:u w:val="single"/>
        </w:rPr>
        <w:fldChar w:fldCharType="begin"/>
      </w:r>
      <w:r>
        <w:rPr>
          <w:rFonts w:ascii="宋体" w:hAnsi="宋体" w:eastAsia="宋体" w:cs="宋体"/>
          <w:b/>
          <w:bCs/>
          <w:smallCaps/>
          <w:color w:val="auto"/>
          <w:sz w:val="28"/>
          <w:szCs w:val="28"/>
          <w:highlight w:val="none"/>
          <w:u w:val="single"/>
        </w:rPr>
        <w:instrText xml:space="preserve">TOC \o "1-1" \h \z \u</w:instrText>
      </w:r>
      <w:r>
        <w:rPr>
          <w:rFonts w:ascii="宋体" w:hAnsi="宋体" w:eastAsia="宋体" w:cs="宋体"/>
          <w:b/>
          <w:bCs/>
          <w:smallCaps/>
          <w:color w:val="auto"/>
          <w:sz w:val="28"/>
          <w:szCs w:val="28"/>
          <w:highlight w:val="none"/>
          <w:u w:val="single"/>
        </w:rPr>
        <w:fldChar w:fldCharType="separate"/>
      </w:r>
      <w:r>
        <w:rPr>
          <w:color w:val="auto"/>
          <w:highlight w:val="none"/>
        </w:rPr>
        <w:fldChar w:fldCharType="begin"/>
      </w:r>
      <w:r>
        <w:rPr>
          <w:color w:val="auto"/>
          <w:highlight w:val="none"/>
        </w:rPr>
        <w:instrText xml:space="preserve"> HYPERLINK \l "_Toc475104466" </w:instrText>
      </w:r>
      <w:r>
        <w:rPr>
          <w:color w:val="auto"/>
          <w:highlight w:val="none"/>
        </w:rPr>
        <w:fldChar w:fldCharType="separate"/>
      </w:r>
      <w:r>
        <w:rPr>
          <w:rFonts w:hint="eastAsia" w:ascii="Times New Roman" w:hAnsi="Times New Roman" w:eastAsia="宋体" w:cs="宋体"/>
          <w:b/>
          <w:bCs/>
          <w:caps/>
          <w:color w:val="auto"/>
          <w:sz w:val="28"/>
          <w:szCs w:val="28"/>
          <w:highlight w:val="none"/>
          <w:u w:val="single"/>
        </w:rPr>
        <w:t>第一章</w:t>
      </w:r>
      <w:r>
        <w:rPr>
          <w:rFonts w:ascii="Times New Roman" w:hAnsi="Times New Roman" w:eastAsia="宋体" w:cs="Times New Roman"/>
          <w:b/>
          <w:bCs/>
          <w:caps/>
          <w:color w:val="auto"/>
          <w:sz w:val="28"/>
          <w:szCs w:val="28"/>
          <w:highlight w:val="none"/>
          <w:u w:val="single"/>
        </w:rPr>
        <w:t xml:space="preserve"> </w:t>
      </w:r>
      <w:r>
        <w:rPr>
          <w:rFonts w:hint="eastAsia" w:ascii="Times New Roman" w:hAnsi="Times New Roman" w:eastAsia="宋体" w:cs="宋体"/>
          <w:b/>
          <w:bCs/>
          <w:caps/>
          <w:color w:val="auto"/>
          <w:sz w:val="28"/>
          <w:szCs w:val="28"/>
          <w:highlight w:val="none"/>
          <w:u w:val="single"/>
        </w:rPr>
        <w:t>公开遴选公告</w:t>
      </w:r>
      <w:r>
        <w:rPr>
          <w:rFonts w:ascii="Times New Roman" w:hAnsi="Times New Roman" w:eastAsia="宋体" w:cs="Times New Roman"/>
          <w:b/>
          <w:bCs/>
          <w:caps/>
          <w:color w:val="auto"/>
          <w:sz w:val="28"/>
          <w:szCs w:val="28"/>
          <w:highlight w:val="none"/>
        </w:rPr>
        <w:tab/>
      </w:r>
      <w:r>
        <w:rPr>
          <w:rFonts w:ascii="Times New Roman" w:hAnsi="Times New Roman" w:eastAsia="宋体" w:cs="Times New Roman"/>
          <w:b/>
          <w:bCs/>
          <w:caps/>
          <w:color w:val="auto"/>
          <w:sz w:val="28"/>
          <w:szCs w:val="28"/>
          <w:highlight w:val="none"/>
        </w:rPr>
        <w:fldChar w:fldCharType="begin"/>
      </w:r>
      <w:r>
        <w:rPr>
          <w:rFonts w:ascii="Times New Roman" w:hAnsi="Times New Roman" w:eastAsia="宋体" w:cs="Times New Roman"/>
          <w:b/>
          <w:bCs/>
          <w:caps/>
          <w:color w:val="auto"/>
          <w:sz w:val="28"/>
          <w:szCs w:val="28"/>
          <w:highlight w:val="none"/>
        </w:rPr>
        <w:instrText xml:space="preserve"> PAGEREF _Toc475104466 \h </w:instrText>
      </w:r>
      <w:r>
        <w:rPr>
          <w:rFonts w:ascii="Times New Roman" w:hAnsi="Times New Roman" w:eastAsia="宋体" w:cs="Times New Roman"/>
          <w:b/>
          <w:bCs/>
          <w:caps/>
          <w:color w:val="auto"/>
          <w:sz w:val="28"/>
          <w:szCs w:val="28"/>
          <w:highlight w:val="none"/>
        </w:rPr>
        <w:fldChar w:fldCharType="separate"/>
      </w:r>
      <w:r>
        <w:rPr>
          <w:rFonts w:ascii="Times New Roman" w:hAnsi="Times New Roman" w:eastAsia="宋体" w:cs="Times New Roman"/>
          <w:b/>
          <w:bCs/>
          <w:caps/>
          <w:color w:val="auto"/>
          <w:sz w:val="28"/>
          <w:szCs w:val="28"/>
          <w:highlight w:val="none"/>
        </w:rPr>
        <w:t>3</w:t>
      </w:r>
      <w:r>
        <w:rPr>
          <w:rFonts w:ascii="Times New Roman" w:hAnsi="Times New Roman" w:eastAsia="宋体" w:cs="Times New Roman"/>
          <w:b/>
          <w:bCs/>
          <w:caps/>
          <w:color w:val="auto"/>
          <w:sz w:val="28"/>
          <w:szCs w:val="28"/>
          <w:highlight w:val="none"/>
        </w:rPr>
        <w:fldChar w:fldCharType="end"/>
      </w:r>
      <w:r>
        <w:rPr>
          <w:rFonts w:ascii="Times New Roman" w:hAnsi="Times New Roman" w:eastAsia="宋体" w:cs="Times New Roman"/>
          <w:b/>
          <w:bCs/>
          <w:caps/>
          <w:color w:val="auto"/>
          <w:sz w:val="28"/>
          <w:szCs w:val="28"/>
          <w:highlight w:val="none"/>
        </w:rPr>
        <w:fldChar w:fldCharType="end"/>
      </w:r>
    </w:p>
    <w:p>
      <w:pPr>
        <w:tabs>
          <w:tab w:val="right" w:leader="dot" w:pos="9231"/>
        </w:tabs>
        <w:spacing w:before="120" w:after="120" w:line="360" w:lineRule="auto"/>
        <w:jc w:val="left"/>
        <w:rPr>
          <w:rFonts w:ascii="Calibri" w:hAnsi="Calibri" w:eastAsia="宋体" w:cs="Times New Roman"/>
          <w:color w:val="auto"/>
          <w:sz w:val="28"/>
          <w:szCs w:val="28"/>
          <w:highlight w:val="none"/>
        </w:rPr>
      </w:pPr>
      <w:r>
        <w:rPr>
          <w:color w:val="auto"/>
          <w:highlight w:val="none"/>
        </w:rPr>
        <w:fldChar w:fldCharType="begin"/>
      </w:r>
      <w:r>
        <w:rPr>
          <w:color w:val="auto"/>
          <w:highlight w:val="none"/>
        </w:rPr>
        <w:instrText xml:space="preserve"> HYPERLINK \l "_Toc475104467" </w:instrText>
      </w:r>
      <w:r>
        <w:rPr>
          <w:color w:val="auto"/>
          <w:highlight w:val="none"/>
        </w:rPr>
        <w:fldChar w:fldCharType="separate"/>
      </w:r>
      <w:r>
        <w:rPr>
          <w:rFonts w:hint="eastAsia" w:ascii="Times New Roman" w:hAnsi="Times New Roman" w:eastAsia="宋体" w:cs="宋体"/>
          <w:b/>
          <w:bCs/>
          <w:caps/>
          <w:color w:val="auto"/>
          <w:sz w:val="28"/>
          <w:szCs w:val="28"/>
          <w:highlight w:val="none"/>
          <w:u w:val="single"/>
        </w:rPr>
        <w:t>第二章</w:t>
      </w:r>
      <w:r>
        <w:rPr>
          <w:rFonts w:ascii="Times New Roman" w:hAnsi="Times New Roman" w:eastAsia="宋体" w:cs="Times New Roman"/>
          <w:b/>
          <w:bCs/>
          <w:caps/>
          <w:color w:val="auto"/>
          <w:sz w:val="28"/>
          <w:szCs w:val="28"/>
          <w:highlight w:val="none"/>
          <w:u w:val="single"/>
        </w:rPr>
        <w:t xml:space="preserve"> </w:t>
      </w:r>
      <w:r>
        <w:rPr>
          <w:rFonts w:hint="eastAsia" w:ascii="Times New Roman" w:hAnsi="Times New Roman" w:eastAsia="宋体" w:cs="宋体"/>
          <w:b/>
          <w:bCs/>
          <w:caps/>
          <w:color w:val="auto"/>
          <w:sz w:val="28"/>
          <w:szCs w:val="28"/>
          <w:highlight w:val="none"/>
          <w:u w:val="single"/>
        </w:rPr>
        <w:t>公开遴选须</w:t>
      </w:r>
      <w:bookmarkStart w:id="2" w:name="_Hlt509928387"/>
      <w:r>
        <w:rPr>
          <w:rFonts w:hint="eastAsia" w:ascii="Times New Roman" w:hAnsi="Times New Roman" w:eastAsia="宋体" w:cs="宋体"/>
          <w:b/>
          <w:bCs/>
          <w:caps/>
          <w:color w:val="auto"/>
          <w:sz w:val="28"/>
          <w:szCs w:val="28"/>
          <w:highlight w:val="none"/>
          <w:u w:val="single"/>
        </w:rPr>
        <w:t>知</w:t>
      </w:r>
      <w:bookmarkEnd w:id="2"/>
      <w:r>
        <w:rPr>
          <w:rFonts w:ascii="Times New Roman" w:hAnsi="Times New Roman" w:eastAsia="宋体" w:cs="Times New Roman"/>
          <w:b/>
          <w:bCs/>
          <w:caps/>
          <w:color w:val="auto"/>
          <w:sz w:val="28"/>
          <w:szCs w:val="28"/>
          <w:highlight w:val="none"/>
        </w:rPr>
        <w:tab/>
      </w:r>
      <w:r>
        <w:rPr>
          <w:rFonts w:ascii="Times New Roman" w:hAnsi="Times New Roman" w:eastAsia="宋体" w:cs="Times New Roman"/>
          <w:b/>
          <w:bCs/>
          <w:caps/>
          <w:color w:val="auto"/>
          <w:sz w:val="28"/>
          <w:szCs w:val="28"/>
          <w:highlight w:val="none"/>
        </w:rPr>
        <w:t>5</w:t>
      </w:r>
      <w:r>
        <w:rPr>
          <w:rFonts w:ascii="Times New Roman" w:hAnsi="Times New Roman" w:eastAsia="宋体" w:cs="Times New Roman"/>
          <w:b/>
          <w:bCs/>
          <w:caps/>
          <w:color w:val="auto"/>
          <w:sz w:val="28"/>
          <w:szCs w:val="28"/>
          <w:highlight w:val="none"/>
        </w:rPr>
        <w:fldChar w:fldCharType="end"/>
      </w:r>
    </w:p>
    <w:p>
      <w:pPr>
        <w:tabs>
          <w:tab w:val="right" w:leader="dot" w:pos="9231"/>
        </w:tabs>
        <w:spacing w:before="120" w:after="120" w:line="360" w:lineRule="auto"/>
        <w:jc w:val="left"/>
        <w:rPr>
          <w:rFonts w:ascii="Calibri" w:hAnsi="Calibri" w:eastAsia="宋体" w:cs="Times New Roman"/>
          <w:color w:val="auto"/>
          <w:sz w:val="28"/>
          <w:szCs w:val="28"/>
          <w:highlight w:val="none"/>
        </w:rPr>
      </w:pPr>
      <w:r>
        <w:rPr>
          <w:color w:val="auto"/>
          <w:highlight w:val="none"/>
        </w:rPr>
        <w:fldChar w:fldCharType="begin"/>
      </w:r>
      <w:r>
        <w:rPr>
          <w:color w:val="auto"/>
          <w:highlight w:val="none"/>
        </w:rPr>
        <w:instrText xml:space="preserve"> HYPERLINK \l "_Toc475104521" </w:instrText>
      </w:r>
      <w:r>
        <w:rPr>
          <w:color w:val="auto"/>
          <w:highlight w:val="none"/>
        </w:rPr>
        <w:fldChar w:fldCharType="separate"/>
      </w:r>
      <w:r>
        <w:rPr>
          <w:rFonts w:hint="eastAsia" w:ascii="Times New Roman" w:hAnsi="Times New Roman" w:eastAsia="宋体" w:cs="宋体"/>
          <w:b/>
          <w:bCs/>
          <w:caps/>
          <w:color w:val="auto"/>
          <w:sz w:val="28"/>
          <w:szCs w:val="28"/>
          <w:highlight w:val="none"/>
          <w:u w:val="single"/>
        </w:rPr>
        <w:t>第三章</w:t>
      </w:r>
      <w:r>
        <w:rPr>
          <w:rFonts w:ascii="Times New Roman" w:hAnsi="Times New Roman" w:eastAsia="宋体" w:cs="Times New Roman"/>
          <w:b/>
          <w:bCs/>
          <w:caps/>
          <w:color w:val="auto"/>
          <w:sz w:val="28"/>
          <w:szCs w:val="28"/>
          <w:highlight w:val="none"/>
          <w:u w:val="single"/>
        </w:rPr>
        <w:t xml:space="preserve"> </w:t>
      </w:r>
      <w:r>
        <w:rPr>
          <w:rFonts w:hint="eastAsia" w:ascii="Times New Roman" w:hAnsi="Times New Roman" w:eastAsia="宋体" w:cs="宋体"/>
          <w:b/>
          <w:bCs/>
          <w:caps/>
          <w:color w:val="auto"/>
          <w:sz w:val="28"/>
          <w:szCs w:val="28"/>
          <w:highlight w:val="none"/>
          <w:u w:val="single"/>
        </w:rPr>
        <w:t>采购人</w:t>
      </w:r>
      <w:bookmarkStart w:id="3" w:name="_Hlt510014101"/>
      <w:r>
        <w:rPr>
          <w:rFonts w:hint="eastAsia" w:ascii="Times New Roman" w:hAnsi="Times New Roman" w:eastAsia="宋体" w:cs="宋体"/>
          <w:b/>
          <w:bCs/>
          <w:caps/>
          <w:color w:val="auto"/>
          <w:sz w:val="28"/>
          <w:szCs w:val="28"/>
          <w:highlight w:val="none"/>
          <w:u w:val="single"/>
        </w:rPr>
        <w:t>需</w:t>
      </w:r>
      <w:bookmarkEnd w:id="3"/>
      <w:bookmarkStart w:id="4" w:name="_Hlt510971526"/>
      <w:r>
        <w:rPr>
          <w:rFonts w:hint="eastAsia" w:ascii="Times New Roman" w:hAnsi="Times New Roman" w:eastAsia="宋体" w:cs="宋体"/>
          <w:b/>
          <w:bCs/>
          <w:caps/>
          <w:color w:val="auto"/>
          <w:sz w:val="28"/>
          <w:szCs w:val="28"/>
          <w:highlight w:val="none"/>
          <w:u w:val="single"/>
        </w:rPr>
        <w:t>求</w:t>
      </w:r>
      <w:bookmarkEnd w:id="4"/>
      <w:bookmarkStart w:id="5" w:name="_Hlt510014037"/>
      <w:bookmarkStart w:id="6" w:name="_Hlt510014036"/>
      <w:r>
        <w:rPr>
          <w:rFonts w:hint="eastAsia" w:ascii="Times New Roman" w:hAnsi="Times New Roman" w:eastAsia="宋体" w:cs="宋体"/>
          <w:b/>
          <w:bCs/>
          <w:caps/>
          <w:color w:val="auto"/>
          <w:sz w:val="28"/>
          <w:szCs w:val="28"/>
          <w:highlight w:val="none"/>
          <w:u w:val="single"/>
        </w:rPr>
        <w:t>书</w:t>
      </w:r>
      <w:bookmarkEnd w:id="5"/>
      <w:bookmarkEnd w:id="6"/>
      <w:bookmarkStart w:id="7" w:name="_Hlt509994710"/>
      <w:bookmarkStart w:id="8" w:name="_Hlt509991847"/>
      <w:bookmarkStart w:id="9" w:name="_Hlt509994711"/>
      <w:r>
        <w:rPr>
          <w:rFonts w:ascii="Times New Roman" w:hAnsi="Times New Roman" w:eastAsia="宋体" w:cs="Times New Roman"/>
          <w:b/>
          <w:bCs/>
          <w:caps/>
          <w:color w:val="auto"/>
          <w:sz w:val="28"/>
          <w:szCs w:val="28"/>
          <w:highlight w:val="none"/>
        </w:rPr>
        <w:tab/>
      </w:r>
      <w:bookmarkEnd w:id="7"/>
      <w:bookmarkEnd w:id="8"/>
      <w:bookmarkEnd w:id="9"/>
      <w:r>
        <w:rPr>
          <w:rFonts w:ascii="Times New Roman" w:hAnsi="Times New Roman" w:eastAsia="宋体" w:cs="Times New Roman"/>
          <w:b/>
          <w:bCs/>
          <w:caps/>
          <w:color w:val="auto"/>
          <w:sz w:val="28"/>
          <w:szCs w:val="28"/>
          <w:highlight w:val="none"/>
        </w:rPr>
        <w:fldChar w:fldCharType="begin"/>
      </w:r>
      <w:r>
        <w:rPr>
          <w:rFonts w:ascii="Times New Roman" w:hAnsi="Times New Roman" w:eastAsia="宋体" w:cs="Times New Roman"/>
          <w:b/>
          <w:bCs/>
          <w:caps/>
          <w:color w:val="auto"/>
          <w:sz w:val="28"/>
          <w:szCs w:val="28"/>
          <w:highlight w:val="none"/>
        </w:rPr>
        <w:instrText xml:space="preserve"> PAGEREF _Toc475104521 \h </w:instrText>
      </w:r>
      <w:r>
        <w:rPr>
          <w:rFonts w:ascii="Times New Roman" w:hAnsi="Times New Roman" w:eastAsia="宋体" w:cs="Times New Roman"/>
          <w:b/>
          <w:bCs/>
          <w:caps/>
          <w:color w:val="auto"/>
          <w:sz w:val="28"/>
          <w:szCs w:val="28"/>
          <w:highlight w:val="none"/>
        </w:rPr>
        <w:fldChar w:fldCharType="separate"/>
      </w:r>
      <w:r>
        <w:rPr>
          <w:rFonts w:ascii="Times New Roman" w:hAnsi="Times New Roman" w:eastAsia="宋体" w:cs="Times New Roman"/>
          <w:b/>
          <w:bCs/>
          <w:caps/>
          <w:color w:val="auto"/>
          <w:sz w:val="28"/>
          <w:szCs w:val="28"/>
          <w:highlight w:val="none"/>
        </w:rPr>
        <w:t>3</w:t>
      </w:r>
      <w:r>
        <w:rPr>
          <w:rFonts w:ascii="Times New Roman" w:hAnsi="Times New Roman" w:eastAsia="宋体" w:cs="Times New Roman"/>
          <w:b/>
          <w:bCs/>
          <w:caps/>
          <w:color w:val="auto"/>
          <w:sz w:val="28"/>
          <w:szCs w:val="28"/>
          <w:highlight w:val="none"/>
        </w:rPr>
        <w:fldChar w:fldCharType="end"/>
      </w:r>
      <w:r>
        <w:rPr>
          <w:rFonts w:ascii="Times New Roman" w:hAnsi="Times New Roman" w:eastAsia="宋体" w:cs="Times New Roman"/>
          <w:b/>
          <w:bCs/>
          <w:caps/>
          <w:color w:val="auto"/>
          <w:sz w:val="28"/>
          <w:szCs w:val="28"/>
          <w:highlight w:val="none"/>
        </w:rPr>
        <w:fldChar w:fldCharType="end"/>
      </w:r>
    </w:p>
    <w:p>
      <w:pPr>
        <w:tabs>
          <w:tab w:val="right" w:leader="dot" w:pos="9231"/>
        </w:tabs>
        <w:spacing w:before="120" w:after="120" w:line="360" w:lineRule="auto"/>
        <w:jc w:val="left"/>
        <w:rPr>
          <w:rFonts w:ascii="Calibri" w:hAnsi="Calibri" w:eastAsia="宋体" w:cs="Times New Roman"/>
          <w:color w:val="auto"/>
          <w:sz w:val="28"/>
          <w:szCs w:val="28"/>
          <w:highlight w:val="none"/>
        </w:rPr>
      </w:pPr>
      <w:r>
        <w:rPr>
          <w:color w:val="auto"/>
          <w:highlight w:val="none"/>
        </w:rPr>
        <w:fldChar w:fldCharType="begin"/>
      </w:r>
      <w:r>
        <w:rPr>
          <w:color w:val="auto"/>
          <w:highlight w:val="none"/>
        </w:rPr>
        <w:instrText xml:space="preserve"> HYPERLINK \l "_Toc475104527" </w:instrText>
      </w:r>
      <w:r>
        <w:rPr>
          <w:color w:val="auto"/>
          <w:highlight w:val="none"/>
        </w:rPr>
        <w:fldChar w:fldCharType="separate"/>
      </w:r>
      <w:r>
        <w:rPr>
          <w:rFonts w:hint="eastAsia" w:ascii="Times New Roman" w:hAnsi="Times New Roman" w:eastAsia="宋体" w:cs="宋体"/>
          <w:b/>
          <w:bCs/>
          <w:caps/>
          <w:color w:val="auto"/>
          <w:sz w:val="28"/>
          <w:szCs w:val="28"/>
          <w:highlight w:val="none"/>
          <w:u w:val="single"/>
        </w:rPr>
        <w:t>第四章</w:t>
      </w:r>
      <w:r>
        <w:rPr>
          <w:rFonts w:ascii="Times New Roman" w:hAnsi="Times New Roman" w:eastAsia="宋体" w:cs="Times New Roman"/>
          <w:b/>
          <w:bCs/>
          <w:caps/>
          <w:color w:val="auto"/>
          <w:sz w:val="28"/>
          <w:szCs w:val="28"/>
          <w:highlight w:val="none"/>
          <w:u w:val="single"/>
        </w:rPr>
        <w:t xml:space="preserve"> </w:t>
      </w:r>
      <w:bookmarkStart w:id="10" w:name="_Hlt511828826"/>
      <w:r>
        <w:rPr>
          <w:rFonts w:hint="eastAsia" w:ascii="Times New Roman" w:hAnsi="Times New Roman" w:eastAsia="宋体" w:cs="宋体"/>
          <w:b/>
          <w:bCs/>
          <w:caps/>
          <w:color w:val="auto"/>
          <w:sz w:val="28"/>
          <w:szCs w:val="28"/>
          <w:highlight w:val="none"/>
          <w:u w:val="single"/>
        </w:rPr>
        <w:t>合同（</w:t>
      </w:r>
      <w:bookmarkEnd w:id="10"/>
      <w:r>
        <w:rPr>
          <w:rFonts w:hint="eastAsia" w:ascii="Times New Roman" w:hAnsi="Times New Roman" w:eastAsia="宋体" w:cs="宋体"/>
          <w:b/>
          <w:bCs/>
          <w:caps/>
          <w:color w:val="auto"/>
          <w:sz w:val="28"/>
          <w:szCs w:val="28"/>
          <w:highlight w:val="none"/>
          <w:u w:val="single"/>
        </w:rPr>
        <w:t>样本）</w:t>
      </w:r>
      <w:r>
        <w:rPr>
          <w:rFonts w:hint="eastAsia" w:ascii="Times New Roman" w:hAnsi="Times New Roman" w:eastAsia="宋体" w:cs="宋体"/>
          <w:b/>
          <w:bCs/>
          <w:caps/>
          <w:color w:val="auto"/>
          <w:sz w:val="28"/>
          <w:szCs w:val="28"/>
          <w:highlight w:val="none"/>
          <w:u w:val="single"/>
        </w:rPr>
        <w:fldChar w:fldCharType="end"/>
      </w:r>
      <w:r>
        <w:rPr>
          <w:rFonts w:ascii="Times New Roman" w:hAnsi="Times New Roman" w:eastAsia="宋体" w:cs="Times New Roman"/>
          <w:b/>
          <w:bCs/>
          <w:caps/>
          <w:color w:val="auto"/>
          <w:sz w:val="28"/>
          <w:szCs w:val="28"/>
          <w:highlight w:val="none"/>
        </w:rPr>
        <w:t>..........................................................................................28</w:t>
      </w:r>
    </w:p>
    <w:p>
      <w:pPr>
        <w:tabs>
          <w:tab w:val="right" w:leader="dot" w:pos="9231"/>
        </w:tabs>
        <w:spacing w:before="120" w:after="120" w:line="360" w:lineRule="auto"/>
        <w:jc w:val="left"/>
        <w:rPr>
          <w:rFonts w:ascii="Calibri" w:hAnsi="Calibri" w:eastAsia="宋体" w:cs="Times New Roman"/>
          <w:color w:val="auto"/>
          <w:sz w:val="28"/>
          <w:szCs w:val="28"/>
          <w:highlight w:val="none"/>
        </w:rPr>
      </w:pPr>
      <w:r>
        <w:rPr>
          <w:color w:val="auto"/>
          <w:highlight w:val="none"/>
        </w:rPr>
        <w:fldChar w:fldCharType="begin"/>
      </w:r>
      <w:r>
        <w:rPr>
          <w:color w:val="auto"/>
          <w:highlight w:val="none"/>
        </w:rPr>
        <w:instrText xml:space="preserve"> HYPERLINK \l "_Toc475104528" </w:instrText>
      </w:r>
      <w:r>
        <w:rPr>
          <w:color w:val="auto"/>
          <w:highlight w:val="none"/>
        </w:rPr>
        <w:fldChar w:fldCharType="separate"/>
      </w:r>
      <w:r>
        <w:rPr>
          <w:rFonts w:hint="eastAsia" w:ascii="Times New Roman" w:hAnsi="Times New Roman" w:eastAsia="宋体" w:cs="宋体"/>
          <w:b/>
          <w:bCs/>
          <w:caps/>
          <w:color w:val="auto"/>
          <w:sz w:val="28"/>
          <w:szCs w:val="28"/>
          <w:highlight w:val="none"/>
          <w:u w:val="single"/>
        </w:rPr>
        <w:t>第五章</w:t>
      </w:r>
      <w:r>
        <w:rPr>
          <w:rFonts w:ascii="Times New Roman" w:hAnsi="Times New Roman" w:eastAsia="宋体" w:cs="Times New Roman"/>
          <w:b/>
          <w:bCs/>
          <w:caps/>
          <w:color w:val="auto"/>
          <w:sz w:val="28"/>
          <w:szCs w:val="28"/>
          <w:highlight w:val="none"/>
          <w:u w:val="single"/>
        </w:rPr>
        <w:t xml:space="preserve"> </w:t>
      </w:r>
      <w:r>
        <w:rPr>
          <w:rFonts w:hint="eastAsia" w:ascii="Times New Roman" w:hAnsi="Times New Roman" w:eastAsia="宋体" w:cs="宋体"/>
          <w:b/>
          <w:bCs/>
          <w:caps/>
          <w:color w:val="auto"/>
          <w:sz w:val="28"/>
          <w:szCs w:val="28"/>
          <w:highlight w:val="none"/>
          <w:u w:val="single"/>
        </w:rPr>
        <w:t>评分</w:t>
      </w:r>
      <w:bookmarkStart w:id="11" w:name="_Hlt509997395"/>
      <w:r>
        <w:rPr>
          <w:rFonts w:hint="eastAsia" w:ascii="Times New Roman" w:hAnsi="Times New Roman" w:eastAsia="宋体" w:cs="宋体"/>
          <w:b/>
          <w:bCs/>
          <w:caps/>
          <w:color w:val="auto"/>
          <w:sz w:val="28"/>
          <w:szCs w:val="28"/>
          <w:highlight w:val="none"/>
          <w:u w:val="single"/>
        </w:rPr>
        <w:t>体</w:t>
      </w:r>
      <w:bookmarkEnd w:id="11"/>
      <w:bookmarkStart w:id="12" w:name="_Hlt475104622"/>
      <w:r>
        <w:rPr>
          <w:rFonts w:hint="eastAsia" w:ascii="Times New Roman" w:hAnsi="Times New Roman" w:eastAsia="宋体" w:cs="宋体"/>
          <w:b/>
          <w:bCs/>
          <w:caps/>
          <w:color w:val="auto"/>
          <w:sz w:val="28"/>
          <w:szCs w:val="28"/>
          <w:highlight w:val="none"/>
          <w:u w:val="single"/>
        </w:rPr>
        <w:t>系</w:t>
      </w:r>
      <w:bookmarkEnd w:id="12"/>
      <w:bookmarkStart w:id="13" w:name="_Hlt510014093"/>
      <w:bookmarkStart w:id="14" w:name="_Hlt509932460"/>
      <w:bookmarkStart w:id="15" w:name="_Hlt509932461"/>
      <w:r>
        <w:rPr>
          <w:rFonts w:hint="eastAsia" w:ascii="Times New Roman" w:hAnsi="Times New Roman" w:eastAsia="宋体" w:cs="宋体"/>
          <w:b/>
          <w:bCs/>
          <w:caps/>
          <w:color w:val="auto"/>
          <w:sz w:val="28"/>
          <w:szCs w:val="28"/>
          <w:highlight w:val="none"/>
          <w:u w:val="single"/>
        </w:rPr>
        <w:t>与</w:t>
      </w:r>
      <w:bookmarkEnd w:id="13"/>
      <w:bookmarkEnd w:id="14"/>
      <w:bookmarkEnd w:id="15"/>
      <w:bookmarkStart w:id="16" w:name="_Hlt509994748"/>
      <w:r>
        <w:rPr>
          <w:rFonts w:hint="eastAsia" w:ascii="Times New Roman" w:hAnsi="Times New Roman" w:eastAsia="宋体" w:cs="宋体"/>
          <w:b/>
          <w:bCs/>
          <w:caps/>
          <w:color w:val="auto"/>
          <w:sz w:val="28"/>
          <w:szCs w:val="28"/>
          <w:highlight w:val="none"/>
          <w:u w:val="single"/>
        </w:rPr>
        <w:t>标</w:t>
      </w:r>
      <w:bookmarkEnd w:id="16"/>
      <w:bookmarkStart w:id="17" w:name="_Hlt510014176"/>
      <w:bookmarkStart w:id="18" w:name="_Hlt509992254"/>
      <w:r>
        <w:rPr>
          <w:rFonts w:hint="eastAsia" w:ascii="Times New Roman" w:hAnsi="Times New Roman" w:eastAsia="宋体" w:cs="宋体"/>
          <w:b/>
          <w:bCs/>
          <w:caps/>
          <w:color w:val="auto"/>
          <w:sz w:val="28"/>
          <w:szCs w:val="28"/>
          <w:highlight w:val="none"/>
          <w:u w:val="single"/>
        </w:rPr>
        <w:t>准</w:t>
      </w:r>
      <w:bookmarkEnd w:id="17"/>
      <w:bookmarkEnd w:id="18"/>
      <w:bookmarkStart w:id="19" w:name="_Hlt509991939"/>
      <w:bookmarkStart w:id="20" w:name="_Hlt509991721"/>
      <w:bookmarkStart w:id="21" w:name="_Hlt509991722"/>
      <w:r>
        <w:rPr>
          <w:rFonts w:ascii="Times New Roman" w:hAnsi="Times New Roman" w:eastAsia="宋体" w:cs="Times New Roman"/>
          <w:b/>
          <w:bCs/>
          <w:caps/>
          <w:color w:val="auto"/>
          <w:sz w:val="28"/>
          <w:szCs w:val="28"/>
          <w:highlight w:val="none"/>
        </w:rPr>
        <w:t>..</w:t>
      </w:r>
      <w:r>
        <w:rPr>
          <w:rFonts w:ascii="Times New Roman" w:hAnsi="Times New Roman" w:eastAsia="宋体" w:cs="Times New Roman"/>
          <w:b/>
          <w:bCs/>
          <w:caps/>
          <w:color w:val="auto"/>
          <w:sz w:val="28"/>
          <w:szCs w:val="28"/>
          <w:highlight w:val="none"/>
        </w:rPr>
        <w:tab/>
      </w:r>
      <w:bookmarkEnd w:id="19"/>
      <w:bookmarkEnd w:id="20"/>
      <w:bookmarkEnd w:id="21"/>
      <w:r>
        <w:rPr>
          <w:rFonts w:ascii="Times New Roman" w:hAnsi="Times New Roman" w:eastAsia="宋体" w:cs="Times New Roman"/>
          <w:b/>
          <w:bCs/>
          <w:caps/>
          <w:color w:val="auto"/>
          <w:sz w:val="28"/>
          <w:szCs w:val="28"/>
          <w:highlight w:val="none"/>
        </w:rPr>
        <w:t>38</w:t>
      </w:r>
      <w:r>
        <w:rPr>
          <w:rFonts w:ascii="Times New Roman" w:hAnsi="Times New Roman" w:eastAsia="宋体" w:cs="Times New Roman"/>
          <w:b/>
          <w:bCs/>
          <w:caps/>
          <w:color w:val="auto"/>
          <w:sz w:val="28"/>
          <w:szCs w:val="28"/>
          <w:highlight w:val="none"/>
        </w:rPr>
        <w:fldChar w:fldCharType="end"/>
      </w:r>
    </w:p>
    <w:p>
      <w:pPr>
        <w:tabs>
          <w:tab w:val="right" w:leader="dot" w:pos="9231"/>
        </w:tabs>
        <w:spacing w:before="120" w:after="120" w:line="360" w:lineRule="auto"/>
        <w:jc w:val="left"/>
        <w:rPr>
          <w:rFonts w:ascii="Calibri" w:hAnsi="Calibri" w:eastAsia="宋体" w:cs="Times New Roman"/>
          <w:color w:val="auto"/>
          <w:sz w:val="28"/>
          <w:szCs w:val="28"/>
          <w:highlight w:val="none"/>
        </w:rPr>
      </w:pPr>
      <w:r>
        <w:rPr>
          <w:color w:val="auto"/>
          <w:highlight w:val="none"/>
        </w:rPr>
        <w:fldChar w:fldCharType="begin"/>
      </w:r>
      <w:r>
        <w:rPr>
          <w:color w:val="auto"/>
          <w:highlight w:val="none"/>
        </w:rPr>
        <w:instrText xml:space="preserve"> HYPERLINK \l "_Toc475104537" </w:instrText>
      </w:r>
      <w:r>
        <w:rPr>
          <w:color w:val="auto"/>
          <w:highlight w:val="none"/>
        </w:rPr>
        <w:fldChar w:fldCharType="separate"/>
      </w:r>
      <w:r>
        <w:rPr>
          <w:rFonts w:hint="eastAsia" w:ascii="Times New Roman" w:hAnsi="Times New Roman" w:eastAsia="宋体" w:cs="宋体"/>
          <w:b/>
          <w:bCs/>
          <w:caps/>
          <w:color w:val="auto"/>
          <w:sz w:val="28"/>
          <w:szCs w:val="28"/>
          <w:highlight w:val="none"/>
          <w:u w:val="single"/>
        </w:rPr>
        <w:t>第六章</w:t>
      </w:r>
      <w:r>
        <w:rPr>
          <w:rFonts w:ascii="Times New Roman" w:hAnsi="Times New Roman" w:eastAsia="宋体" w:cs="Times New Roman"/>
          <w:b/>
          <w:bCs/>
          <w:caps/>
          <w:color w:val="auto"/>
          <w:sz w:val="28"/>
          <w:szCs w:val="28"/>
          <w:highlight w:val="none"/>
          <w:u w:val="single"/>
        </w:rPr>
        <w:t xml:space="preserve"> </w:t>
      </w:r>
      <w:r>
        <w:rPr>
          <w:rFonts w:hint="eastAsia" w:ascii="Times New Roman" w:hAnsi="Times New Roman" w:eastAsia="宋体" w:cs="宋体"/>
          <w:b/>
          <w:bCs/>
          <w:caps/>
          <w:color w:val="auto"/>
          <w:sz w:val="28"/>
          <w:szCs w:val="28"/>
          <w:highlight w:val="none"/>
          <w:u w:val="single"/>
        </w:rPr>
        <w:t>附件（格</w:t>
      </w:r>
      <w:bookmarkStart w:id="22" w:name="_Hlt510014049"/>
      <w:r>
        <w:rPr>
          <w:rFonts w:hint="eastAsia" w:ascii="Times New Roman" w:hAnsi="Times New Roman" w:eastAsia="宋体" w:cs="宋体"/>
          <w:b/>
          <w:bCs/>
          <w:caps/>
          <w:color w:val="auto"/>
          <w:sz w:val="28"/>
          <w:szCs w:val="28"/>
          <w:highlight w:val="none"/>
          <w:u w:val="single"/>
        </w:rPr>
        <w:t>式</w:t>
      </w:r>
      <w:bookmarkEnd w:id="22"/>
      <w:r>
        <w:rPr>
          <w:rFonts w:hint="eastAsia" w:ascii="Times New Roman" w:hAnsi="Times New Roman" w:eastAsia="宋体" w:cs="宋体"/>
          <w:b/>
          <w:bCs/>
          <w:caps/>
          <w:color w:val="auto"/>
          <w:sz w:val="28"/>
          <w:szCs w:val="28"/>
          <w:highlight w:val="none"/>
          <w:u w:val="single"/>
        </w:rPr>
        <w:t>）</w:t>
      </w:r>
      <w:r>
        <w:rPr>
          <w:rFonts w:ascii="Times New Roman" w:hAnsi="Times New Roman" w:eastAsia="宋体" w:cs="Times New Roman"/>
          <w:b/>
          <w:bCs/>
          <w:caps/>
          <w:color w:val="auto"/>
          <w:sz w:val="28"/>
          <w:szCs w:val="28"/>
          <w:highlight w:val="none"/>
        </w:rPr>
        <w:t>.........................................................................................</w:t>
      </w:r>
      <w:r>
        <w:rPr>
          <w:rFonts w:ascii="Times New Roman" w:hAnsi="Times New Roman" w:eastAsia="宋体" w:cs="Times New Roman"/>
          <w:b/>
          <w:bCs/>
          <w:caps/>
          <w:color w:val="auto"/>
          <w:sz w:val="28"/>
          <w:szCs w:val="28"/>
          <w:highlight w:val="none"/>
        </w:rPr>
        <w:tab/>
      </w:r>
      <w:r>
        <w:rPr>
          <w:rFonts w:ascii="Times New Roman" w:hAnsi="Times New Roman" w:eastAsia="宋体" w:cs="Times New Roman"/>
          <w:b/>
          <w:bCs/>
          <w:caps/>
          <w:color w:val="auto"/>
          <w:sz w:val="28"/>
          <w:szCs w:val="28"/>
          <w:highlight w:val="none"/>
        </w:rPr>
        <w:t>45</w:t>
      </w:r>
      <w:r>
        <w:rPr>
          <w:rFonts w:ascii="Times New Roman" w:hAnsi="Times New Roman" w:eastAsia="宋体" w:cs="Times New Roman"/>
          <w:b/>
          <w:bCs/>
          <w:caps/>
          <w:color w:val="auto"/>
          <w:sz w:val="28"/>
          <w:szCs w:val="28"/>
          <w:highlight w:val="none"/>
        </w:rPr>
        <w:fldChar w:fldCharType="end"/>
      </w:r>
    </w:p>
    <w:p>
      <w:pPr>
        <w:tabs>
          <w:tab w:val="right" w:leader="dot" w:pos="9231"/>
        </w:tabs>
        <w:spacing w:before="120" w:after="120" w:line="360" w:lineRule="auto"/>
        <w:jc w:val="left"/>
        <w:rPr>
          <w:rFonts w:ascii="Calibri" w:hAnsi="Calibri" w:eastAsia="宋体" w:cs="Times New Roman"/>
          <w:color w:val="auto"/>
          <w:sz w:val="28"/>
          <w:szCs w:val="28"/>
          <w:highlight w:val="none"/>
        </w:rPr>
        <w:sectPr>
          <w:headerReference r:id="rId7" w:type="first"/>
          <w:footerReference r:id="rId9" w:type="first"/>
          <w:headerReference r:id="rId6" w:type="default"/>
          <w:footerReference r:id="rId8" w:type="default"/>
          <w:type w:val="continuous"/>
          <w:pgSz w:w="11906" w:h="16838"/>
          <w:pgMar w:top="567" w:right="1304" w:bottom="567" w:left="1361" w:header="567" w:footer="737" w:gutter="0"/>
          <w:cols w:space="720" w:num="1"/>
          <w:titlePg/>
          <w:docGrid w:linePitch="312" w:charSpace="0"/>
        </w:sectPr>
      </w:pPr>
    </w:p>
    <w:p>
      <w:pPr>
        <w:tabs>
          <w:tab w:val="right" w:leader="dot" w:pos="9231"/>
        </w:tabs>
        <w:spacing w:before="120" w:after="120" w:line="360" w:lineRule="auto"/>
        <w:jc w:val="left"/>
        <w:rPr>
          <w:rFonts w:ascii="Calibri" w:hAnsi="Calibri" w:eastAsia="宋体" w:cs="Times New Roman"/>
          <w:color w:val="auto"/>
          <w:sz w:val="28"/>
          <w:szCs w:val="28"/>
          <w:highlight w:val="none"/>
        </w:rPr>
      </w:pPr>
    </w:p>
    <w:p>
      <w:pPr>
        <w:tabs>
          <w:tab w:val="right" w:leader="dot" w:pos="9231"/>
        </w:tabs>
        <w:spacing w:before="120" w:after="120" w:line="360" w:lineRule="auto"/>
        <w:jc w:val="left"/>
        <w:rPr>
          <w:rFonts w:ascii="Calibri" w:hAnsi="Calibri" w:eastAsia="宋体" w:cs="Times New Roman"/>
          <w:color w:val="auto"/>
          <w:sz w:val="28"/>
          <w:szCs w:val="28"/>
          <w:highlight w:val="none"/>
        </w:rPr>
      </w:pPr>
      <w:r>
        <w:rPr>
          <w:rFonts w:ascii="Calibri" w:hAnsi="Calibri" w:eastAsia="宋体" w:cs="Times New Roman"/>
          <w:color w:val="auto"/>
          <w:sz w:val="28"/>
          <w:szCs w:val="28"/>
          <w:highlight w:val="none"/>
        </w:rPr>
        <w:br w:type="page"/>
      </w:r>
    </w:p>
    <w:p>
      <w:pPr>
        <w:snapToGrid w:val="0"/>
        <w:spacing w:before="240" w:beforeLines="100" w:after="240" w:afterLines="100" w:line="360" w:lineRule="auto"/>
        <w:rPr>
          <w:rFonts w:ascii="宋体" w:hAnsi="宋体" w:eastAsia="宋体" w:cs="Times New Roman"/>
          <w:color w:val="auto"/>
          <w:sz w:val="28"/>
          <w:szCs w:val="28"/>
          <w:highlight w:val="none"/>
        </w:rPr>
      </w:pPr>
      <w:r>
        <w:rPr>
          <w:rFonts w:ascii="宋体" w:hAnsi="宋体" w:eastAsia="宋体" w:cs="宋体"/>
          <w:b/>
          <w:bCs/>
          <w:smallCaps/>
          <w:color w:val="auto"/>
          <w:sz w:val="28"/>
          <w:szCs w:val="28"/>
          <w:highlight w:val="none"/>
          <w:u w:val="single"/>
        </w:rPr>
        <w:fldChar w:fldCharType="end"/>
      </w: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bookmarkStart w:id="23" w:name="_Toc475104466"/>
      <w:bookmarkStart w:id="24" w:name="_Toc320515014"/>
      <w:r>
        <w:rPr>
          <w:rFonts w:ascii="宋体" w:hAnsi="宋体" w:eastAsia="宋体" w:cs="宋体"/>
          <w:color w:val="auto"/>
          <w:sz w:val="2"/>
          <w:szCs w:val="2"/>
          <w:highlight w:val="none"/>
        </w:rPr>
        <w:t>0B0B</w:t>
      </w:r>
      <w:r>
        <w:rPr>
          <w:rFonts w:hint="eastAsia" w:ascii="宋体" w:hAnsi="宋体" w:eastAsia="宋体" w:cs="宋体"/>
          <w:b/>
          <w:bCs/>
          <w:color w:val="auto"/>
          <w:sz w:val="44"/>
          <w:szCs w:val="44"/>
          <w:highlight w:val="none"/>
        </w:rPr>
        <w:t>第一章</w:t>
      </w:r>
      <w:bookmarkStart w:id="25" w:name="_Toc10525513"/>
      <w:r>
        <w:rPr>
          <w:rFonts w:ascii="宋体" w:hAnsi="宋体" w:eastAsia="宋体" w:cs="宋体"/>
          <w:b/>
          <w:bCs/>
          <w:color w:val="auto"/>
          <w:sz w:val="44"/>
          <w:szCs w:val="44"/>
          <w:highlight w:val="none"/>
        </w:rPr>
        <w:t xml:space="preserve"> </w:t>
      </w:r>
      <w:bookmarkEnd w:id="0"/>
      <w:bookmarkEnd w:id="1"/>
      <w:bookmarkEnd w:id="23"/>
      <w:bookmarkEnd w:id="24"/>
      <w:bookmarkEnd w:id="25"/>
      <w:r>
        <w:rPr>
          <w:rFonts w:hint="eastAsia" w:ascii="宋体" w:hAnsi="宋体" w:eastAsia="宋体" w:cs="宋体"/>
          <w:b/>
          <w:bCs/>
          <w:color w:val="auto"/>
          <w:sz w:val="44"/>
          <w:szCs w:val="44"/>
          <w:highlight w:val="none"/>
        </w:rPr>
        <w:t>公开遴选公告</w:t>
      </w:r>
    </w:p>
    <w:p>
      <w:pPr>
        <w:spacing w:line="480" w:lineRule="auto"/>
        <w:jc w:val="center"/>
        <w:rPr>
          <w:rFonts w:ascii="宋体" w:hAnsi="宋体" w:eastAsia="宋体" w:cs="Times New Roman"/>
          <w:b/>
          <w:bCs/>
          <w:color w:val="auto"/>
          <w:sz w:val="30"/>
          <w:szCs w:val="30"/>
          <w:highlight w:val="none"/>
        </w:rPr>
      </w:pPr>
      <w:r>
        <w:rPr>
          <w:rFonts w:ascii="宋体" w:hAnsi="宋体" w:eastAsia="宋体" w:cs="Times New Roman"/>
          <w:color w:val="auto"/>
          <w:highlight w:val="none"/>
        </w:rPr>
        <w:br w:type="page"/>
      </w:r>
      <w:r>
        <w:rPr>
          <w:rFonts w:hint="eastAsia" w:ascii="宋体" w:hAnsi="宋体" w:eastAsia="宋体" w:cs="宋体"/>
          <w:b/>
          <w:bCs/>
          <w:color w:val="auto"/>
          <w:sz w:val="30"/>
          <w:szCs w:val="30"/>
          <w:highlight w:val="none"/>
        </w:rPr>
        <w:t>公开遴选公告</w:t>
      </w:r>
    </w:p>
    <w:p>
      <w:pPr>
        <w:widowControl/>
        <w:adjustRightInd w:val="0"/>
        <w:snapToGrid w:val="0"/>
        <w:spacing w:before="100" w:beforeAutospacing="1" w:after="100" w:afterAutospacing="1" w:line="360" w:lineRule="auto"/>
        <w:jc w:val="center"/>
        <w:rPr>
          <w:rFonts w:ascii="宋体" w:hAnsi="宋体" w:eastAsia="宋体" w:cs="Times New Roman"/>
          <w:color w:val="auto"/>
          <w:highlight w:val="none"/>
        </w:rPr>
      </w:pPr>
      <w:bookmarkStart w:id="345" w:name="_GoBack"/>
      <w:bookmarkStart w:id="26" w:name="_Toc28489434"/>
      <w:bookmarkStart w:id="27" w:name="_Toc14450807"/>
      <w:r>
        <w:rPr>
          <w:rFonts w:hint="eastAsia" w:ascii="宋体" w:hAnsi="宋体" w:eastAsia="宋体" w:cs="宋体"/>
          <w:color w:val="auto"/>
          <w:highlight w:val="none"/>
        </w:rPr>
        <w:t>项目概况</w:t>
      </w:r>
    </w:p>
    <w:p>
      <w:pPr>
        <w:widowControl/>
        <w:adjustRightInd w:val="0"/>
        <w:snapToGrid w:val="0"/>
        <w:spacing w:before="100" w:beforeAutospacing="1" w:after="100" w:afterAutospacing="1" w:line="360" w:lineRule="auto"/>
        <w:ind w:firstLine="420" w:firstLineChars="200"/>
        <w:jc w:val="left"/>
        <w:rPr>
          <w:rFonts w:ascii="宋体" w:hAnsi="宋体" w:eastAsia="宋体" w:cs="Times New Roman"/>
          <w:color w:val="auto"/>
          <w:highlight w:val="none"/>
        </w:rPr>
      </w:pPr>
      <w:r>
        <w:rPr>
          <w:rFonts w:ascii="宋体" w:hAnsi="宋体" w:eastAsia="宋体" w:cs="宋体"/>
          <w:color w:val="auto"/>
          <w:highlight w:val="none"/>
        </w:rPr>
        <w:t xml:space="preserve">  </w:t>
      </w:r>
      <w:r>
        <w:rPr>
          <w:rFonts w:hint="eastAsia" w:ascii="宋体" w:hAnsi="宋体" w:eastAsia="宋体" w:cs="宋体"/>
          <w:color w:val="auto"/>
          <w:highlight w:val="none"/>
          <w:lang w:eastAsia="zh-CN"/>
        </w:rPr>
        <w:t>广州市生态环境局越秀分局2021年污染源监督性监测服务项目</w:t>
      </w:r>
      <w:r>
        <w:rPr>
          <w:rFonts w:ascii="宋体" w:hAnsi="宋体" w:eastAsia="宋体" w:cs="宋体"/>
          <w:color w:val="auto"/>
          <w:highlight w:val="none"/>
        </w:rPr>
        <w:t xml:space="preserve"> </w:t>
      </w:r>
      <w:r>
        <w:rPr>
          <w:rFonts w:hint="eastAsia" w:ascii="宋体" w:hAnsi="宋体" w:eastAsia="宋体" w:cs="宋体"/>
          <w:color w:val="auto"/>
          <w:highlight w:val="none"/>
        </w:rPr>
        <w:t>采购项目的潜在</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应在</w:t>
      </w:r>
      <w:r>
        <w:rPr>
          <w:rFonts w:hint="eastAsia" w:ascii="宋体" w:hAnsi="宋体" w:eastAsia="宋体" w:cs="宋体"/>
          <w:color w:val="auto"/>
          <w:kern w:val="0"/>
          <w:highlight w:val="none"/>
        </w:rPr>
        <w:t>广州市天河区粤垦路</w:t>
      </w:r>
      <w:r>
        <w:rPr>
          <w:rFonts w:ascii="宋体" w:hAnsi="宋体" w:eastAsia="宋体" w:cs="宋体"/>
          <w:color w:val="auto"/>
          <w:kern w:val="0"/>
          <w:highlight w:val="none"/>
        </w:rPr>
        <w:t>623</w:t>
      </w:r>
      <w:r>
        <w:rPr>
          <w:rFonts w:hint="eastAsia" w:ascii="宋体" w:hAnsi="宋体" w:eastAsia="宋体" w:cs="宋体"/>
          <w:color w:val="auto"/>
          <w:kern w:val="0"/>
          <w:highlight w:val="none"/>
        </w:rPr>
        <w:t>号燕都商务大厦</w:t>
      </w:r>
      <w:r>
        <w:rPr>
          <w:rFonts w:ascii="宋体" w:hAnsi="宋体" w:eastAsia="宋体" w:cs="宋体"/>
          <w:color w:val="auto"/>
          <w:kern w:val="0"/>
          <w:highlight w:val="none"/>
        </w:rPr>
        <w:t>12</w:t>
      </w:r>
      <w:r>
        <w:rPr>
          <w:rFonts w:hint="eastAsia" w:ascii="宋体" w:hAnsi="宋体" w:eastAsia="宋体" w:cs="宋体"/>
          <w:color w:val="auto"/>
          <w:kern w:val="0"/>
          <w:highlight w:val="none"/>
        </w:rPr>
        <w:t>楼</w:t>
      </w:r>
      <w:r>
        <w:rPr>
          <w:rFonts w:ascii="宋体" w:hAnsi="宋体" w:eastAsia="宋体" w:cs="宋体"/>
          <w:color w:val="auto"/>
          <w:kern w:val="0"/>
          <w:highlight w:val="none"/>
        </w:rPr>
        <w:t>1202</w:t>
      </w:r>
      <w:r>
        <w:rPr>
          <w:rFonts w:hint="eastAsia" w:ascii="宋体" w:hAnsi="宋体" w:eastAsia="宋体" w:cs="宋体"/>
          <w:color w:val="auto"/>
          <w:kern w:val="0"/>
          <w:highlight w:val="none"/>
        </w:rPr>
        <w:t>室</w:t>
      </w:r>
      <w:r>
        <w:rPr>
          <w:rFonts w:hint="eastAsia" w:ascii="宋体" w:hAnsi="宋体" w:eastAsia="宋体" w:cs="宋体"/>
          <w:color w:val="auto"/>
          <w:highlight w:val="none"/>
        </w:rPr>
        <w:t>获取公开遴选文件，并于</w:t>
      </w:r>
      <w:r>
        <w:rPr>
          <w:rFonts w:ascii="宋体" w:hAnsi="宋体" w:eastAsia="宋体" w:cs="宋体"/>
          <w:color w:val="auto"/>
          <w:highlight w:val="none"/>
        </w:rPr>
        <w:t>2021</w:t>
      </w:r>
      <w:r>
        <w:rPr>
          <w:rFonts w:hint="eastAsia" w:ascii="宋体" w:hAnsi="宋体" w:eastAsia="宋体" w:cs="宋体"/>
          <w:color w:val="auto"/>
          <w:highlight w:val="none"/>
        </w:rPr>
        <w:t>年</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月</w:t>
      </w:r>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日</w:t>
      </w:r>
      <w:r>
        <w:rPr>
          <w:rFonts w:hint="eastAsia" w:ascii="宋体" w:hAnsi="宋体" w:eastAsia="宋体" w:cs="宋体"/>
          <w:color w:val="auto"/>
          <w:highlight w:val="none"/>
          <w:lang w:val="en-US" w:eastAsia="zh-CN"/>
        </w:rPr>
        <w:t>09</w:t>
      </w:r>
      <w:r>
        <w:rPr>
          <w:rFonts w:hint="eastAsia" w:ascii="宋体" w:hAnsi="宋体" w:eastAsia="宋体" w:cs="宋体"/>
          <w:color w:val="auto"/>
          <w:highlight w:val="none"/>
        </w:rPr>
        <w:t>时</w:t>
      </w:r>
      <w:r>
        <w:rPr>
          <w:rFonts w:ascii="宋体" w:hAnsi="宋体" w:eastAsia="宋体" w:cs="宋体"/>
          <w:color w:val="auto"/>
          <w:highlight w:val="none"/>
        </w:rPr>
        <w:t>30</w:t>
      </w:r>
      <w:r>
        <w:rPr>
          <w:rFonts w:hint="eastAsia" w:ascii="宋体" w:hAnsi="宋体" w:eastAsia="宋体" w:cs="宋体"/>
          <w:color w:val="auto"/>
          <w:highlight w:val="none"/>
        </w:rPr>
        <w:t>分</w:t>
      </w:r>
      <w:r>
        <w:rPr>
          <w:rFonts w:hint="eastAsia" w:ascii="宋体" w:hAnsi="宋体" w:eastAsia="宋体" w:cs="宋体"/>
          <w:color w:val="auto"/>
          <w:highlight w:val="none"/>
        </w:rPr>
        <w:t>（北京时间）前提交响应文件。</w:t>
      </w:r>
    </w:p>
    <w:p>
      <w:pPr>
        <w:tabs>
          <w:tab w:val="left" w:pos="840"/>
          <w:tab w:val="left" w:pos="945"/>
        </w:tabs>
        <w:snapToGrid w:val="0"/>
        <w:spacing w:line="360" w:lineRule="auto"/>
        <w:ind w:left="525"/>
        <w:rPr>
          <w:rFonts w:ascii="宋体" w:hAnsi="宋体" w:eastAsia="宋体" w:cs="Times New Roman"/>
          <w:b/>
          <w:bCs/>
          <w:color w:val="auto"/>
          <w:highlight w:val="none"/>
        </w:rPr>
      </w:pPr>
      <w:r>
        <w:rPr>
          <w:rFonts w:hint="eastAsia" w:ascii="宋体" w:hAnsi="宋体" w:eastAsia="宋体" w:cs="宋体"/>
          <w:b/>
          <w:bCs/>
          <w:color w:val="auto"/>
          <w:highlight w:val="none"/>
        </w:rPr>
        <w:t>一、项目基本情况</w:t>
      </w:r>
    </w:p>
    <w:p>
      <w:pPr>
        <w:tabs>
          <w:tab w:val="left" w:pos="840"/>
          <w:tab w:val="left" w:pos="945"/>
        </w:tabs>
        <w:snapToGrid w:val="0"/>
        <w:spacing w:line="360" w:lineRule="auto"/>
        <w:ind w:left="525"/>
        <w:rPr>
          <w:rFonts w:ascii="宋体" w:hAnsi="宋体" w:eastAsia="宋体" w:cs="宋体"/>
          <w:color w:val="auto"/>
          <w:highlight w:val="none"/>
        </w:rPr>
      </w:pPr>
      <w:r>
        <w:rPr>
          <w:rFonts w:hint="eastAsia" w:ascii="宋体" w:hAnsi="宋体" w:eastAsia="宋体" w:cs="宋体"/>
          <w:color w:val="auto"/>
          <w:highlight w:val="none"/>
        </w:rPr>
        <w:t>项目编号：</w:t>
      </w:r>
      <w:r>
        <w:rPr>
          <w:rFonts w:ascii="宋体" w:hAnsi="宋体" w:eastAsia="宋体" w:cs="宋体"/>
          <w:color w:val="auto"/>
          <w:highlight w:val="none"/>
        </w:rPr>
        <w:t>202107-184098-0081</w:t>
      </w:r>
    </w:p>
    <w:p>
      <w:pPr>
        <w:tabs>
          <w:tab w:val="left" w:pos="840"/>
          <w:tab w:val="left" w:pos="945"/>
        </w:tabs>
        <w:snapToGrid w:val="0"/>
        <w:spacing w:line="360" w:lineRule="auto"/>
        <w:ind w:left="525"/>
        <w:rPr>
          <w:rFonts w:hint="eastAsia" w:ascii="宋体" w:hAnsi="宋体" w:eastAsia="宋体" w:cs="Times New Roman"/>
          <w:color w:val="auto"/>
          <w:highlight w:val="none"/>
          <w:lang w:eastAsia="zh-CN"/>
        </w:rPr>
      </w:pPr>
      <w:r>
        <w:rPr>
          <w:rFonts w:hint="eastAsia" w:ascii="宋体" w:hAnsi="宋体" w:eastAsia="宋体" w:cs="宋体"/>
          <w:color w:val="auto"/>
          <w:highlight w:val="none"/>
        </w:rPr>
        <w:t>项目名称：</w:t>
      </w:r>
      <w:r>
        <w:rPr>
          <w:rFonts w:hint="eastAsia" w:ascii="宋体" w:hAnsi="宋体" w:eastAsia="宋体" w:cs="宋体"/>
          <w:color w:val="auto"/>
          <w:highlight w:val="none"/>
          <w:lang w:eastAsia="zh-CN"/>
        </w:rPr>
        <w:t>广州市生态环境局越秀分局2021年污染源监督性监测服务项目</w:t>
      </w:r>
    </w:p>
    <w:p>
      <w:pPr>
        <w:tabs>
          <w:tab w:val="left" w:pos="840"/>
          <w:tab w:val="left" w:pos="945"/>
        </w:tabs>
        <w:snapToGrid w:val="0"/>
        <w:spacing w:line="360" w:lineRule="auto"/>
        <w:ind w:left="525"/>
        <w:rPr>
          <w:rFonts w:ascii="宋体" w:hAnsi="宋体" w:eastAsia="宋体" w:cs="Times New Roman"/>
          <w:color w:val="auto"/>
          <w:highlight w:val="none"/>
        </w:rPr>
      </w:pPr>
      <w:r>
        <w:rPr>
          <w:rFonts w:hint="eastAsia" w:ascii="宋体" w:hAnsi="宋体" w:eastAsia="宋体" w:cs="宋体"/>
          <w:color w:val="auto"/>
          <w:highlight w:val="none"/>
        </w:rPr>
        <w:t>采购方式：公开遴选</w:t>
      </w:r>
    </w:p>
    <w:p>
      <w:pPr>
        <w:tabs>
          <w:tab w:val="left" w:pos="840"/>
          <w:tab w:val="left" w:pos="945"/>
        </w:tabs>
        <w:snapToGrid w:val="0"/>
        <w:spacing w:line="360" w:lineRule="auto"/>
        <w:ind w:left="525"/>
        <w:rPr>
          <w:rFonts w:ascii="宋体" w:hAnsi="宋体" w:eastAsia="宋体" w:cs="宋体"/>
          <w:color w:val="auto"/>
          <w:highlight w:val="none"/>
        </w:rPr>
      </w:pPr>
      <w:r>
        <w:rPr>
          <w:rFonts w:hint="eastAsia" w:ascii="宋体" w:hAnsi="宋体" w:eastAsia="宋体" w:cs="宋体"/>
          <w:color w:val="auto"/>
          <w:highlight w:val="none"/>
        </w:rPr>
        <w:t>预算金额：</w:t>
      </w:r>
      <w:r>
        <w:rPr>
          <w:rFonts w:ascii="宋体" w:hAnsi="宋体" w:eastAsia="宋体" w:cs="宋体"/>
          <w:color w:val="auto"/>
          <w:highlight w:val="none"/>
        </w:rPr>
        <w:t>200000.00</w:t>
      </w:r>
    </w:p>
    <w:p>
      <w:pPr>
        <w:tabs>
          <w:tab w:val="left" w:pos="840"/>
          <w:tab w:val="left" w:pos="945"/>
        </w:tabs>
        <w:snapToGrid w:val="0"/>
        <w:spacing w:line="360" w:lineRule="auto"/>
        <w:ind w:left="525"/>
        <w:rPr>
          <w:rFonts w:ascii="宋体" w:hAnsi="宋体" w:eastAsia="宋体" w:cs="Times New Roman"/>
          <w:color w:val="auto"/>
          <w:highlight w:val="none"/>
        </w:rPr>
      </w:pPr>
      <w:r>
        <w:rPr>
          <w:rFonts w:hint="eastAsia" w:ascii="宋体" w:hAnsi="宋体" w:eastAsia="宋体" w:cs="宋体"/>
          <w:color w:val="auto"/>
          <w:highlight w:val="none"/>
        </w:rPr>
        <w:t>采购需求：</w:t>
      </w:r>
    </w:p>
    <w:p>
      <w:pPr>
        <w:tabs>
          <w:tab w:val="left" w:pos="840"/>
          <w:tab w:val="left" w:pos="945"/>
        </w:tabs>
        <w:snapToGrid w:val="0"/>
        <w:spacing w:line="360" w:lineRule="auto"/>
        <w:ind w:left="525"/>
        <w:rPr>
          <w:rFonts w:ascii="宋体" w:hAnsi="宋体" w:eastAsia="宋体" w:cs="宋体"/>
          <w:color w:val="auto"/>
          <w:highlight w:val="none"/>
        </w:rPr>
      </w:pPr>
      <w:r>
        <w:rPr>
          <w:rFonts w:hint="eastAsia" w:ascii="宋体" w:hAnsi="宋体" w:eastAsia="宋体" w:cs="宋体"/>
          <w:color w:val="auto"/>
          <w:highlight w:val="none"/>
        </w:rPr>
        <w:t>合同包</w:t>
      </w:r>
      <w:r>
        <w:rPr>
          <w:rFonts w:ascii="宋体" w:hAnsi="宋体" w:eastAsia="宋体" w:cs="宋体"/>
          <w:color w:val="auto"/>
          <w:highlight w:val="none"/>
        </w:rPr>
        <w:t>1(</w:t>
      </w:r>
      <w:r>
        <w:rPr>
          <w:rFonts w:hint="eastAsia" w:ascii="宋体" w:hAnsi="宋体" w:eastAsia="宋体" w:cs="宋体"/>
          <w:color w:val="auto"/>
          <w:highlight w:val="none"/>
          <w:lang w:eastAsia="zh-CN"/>
        </w:rPr>
        <w:t>广州市生态环境局越秀分局2021年污染源监督性监测服务项目</w:t>
      </w:r>
      <w:r>
        <w:rPr>
          <w:rFonts w:ascii="宋体" w:hAnsi="宋体" w:eastAsia="宋体" w:cs="宋体"/>
          <w:color w:val="auto"/>
          <w:highlight w:val="none"/>
        </w:rPr>
        <w:t>):</w:t>
      </w:r>
    </w:p>
    <w:p>
      <w:pPr>
        <w:tabs>
          <w:tab w:val="left" w:pos="840"/>
          <w:tab w:val="left" w:pos="945"/>
        </w:tabs>
        <w:snapToGrid w:val="0"/>
        <w:spacing w:line="360" w:lineRule="auto"/>
        <w:ind w:left="525"/>
        <w:rPr>
          <w:rFonts w:ascii="宋体" w:hAnsi="宋体" w:eastAsia="宋体" w:cs="Times New Roman"/>
          <w:color w:val="auto"/>
          <w:highlight w:val="none"/>
        </w:rPr>
      </w:pPr>
      <w:r>
        <w:rPr>
          <w:rFonts w:hint="eastAsia" w:ascii="宋体" w:hAnsi="宋体" w:eastAsia="宋体" w:cs="宋体"/>
          <w:color w:val="auto"/>
          <w:highlight w:val="none"/>
        </w:rPr>
        <w:t>合同包预算金额：</w:t>
      </w:r>
      <w:r>
        <w:rPr>
          <w:rFonts w:ascii="宋体" w:hAnsi="宋体" w:eastAsia="宋体" w:cs="宋体"/>
          <w:color w:val="auto"/>
          <w:highlight w:val="none"/>
        </w:rPr>
        <w:t>200000.00</w:t>
      </w:r>
      <w:r>
        <w:rPr>
          <w:rFonts w:hint="eastAsia" w:ascii="宋体" w:hAnsi="宋体" w:eastAsia="宋体" w:cs="宋体"/>
          <w:color w:val="auto"/>
          <w:highlight w:val="none"/>
        </w:rPr>
        <w:t>元</w:t>
      </w:r>
    </w:p>
    <w:tbl>
      <w:tblPr>
        <w:tblStyle w:val="90"/>
        <w:tblW w:w="8828" w:type="dxa"/>
        <w:jc w:val="center"/>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
      <w:tblGrid>
        <w:gridCol w:w="1205"/>
        <w:gridCol w:w="1537"/>
        <w:gridCol w:w="2575"/>
        <w:gridCol w:w="1713"/>
        <w:gridCol w:w="1798"/>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8" w:hRule="atLeast"/>
          <w:tblHeader/>
          <w:jc w:val="center"/>
        </w:trPr>
        <w:tc>
          <w:tcPr>
            <w:tcW w:w="120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tabs>
                <w:tab w:val="left" w:pos="840"/>
                <w:tab w:val="left" w:pos="945"/>
              </w:tabs>
              <w:snapToGrid w:val="0"/>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品目号</w:t>
            </w:r>
          </w:p>
        </w:tc>
        <w:tc>
          <w:tcPr>
            <w:tcW w:w="1537"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tabs>
                <w:tab w:val="left" w:pos="840"/>
                <w:tab w:val="left" w:pos="945"/>
              </w:tabs>
              <w:snapToGrid w:val="0"/>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数量（单位）</w:t>
            </w:r>
          </w:p>
        </w:tc>
        <w:tc>
          <w:tcPr>
            <w:tcW w:w="25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tabs>
                <w:tab w:val="left" w:pos="840"/>
                <w:tab w:val="left" w:pos="945"/>
              </w:tabs>
              <w:snapToGrid w:val="0"/>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技术规格、参数及要求</w:t>
            </w:r>
          </w:p>
        </w:tc>
        <w:tc>
          <w:tcPr>
            <w:tcW w:w="171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tabs>
                <w:tab w:val="left" w:pos="840"/>
                <w:tab w:val="left" w:pos="945"/>
              </w:tabs>
              <w:snapToGrid w:val="0"/>
              <w:spacing w:line="360" w:lineRule="auto"/>
              <w:jc w:val="center"/>
              <w:rPr>
                <w:rFonts w:ascii="宋体" w:hAnsi="宋体" w:eastAsia="宋体" w:cs="宋体"/>
                <w:color w:val="auto"/>
                <w:highlight w:val="none"/>
              </w:rPr>
            </w:pPr>
            <w:r>
              <w:rPr>
                <w:rFonts w:hint="eastAsia" w:ascii="宋体" w:hAnsi="宋体" w:eastAsia="宋体" w:cs="宋体"/>
                <w:color w:val="auto"/>
                <w:highlight w:val="none"/>
              </w:rPr>
              <w:t>品目预算</w:t>
            </w:r>
            <w:r>
              <w:rPr>
                <w:rFonts w:ascii="宋体" w:hAnsi="宋体" w:eastAsia="宋体" w:cs="宋体"/>
                <w:color w:val="auto"/>
                <w:highlight w:val="none"/>
              </w:rPr>
              <w:t>(</w:t>
            </w:r>
            <w:r>
              <w:rPr>
                <w:rFonts w:hint="eastAsia" w:ascii="宋体" w:hAnsi="宋体" w:eastAsia="宋体" w:cs="宋体"/>
                <w:color w:val="auto"/>
                <w:highlight w:val="none"/>
              </w:rPr>
              <w:t>元</w:t>
            </w:r>
            <w:r>
              <w:rPr>
                <w:rFonts w:ascii="宋体" w:hAnsi="宋体" w:eastAsia="宋体" w:cs="宋体"/>
                <w:color w:val="auto"/>
                <w:highlight w:val="none"/>
              </w:rPr>
              <w:t>)</w:t>
            </w:r>
          </w:p>
        </w:tc>
        <w:tc>
          <w:tcPr>
            <w:tcW w:w="1798"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tabs>
                <w:tab w:val="left" w:pos="840"/>
                <w:tab w:val="left" w:pos="945"/>
              </w:tabs>
              <w:snapToGrid w:val="0"/>
              <w:spacing w:line="360" w:lineRule="auto"/>
              <w:jc w:val="center"/>
              <w:rPr>
                <w:rFonts w:ascii="宋体" w:hAnsi="宋体" w:eastAsia="宋体" w:cs="宋体"/>
                <w:color w:val="auto"/>
                <w:highlight w:val="none"/>
              </w:rPr>
            </w:pPr>
            <w:r>
              <w:rPr>
                <w:rFonts w:hint="eastAsia" w:ascii="宋体" w:hAnsi="宋体" w:eastAsia="宋体" w:cs="宋体"/>
                <w:color w:val="auto"/>
                <w:highlight w:val="none"/>
              </w:rPr>
              <w:t>最高限价</w:t>
            </w:r>
            <w:r>
              <w:rPr>
                <w:rFonts w:ascii="宋体" w:hAnsi="宋体" w:eastAsia="宋体" w:cs="宋体"/>
                <w:color w:val="auto"/>
                <w:highlight w:val="none"/>
              </w:rPr>
              <w:t>(</w:t>
            </w:r>
            <w:r>
              <w:rPr>
                <w:rFonts w:hint="eastAsia" w:ascii="宋体" w:hAnsi="宋体" w:eastAsia="宋体" w:cs="宋体"/>
                <w:color w:val="auto"/>
                <w:highlight w:val="none"/>
              </w:rPr>
              <w:t>元</w:t>
            </w:r>
            <w:r>
              <w:rPr>
                <w:rFonts w:ascii="宋体" w:hAnsi="宋体" w:eastAsia="宋体" w:cs="宋体"/>
                <w:color w:val="auto"/>
                <w:highlight w:val="none"/>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80" w:hRule="atLeast"/>
          <w:jc w:val="center"/>
        </w:trPr>
        <w:tc>
          <w:tcPr>
            <w:tcW w:w="120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tabs>
                <w:tab w:val="left" w:pos="840"/>
                <w:tab w:val="left" w:pos="945"/>
              </w:tabs>
              <w:snapToGrid w:val="0"/>
              <w:spacing w:line="360" w:lineRule="auto"/>
              <w:jc w:val="center"/>
              <w:rPr>
                <w:rFonts w:ascii="宋体" w:hAnsi="宋体" w:eastAsia="宋体" w:cs="宋体"/>
                <w:color w:val="auto"/>
                <w:highlight w:val="none"/>
              </w:rPr>
            </w:pPr>
            <w:r>
              <w:rPr>
                <w:rFonts w:ascii="宋体" w:hAnsi="宋体" w:eastAsia="宋体" w:cs="宋体"/>
                <w:color w:val="auto"/>
                <w:highlight w:val="none"/>
              </w:rPr>
              <w:t>1-1</w:t>
            </w:r>
          </w:p>
        </w:tc>
        <w:tc>
          <w:tcPr>
            <w:tcW w:w="1537"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tabs>
                <w:tab w:val="left" w:pos="840"/>
                <w:tab w:val="left" w:pos="945"/>
              </w:tabs>
              <w:snapToGrid w:val="0"/>
              <w:spacing w:line="360" w:lineRule="auto"/>
              <w:jc w:val="center"/>
              <w:rPr>
                <w:rFonts w:ascii="宋体" w:hAnsi="宋体" w:eastAsia="宋体" w:cs="宋体"/>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项</w:t>
            </w:r>
            <w:r>
              <w:rPr>
                <w:rFonts w:ascii="宋体" w:hAnsi="宋体" w:eastAsia="宋体" w:cs="宋体"/>
                <w:color w:val="auto"/>
                <w:highlight w:val="none"/>
              </w:rPr>
              <w:t>)</w:t>
            </w:r>
          </w:p>
        </w:tc>
        <w:tc>
          <w:tcPr>
            <w:tcW w:w="2575"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tabs>
                <w:tab w:val="left" w:pos="840"/>
                <w:tab w:val="left" w:pos="945"/>
              </w:tabs>
              <w:snapToGrid w:val="0"/>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详见公开遴选文件</w:t>
            </w:r>
          </w:p>
        </w:tc>
        <w:tc>
          <w:tcPr>
            <w:tcW w:w="1713"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tabs>
                <w:tab w:val="left" w:pos="840"/>
                <w:tab w:val="left" w:pos="945"/>
              </w:tabs>
              <w:snapToGrid w:val="0"/>
              <w:spacing w:line="360" w:lineRule="auto"/>
              <w:jc w:val="center"/>
              <w:rPr>
                <w:rFonts w:ascii="宋体" w:hAnsi="宋体" w:eastAsia="宋体" w:cs="宋体"/>
                <w:color w:val="auto"/>
                <w:highlight w:val="none"/>
              </w:rPr>
            </w:pPr>
            <w:r>
              <w:rPr>
                <w:rFonts w:ascii="宋体" w:hAnsi="宋体" w:eastAsia="宋体" w:cs="宋体"/>
                <w:color w:val="auto"/>
                <w:highlight w:val="none"/>
              </w:rPr>
              <w:t>200000.00</w:t>
            </w:r>
          </w:p>
        </w:tc>
        <w:tc>
          <w:tcPr>
            <w:tcW w:w="1798" w:type="dxa"/>
            <w:tcBorders>
              <w:top w:val="single" w:color="333333" w:sz="6" w:space="0"/>
              <w:left w:val="single" w:color="333333" w:sz="6" w:space="0"/>
              <w:bottom w:val="single" w:color="333333" w:sz="6" w:space="0"/>
              <w:right w:val="single" w:color="333333" w:sz="6" w:space="0"/>
            </w:tcBorders>
            <w:shd w:val="clear" w:color="auto" w:fill="FFFFFF"/>
            <w:tcMar>
              <w:top w:w="75" w:type="dxa"/>
              <w:left w:w="120" w:type="dxa"/>
              <w:bottom w:w="75" w:type="dxa"/>
              <w:right w:w="120" w:type="dxa"/>
            </w:tcMar>
            <w:vAlign w:val="center"/>
          </w:tcPr>
          <w:p>
            <w:pPr>
              <w:tabs>
                <w:tab w:val="left" w:pos="840"/>
                <w:tab w:val="left" w:pos="945"/>
              </w:tabs>
              <w:snapToGrid w:val="0"/>
              <w:spacing w:line="360" w:lineRule="auto"/>
              <w:jc w:val="center"/>
              <w:rPr>
                <w:rFonts w:ascii="宋体" w:hAnsi="宋体" w:eastAsia="宋体" w:cs="宋体"/>
                <w:color w:val="auto"/>
                <w:highlight w:val="none"/>
              </w:rPr>
            </w:pPr>
            <w:r>
              <w:rPr>
                <w:rFonts w:ascii="宋体" w:hAnsi="宋体" w:eastAsia="宋体" w:cs="宋体"/>
                <w:color w:val="auto"/>
                <w:highlight w:val="none"/>
              </w:rPr>
              <w:t>200000.00</w:t>
            </w:r>
          </w:p>
        </w:tc>
      </w:tr>
    </w:tbl>
    <w:p>
      <w:pPr>
        <w:tabs>
          <w:tab w:val="left" w:pos="840"/>
          <w:tab w:val="left" w:pos="945"/>
        </w:tabs>
        <w:snapToGrid w:val="0"/>
        <w:spacing w:line="360" w:lineRule="auto"/>
        <w:ind w:left="525"/>
        <w:rPr>
          <w:rFonts w:ascii="宋体" w:hAnsi="宋体" w:eastAsia="宋体" w:cs="Times New Roman"/>
          <w:color w:val="auto"/>
          <w:highlight w:val="none"/>
        </w:rPr>
      </w:pPr>
      <w:r>
        <w:rPr>
          <w:rFonts w:hint="eastAsia" w:ascii="宋体" w:hAnsi="宋体" w:eastAsia="宋体" w:cs="宋体"/>
          <w:color w:val="auto"/>
          <w:highlight w:val="none"/>
        </w:rPr>
        <w:t>本合同包不接受联合体投标。</w:t>
      </w:r>
    </w:p>
    <w:p>
      <w:pPr>
        <w:tabs>
          <w:tab w:val="left" w:pos="840"/>
          <w:tab w:val="left" w:pos="945"/>
        </w:tabs>
        <w:snapToGrid w:val="0"/>
        <w:spacing w:line="360" w:lineRule="auto"/>
        <w:ind w:left="525"/>
        <w:rPr>
          <w:rFonts w:ascii="宋体" w:hAnsi="宋体" w:eastAsia="宋体" w:cs="Times New Roman"/>
          <w:b/>
          <w:bCs/>
          <w:color w:val="auto"/>
          <w:highlight w:val="none"/>
        </w:rPr>
      </w:pPr>
      <w:r>
        <w:rPr>
          <w:rFonts w:hint="eastAsia" w:ascii="宋体" w:hAnsi="宋体" w:eastAsia="宋体" w:cs="宋体"/>
          <w:b/>
          <w:bCs/>
          <w:color w:val="auto"/>
          <w:highlight w:val="none"/>
        </w:rPr>
        <w:t>二、申请人的资格要求：</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满足《中华人民共和国政府采购法》第二十二条规定；</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落实政府采购政策需满足的资格要求：</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《政府采购促进中小企业发展管理办法》（财库〔</w:t>
      </w:r>
      <w:r>
        <w:rPr>
          <w:rFonts w:ascii="宋体" w:hAnsi="宋体" w:eastAsia="宋体" w:cs="宋体"/>
          <w:color w:val="auto"/>
          <w:highlight w:val="none"/>
        </w:rPr>
        <w:t>2020</w:t>
      </w:r>
      <w:r>
        <w:rPr>
          <w:rFonts w:hint="eastAsia" w:ascii="宋体" w:hAnsi="宋体" w:eastAsia="宋体" w:cs="宋体"/>
          <w:color w:val="auto"/>
          <w:highlight w:val="none"/>
        </w:rPr>
        <w:t>〕</w:t>
      </w:r>
      <w:r>
        <w:rPr>
          <w:rFonts w:ascii="宋体" w:hAnsi="宋体" w:eastAsia="宋体" w:cs="宋体"/>
          <w:color w:val="auto"/>
          <w:highlight w:val="none"/>
        </w:rPr>
        <w:t>46</w:t>
      </w:r>
      <w:r>
        <w:rPr>
          <w:rFonts w:hint="eastAsia" w:ascii="宋体" w:hAnsi="宋体" w:eastAsia="宋体" w:cs="宋体"/>
          <w:color w:val="auto"/>
          <w:highlight w:val="none"/>
        </w:rPr>
        <w:t>号）</w:t>
      </w:r>
    </w:p>
    <w:p>
      <w:pPr>
        <w:tabs>
          <w:tab w:val="left" w:pos="840"/>
          <w:tab w:val="left" w:pos="945"/>
        </w:tabs>
        <w:snapToGrid w:val="0"/>
        <w:spacing w:line="360" w:lineRule="auto"/>
        <w:ind w:left="527" w:firstLine="420" w:firstLineChars="200"/>
        <w:rPr>
          <w:rFonts w:ascii="宋体" w:hAnsi="宋体" w:eastAsia="宋体" w:cs="宋体"/>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《关于政府采购支持监狱企业发展有关问题的通知》</w:t>
      </w:r>
      <w:r>
        <w:rPr>
          <w:rFonts w:ascii="宋体" w:hAnsi="宋体" w:eastAsia="宋体" w:cs="宋体"/>
          <w:color w:val="auto"/>
          <w:highlight w:val="none"/>
        </w:rPr>
        <w:t>(</w:t>
      </w:r>
      <w:r>
        <w:rPr>
          <w:rFonts w:hint="eastAsia" w:ascii="宋体" w:hAnsi="宋体" w:eastAsia="宋体" w:cs="宋体"/>
          <w:color w:val="auto"/>
          <w:highlight w:val="none"/>
        </w:rPr>
        <w:t>财库〔</w:t>
      </w:r>
      <w:r>
        <w:rPr>
          <w:rFonts w:ascii="宋体" w:hAnsi="宋体" w:eastAsia="宋体" w:cs="宋体"/>
          <w:color w:val="auto"/>
          <w:highlight w:val="none"/>
        </w:rPr>
        <w:t>2014</w:t>
      </w:r>
      <w:r>
        <w:rPr>
          <w:rFonts w:hint="eastAsia" w:ascii="宋体" w:hAnsi="宋体" w:eastAsia="宋体" w:cs="宋体"/>
          <w:color w:val="auto"/>
          <w:highlight w:val="none"/>
        </w:rPr>
        <w:t>〕</w:t>
      </w:r>
      <w:r>
        <w:rPr>
          <w:rFonts w:ascii="宋体" w:hAnsi="宋体" w:eastAsia="宋体" w:cs="宋体"/>
          <w:color w:val="auto"/>
          <w:highlight w:val="none"/>
        </w:rPr>
        <w:t>68</w:t>
      </w:r>
      <w:r>
        <w:rPr>
          <w:rFonts w:hint="eastAsia" w:ascii="宋体" w:hAnsi="宋体" w:eastAsia="宋体" w:cs="宋体"/>
          <w:color w:val="auto"/>
          <w:highlight w:val="none"/>
        </w:rPr>
        <w:t>号</w:t>
      </w:r>
      <w:r>
        <w:rPr>
          <w:rFonts w:ascii="宋体" w:hAnsi="宋体" w:eastAsia="宋体" w:cs="宋体"/>
          <w:color w:val="auto"/>
          <w:highlight w:val="none"/>
        </w:rPr>
        <w:t>)</w:t>
      </w:r>
    </w:p>
    <w:p>
      <w:pPr>
        <w:tabs>
          <w:tab w:val="left" w:pos="840"/>
          <w:tab w:val="left" w:pos="945"/>
        </w:tabs>
        <w:snapToGrid w:val="0"/>
        <w:spacing w:line="360" w:lineRule="auto"/>
        <w:ind w:left="527" w:firstLine="420" w:firstLineChars="200"/>
        <w:rPr>
          <w:rFonts w:ascii="宋体" w:hAnsi="宋体" w:eastAsia="宋体" w:cs="宋体"/>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《关于促进残疾人就业政府采购政策的通知》（财库〔</w:t>
      </w:r>
      <w:r>
        <w:rPr>
          <w:rFonts w:ascii="宋体" w:hAnsi="宋体" w:eastAsia="宋体" w:cs="宋体"/>
          <w:color w:val="auto"/>
          <w:highlight w:val="none"/>
        </w:rPr>
        <w:t>2017</w:t>
      </w:r>
      <w:r>
        <w:rPr>
          <w:rFonts w:hint="eastAsia" w:ascii="宋体" w:hAnsi="宋体" w:eastAsia="宋体" w:cs="宋体"/>
          <w:color w:val="auto"/>
          <w:highlight w:val="none"/>
        </w:rPr>
        <w:t>〕</w:t>
      </w:r>
      <w:r>
        <w:rPr>
          <w:rFonts w:ascii="宋体" w:hAnsi="宋体" w:eastAsia="宋体" w:cs="宋体"/>
          <w:color w:val="auto"/>
          <w:highlight w:val="none"/>
        </w:rPr>
        <w:t>141</w:t>
      </w:r>
      <w:r>
        <w:rPr>
          <w:rFonts w:hint="eastAsia" w:ascii="宋体" w:hAnsi="宋体" w:eastAsia="宋体" w:cs="宋体"/>
          <w:color w:val="auto"/>
          <w:highlight w:val="none"/>
        </w:rPr>
        <w:t>号</w:t>
      </w:r>
      <w:r>
        <w:rPr>
          <w:rFonts w:ascii="宋体" w:hAnsi="宋体" w:eastAsia="宋体" w:cs="宋体"/>
          <w:color w:val="auto"/>
          <w:highlight w:val="none"/>
        </w:rPr>
        <w:t>)</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ascii="宋体" w:hAnsi="宋体" w:eastAsia="宋体" w:cs="宋体"/>
          <w:color w:val="auto"/>
          <w:highlight w:val="none"/>
        </w:rPr>
        <w:t>4)</w:t>
      </w:r>
      <w:r>
        <w:rPr>
          <w:rFonts w:hint="eastAsia" w:ascii="宋体" w:hAnsi="宋体" w:eastAsia="宋体" w:cs="宋体"/>
          <w:color w:val="auto"/>
          <w:highlight w:val="none"/>
        </w:rPr>
        <w:t>《关于环境标志产品政府采购实施的意见》</w:t>
      </w:r>
      <w:r>
        <w:rPr>
          <w:rFonts w:ascii="宋体" w:hAnsi="宋体" w:eastAsia="宋体" w:cs="宋体"/>
          <w:color w:val="auto"/>
          <w:highlight w:val="none"/>
        </w:rPr>
        <w:t>(</w:t>
      </w:r>
      <w:r>
        <w:rPr>
          <w:rFonts w:hint="eastAsia" w:ascii="宋体" w:hAnsi="宋体" w:eastAsia="宋体" w:cs="宋体"/>
          <w:color w:val="auto"/>
          <w:highlight w:val="none"/>
        </w:rPr>
        <w:t>财库〔</w:t>
      </w:r>
      <w:r>
        <w:rPr>
          <w:rFonts w:ascii="宋体" w:hAnsi="宋体" w:eastAsia="宋体" w:cs="宋体"/>
          <w:color w:val="auto"/>
          <w:highlight w:val="none"/>
        </w:rPr>
        <w:t>2006</w:t>
      </w:r>
      <w:r>
        <w:rPr>
          <w:rFonts w:hint="eastAsia" w:ascii="宋体" w:hAnsi="宋体" w:eastAsia="宋体" w:cs="宋体"/>
          <w:color w:val="auto"/>
          <w:highlight w:val="none"/>
        </w:rPr>
        <w:t>〕</w:t>
      </w:r>
      <w:r>
        <w:rPr>
          <w:rFonts w:ascii="宋体" w:hAnsi="宋体" w:eastAsia="宋体" w:cs="宋体"/>
          <w:color w:val="auto"/>
          <w:highlight w:val="none"/>
        </w:rPr>
        <w:t>90</w:t>
      </w:r>
      <w:r>
        <w:rPr>
          <w:rFonts w:hint="eastAsia" w:ascii="宋体" w:hAnsi="宋体" w:eastAsia="宋体" w:cs="宋体"/>
          <w:color w:val="auto"/>
          <w:highlight w:val="none"/>
        </w:rPr>
        <w:t>号）</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ascii="宋体" w:hAnsi="宋体" w:eastAsia="宋体" w:cs="宋体"/>
          <w:color w:val="auto"/>
          <w:highlight w:val="none"/>
        </w:rPr>
        <w:t>5)</w:t>
      </w:r>
      <w:r>
        <w:rPr>
          <w:rFonts w:hint="eastAsia" w:ascii="宋体" w:hAnsi="宋体" w:eastAsia="宋体" w:cs="宋体"/>
          <w:color w:val="auto"/>
          <w:highlight w:val="none"/>
        </w:rPr>
        <w:t>《节能产品政府采购实施意见》的通知（财库〔</w:t>
      </w:r>
      <w:r>
        <w:rPr>
          <w:rFonts w:ascii="宋体" w:hAnsi="宋体" w:eastAsia="宋体" w:cs="宋体"/>
          <w:color w:val="auto"/>
          <w:highlight w:val="none"/>
        </w:rPr>
        <w:t>2004</w:t>
      </w:r>
      <w:r>
        <w:rPr>
          <w:rFonts w:hint="eastAsia" w:ascii="宋体" w:hAnsi="宋体" w:eastAsia="宋体" w:cs="宋体"/>
          <w:color w:val="auto"/>
          <w:highlight w:val="none"/>
        </w:rPr>
        <w:t>〕</w:t>
      </w:r>
      <w:r>
        <w:rPr>
          <w:rFonts w:ascii="宋体" w:hAnsi="宋体" w:eastAsia="宋体" w:cs="宋体"/>
          <w:color w:val="auto"/>
          <w:highlight w:val="none"/>
        </w:rPr>
        <w:t>185</w:t>
      </w:r>
      <w:r>
        <w:rPr>
          <w:rFonts w:hint="eastAsia" w:ascii="宋体" w:hAnsi="宋体" w:eastAsia="宋体" w:cs="宋体"/>
          <w:color w:val="auto"/>
          <w:highlight w:val="none"/>
        </w:rPr>
        <w:t>号）</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宋体"/>
          <w:color w:val="auto"/>
          <w:highlight w:val="none"/>
        </w:rPr>
        <w:t>3.</w:t>
      </w:r>
      <w:r>
        <w:rPr>
          <w:rFonts w:ascii="仿宋_GB2312" w:hAnsi="Times New Roman" w:eastAsia="仿宋_GB2312" w:cs="仿宋_GB2312"/>
          <w:color w:val="auto"/>
          <w:sz w:val="28"/>
          <w:szCs w:val="28"/>
          <w:highlight w:val="none"/>
        </w:rPr>
        <w:t xml:space="preserve"> </w:t>
      </w:r>
      <w:r>
        <w:rPr>
          <w:rFonts w:hint="eastAsia" w:ascii="宋体" w:hAnsi="宋体" w:eastAsia="宋体" w:cs="宋体"/>
          <w:color w:val="auto"/>
          <w:highlight w:val="none"/>
        </w:rPr>
        <w:t>本项目的特定资格要求：</w:t>
      </w:r>
    </w:p>
    <w:p>
      <w:pPr>
        <w:tabs>
          <w:tab w:val="left" w:pos="840"/>
          <w:tab w:val="left" w:pos="945"/>
        </w:tabs>
        <w:snapToGrid w:val="0"/>
        <w:spacing w:line="360" w:lineRule="auto"/>
        <w:ind w:left="525"/>
        <w:rPr>
          <w:rFonts w:ascii="宋体" w:hAnsi="宋体" w:eastAsia="宋体" w:cs="宋体"/>
          <w:color w:val="auto"/>
          <w:highlight w:val="none"/>
        </w:rPr>
      </w:pPr>
      <w:r>
        <w:rPr>
          <w:rFonts w:hint="eastAsia" w:ascii="宋体" w:hAnsi="宋体" w:eastAsia="宋体" w:cs="宋体"/>
          <w:color w:val="auto"/>
          <w:highlight w:val="none"/>
        </w:rPr>
        <w:t>合同包</w:t>
      </w:r>
      <w:r>
        <w:rPr>
          <w:rFonts w:ascii="宋体" w:hAnsi="宋体" w:eastAsia="宋体" w:cs="宋体"/>
          <w:color w:val="auto"/>
          <w:highlight w:val="none"/>
        </w:rPr>
        <w:t>1(</w:t>
      </w:r>
      <w:r>
        <w:rPr>
          <w:rFonts w:hint="eastAsia" w:ascii="宋体" w:hAnsi="宋体" w:eastAsia="宋体" w:cs="宋体"/>
          <w:color w:val="auto"/>
          <w:highlight w:val="none"/>
          <w:lang w:eastAsia="zh-CN"/>
        </w:rPr>
        <w:t>广州市生态环境局越秀分局2021年污染源监督性监测服务项目</w:t>
      </w:r>
      <w:r>
        <w:rPr>
          <w:rFonts w:ascii="宋体" w:hAnsi="宋体" w:eastAsia="宋体" w:cs="宋体"/>
          <w:color w:val="auto"/>
          <w:highlight w:val="none"/>
        </w:rPr>
        <w:t>)</w:t>
      </w:r>
      <w:r>
        <w:rPr>
          <w:rFonts w:hint="eastAsia" w:ascii="宋体" w:hAnsi="宋体" w:eastAsia="宋体" w:cs="宋体"/>
          <w:color w:val="auto"/>
          <w:highlight w:val="none"/>
        </w:rPr>
        <w:t>特定资格要求如下</w:t>
      </w:r>
      <w:r>
        <w:rPr>
          <w:rFonts w:ascii="宋体" w:hAnsi="宋体" w:eastAsia="宋体" w:cs="宋体"/>
          <w:color w:val="auto"/>
          <w:highlight w:val="none"/>
        </w:rPr>
        <w:t>:</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1</w:t>
      </w:r>
      <w:r>
        <w:rPr>
          <w:rFonts w:hint="eastAsia" w:ascii="宋体" w:hAnsi="宋体" w:eastAsia="宋体" w:cs="宋体"/>
          <w:color w:val="auto"/>
          <w:highlight w:val="none"/>
        </w:rPr>
        <w:t>）满足《中华人民共和国政府采购法》第二十二条规定；</w:t>
      </w:r>
    </w:p>
    <w:p>
      <w:pPr>
        <w:tabs>
          <w:tab w:val="left" w:pos="840"/>
          <w:tab w:val="left" w:pos="945"/>
        </w:tabs>
        <w:snapToGrid w:val="0"/>
        <w:spacing w:line="360" w:lineRule="auto"/>
        <w:ind w:left="527" w:firstLine="525" w:firstLineChars="250"/>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）具有独立承担民事责任的能力；（提供法人或者其他组织的营业执照、组织机构代码证和税务登记证（或三证合一证明）等证明文件）。</w:t>
      </w:r>
    </w:p>
    <w:p>
      <w:pPr>
        <w:tabs>
          <w:tab w:val="left" w:pos="840"/>
          <w:tab w:val="left" w:pos="945"/>
        </w:tabs>
        <w:snapToGrid w:val="0"/>
        <w:spacing w:line="360" w:lineRule="auto"/>
        <w:ind w:left="527" w:firstLine="525" w:firstLineChars="250"/>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）具有良好的商业信誉和健全的财务会计制度；（提供书面承诺声明）。</w:t>
      </w:r>
    </w:p>
    <w:p>
      <w:pPr>
        <w:tabs>
          <w:tab w:val="left" w:pos="840"/>
          <w:tab w:val="left" w:pos="945"/>
        </w:tabs>
        <w:snapToGrid w:val="0"/>
        <w:spacing w:line="360" w:lineRule="auto"/>
        <w:ind w:left="527" w:firstLine="525" w:firstLineChars="250"/>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）具有履行合同所必需的设备和专业技术能力；（提供履行合同所必需的设备清单以及技术人员的名单材料）。</w:t>
      </w:r>
    </w:p>
    <w:p>
      <w:pPr>
        <w:tabs>
          <w:tab w:val="left" w:pos="840"/>
          <w:tab w:val="left" w:pos="945"/>
        </w:tabs>
        <w:snapToGrid w:val="0"/>
        <w:spacing w:line="360" w:lineRule="auto"/>
        <w:ind w:left="527" w:firstLine="525" w:firstLineChars="250"/>
        <w:rPr>
          <w:rFonts w:ascii="宋体" w:hAnsi="宋体" w:eastAsia="宋体" w:cs="Times New Roman"/>
          <w:color w:val="auto"/>
          <w:highlight w:val="none"/>
        </w:rPr>
      </w:pPr>
      <w:r>
        <w:rPr>
          <w:rFonts w:ascii="宋体" w:hAnsi="宋体" w:eastAsia="宋体" w:cs="宋体"/>
          <w:color w:val="auto"/>
          <w:highlight w:val="none"/>
        </w:rPr>
        <w:t>4</w:t>
      </w:r>
      <w:r>
        <w:rPr>
          <w:rFonts w:hint="eastAsia" w:ascii="宋体" w:hAnsi="宋体" w:eastAsia="宋体" w:cs="宋体"/>
          <w:color w:val="auto"/>
          <w:highlight w:val="none"/>
        </w:rPr>
        <w:t>）有依法缴纳税收和社会保障资金的良好记录；（提供书面承诺声明）。</w:t>
      </w:r>
    </w:p>
    <w:p>
      <w:pPr>
        <w:tabs>
          <w:tab w:val="left" w:pos="840"/>
          <w:tab w:val="left" w:pos="945"/>
        </w:tabs>
        <w:snapToGrid w:val="0"/>
        <w:spacing w:line="360" w:lineRule="auto"/>
        <w:ind w:left="527" w:firstLine="525" w:firstLineChars="250"/>
        <w:rPr>
          <w:rFonts w:ascii="宋体" w:hAnsi="宋体" w:eastAsia="宋体" w:cs="Times New Roman"/>
          <w:color w:val="auto"/>
          <w:highlight w:val="none"/>
        </w:rPr>
      </w:pPr>
      <w:r>
        <w:rPr>
          <w:rFonts w:ascii="宋体" w:hAnsi="宋体" w:eastAsia="宋体" w:cs="宋体"/>
          <w:color w:val="auto"/>
          <w:highlight w:val="none"/>
        </w:rPr>
        <w:t>5</w:t>
      </w:r>
      <w:r>
        <w:rPr>
          <w:rFonts w:hint="eastAsia" w:ascii="宋体" w:hAnsi="宋体" w:eastAsia="宋体" w:cs="宋体"/>
          <w:color w:val="auto"/>
          <w:highlight w:val="none"/>
        </w:rPr>
        <w:t>）参加政府采购活动前三年内，在经营活动中没有重大违法记录；（提供书面声明）</w:t>
      </w:r>
    </w:p>
    <w:p>
      <w:pPr>
        <w:tabs>
          <w:tab w:val="left" w:pos="840"/>
          <w:tab w:val="left" w:pos="945"/>
        </w:tabs>
        <w:snapToGrid w:val="0"/>
        <w:spacing w:line="360" w:lineRule="auto"/>
        <w:ind w:left="527" w:firstLine="525" w:firstLineChars="250"/>
        <w:rPr>
          <w:rFonts w:ascii="宋体" w:hAnsi="宋体" w:eastAsia="宋体" w:cs="Times New Roman"/>
          <w:color w:val="auto"/>
          <w:highlight w:val="none"/>
        </w:rPr>
      </w:pPr>
      <w:r>
        <w:rPr>
          <w:rFonts w:ascii="宋体" w:hAnsi="宋体" w:eastAsia="宋体" w:cs="宋体"/>
          <w:color w:val="auto"/>
          <w:highlight w:val="none"/>
        </w:rPr>
        <w:t>6</w:t>
      </w:r>
      <w:r>
        <w:rPr>
          <w:rFonts w:hint="eastAsia" w:ascii="宋体" w:hAnsi="宋体" w:eastAsia="宋体" w:cs="宋体"/>
          <w:color w:val="auto"/>
          <w:highlight w:val="none"/>
        </w:rPr>
        <w:t>）法律、行政法规规定的其他条件。</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）供应商《公平竞争承诺书》原件。</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3)</w:t>
      </w:r>
      <w:r>
        <w:rPr>
          <w:rFonts w:hint="eastAsia" w:ascii="宋体" w:hAnsi="宋体" w:eastAsia="宋体" w:cs="宋体"/>
          <w:color w:val="auto"/>
          <w:highlight w:val="none"/>
        </w:rPr>
        <w:t>本项目</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未被列入“信用中国”网站</w:t>
      </w:r>
      <w:r>
        <w:rPr>
          <w:rFonts w:ascii="宋体" w:hAnsi="宋体" w:eastAsia="宋体" w:cs="宋体"/>
          <w:color w:val="auto"/>
          <w:highlight w:val="none"/>
        </w:rPr>
        <w:t>(www.creditchina.gov.cn)</w:t>
      </w:r>
      <w:r>
        <w:rPr>
          <w:rFonts w:hint="eastAsia" w:ascii="宋体" w:hAnsi="宋体" w:eastAsia="宋体" w:cs="宋体"/>
          <w:color w:val="auto"/>
          <w:highlight w:val="none"/>
        </w:rPr>
        <w:t>以下情形之一：①记录失信被执行人；②重大税收违法案件当事人名单；③政府采购严重违法失信行为。同时，在中国政府采购网</w:t>
      </w:r>
      <w:r>
        <w:rPr>
          <w:rFonts w:ascii="宋体" w:hAnsi="宋体" w:eastAsia="宋体" w:cs="宋体"/>
          <w:color w:val="auto"/>
          <w:highlight w:val="none"/>
        </w:rPr>
        <w:t>(www.ccgp.gov.cn)</w:t>
      </w:r>
      <w:r>
        <w:rPr>
          <w:rFonts w:hint="eastAsia" w:ascii="宋体" w:hAnsi="宋体" w:eastAsia="宋体" w:cs="宋体"/>
          <w:color w:val="auto"/>
          <w:highlight w:val="none"/>
        </w:rPr>
        <w:t>“政府采购严重违法失信行为信息记录”中查询没有处于禁止参加政府采购活动的记录名单。（</w:t>
      </w:r>
      <w:r>
        <w:rPr>
          <w:rFonts w:ascii="宋体" w:hAnsi="宋体" w:eastAsia="宋体" w:cs="宋体"/>
          <w:color w:val="auto"/>
          <w:highlight w:val="none"/>
        </w:rPr>
        <w:t>1</w:t>
      </w:r>
      <w:r>
        <w:rPr>
          <w:rFonts w:hint="eastAsia" w:ascii="宋体" w:hAnsi="宋体" w:eastAsia="宋体" w:cs="宋体"/>
          <w:color w:val="auto"/>
          <w:highlight w:val="none"/>
        </w:rPr>
        <w:t>、由采购人、采购代理机构于投标截止日在上述网站进行查询，同时对信息查询记录和证据截图或下载存档；</w:t>
      </w:r>
      <w:r>
        <w:rPr>
          <w:rFonts w:ascii="宋体" w:hAnsi="宋体" w:eastAsia="宋体" w:cs="宋体"/>
          <w:color w:val="auto"/>
          <w:highlight w:val="none"/>
        </w:rPr>
        <w:t>2</w:t>
      </w:r>
      <w:r>
        <w:rPr>
          <w:rFonts w:hint="eastAsia" w:ascii="宋体" w:hAnsi="宋体" w:eastAsia="宋体" w:cs="宋体"/>
          <w:color w:val="auto"/>
          <w:highlight w:val="none"/>
        </w:rPr>
        <w:t>、若分公司投标：供应商为非独立法人（即由合法法人依法建立的分公司），除了对供应商进行信息查询外，同时对总公司的信息查询记录和证据截图或下载存档）。</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4)</w:t>
      </w:r>
      <w:r>
        <w:rPr>
          <w:rFonts w:hint="eastAsia" w:ascii="宋体" w:hAnsi="宋体" w:eastAsia="宋体" w:cs="宋体"/>
          <w:color w:val="auto"/>
          <w:highlight w:val="none"/>
        </w:rPr>
        <w:t>供应商单位负责人</w:t>
      </w:r>
      <w:r>
        <w:rPr>
          <w:rFonts w:hint="eastAsia" w:ascii="宋体" w:hAnsi="宋体" w:eastAsia="宋体" w:cs="宋体"/>
          <w:color w:val="auto"/>
          <w:highlight w:val="none"/>
        </w:rPr>
        <w:t>为同一人或者存在直接控股、管理关系的不同供应商，不得参加同一合同项下的政府采购活动。为采购项目提供整体设计、规范编制或者项目管理、监理、检测等服务的供应商，不得再参加该采购项目的其他采购活动。</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5</w:t>
      </w:r>
      <w:r>
        <w:rPr>
          <w:rFonts w:hint="eastAsia" w:ascii="宋体" w:hAnsi="宋体" w:eastAsia="宋体" w:cs="宋体"/>
          <w:color w:val="auto"/>
          <w:highlight w:val="none"/>
        </w:rPr>
        <w:t>）供应商应具有有效期内的“检验检测机构资质认定证书”（包括附表中的授权签字人及领域表）。</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6</w:t>
      </w:r>
      <w:r>
        <w:rPr>
          <w:rFonts w:hint="eastAsia" w:ascii="宋体" w:hAnsi="宋体" w:eastAsia="宋体" w:cs="宋体"/>
          <w:color w:val="auto"/>
          <w:highlight w:val="none"/>
        </w:rPr>
        <w:t>）本项目不接受联合体投标。</w:t>
      </w:r>
    </w:p>
    <w:p>
      <w:pPr>
        <w:tabs>
          <w:tab w:val="left" w:pos="840"/>
          <w:tab w:val="left" w:pos="945"/>
        </w:tabs>
        <w:snapToGrid w:val="0"/>
        <w:spacing w:line="360" w:lineRule="auto"/>
        <w:ind w:left="525"/>
        <w:rPr>
          <w:rFonts w:ascii="宋体" w:hAnsi="宋体" w:eastAsia="宋体" w:cs="Times New Roman"/>
          <w:b/>
          <w:bCs/>
          <w:color w:val="auto"/>
          <w:highlight w:val="none"/>
        </w:rPr>
      </w:pPr>
      <w:r>
        <w:rPr>
          <w:rFonts w:hint="eastAsia" w:ascii="宋体" w:hAnsi="宋体" w:eastAsia="宋体" w:cs="宋体"/>
          <w:b/>
          <w:bCs/>
          <w:color w:val="auto"/>
          <w:highlight w:val="none"/>
        </w:rPr>
        <w:t>三、获取公开遴选文件</w:t>
      </w:r>
    </w:p>
    <w:p>
      <w:pPr>
        <w:tabs>
          <w:tab w:val="left" w:pos="840"/>
          <w:tab w:val="left" w:pos="945"/>
        </w:tabs>
        <w:snapToGrid w:val="0"/>
        <w:spacing w:line="360" w:lineRule="auto"/>
        <w:ind w:left="525" w:firstLine="210" w:firstLineChars="100"/>
        <w:rPr>
          <w:rFonts w:ascii="宋体" w:hAnsi="宋体" w:eastAsia="宋体" w:cs="Times New Roman"/>
          <w:color w:val="auto"/>
          <w:highlight w:val="none"/>
        </w:rPr>
      </w:pPr>
      <w:r>
        <w:rPr>
          <w:rFonts w:hint="eastAsia" w:ascii="宋体" w:hAnsi="宋体" w:eastAsia="宋体" w:cs="宋体"/>
          <w:color w:val="auto"/>
          <w:highlight w:val="none"/>
        </w:rPr>
        <w:t>时间：</w:t>
      </w:r>
      <w:r>
        <w:rPr>
          <w:rFonts w:ascii="宋体" w:hAnsi="宋体" w:eastAsia="宋体" w:cs="宋体"/>
          <w:color w:val="auto"/>
          <w:highlight w:val="none"/>
        </w:rPr>
        <w:t>2021</w:t>
      </w:r>
      <w:r>
        <w:rPr>
          <w:rFonts w:hint="eastAsia" w:ascii="宋体" w:hAnsi="宋体" w:eastAsia="宋体" w:cs="宋体"/>
          <w:color w:val="auto"/>
          <w:highlight w:val="none"/>
        </w:rPr>
        <w:t>年</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月</w:t>
      </w:r>
      <w:r>
        <w:rPr>
          <w:rFonts w:hint="eastAsia" w:ascii="宋体" w:hAnsi="宋体" w:eastAsia="宋体" w:cs="宋体"/>
          <w:color w:val="auto"/>
          <w:highlight w:val="none"/>
          <w:lang w:val="en-US" w:eastAsia="zh-CN"/>
        </w:rPr>
        <w:t>26</w:t>
      </w:r>
      <w:r>
        <w:rPr>
          <w:rFonts w:hint="eastAsia" w:ascii="宋体" w:hAnsi="宋体" w:eastAsia="宋体" w:cs="宋体"/>
          <w:color w:val="auto"/>
          <w:highlight w:val="none"/>
        </w:rPr>
        <w:t>日至</w:t>
      </w:r>
      <w:r>
        <w:rPr>
          <w:rFonts w:ascii="宋体" w:hAnsi="宋体" w:eastAsia="宋体" w:cs="宋体"/>
          <w:color w:val="auto"/>
          <w:highlight w:val="none"/>
        </w:rPr>
        <w:t>2021</w:t>
      </w:r>
      <w:r>
        <w:rPr>
          <w:rFonts w:hint="eastAsia" w:ascii="宋体" w:hAnsi="宋体" w:eastAsia="宋体" w:cs="宋体"/>
          <w:color w:val="auto"/>
          <w:highlight w:val="none"/>
        </w:rPr>
        <w:t>年</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月</w:t>
      </w:r>
      <w:r>
        <w:rPr>
          <w:rFonts w:hint="eastAsia" w:ascii="宋体" w:hAnsi="宋体" w:eastAsia="宋体" w:cs="宋体"/>
          <w:color w:val="auto"/>
          <w:highlight w:val="none"/>
          <w:lang w:val="en-US" w:eastAsia="zh-CN"/>
        </w:rPr>
        <w:t>29</w:t>
      </w:r>
      <w:r>
        <w:rPr>
          <w:rFonts w:hint="eastAsia" w:ascii="宋体" w:hAnsi="宋体" w:eastAsia="宋体" w:cs="宋体"/>
          <w:color w:val="auto"/>
          <w:highlight w:val="none"/>
        </w:rPr>
        <w:t>日</w:t>
      </w:r>
      <w:r>
        <w:rPr>
          <w:rFonts w:hint="eastAsia" w:ascii="宋体" w:hAnsi="宋体" w:eastAsia="宋体" w:cs="宋体"/>
          <w:color w:val="auto"/>
          <w:highlight w:val="none"/>
        </w:rPr>
        <w:t>，每天上午</w:t>
      </w:r>
      <w:r>
        <w:rPr>
          <w:rFonts w:ascii="宋体" w:hAnsi="宋体" w:eastAsia="宋体" w:cs="宋体"/>
          <w:color w:val="auto"/>
          <w:highlight w:val="none"/>
        </w:rPr>
        <w:t>09:00</w:t>
      </w:r>
      <w:r>
        <w:rPr>
          <w:rFonts w:hint="eastAsia" w:ascii="宋体" w:hAnsi="宋体" w:eastAsia="宋体" w:cs="宋体"/>
          <w:color w:val="auto"/>
          <w:highlight w:val="none"/>
        </w:rPr>
        <w:t>至</w:t>
      </w:r>
      <w:r>
        <w:rPr>
          <w:rFonts w:ascii="宋体" w:hAnsi="宋体" w:eastAsia="宋体" w:cs="宋体"/>
          <w:color w:val="auto"/>
          <w:highlight w:val="none"/>
        </w:rPr>
        <w:t>12:00</w:t>
      </w:r>
      <w:r>
        <w:rPr>
          <w:rFonts w:hint="eastAsia" w:ascii="宋体" w:hAnsi="宋体" w:eastAsia="宋体" w:cs="宋体"/>
          <w:color w:val="auto"/>
          <w:highlight w:val="none"/>
        </w:rPr>
        <w:t>，下午</w:t>
      </w:r>
      <w:r>
        <w:rPr>
          <w:rFonts w:ascii="宋体" w:hAnsi="宋体" w:eastAsia="宋体" w:cs="宋体"/>
          <w:color w:val="auto"/>
          <w:highlight w:val="none"/>
        </w:rPr>
        <w:t>14:30</w:t>
      </w:r>
      <w:r>
        <w:rPr>
          <w:rFonts w:hint="eastAsia" w:ascii="宋体" w:hAnsi="宋体" w:eastAsia="宋体" w:cs="宋体"/>
          <w:color w:val="auto"/>
          <w:highlight w:val="none"/>
        </w:rPr>
        <w:t>至</w:t>
      </w:r>
      <w:r>
        <w:rPr>
          <w:rFonts w:ascii="宋体" w:hAnsi="宋体" w:eastAsia="宋体" w:cs="宋体"/>
          <w:color w:val="auto"/>
          <w:highlight w:val="none"/>
        </w:rPr>
        <w:t>17:30</w:t>
      </w:r>
      <w:r>
        <w:rPr>
          <w:rFonts w:hint="eastAsia" w:ascii="宋体" w:hAnsi="宋体" w:eastAsia="宋体" w:cs="宋体"/>
          <w:color w:val="auto"/>
          <w:highlight w:val="none"/>
        </w:rPr>
        <w:t>（北京时间，法定节假日除外</w:t>
      </w:r>
      <w:r>
        <w:rPr>
          <w:rFonts w:ascii="宋体" w:hAnsi="宋体" w:eastAsia="宋体" w:cs="宋体"/>
          <w:color w:val="auto"/>
          <w:highlight w:val="none"/>
        </w:rPr>
        <w:t xml:space="preserve"> </w:t>
      </w:r>
      <w:r>
        <w:rPr>
          <w:rFonts w:hint="eastAsia" w:ascii="宋体" w:hAnsi="宋体" w:eastAsia="宋体" w:cs="宋体"/>
          <w:color w:val="auto"/>
          <w:highlight w:val="none"/>
        </w:rPr>
        <w:t>）</w:t>
      </w:r>
    </w:p>
    <w:p>
      <w:pPr>
        <w:tabs>
          <w:tab w:val="left" w:pos="840"/>
          <w:tab w:val="left" w:pos="945"/>
        </w:tabs>
        <w:snapToGrid w:val="0"/>
        <w:spacing w:line="360" w:lineRule="auto"/>
        <w:ind w:left="525" w:firstLine="210" w:firstLineChars="100"/>
        <w:rPr>
          <w:rFonts w:ascii="宋体" w:hAnsi="宋体" w:eastAsia="宋体" w:cs="Times New Roman"/>
          <w:color w:val="auto"/>
          <w:highlight w:val="none"/>
        </w:rPr>
      </w:pPr>
      <w:r>
        <w:rPr>
          <w:rFonts w:hint="eastAsia" w:ascii="宋体" w:hAnsi="宋体" w:eastAsia="宋体" w:cs="宋体"/>
          <w:color w:val="auto"/>
          <w:highlight w:val="none"/>
        </w:rPr>
        <w:t>地点：</w:t>
      </w:r>
      <w:r>
        <w:rPr>
          <w:rFonts w:hint="eastAsia" w:ascii="宋体" w:hAnsi="宋体" w:eastAsia="宋体" w:cs="宋体"/>
          <w:color w:val="auto"/>
          <w:kern w:val="0"/>
          <w:highlight w:val="none"/>
        </w:rPr>
        <w:t>广州市天河区粤垦路</w:t>
      </w:r>
      <w:r>
        <w:rPr>
          <w:rFonts w:ascii="宋体" w:hAnsi="宋体" w:eastAsia="宋体" w:cs="宋体"/>
          <w:color w:val="auto"/>
          <w:kern w:val="0"/>
          <w:highlight w:val="none"/>
        </w:rPr>
        <w:t>623</w:t>
      </w:r>
      <w:r>
        <w:rPr>
          <w:rFonts w:hint="eastAsia" w:ascii="宋体" w:hAnsi="宋体" w:eastAsia="宋体" w:cs="宋体"/>
          <w:color w:val="auto"/>
          <w:kern w:val="0"/>
          <w:highlight w:val="none"/>
        </w:rPr>
        <w:t>号燕都商务大厦</w:t>
      </w:r>
      <w:r>
        <w:rPr>
          <w:rFonts w:ascii="宋体" w:hAnsi="宋体" w:eastAsia="宋体" w:cs="宋体"/>
          <w:color w:val="auto"/>
          <w:kern w:val="0"/>
          <w:highlight w:val="none"/>
        </w:rPr>
        <w:t>12</w:t>
      </w:r>
      <w:r>
        <w:rPr>
          <w:rFonts w:hint="eastAsia" w:ascii="宋体" w:hAnsi="宋体" w:eastAsia="宋体" w:cs="宋体"/>
          <w:color w:val="auto"/>
          <w:kern w:val="0"/>
          <w:highlight w:val="none"/>
        </w:rPr>
        <w:t>楼</w:t>
      </w:r>
      <w:r>
        <w:rPr>
          <w:rFonts w:ascii="宋体" w:hAnsi="宋体" w:eastAsia="宋体" w:cs="宋体"/>
          <w:color w:val="auto"/>
          <w:kern w:val="0"/>
          <w:highlight w:val="none"/>
        </w:rPr>
        <w:t>1202</w:t>
      </w:r>
      <w:r>
        <w:rPr>
          <w:rFonts w:hint="eastAsia" w:ascii="宋体" w:hAnsi="宋体" w:eastAsia="宋体" w:cs="宋体"/>
          <w:color w:val="auto"/>
          <w:kern w:val="0"/>
          <w:highlight w:val="none"/>
        </w:rPr>
        <w:t>室</w:t>
      </w:r>
    </w:p>
    <w:p>
      <w:pPr>
        <w:tabs>
          <w:tab w:val="left" w:pos="840"/>
          <w:tab w:val="left" w:pos="945"/>
        </w:tabs>
        <w:snapToGrid w:val="0"/>
        <w:spacing w:line="360" w:lineRule="auto"/>
        <w:ind w:left="525" w:firstLine="210" w:firstLineChars="100"/>
        <w:rPr>
          <w:rFonts w:ascii="宋体" w:hAnsi="宋体" w:eastAsia="宋体" w:cs="Times New Roman"/>
          <w:color w:val="auto"/>
          <w:highlight w:val="none"/>
        </w:rPr>
      </w:pPr>
      <w:r>
        <w:rPr>
          <w:rFonts w:hint="eastAsia" w:ascii="宋体" w:hAnsi="宋体" w:eastAsia="宋体" w:cs="宋体"/>
          <w:color w:val="auto"/>
          <w:highlight w:val="none"/>
        </w:rPr>
        <w:t>方式：现场获取或邮购获取，工本费：</w:t>
      </w:r>
      <w:r>
        <w:rPr>
          <w:rFonts w:ascii="宋体" w:hAnsi="宋体" w:eastAsia="宋体" w:cs="宋体"/>
          <w:color w:val="auto"/>
          <w:highlight w:val="none"/>
        </w:rPr>
        <w:t>500</w:t>
      </w:r>
      <w:r>
        <w:rPr>
          <w:rFonts w:hint="eastAsia" w:ascii="宋体" w:hAnsi="宋体" w:eastAsia="宋体" w:cs="宋体"/>
          <w:color w:val="auto"/>
          <w:highlight w:val="none"/>
        </w:rPr>
        <w:t>元。</w:t>
      </w:r>
    </w:p>
    <w:p>
      <w:pPr>
        <w:tabs>
          <w:tab w:val="left" w:pos="840"/>
          <w:tab w:val="left" w:pos="945"/>
        </w:tabs>
        <w:snapToGrid w:val="0"/>
        <w:spacing w:line="360" w:lineRule="auto"/>
        <w:ind w:left="525"/>
        <w:rPr>
          <w:rFonts w:ascii="宋体" w:hAnsi="宋体" w:eastAsia="宋体" w:cs="Times New Roman"/>
          <w:b/>
          <w:bCs/>
          <w:color w:val="auto"/>
          <w:highlight w:val="none"/>
        </w:rPr>
      </w:pPr>
      <w:r>
        <w:rPr>
          <w:rFonts w:hint="eastAsia" w:ascii="宋体" w:hAnsi="宋体" w:eastAsia="宋体" w:cs="宋体"/>
          <w:b/>
          <w:bCs/>
          <w:color w:val="auto"/>
          <w:highlight w:val="none"/>
        </w:rPr>
        <w:t>四、响应文件提交</w:t>
      </w:r>
    </w:p>
    <w:p>
      <w:pPr>
        <w:tabs>
          <w:tab w:val="left" w:pos="840"/>
          <w:tab w:val="left" w:pos="945"/>
        </w:tabs>
        <w:snapToGrid w:val="0"/>
        <w:spacing w:line="360" w:lineRule="auto"/>
        <w:ind w:left="525" w:firstLine="210" w:firstLineChars="100"/>
        <w:rPr>
          <w:rFonts w:ascii="宋体" w:hAnsi="宋体" w:eastAsia="宋体" w:cs="Times New Roman"/>
          <w:color w:val="auto"/>
          <w:highlight w:val="none"/>
        </w:rPr>
      </w:pPr>
      <w:r>
        <w:rPr>
          <w:rFonts w:hint="eastAsia" w:ascii="宋体" w:hAnsi="宋体" w:eastAsia="宋体" w:cs="宋体"/>
          <w:color w:val="auto"/>
          <w:highlight w:val="none"/>
        </w:rPr>
        <w:t>截止时间</w:t>
      </w:r>
      <w:r>
        <w:rPr>
          <w:rFonts w:hint="eastAsia" w:ascii="仿宋" w:hAnsi="仿宋" w:eastAsia="仿宋" w:cs="仿宋"/>
          <w:color w:val="auto"/>
          <w:sz w:val="28"/>
          <w:szCs w:val="28"/>
          <w:highlight w:val="none"/>
        </w:rPr>
        <w:t>：</w:t>
      </w:r>
      <w:r>
        <w:rPr>
          <w:rFonts w:ascii="宋体" w:hAnsi="宋体" w:eastAsia="仿宋" w:cs="宋体"/>
          <w:color w:val="auto"/>
          <w:highlight w:val="none"/>
        </w:rPr>
        <w:t>2021</w:t>
      </w:r>
      <w:r>
        <w:rPr>
          <w:rFonts w:hint="eastAsia" w:ascii="宋体" w:hAnsi="宋体" w:eastAsia="宋体" w:cs="宋体"/>
          <w:color w:val="auto"/>
          <w:highlight w:val="none"/>
        </w:rPr>
        <w:t>年</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月</w:t>
      </w:r>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日</w:t>
      </w:r>
      <w:r>
        <w:rPr>
          <w:rFonts w:hint="eastAsia" w:ascii="宋体" w:hAnsi="宋体" w:eastAsia="宋体" w:cs="宋体"/>
          <w:color w:val="auto"/>
          <w:highlight w:val="none"/>
          <w:lang w:val="en-US" w:eastAsia="zh-CN"/>
        </w:rPr>
        <w:t>09</w:t>
      </w:r>
      <w:r>
        <w:rPr>
          <w:rFonts w:hint="eastAsia" w:ascii="宋体" w:hAnsi="宋体" w:eastAsia="宋体" w:cs="宋体"/>
          <w:color w:val="auto"/>
          <w:highlight w:val="none"/>
        </w:rPr>
        <w:t>点</w:t>
      </w:r>
      <w:r>
        <w:rPr>
          <w:rFonts w:ascii="宋体" w:hAnsi="宋体" w:eastAsia="宋体" w:cs="宋体"/>
          <w:color w:val="auto"/>
          <w:highlight w:val="none"/>
        </w:rPr>
        <w:t>30</w:t>
      </w:r>
      <w:r>
        <w:rPr>
          <w:rFonts w:hint="eastAsia" w:ascii="宋体" w:hAnsi="宋体" w:eastAsia="宋体" w:cs="宋体"/>
          <w:color w:val="auto"/>
          <w:highlight w:val="none"/>
        </w:rPr>
        <w:t>分</w:t>
      </w:r>
      <w:r>
        <w:rPr>
          <w:rFonts w:hint="eastAsia" w:ascii="宋体" w:hAnsi="宋体" w:eastAsia="宋体" w:cs="宋体"/>
          <w:color w:val="auto"/>
          <w:highlight w:val="none"/>
        </w:rPr>
        <w:t>（北京时间）</w:t>
      </w:r>
    </w:p>
    <w:p>
      <w:pPr>
        <w:tabs>
          <w:tab w:val="left" w:pos="840"/>
          <w:tab w:val="left" w:pos="945"/>
        </w:tabs>
        <w:snapToGrid w:val="0"/>
        <w:spacing w:line="360" w:lineRule="auto"/>
        <w:ind w:left="525" w:firstLine="210" w:firstLineChars="100"/>
        <w:rPr>
          <w:rFonts w:ascii="宋体" w:hAnsi="宋体" w:eastAsia="宋体" w:cs="Times New Roman"/>
          <w:color w:val="auto"/>
          <w:highlight w:val="none"/>
        </w:rPr>
      </w:pPr>
      <w:r>
        <w:rPr>
          <w:rFonts w:hint="eastAsia" w:ascii="宋体" w:hAnsi="宋体" w:eastAsia="宋体" w:cs="宋体"/>
          <w:color w:val="auto"/>
          <w:highlight w:val="none"/>
        </w:rPr>
        <w:t>地点：</w:t>
      </w:r>
      <w:r>
        <w:rPr>
          <w:rFonts w:hint="eastAsia" w:ascii="宋体" w:hAnsi="宋体" w:eastAsia="宋体" w:cs="宋体"/>
          <w:color w:val="auto"/>
          <w:kern w:val="0"/>
          <w:highlight w:val="none"/>
        </w:rPr>
        <w:t>广州市天河区粤垦路</w:t>
      </w:r>
      <w:r>
        <w:rPr>
          <w:rFonts w:ascii="宋体" w:hAnsi="宋体" w:eastAsia="宋体" w:cs="宋体"/>
          <w:color w:val="auto"/>
          <w:kern w:val="0"/>
          <w:highlight w:val="none"/>
        </w:rPr>
        <w:t>623</w:t>
      </w:r>
      <w:r>
        <w:rPr>
          <w:rFonts w:hint="eastAsia" w:ascii="宋体" w:hAnsi="宋体" w:eastAsia="宋体" w:cs="宋体"/>
          <w:color w:val="auto"/>
          <w:kern w:val="0"/>
          <w:highlight w:val="none"/>
        </w:rPr>
        <w:t>号燕都商务大厦</w:t>
      </w:r>
      <w:r>
        <w:rPr>
          <w:rFonts w:ascii="宋体" w:hAnsi="宋体" w:eastAsia="宋体" w:cs="宋体"/>
          <w:color w:val="auto"/>
          <w:kern w:val="0"/>
          <w:highlight w:val="none"/>
        </w:rPr>
        <w:t>12</w:t>
      </w:r>
      <w:r>
        <w:rPr>
          <w:rFonts w:hint="eastAsia" w:ascii="宋体" w:hAnsi="宋体" w:eastAsia="宋体" w:cs="宋体"/>
          <w:color w:val="auto"/>
          <w:kern w:val="0"/>
          <w:highlight w:val="none"/>
        </w:rPr>
        <w:t>楼</w:t>
      </w:r>
      <w:r>
        <w:rPr>
          <w:rFonts w:ascii="宋体" w:hAnsi="宋体" w:eastAsia="宋体" w:cs="宋体"/>
          <w:color w:val="auto"/>
          <w:kern w:val="0"/>
          <w:highlight w:val="none"/>
        </w:rPr>
        <w:t>1202</w:t>
      </w:r>
      <w:r>
        <w:rPr>
          <w:rFonts w:hint="eastAsia" w:ascii="宋体" w:hAnsi="宋体" w:eastAsia="宋体" w:cs="宋体"/>
          <w:color w:val="auto"/>
          <w:kern w:val="0"/>
          <w:highlight w:val="none"/>
        </w:rPr>
        <w:t>室</w:t>
      </w:r>
      <w:r>
        <w:rPr>
          <w:rFonts w:hint="eastAsia" w:ascii="宋体" w:hAnsi="宋体" w:eastAsia="宋体" w:cs="宋体"/>
          <w:color w:val="auto"/>
          <w:highlight w:val="none"/>
        </w:rPr>
        <w:t>。</w:t>
      </w:r>
    </w:p>
    <w:p>
      <w:pPr>
        <w:tabs>
          <w:tab w:val="left" w:pos="840"/>
          <w:tab w:val="left" w:pos="945"/>
        </w:tabs>
        <w:snapToGrid w:val="0"/>
        <w:spacing w:line="360" w:lineRule="auto"/>
        <w:ind w:left="525"/>
        <w:rPr>
          <w:rFonts w:ascii="宋体" w:hAnsi="宋体" w:eastAsia="宋体" w:cs="Times New Roman"/>
          <w:b/>
          <w:bCs/>
          <w:color w:val="auto"/>
          <w:highlight w:val="none"/>
        </w:rPr>
      </w:pPr>
      <w:bookmarkStart w:id="28" w:name="_Toc28359093"/>
      <w:bookmarkStart w:id="29" w:name="_Toc35393802"/>
      <w:bookmarkStart w:id="30" w:name="_Toc28359016"/>
      <w:bookmarkStart w:id="31" w:name="_Toc35393633"/>
      <w:r>
        <w:rPr>
          <w:rFonts w:hint="eastAsia" w:ascii="宋体" w:hAnsi="宋体" w:eastAsia="宋体" w:cs="宋体"/>
          <w:b/>
          <w:bCs/>
          <w:color w:val="auto"/>
          <w:highlight w:val="none"/>
        </w:rPr>
        <w:t>五、开启</w:t>
      </w:r>
      <w:bookmarkEnd w:id="28"/>
      <w:bookmarkEnd w:id="29"/>
      <w:bookmarkEnd w:id="30"/>
      <w:bookmarkEnd w:id="31"/>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hint="eastAsia" w:ascii="宋体" w:hAnsi="宋体" w:eastAsia="宋体" w:cs="宋体"/>
          <w:color w:val="auto"/>
          <w:highlight w:val="none"/>
        </w:rPr>
        <w:t>时间：</w:t>
      </w:r>
      <w:r>
        <w:rPr>
          <w:rFonts w:ascii="宋体" w:hAnsi="宋体" w:eastAsia="宋体" w:cs="宋体"/>
          <w:color w:val="auto"/>
          <w:highlight w:val="none"/>
        </w:rPr>
        <w:t>2021</w:t>
      </w:r>
      <w:r>
        <w:rPr>
          <w:rFonts w:hint="eastAsia" w:ascii="宋体" w:hAnsi="宋体" w:eastAsia="宋体" w:cs="宋体"/>
          <w:color w:val="auto"/>
          <w:highlight w:val="none"/>
        </w:rPr>
        <w:t>年</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月</w:t>
      </w:r>
      <w:r>
        <w:rPr>
          <w:rFonts w:hint="eastAsia" w:ascii="宋体" w:hAnsi="宋体" w:eastAsia="宋体" w:cs="宋体"/>
          <w:color w:val="auto"/>
          <w:highlight w:val="none"/>
          <w:lang w:val="en-US" w:eastAsia="zh-CN"/>
        </w:rPr>
        <w:t>30</w:t>
      </w:r>
      <w:r>
        <w:rPr>
          <w:rFonts w:hint="eastAsia" w:ascii="宋体" w:hAnsi="宋体" w:eastAsia="宋体" w:cs="宋体"/>
          <w:color w:val="auto"/>
          <w:highlight w:val="none"/>
        </w:rPr>
        <w:t>日</w:t>
      </w:r>
      <w:r>
        <w:rPr>
          <w:rFonts w:hint="eastAsia" w:ascii="宋体" w:hAnsi="宋体" w:eastAsia="宋体" w:cs="宋体"/>
          <w:color w:val="auto"/>
          <w:highlight w:val="none"/>
          <w:lang w:val="en-US" w:eastAsia="zh-CN"/>
        </w:rPr>
        <w:t>09</w:t>
      </w:r>
      <w:r>
        <w:rPr>
          <w:rFonts w:hint="eastAsia" w:ascii="宋体" w:hAnsi="宋体" w:eastAsia="宋体" w:cs="宋体"/>
          <w:color w:val="auto"/>
          <w:highlight w:val="none"/>
        </w:rPr>
        <w:t>点</w:t>
      </w:r>
      <w:r>
        <w:rPr>
          <w:rFonts w:ascii="宋体" w:hAnsi="宋体" w:eastAsia="宋体" w:cs="宋体"/>
          <w:color w:val="auto"/>
          <w:highlight w:val="none"/>
        </w:rPr>
        <w:t>30</w:t>
      </w:r>
      <w:r>
        <w:rPr>
          <w:rFonts w:hint="eastAsia" w:ascii="宋体" w:hAnsi="宋体" w:eastAsia="宋体" w:cs="宋体"/>
          <w:color w:val="auto"/>
          <w:highlight w:val="none"/>
        </w:rPr>
        <w:t>分</w:t>
      </w:r>
      <w:r>
        <w:rPr>
          <w:rFonts w:hint="eastAsia" w:ascii="宋体" w:hAnsi="宋体" w:eastAsia="宋体" w:cs="宋体"/>
          <w:color w:val="auto"/>
          <w:highlight w:val="none"/>
        </w:rPr>
        <w:t>（北京时间）</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hint="eastAsia" w:ascii="宋体" w:hAnsi="宋体" w:eastAsia="宋体" w:cs="宋体"/>
          <w:color w:val="auto"/>
          <w:highlight w:val="none"/>
        </w:rPr>
        <w:t>地点：</w:t>
      </w:r>
      <w:r>
        <w:rPr>
          <w:rFonts w:hint="eastAsia" w:ascii="宋体" w:hAnsi="宋体" w:eastAsia="宋体" w:cs="宋体"/>
          <w:color w:val="auto"/>
          <w:kern w:val="0"/>
          <w:highlight w:val="none"/>
        </w:rPr>
        <w:t>广州市天河区粤垦路</w:t>
      </w:r>
      <w:r>
        <w:rPr>
          <w:rFonts w:ascii="宋体" w:hAnsi="宋体" w:eastAsia="宋体" w:cs="宋体"/>
          <w:color w:val="auto"/>
          <w:kern w:val="0"/>
          <w:highlight w:val="none"/>
        </w:rPr>
        <w:t>623</w:t>
      </w:r>
      <w:r>
        <w:rPr>
          <w:rFonts w:hint="eastAsia" w:ascii="宋体" w:hAnsi="宋体" w:eastAsia="宋体" w:cs="宋体"/>
          <w:color w:val="auto"/>
          <w:kern w:val="0"/>
          <w:highlight w:val="none"/>
        </w:rPr>
        <w:t>号燕都商务大厦</w:t>
      </w:r>
      <w:r>
        <w:rPr>
          <w:rFonts w:ascii="宋体" w:hAnsi="宋体" w:eastAsia="宋体" w:cs="宋体"/>
          <w:color w:val="auto"/>
          <w:kern w:val="0"/>
          <w:highlight w:val="none"/>
        </w:rPr>
        <w:t>12</w:t>
      </w:r>
      <w:r>
        <w:rPr>
          <w:rFonts w:hint="eastAsia" w:ascii="宋体" w:hAnsi="宋体" w:eastAsia="宋体" w:cs="宋体"/>
          <w:color w:val="auto"/>
          <w:kern w:val="0"/>
          <w:highlight w:val="none"/>
        </w:rPr>
        <w:t>楼</w:t>
      </w:r>
      <w:r>
        <w:rPr>
          <w:rFonts w:ascii="宋体" w:hAnsi="宋体" w:eastAsia="宋体" w:cs="宋体"/>
          <w:color w:val="auto"/>
          <w:kern w:val="0"/>
          <w:highlight w:val="none"/>
        </w:rPr>
        <w:t>1202</w:t>
      </w:r>
      <w:r>
        <w:rPr>
          <w:rFonts w:hint="eastAsia" w:ascii="宋体" w:hAnsi="宋体" w:eastAsia="宋体" w:cs="宋体"/>
          <w:color w:val="auto"/>
          <w:kern w:val="0"/>
          <w:highlight w:val="none"/>
        </w:rPr>
        <w:t>室</w:t>
      </w:r>
      <w:r>
        <w:rPr>
          <w:rFonts w:hint="eastAsia" w:ascii="宋体" w:hAnsi="宋体" w:eastAsia="宋体" w:cs="宋体"/>
          <w:color w:val="auto"/>
          <w:highlight w:val="none"/>
        </w:rPr>
        <w:t>。</w:t>
      </w:r>
    </w:p>
    <w:p>
      <w:pPr>
        <w:tabs>
          <w:tab w:val="left" w:pos="840"/>
          <w:tab w:val="left" w:pos="945"/>
        </w:tabs>
        <w:snapToGrid w:val="0"/>
        <w:spacing w:line="360" w:lineRule="auto"/>
        <w:ind w:left="525"/>
        <w:rPr>
          <w:rFonts w:ascii="宋体" w:hAnsi="宋体" w:eastAsia="宋体" w:cs="Times New Roman"/>
          <w:b/>
          <w:bCs/>
          <w:color w:val="auto"/>
          <w:highlight w:val="none"/>
        </w:rPr>
      </w:pPr>
      <w:r>
        <w:rPr>
          <w:rFonts w:hint="eastAsia" w:ascii="宋体" w:hAnsi="宋体" w:eastAsia="宋体" w:cs="宋体"/>
          <w:b/>
          <w:bCs/>
          <w:color w:val="auto"/>
          <w:highlight w:val="none"/>
        </w:rPr>
        <w:t>六、公告期限</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hint="eastAsia" w:ascii="宋体" w:hAnsi="宋体" w:eastAsia="宋体" w:cs="宋体"/>
          <w:color w:val="auto"/>
          <w:highlight w:val="none"/>
        </w:rPr>
        <w:t>自本公告发布之日起</w:t>
      </w:r>
      <w:r>
        <w:rPr>
          <w:rFonts w:ascii="宋体" w:hAnsi="宋体" w:eastAsia="宋体" w:cs="宋体"/>
          <w:color w:val="auto"/>
          <w:highlight w:val="none"/>
        </w:rPr>
        <w:t>3</w:t>
      </w:r>
      <w:r>
        <w:rPr>
          <w:rFonts w:hint="eastAsia" w:ascii="宋体" w:hAnsi="宋体" w:eastAsia="宋体" w:cs="宋体"/>
          <w:color w:val="auto"/>
          <w:highlight w:val="none"/>
        </w:rPr>
        <w:t>个工作日。</w:t>
      </w:r>
    </w:p>
    <w:p>
      <w:pPr>
        <w:tabs>
          <w:tab w:val="left" w:pos="840"/>
          <w:tab w:val="left" w:pos="945"/>
        </w:tabs>
        <w:snapToGrid w:val="0"/>
        <w:spacing w:line="360" w:lineRule="auto"/>
        <w:ind w:left="525"/>
        <w:rPr>
          <w:rFonts w:ascii="宋体" w:hAnsi="宋体" w:eastAsia="宋体" w:cs="Times New Roman"/>
          <w:b/>
          <w:bCs/>
          <w:color w:val="auto"/>
          <w:highlight w:val="none"/>
        </w:rPr>
      </w:pPr>
      <w:r>
        <w:rPr>
          <w:rFonts w:hint="eastAsia" w:ascii="宋体" w:hAnsi="宋体" w:eastAsia="宋体" w:cs="宋体"/>
          <w:b/>
          <w:bCs/>
          <w:color w:val="auto"/>
          <w:highlight w:val="none"/>
        </w:rPr>
        <w:t>七、其他补充事宜</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只接受登记及领购公开遴选文件的供应商投标。</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已成功登记及领购公开遴选文件的供应商参加投标的，不代表通过资格性、符合性审查。投标资格最终根据</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遴选响应文件中的资格审查资料作出的结论为准。</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若已登记及领购公开遴选文件而决定不参加本项目投标的供应商，应在开标前三日以书面形式（书面材料、信函或传真加盖供应商公章）通知采购代理机构。</w:t>
      </w:r>
    </w:p>
    <w:p>
      <w:pPr>
        <w:tabs>
          <w:tab w:val="left" w:pos="840"/>
          <w:tab w:val="left" w:pos="945"/>
        </w:tabs>
        <w:snapToGrid w:val="0"/>
        <w:spacing w:line="360" w:lineRule="auto"/>
        <w:ind w:left="527" w:firstLine="420" w:firstLineChars="200"/>
        <w:rPr>
          <w:rFonts w:ascii="宋体" w:hAnsi="宋体" w:eastAsia="宋体" w:cs="Times New Roman"/>
          <w:color w:val="auto"/>
          <w:highlight w:val="none"/>
        </w:rPr>
      </w:pPr>
      <w:r>
        <w:rPr>
          <w:rFonts w:ascii="宋体" w:hAnsi="宋体" w:eastAsia="宋体" w:cs="宋体"/>
          <w:color w:val="auto"/>
          <w:highlight w:val="none"/>
        </w:rPr>
        <w:t>4.</w:t>
      </w:r>
      <w:r>
        <w:rPr>
          <w:rFonts w:hint="eastAsia" w:ascii="宋体" w:hAnsi="宋体" w:eastAsia="宋体" w:cs="宋体"/>
          <w:color w:val="auto"/>
          <w:highlight w:val="none"/>
        </w:rPr>
        <w:t>公开遴选文件的公示，根据《广东省实施〈中华人民共和国政府采购法〉办法》第三十五条的规定，供应商认为政府公开遴选文件的内容损害其权益的，可以在公示期间或者自期满之日起七个工作日内以书面形式向采购人或者代理机构提出质疑。质疑书应当署名。质疑供应商为自然人的，应当由本人签字；质疑供应商为法人或者其他组织的，应当由法定代表人或者主要负责人签字盖章并加盖公章。</w:t>
      </w:r>
    </w:p>
    <w:p>
      <w:pPr>
        <w:tabs>
          <w:tab w:val="left" w:pos="840"/>
          <w:tab w:val="left" w:pos="945"/>
        </w:tabs>
        <w:snapToGrid w:val="0"/>
        <w:spacing w:line="360" w:lineRule="auto"/>
        <w:ind w:left="525"/>
        <w:rPr>
          <w:rFonts w:ascii="宋体" w:hAnsi="宋体" w:eastAsia="宋体" w:cs="Times New Roman"/>
          <w:b/>
          <w:bCs/>
          <w:color w:val="auto"/>
          <w:highlight w:val="none"/>
        </w:rPr>
      </w:pPr>
      <w:r>
        <w:rPr>
          <w:rFonts w:hint="eastAsia" w:ascii="宋体" w:hAnsi="宋体" w:eastAsia="宋体" w:cs="宋体"/>
          <w:b/>
          <w:bCs/>
          <w:color w:val="auto"/>
          <w:highlight w:val="none"/>
        </w:rPr>
        <w:t>八、凡对本次招标提出询问，请按以下方式联系</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采购人信息</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Times New Roman"/>
          <w:color w:val="auto"/>
          <w:highlight w:val="none"/>
        </w:rPr>
        <w:t>   </w:t>
      </w:r>
      <w:r>
        <w:rPr>
          <w:rFonts w:hint="eastAsia" w:ascii="宋体" w:hAnsi="宋体" w:eastAsia="宋体" w:cs="宋体"/>
          <w:color w:val="auto"/>
          <w:highlight w:val="none"/>
        </w:rPr>
        <w:t>名称：广州市生态环境局越秀分局</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Times New Roman"/>
          <w:color w:val="auto"/>
          <w:highlight w:val="none"/>
        </w:rPr>
        <w:t>   </w:t>
      </w:r>
      <w:r>
        <w:rPr>
          <w:rFonts w:hint="eastAsia" w:ascii="宋体" w:hAnsi="宋体" w:eastAsia="宋体" w:cs="宋体"/>
          <w:color w:val="auto"/>
          <w:highlight w:val="none"/>
        </w:rPr>
        <w:t>地址：广州市越秀区第一津街</w:t>
      </w:r>
      <w:r>
        <w:rPr>
          <w:rFonts w:ascii="宋体" w:hAnsi="宋体" w:eastAsia="宋体" w:cs="宋体"/>
          <w:color w:val="auto"/>
          <w:highlight w:val="none"/>
        </w:rPr>
        <w:t>50-52</w:t>
      </w:r>
      <w:r>
        <w:rPr>
          <w:rFonts w:hint="eastAsia" w:ascii="宋体" w:hAnsi="宋体" w:eastAsia="宋体" w:cs="宋体"/>
          <w:color w:val="auto"/>
          <w:highlight w:val="none"/>
        </w:rPr>
        <w:t>号</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Times New Roman"/>
          <w:color w:val="auto"/>
          <w:highlight w:val="none"/>
        </w:rPr>
        <w:t>   </w:t>
      </w:r>
      <w:r>
        <w:rPr>
          <w:rFonts w:ascii="宋体" w:hAnsi="宋体" w:eastAsia="宋体" w:cs="宋体"/>
          <w:color w:val="auto"/>
          <w:highlight w:val="none"/>
        </w:rPr>
        <w:t>2.</w:t>
      </w:r>
      <w:r>
        <w:rPr>
          <w:rFonts w:hint="eastAsia" w:ascii="宋体" w:hAnsi="宋体" w:eastAsia="宋体" w:cs="宋体"/>
          <w:color w:val="auto"/>
          <w:highlight w:val="none"/>
        </w:rPr>
        <w:t>采购代理机构信息</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Times New Roman"/>
          <w:color w:val="auto"/>
          <w:highlight w:val="none"/>
        </w:rPr>
        <w:t>   </w:t>
      </w:r>
      <w:r>
        <w:rPr>
          <w:rFonts w:hint="eastAsia" w:ascii="宋体" w:hAnsi="宋体" w:eastAsia="宋体" w:cs="宋体"/>
          <w:color w:val="auto"/>
          <w:highlight w:val="none"/>
        </w:rPr>
        <w:t>名称：广州市信怡招标代理有限公司</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Times New Roman"/>
          <w:color w:val="auto"/>
          <w:highlight w:val="none"/>
        </w:rPr>
        <w:t>   </w:t>
      </w:r>
      <w:r>
        <w:rPr>
          <w:rFonts w:hint="eastAsia" w:ascii="宋体" w:hAnsi="宋体" w:eastAsia="宋体" w:cs="宋体"/>
          <w:color w:val="auto"/>
          <w:highlight w:val="none"/>
        </w:rPr>
        <w:t>地址：广州市天河区粤垦路</w:t>
      </w:r>
      <w:r>
        <w:rPr>
          <w:rFonts w:ascii="宋体" w:hAnsi="宋体" w:eastAsia="宋体" w:cs="宋体"/>
          <w:color w:val="auto"/>
          <w:highlight w:val="none"/>
        </w:rPr>
        <w:t>623</w:t>
      </w:r>
      <w:r>
        <w:rPr>
          <w:rFonts w:hint="eastAsia" w:ascii="宋体" w:hAnsi="宋体" w:eastAsia="宋体" w:cs="宋体"/>
          <w:color w:val="auto"/>
          <w:highlight w:val="none"/>
        </w:rPr>
        <w:t>号燕都商务大厦</w:t>
      </w:r>
      <w:r>
        <w:rPr>
          <w:rFonts w:ascii="宋体" w:hAnsi="宋体" w:eastAsia="宋体" w:cs="宋体"/>
          <w:color w:val="auto"/>
          <w:highlight w:val="none"/>
        </w:rPr>
        <w:t>12</w:t>
      </w:r>
      <w:r>
        <w:rPr>
          <w:rFonts w:hint="eastAsia" w:ascii="宋体" w:hAnsi="宋体" w:eastAsia="宋体" w:cs="宋体"/>
          <w:color w:val="auto"/>
          <w:highlight w:val="none"/>
        </w:rPr>
        <w:t>楼</w:t>
      </w:r>
      <w:r>
        <w:rPr>
          <w:rFonts w:ascii="宋体" w:hAnsi="宋体" w:eastAsia="宋体" w:cs="宋体"/>
          <w:color w:val="auto"/>
          <w:highlight w:val="none"/>
        </w:rPr>
        <w:t>1202</w:t>
      </w:r>
      <w:r>
        <w:rPr>
          <w:rFonts w:hint="eastAsia" w:ascii="宋体" w:hAnsi="宋体" w:eastAsia="宋体" w:cs="宋体"/>
          <w:color w:val="auto"/>
          <w:highlight w:val="none"/>
        </w:rPr>
        <w:t>室</w:t>
      </w:r>
    </w:p>
    <w:p>
      <w:pPr>
        <w:tabs>
          <w:tab w:val="left" w:pos="840"/>
          <w:tab w:val="left" w:pos="945"/>
        </w:tabs>
        <w:snapToGrid w:val="0"/>
        <w:spacing w:line="360" w:lineRule="auto"/>
        <w:ind w:left="525"/>
        <w:rPr>
          <w:rFonts w:ascii="宋体" w:hAnsi="宋体" w:eastAsia="宋体" w:cs="宋体"/>
          <w:color w:val="auto"/>
          <w:highlight w:val="none"/>
        </w:rPr>
      </w:pPr>
      <w:r>
        <w:rPr>
          <w:rFonts w:ascii="宋体" w:hAnsi="宋体" w:eastAsia="宋体" w:cs="Times New Roman"/>
          <w:color w:val="auto"/>
          <w:highlight w:val="none"/>
        </w:rPr>
        <w:t>   </w:t>
      </w:r>
      <w:r>
        <w:rPr>
          <w:rFonts w:hint="eastAsia" w:ascii="宋体" w:hAnsi="宋体" w:eastAsia="宋体" w:cs="宋体"/>
          <w:color w:val="auto"/>
          <w:highlight w:val="none"/>
        </w:rPr>
        <w:t>联系方式：</w:t>
      </w:r>
      <w:r>
        <w:rPr>
          <w:rFonts w:ascii="宋体" w:hAnsi="宋体" w:eastAsia="宋体" w:cs="宋体"/>
          <w:color w:val="auto"/>
          <w:highlight w:val="none"/>
        </w:rPr>
        <w:t>020-89001296</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项目联系方式</w:t>
      </w:r>
    </w:p>
    <w:p>
      <w:pPr>
        <w:tabs>
          <w:tab w:val="left" w:pos="840"/>
          <w:tab w:val="left" w:pos="945"/>
        </w:tabs>
        <w:snapToGrid w:val="0"/>
        <w:spacing w:line="360" w:lineRule="auto"/>
        <w:ind w:left="525"/>
        <w:rPr>
          <w:rFonts w:ascii="宋体" w:hAnsi="宋体" w:eastAsia="宋体" w:cs="Times New Roman"/>
          <w:color w:val="auto"/>
          <w:highlight w:val="none"/>
        </w:rPr>
      </w:pPr>
      <w:r>
        <w:rPr>
          <w:rFonts w:ascii="宋体" w:hAnsi="宋体" w:eastAsia="宋体" w:cs="Times New Roman"/>
          <w:color w:val="auto"/>
          <w:highlight w:val="none"/>
        </w:rPr>
        <w:t>   </w:t>
      </w:r>
      <w:r>
        <w:rPr>
          <w:rFonts w:hint="eastAsia" w:ascii="宋体" w:hAnsi="宋体" w:eastAsia="宋体" w:cs="宋体"/>
          <w:color w:val="auto"/>
          <w:highlight w:val="none"/>
        </w:rPr>
        <w:t>项目联系人：陈小姐</w:t>
      </w:r>
    </w:p>
    <w:p>
      <w:pPr>
        <w:tabs>
          <w:tab w:val="left" w:pos="840"/>
          <w:tab w:val="left" w:pos="945"/>
        </w:tabs>
        <w:snapToGrid w:val="0"/>
        <w:spacing w:line="360" w:lineRule="auto"/>
        <w:ind w:left="525"/>
        <w:rPr>
          <w:rFonts w:ascii="宋体" w:hAnsi="宋体" w:eastAsia="宋体" w:cs="宋体"/>
          <w:color w:val="auto"/>
          <w:highlight w:val="none"/>
        </w:rPr>
      </w:pPr>
      <w:r>
        <w:rPr>
          <w:rFonts w:ascii="宋体" w:hAnsi="宋体" w:eastAsia="宋体" w:cs="Times New Roman"/>
          <w:color w:val="auto"/>
          <w:highlight w:val="none"/>
        </w:rPr>
        <w:t>   </w:t>
      </w:r>
      <w:r>
        <w:rPr>
          <w:rFonts w:hint="eastAsia" w:ascii="宋体" w:hAnsi="宋体" w:eastAsia="宋体" w:cs="宋体"/>
          <w:color w:val="auto"/>
          <w:highlight w:val="none"/>
        </w:rPr>
        <w:t>电话：</w:t>
      </w:r>
      <w:r>
        <w:rPr>
          <w:rFonts w:ascii="宋体" w:hAnsi="宋体" w:eastAsia="宋体" w:cs="宋体"/>
          <w:color w:val="auto"/>
          <w:highlight w:val="none"/>
        </w:rPr>
        <w:t>020-89001296</w:t>
      </w:r>
    </w:p>
    <w:p>
      <w:pPr>
        <w:tabs>
          <w:tab w:val="left" w:pos="840"/>
          <w:tab w:val="left" w:pos="945"/>
        </w:tabs>
        <w:snapToGrid w:val="0"/>
        <w:spacing w:line="360" w:lineRule="auto"/>
        <w:ind w:left="525"/>
        <w:rPr>
          <w:rFonts w:ascii="宋体" w:hAnsi="宋体" w:eastAsia="宋体" w:cs="宋体"/>
          <w:color w:val="auto"/>
          <w:highlight w:val="none"/>
        </w:rPr>
      </w:pPr>
      <w:r>
        <w:rPr>
          <w:rFonts w:ascii="宋体" w:hAnsi="宋体" w:eastAsia="宋体" w:cs="宋体"/>
          <w:color w:val="auto"/>
          <w:highlight w:val="none"/>
        </w:rPr>
        <w:t> </w:t>
      </w:r>
    </w:p>
    <w:p>
      <w:pPr>
        <w:tabs>
          <w:tab w:val="left" w:pos="840"/>
          <w:tab w:val="left" w:pos="945"/>
        </w:tabs>
        <w:snapToGrid w:val="0"/>
        <w:spacing w:line="360" w:lineRule="auto"/>
        <w:ind w:left="525"/>
        <w:jc w:val="right"/>
        <w:rPr>
          <w:rFonts w:ascii="宋体" w:hAnsi="宋体" w:eastAsia="宋体" w:cs="Times New Roman"/>
          <w:color w:val="auto"/>
          <w:highlight w:val="none"/>
        </w:rPr>
      </w:pPr>
      <w:r>
        <w:rPr>
          <w:rFonts w:hint="eastAsia" w:ascii="宋体" w:hAnsi="宋体" w:eastAsia="宋体" w:cs="宋体"/>
          <w:color w:val="auto"/>
          <w:highlight w:val="none"/>
        </w:rPr>
        <w:t>发布人：广州市信怡招标代理有限公司</w:t>
      </w:r>
    </w:p>
    <w:p>
      <w:pPr>
        <w:wordWrap w:val="0"/>
        <w:adjustRightInd w:val="0"/>
        <w:snapToGrid w:val="0"/>
        <w:spacing w:line="480" w:lineRule="auto"/>
        <w:ind w:right="210"/>
        <w:jc w:val="right"/>
        <w:rPr>
          <w:rFonts w:ascii="Arial" w:hAnsi="Arial" w:eastAsia="宋体" w:cs="Times New Roman"/>
          <w:color w:val="auto"/>
          <w:highlight w:val="none"/>
        </w:rPr>
        <w:sectPr>
          <w:footerReference r:id="rId11" w:type="first"/>
          <w:footerReference r:id="rId10" w:type="default"/>
          <w:type w:val="continuous"/>
          <w:pgSz w:w="11906" w:h="16838"/>
          <w:pgMar w:top="567" w:right="1304" w:bottom="567" w:left="1361" w:header="567" w:footer="737" w:gutter="0"/>
          <w:cols w:space="720" w:num="1"/>
          <w:titlePg/>
          <w:docGrid w:linePitch="312" w:charSpace="0"/>
        </w:sectPr>
      </w:pPr>
      <w:r>
        <w:rPr>
          <w:rFonts w:hint="eastAsia" w:ascii="宋体" w:hAnsi="宋体" w:eastAsia="宋体" w:cs="宋体"/>
          <w:color w:val="auto"/>
          <w:highlight w:val="none"/>
        </w:rPr>
        <w:t>发布时间：</w:t>
      </w:r>
      <w:r>
        <w:rPr>
          <w:rFonts w:ascii="宋体" w:hAnsi="宋体" w:eastAsia="宋体" w:cs="宋体"/>
          <w:color w:val="auto"/>
          <w:highlight w:val="none"/>
        </w:rPr>
        <w:t>2021</w:t>
      </w:r>
      <w:r>
        <w:rPr>
          <w:rFonts w:hint="eastAsia" w:ascii="宋体" w:hAnsi="宋体" w:eastAsia="宋体" w:cs="宋体"/>
          <w:color w:val="auto"/>
          <w:highlight w:val="none"/>
        </w:rPr>
        <w:t>年</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月</w:t>
      </w:r>
      <w:r>
        <w:rPr>
          <w:rFonts w:hint="eastAsia" w:ascii="宋体" w:hAnsi="宋体" w:eastAsia="宋体" w:cs="宋体"/>
          <w:color w:val="auto"/>
          <w:highlight w:val="none"/>
          <w:lang w:val="en-US" w:eastAsia="zh-CN"/>
        </w:rPr>
        <w:t>26</w:t>
      </w:r>
      <w:r>
        <w:rPr>
          <w:rFonts w:hint="eastAsia" w:ascii="宋体" w:hAnsi="宋体" w:eastAsia="宋体" w:cs="宋体"/>
          <w:color w:val="auto"/>
          <w:highlight w:val="none"/>
        </w:rPr>
        <w:t>日</w:t>
      </w:r>
      <w:bookmarkEnd w:id="345"/>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bookmarkStart w:id="32" w:name="_Toc475104467"/>
      <w:bookmarkStart w:id="33" w:name="_Toc320515015"/>
      <w:r>
        <w:rPr>
          <w:rFonts w:ascii="宋体" w:hAnsi="宋体" w:eastAsia="宋体" w:cs="宋体"/>
          <w:color w:val="auto"/>
          <w:sz w:val="2"/>
          <w:szCs w:val="2"/>
          <w:highlight w:val="none"/>
        </w:rPr>
        <w:t>1B1B</w:t>
      </w:r>
      <w:r>
        <w:rPr>
          <w:rFonts w:hint="eastAsia" w:ascii="宋体" w:hAnsi="宋体" w:eastAsia="宋体" w:cs="宋体"/>
          <w:b/>
          <w:bCs/>
          <w:color w:val="auto"/>
          <w:sz w:val="44"/>
          <w:szCs w:val="44"/>
          <w:highlight w:val="none"/>
        </w:rPr>
        <w:t>第二章</w:t>
      </w:r>
      <w:bookmarkStart w:id="34" w:name="_Toc10525515"/>
      <w:r>
        <w:rPr>
          <w:rFonts w:ascii="宋体" w:hAnsi="宋体" w:eastAsia="宋体" w:cs="宋体"/>
          <w:b/>
          <w:bCs/>
          <w:color w:val="auto"/>
          <w:sz w:val="44"/>
          <w:szCs w:val="44"/>
          <w:highlight w:val="none"/>
        </w:rPr>
        <w:t xml:space="preserve"> </w:t>
      </w:r>
      <w:r>
        <w:rPr>
          <w:rFonts w:hint="eastAsia" w:ascii="宋体" w:hAnsi="宋体" w:eastAsia="宋体" w:cs="宋体"/>
          <w:b/>
          <w:bCs/>
          <w:color w:val="auto"/>
          <w:sz w:val="44"/>
          <w:szCs w:val="44"/>
          <w:highlight w:val="none"/>
        </w:rPr>
        <w:t>公开遴选须知</w:t>
      </w:r>
      <w:bookmarkEnd w:id="26"/>
      <w:bookmarkEnd w:id="27"/>
      <w:bookmarkEnd w:id="32"/>
      <w:bookmarkEnd w:id="33"/>
      <w:bookmarkEnd w:id="34"/>
    </w:p>
    <w:p>
      <w:pPr>
        <w:spacing w:line="360" w:lineRule="auto"/>
        <w:jc w:val="center"/>
        <w:rPr>
          <w:rFonts w:ascii="宋体" w:hAnsi="宋体" w:eastAsia="宋体" w:cs="Times New Roman"/>
          <w:b/>
          <w:bCs/>
          <w:color w:val="auto"/>
          <w:sz w:val="30"/>
          <w:szCs w:val="30"/>
          <w:highlight w:val="none"/>
        </w:rPr>
      </w:pPr>
      <w:r>
        <w:rPr>
          <w:rFonts w:ascii="宋体" w:hAnsi="宋体" w:eastAsia="宋体" w:cs="Times New Roman"/>
          <w:color w:val="auto"/>
          <w:sz w:val="44"/>
          <w:szCs w:val="44"/>
          <w:highlight w:val="none"/>
        </w:rPr>
        <w:br w:type="page"/>
      </w:r>
      <w:r>
        <w:rPr>
          <w:rFonts w:hint="eastAsia" w:ascii="宋体" w:hAnsi="宋体" w:eastAsia="宋体" w:cs="宋体"/>
          <w:b/>
          <w:bCs/>
          <w:color w:val="auto"/>
          <w:sz w:val="30"/>
          <w:szCs w:val="30"/>
          <w:highlight w:val="none"/>
        </w:rPr>
        <w:t>公开遴选须知一览表</w:t>
      </w:r>
    </w:p>
    <w:tbl>
      <w:tblPr>
        <w:tblStyle w:val="90"/>
        <w:tblW w:w="994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39"/>
        <w:gridCol w:w="2868"/>
        <w:gridCol w:w="623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24" w:hRule="atLeast"/>
          <w:jc w:val="center"/>
        </w:trPr>
        <w:tc>
          <w:tcPr>
            <w:tcW w:w="839" w:type="dxa"/>
            <w:tcBorders>
              <w:top w:val="single" w:color="auto" w:sz="4" w:space="0"/>
              <w:bottom w:val="single" w:color="auto" w:sz="4" w:space="0"/>
              <w:right w:val="single" w:color="auto" w:sz="4" w:space="0"/>
            </w:tcBorders>
            <w:vAlign w:val="center"/>
          </w:tcPr>
          <w:p>
            <w:pPr>
              <w:spacing w:line="360" w:lineRule="auto"/>
              <w:jc w:val="center"/>
              <w:rPr>
                <w:rFonts w:ascii="宋体" w:hAnsi="宋体" w:eastAsia="宋体" w:cs="Times New Roman"/>
                <w:b/>
                <w:bCs/>
                <w:color w:val="auto"/>
                <w:highlight w:val="none"/>
              </w:rPr>
            </w:pPr>
            <w:r>
              <w:rPr>
                <w:rFonts w:hint="eastAsia" w:ascii="宋体" w:hAnsi="宋体" w:eastAsia="宋体" w:cs="宋体"/>
                <w:b/>
                <w:bCs/>
                <w:color w:val="auto"/>
                <w:highlight w:val="none"/>
              </w:rPr>
              <w:t>序号</w:t>
            </w:r>
          </w:p>
        </w:tc>
        <w:tc>
          <w:tcPr>
            <w:tcW w:w="2868" w:type="dxa"/>
            <w:tcBorders>
              <w:top w:val="single" w:color="auto" w:sz="4" w:space="0"/>
              <w:left w:val="single" w:color="auto" w:sz="4" w:space="0"/>
              <w:bottom w:val="single" w:color="auto" w:sz="4" w:space="0"/>
              <w:right w:val="single" w:color="auto" w:sz="4" w:space="0"/>
            </w:tcBorders>
            <w:vAlign w:val="center"/>
          </w:tcPr>
          <w:p>
            <w:pPr>
              <w:spacing w:line="360" w:lineRule="auto"/>
              <w:jc w:val="center"/>
              <w:rPr>
                <w:rFonts w:ascii="宋体" w:hAnsi="宋体" w:eastAsia="宋体" w:cs="Times New Roman"/>
                <w:b/>
                <w:bCs/>
                <w:color w:val="auto"/>
                <w:highlight w:val="none"/>
              </w:rPr>
            </w:pPr>
            <w:r>
              <w:rPr>
                <w:rFonts w:hint="eastAsia" w:ascii="宋体" w:hAnsi="宋体" w:eastAsia="宋体" w:cs="宋体"/>
                <w:b/>
                <w:bCs/>
                <w:color w:val="auto"/>
                <w:highlight w:val="none"/>
              </w:rPr>
              <w:t>项目</w:t>
            </w:r>
          </w:p>
        </w:tc>
        <w:tc>
          <w:tcPr>
            <w:tcW w:w="6234" w:type="dxa"/>
            <w:tcBorders>
              <w:top w:val="single" w:color="auto" w:sz="4" w:space="0"/>
              <w:left w:val="single" w:color="auto" w:sz="4" w:space="0"/>
              <w:bottom w:val="single" w:color="auto" w:sz="4" w:space="0"/>
            </w:tcBorders>
            <w:vAlign w:val="center"/>
          </w:tcPr>
          <w:p>
            <w:pPr>
              <w:spacing w:line="360" w:lineRule="auto"/>
              <w:jc w:val="center"/>
              <w:rPr>
                <w:rFonts w:ascii="宋体" w:hAnsi="宋体" w:eastAsia="宋体" w:cs="Times New Roman"/>
                <w:b/>
                <w:bCs/>
                <w:color w:val="auto"/>
                <w:highlight w:val="none"/>
              </w:rPr>
            </w:pPr>
            <w:r>
              <w:rPr>
                <w:rFonts w:hint="eastAsia" w:ascii="宋体" w:hAnsi="宋体" w:eastAsia="宋体" w:cs="宋体"/>
                <w:b/>
                <w:bCs/>
                <w:color w:val="auto"/>
                <w:highlight w:val="none"/>
              </w:rPr>
              <w:t>主要内容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25" w:hRule="atLeast"/>
          <w:jc w:val="center"/>
        </w:trPr>
        <w:tc>
          <w:tcPr>
            <w:tcW w:w="839" w:type="dxa"/>
            <w:tcBorders>
              <w:top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遴选保证金</w:t>
            </w:r>
          </w:p>
        </w:tc>
        <w:tc>
          <w:tcPr>
            <w:tcW w:w="6234" w:type="dxa"/>
            <w:tcBorders>
              <w:top w:val="single" w:color="auto" w:sz="4" w:space="0"/>
              <w:left w:val="single" w:color="auto" w:sz="4" w:space="0"/>
            </w:tcBorders>
            <w:vAlign w:val="center"/>
          </w:tcPr>
          <w:p>
            <w:pPr>
              <w:jc w:val="left"/>
              <w:rPr>
                <w:rFonts w:ascii="宋体" w:hAnsi="宋体" w:eastAsia="宋体" w:cs="Times New Roman"/>
                <w:color w:val="auto"/>
                <w:highlight w:val="none"/>
              </w:rPr>
            </w:pPr>
            <w:r>
              <w:rPr>
                <w:rFonts w:hint="eastAsia" w:ascii="宋体" w:hAnsi="宋体" w:eastAsia="宋体" w:cs="宋体"/>
                <w:color w:val="auto"/>
                <w:highlight w:val="none"/>
              </w:rPr>
              <w:t>本项目不收保证金。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47" w:hRule="atLeast"/>
          <w:jc w:val="center"/>
        </w:trPr>
        <w:tc>
          <w:tcPr>
            <w:tcW w:w="839" w:type="dxa"/>
            <w:tcBorders>
              <w:top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right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采购代理服务费</w:t>
            </w:r>
          </w:p>
        </w:tc>
        <w:tc>
          <w:tcPr>
            <w:tcW w:w="6234" w:type="dxa"/>
            <w:tcBorders>
              <w:top w:val="single" w:color="auto" w:sz="4" w:space="0"/>
              <w:left w:val="single" w:color="auto" w:sz="4" w:space="0"/>
            </w:tcBorders>
            <w:vAlign w:val="center"/>
          </w:tcPr>
          <w:p>
            <w:pPr>
              <w:jc w:val="left"/>
              <w:rPr>
                <w:rFonts w:ascii="宋体" w:hAnsi="宋体" w:eastAsia="宋体" w:cs="Times New Roman"/>
                <w:color w:val="auto"/>
                <w:highlight w:val="none"/>
              </w:rPr>
            </w:pPr>
            <w:r>
              <w:rPr>
                <w:rFonts w:hint="eastAsia" w:ascii="宋体" w:hAnsi="宋体" w:eastAsia="宋体" w:cs="宋体"/>
                <w:b/>
                <w:bCs/>
                <w:color w:val="auto"/>
                <w:highlight w:val="none"/>
              </w:rPr>
              <w:t>收费依据及方法：</w:t>
            </w:r>
            <w:r>
              <w:rPr>
                <w:rFonts w:hint="eastAsia" w:ascii="宋体" w:hAnsi="宋体" w:eastAsia="宋体" w:cs="宋体"/>
                <w:color w:val="auto"/>
                <w:highlight w:val="none"/>
              </w:rPr>
              <w:t>采购代理服务费为每家成交供应商</w:t>
            </w:r>
            <w:r>
              <w:rPr>
                <w:rFonts w:ascii="宋体" w:hAnsi="宋体" w:eastAsia="宋体" w:cs="宋体"/>
                <w:color w:val="auto"/>
                <w:highlight w:val="none"/>
              </w:rPr>
              <w:t>3000</w:t>
            </w:r>
            <w:r>
              <w:rPr>
                <w:rFonts w:hint="eastAsia" w:ascii="宋体" w:hAnsi="宋体" w:eastAsia="宋体" w:cs="宋体"/>
                <w:color w:val="auto"/>
                <w:highlight w:val="none"/>
              </w:rPr>
              <w:t>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7" w:hRule="atLeast"/>
          <w:jc w:val="center"/>
        </w:trPr>
        <w:tc>
          <w:tcPr>
            <w:tcW w:w="839" w:type="dxa"/>
            <w:tcBorders>
              <w:top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招标代理服务费支付方式</w:t>
            </w:r>
          </w:p>
        </w:tc>
        <w:tc>
          <w:tcPr>
            <w:tcW w:w="6234" w:type="dxa"/>
            <w:tcBorders>
              <w:top w:val="single" w:color="auto" w:sz="4" w:space="0"/>
              <w:left w:val="single" w:color="auto" w:sz="4" w:space="0"/>
              <w:bottom w:val="single" w:color="auto" w:sz="4" w:space="0"/>
            </w:tcBorders>
            <w:vAlign w:val="center"/>
          </w:tcPr>
          <w:p>
            <w:pPr>
              <w:jc w:val="left"/>
              <w:rPr>
                <w:rFonts w:ascii="宋体" w:hAnsi="宋体" w:eastAsia="宋体" w:cs="Times New Roman"/>
                <w:color w:val="auto"/>
                <w:highlight w:val="none"/>
              </w:rPr>
            </w:pPr>
            <w:r>
              <w:rPr>
                <w:rFonts w:hint="eastAsia" w:ascii="宋体" w:hAnsi="宋体" w:eastAsia="宋体" w:cs="宋体"/>
                <w:color w:val="auto"/>
                <w:highlight w:val="none"/>
              </w:rPr>
              <w:t>成交人在领取《成交通知书》时直接一次性向采购代理机构足额支付招标代理服务费。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31" w:hRule="atLeast"/>
          <w:jc w:val="center"/>
        </w:trPr>
        <w:tc>
          <w:tcPr>
            <w:tcW w:w="839" w:type="dxa"/>
            <w:tcBorders>
              <w:top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lang w:val="en-GB"/>
              </w:rPr>
              <w:t>统一结算</w:t>
            </w:r>
            <w:r>
              <w:rPr>
                <w:rFonts w:hint="eastAsia" w:ascii="宋体" w:hAnsi="宋体" w:eastAsia="宋体" w:cs="宋体"/>
                <w:color w:val="auto"/>
                <w:highlight w:val="none"/>
              </w:rPr>
              <w:t>币种</w:t>
            </w:r>
          </w:p>
        </w:tc>
        <w:tc>
          <w:tcPr>
            <w:tcW w:w="6234" w:type="dxa"/>
            <w:tcBorders>
              <w:top w:val="single" w:color="auto" w:sz="4" w:space="0"/>
              <w:left w:val="single" w:color="auto" w:sz="4" w:space="0"/>
              <w:bottom w:val="single" w:color="auto" w:sz="4" w:space="0"/>
            </w:tcBorders>
            <w:vAlign w:val="center"/>
          </w:tcPr>
          <w:p>
            <w:pPr>
              <w:jc w:val="left"/>
              <w:rPr>
                <w:rFonts w:ascii="宋体" w:hAnsi="宋体" w:eastAsia="宋体" w:cs="Times New Roman"/>
                <w:color w:val="auto"/>
                <w:highlight w:val="none"/>
              </w:rPr>
            </w:pPr>
            <w:r>
              <w:rPr>
                <w:rFonts w:hint="eastAsia" w:ascii="宋体" w:hAnsi="宋体" w:eastAsia="宋体" w:cs="宋体"/>
                <w:color w:val="auto"/>
                <w:highlight w:val="none"/>
              </w:rPr>
              <w:t>均不计息，以人民币元结算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63" w:hRule="atLeast"/>
          <w:jc w:val="center"/>
        </w:trPr>
        <w:tc>
          <w:tcPr>
            <w:tcW w:w="839" w:type="dxa"/>
            <w:tcBorders>
              <w:top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响应有效期</w:t>
            </w:r>
          </w:p>
        </w:tc>
        <w:tc>
          <w:tcPr>
            <w:tcW w:w="6234" w:type="dxa"/>
            <w:tcBorders>
              <w:top w:val="single" w:color="auto" w:sz="4" w:space="0"/>
              <w:left w:val="single" w:color="auto" w:sz="4" w:space="0"/>
              <w:bottom w:val="single" w:color="auto" w:sz="4" w:space="0"/>
            </w:tcBorders>
            <w:vAlign w:val="center"/>
          </w:tcPr>
          <w:p>
            <w:pPr>
              <w:jc w:val="left"/>
              <w:rPr>
                <w:rFonts w:ascii="宋体" w:hAnsi="宋体" w:eastAsia="宋体" w:cs="Times New Roman"/>
                <w:color w:val="auto"/>
                <w:highlight w:val="none"/>
              </w:rPr>
            </w:pPr>
            <w:r>
              <w:rPr>
                <w:rFonts w:hint="eastAsia" w:ascii="宋体" w:hAnsi="宋体" w:eastAsia="宋体" w:cs="宋体"/>
                <w:color w:val="auto"/>
                <w:highlight w:val="none"/>
              </w:rPr>
              <w:t>自从遴选响应文件递交截止日起</w:t>
            </w:r>
            <w:r>
              <w:rPr>
                <w:rFonts w:ascii="宋体" w:hAnsi="宋体" w:eastAsia="宋体" w:cs="宋体"/>
                <w:color w:val="auto"/>
                <w:highlight w:val="none"/>
              </w:rPr>
              <w:t>90</w:t>
            </w:r>
            <w:r>
              <w:rPr>
                <w:rFonts w:hint="eastAsia" w:ascii="宋体" w:hAnsi="宋体" w:eastAsia="宋体" w:cs="宋体"/>
                <w:color w:val="auto"/>
                <w:highlight w:val="none"/>
              </w:rPr>
              <w:t>天，成交供应商的响应有效期自动延长至合同终止为止</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126" w:hRule="atLeast"/>
          <w:jc w:val="center"/>
        </w:trPr>
        <w:tc>
          <w:tcPr>
            <w:tcW w:w="839" w:type="dxa"/>
            <w:tcBorders>
              <w:top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遴选响应文件数量</w:t>
            </w:r>
          </w:p>
        </w:tc>
        <w:tc>
          <w:tcPr>
            <w:tcW w:w="6234" w:type="dxa"/>
            <w:tcBorders>
              <w:top w:val="single" w:color="auto" w:sz="4" w:space="0"/>
              <w:left w:val="single" w:color="auto" w:sz="4" w:space="0"/>
              <w:bottom w:val="single" w:color="auto" w:sz="4" w:space="0"/>
            </w:tcBorders>
            <w:vAlign w:val="center"/>
          </w:tcPr>
          <w:p>
            <w:pPr>
              <w:jc w:val="left"/>
              <w:rPr>
                <w:rFonts w:ascii="宋体" w:hAnsi="宋体" w:eastAsia="宋体" w:cs="Times New Roman"/>
                <w:color w:val="auto"/>
                <w:highlight w:val="none"/>
              </w:rPr>
            </w:pPr>
            <w:r>
              <w:rPr>
                <w:rFonts w:hint="eastAsia" w:ascii="宋体" w:hAnsi="宋体" w:eastAsia="宋体" w:cs="宋体"/>
                <w:color w:val="auto"/>
                <w:highlight w:val="none"/>
              </w:rPr>
              <w:t>三份（一份正本、两份副本）、电子文档一份（要求光盘介质，</w:t>
            </w:r>
            <w:r>
              <w:rPr>
                <w:rFonts w:ascii="宋体" w:hAnsi="宋体" w:eastAsia="宋体" w:cs="宋体"/>
                <w:color w:val="auto"/>
                <w:highlight w:val="none"/>
              </w:rPr>
              <w:t>WORD</w:t>
            </w:r>
            <w:r>
              <w:rPr>
                <w:rFonts w:hint="eastAsia" w:ascii="宋体" w:hAnsi="宋体" w:eastAsia="宋体" w:cs="宋体"/>
                <w:color w:val="auto"/>
                <w:highlight w:val="none"/>
              </w:rPr>
              <w:t>或</w:t>
            </w:r>
            <w:r>
              <w:rPr>
                <w:rFonts w:ascii="宋体" w:hAnsi="宋体" w:eastAsia="宋体" w:cs="宋体"/>
                <w:color w:val="auto"/>
                <w:highlight w:val="none"/>
              </w:rPr>
              <w:t>EXCEL</w:t>
            </w:r>
            <w:r>
              <w:rPr>
                <w:rFonts w:hint="eastAsia" w:ascii="宋体" w:hAnsi="宋体" w:eastAsia="宋体" w:cs="宋体"/>
                <w:color w:val="auto"/>
                <w:highlight w:val="none"/>
              </w:rPr>
              <w:t>格式，不留密码，无病毒，不压缩，内容应与供应商打印产生的纸质遴选响应文件内容一致，如有不同，以纸质遴选响应文件为准）、唱标信封一份。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6" w:hRule="atLeast"/>
          <w:jc w:val="center"/>
        </w:trPr>
        <w:tc>
          <w:tcPr>
            <w:tcW w:w="839" w:type="dxa"/>
            <w:tcBorders>
              <w:top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遴选响应文件递交时间</w:t>
            </w:r>
          </w:p>
        </w:tc>
        <w:tc>
          <w:tcPr>
            <w:tcW w:w="6234" w:type="dxa"/>
            <w:tcBorders>
              <w:top w:val="single" w:color="auto" w:sz="4" w:space="0"/>
              <w:left w:val="single" w:color="auto" w:sz="4" w:space="0"/>
              <w:bottom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详见温馨提示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90" w:hRule="atLeast"/>
          <w:jc w:val="center"/>
        </w:trPr>
        <w:tc>
          <w:tcPr>
            <w:tcW w:w="839" w:type="dxa"/>
            <w:tcBorders>
              <w:top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遴选响应文件递交截止时间</w:t>
            </w:r>
          </w:p>
        </w:tc>
        <w:tc>
          <w:tcPr>
            <w:tcW w:w="6234" w:type="dxa"/>
            <w:tcBorders>
              <w:top w:val="single" w:color="auto" w:sz="4" w:space="0"/>
              <w:left w:val="single" w:color="auto" w:sz="4" w:space="0"/>
              <w:bottom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详见公开遴选公告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31" w:hRule="atLeast"/>
          <w:jc w:val="center"/>
        </w:trPr>
        <w:tc>
          <w:tcPr>
            <w:tcW w:w="839" w:type="dxa"/>
            <w:tcBorders>
              <w:top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遴选时间</w:t>
            </w:r>
          </w:p>
        </w:tc>
        <w:tc>
          <w:tcPr>
            <w:tcW w:w="6234" w:type="dxa"/>
            <w:tcBorders>
              <w:top w:val="single" w:color="auto" w:sz="4" w:space="0"/>
              <w:left w:val="single" w:color="auto" w:sz="4" w:space="0"/>
              <w:bottom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详见公开遴选公告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92" w:hRule="atLeast"/>
          <w:jc w:val="center"/>
        </w:trPr>
        <w:tc>
          <w:tcPr>
            <w:tcW w:w="839" w:type="dxa"/>
            <w:tcBorders>
              <w:top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kern w:val="0"/>
                <w:highlight w:val="none"/>
              </w:rPr>
              <w:t>项目预算金额</w:t>
            </w:r>
          </w:p>
        </w:tc>
        <w:tc>
          <w:tcPr>
            <w:tcW w:w="6234" w:type="dxa"/>
            <w:tcBorders>
              <w:top w:val="single" w:color="auto" w:sz="4" w:space="0"/>
              <w:left w:val="single" w:color="auto" w:sz="4" w:space="0"/>
              <w:bottom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详见公开遴选公告</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78" w:hRule="atLeast"/>
          <w:jc w:val="center"/>
        </w:trPr>
        <w:tc>
          <w:tcPr>
            <w:tcW w:w="839" w:type="dxa"/>
            <w:tcBorders>
              <w:top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auto"/>
                <w:highlight w:val="none"/>
              </w:rPr>
            </w:pPr>
            <w:r>
              <w:rPr>
                <w:rFonts w:hint="eastAsia" w:ascii="宋体" w:hAnsi="宋体" w:eastAsia="宋体" w:cs="宋体"/>
                <w:color w:val="auto"/>
                <w:highlight w:val="none"/>
              </w:rPr>
              <w:t>资金来源</w:t>
            </w:r>
          </w:p>
        </w:tc>
        <w:tc>
          <w:tcPr>
            <w:tcW w:w="6234" w:type="dxa"/>
            <w:tcBorders>
              <w:top w:val="single" w:color="auto" w:sz="4" w:space="0"/>
              <w:left w:val="single" w:color="auto" w:sz="4" w:space="0"/>
              <w:bottom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财政性</w:t>
            </w:r>
            <w:r>
              <w:rPr>
                <w:rFonts w:hint="eastAsia" w:ascii="宋体" w:hAnsi="宋体" w:eastAsia="宋体" w:cs="宋体"/>
                <w:color w:val="auto"/>
                <w:highlight w:val="none"/>
                <w:lang w:eastAsia="zh-TW"/>
              </w:rPr>
              <w:t>资金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78" w:hRule="atLeast"/>
          <w:jc w:val="center"/>
        </w:trPr>
        <w:tc>
          <w:tcPr>
            <w:tcW w:w="839" w:type="dxa"/>
            <w:tcBorders>
              <w:top w:val="single" w:color="auto" w:sz="4" w:space="0"/>
              <w:bottom w:val="single" w:color="auto" w:sz="4" w:space="0"/>
              <w:right w:val="single" w:color="auto" w:sz="4" w:space="0"/>
            </w:tcBorders>
            <w:vAlign w:val="center"/>
          </w:tcPr>
          <w:p>
            <w:pPr>
              <w:numPr>
                <w:ilvl w:val="0"/>
                <w:numId w:val="2"/>
              </w:numPr>
              <w:ind w:left="360" w:hanging="360"/>
              <w:jc w:val="right"/>
              <w:rPr>
                <w:rFonts w:ascii="宋体" w:hAnsi="宋体" w:eastAsia="宋体" w:cs="Times New Roman"/>
                <w:color w:val="auto"/>
                <w:highlight w:val="none"/>
              </w:rPr>
            </w:pPr>
          </w:p>
        </w:tc>
        <w:tc>
          <w:tcPr>
            <w:tcW w:w="2868"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Times New Roman"/>
                <w:color w:val="auto"/>
                <w:highlight w:val="none"/>
              </w:rPr>
            </w:pPr>
            <w:r>
              <w:rPr>
                <w:rFonts w:hint="eastAsia" w:ascii="宋体" w:hAnsi="宋体" w:eastAsia="宋体" w:cs="宋体"/>
                <w:color w:val="auto"/>
                <w:highlight w:val="none"/>
              </w:rPr>
              <w:t>询问函、质疑函格式</w:t>
            </w:r>
          </w:p>
        </w:tc>
        <w:tc>
          <w:tcPr>
            <w:tcW w:w="6234" w:type="dxa"/>
            <w:tcBorders>
              <w:top w:val="single" w:color="auto" w:sz="4" w:space="0"/>
              <w:left w:val="single" w:color="auto" w:sz="4" w:space="0"/>
              <w:bottom w:val="single" w:color="auto" w:sz="4" w:space="0"/>
            </w:tcBorders>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详见</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须知</w:t>
            </w:r>
          </w:p>
        </w:tc>
      </w:tr>
    </w:tbl>
    <w:p>
      <w:pPr>
        <w:numPr>
          <w:ilvl w:val="0"/>
          <w:numId w:val="3"/>
        </w:numPr>
        <w:autoSpaceDE w:val="0"/>
        <w:autoSpaceDN w:val="0"/>
        <w:adjustRightInd w:val="0"/>
        <w:snapToGrid w:val="0"/>
        <w:spacing w:before="240" w:beforeLines="100" w:after="240" w:afterLines="100" w:line="360" w:lineRule="auto"/>
        <w:ind w:left="601" w:hanging="601"/>
        <w:jc w:val="center"/>
        <w:outlineLvl w:val="0"/>
        <w:rPr>
          <w:rFonts w:ascii="宋体" w:hAnsi="宋体" w:eastAsia="宋体" w:cs="Times New Roman"/>
          <w:b/>
          <w:bCs/>
          <w:color w:val="auto"/>
          <w:sz w:val="28"/>
          <w:szCs w:val="28"/>
          <w:highlight w:val="none"/>
          <w:lang w:eastAsia="zh-TW"/>
        </w:rPr>
      </w:pPr>
      <w:bookmarkStart w:id="35" w:name="_Toc475104468"/>
      <w:bookmarkStart w:id="36" w:name="_Toc315793450"/>
      <w:bookmarkStart w:id="37" w:name="_Toc320515016"/>
      <w:bookmarkStart w:id="38" w:name="_Toc322680342"/>
      <w:bookmarkStart w:id="39" w:name="_Toc323110975"/>
      <w:bookmarkStart w:id="40" w:name="_Toc363737682"/>
      <w:bookmarkStart w:id="41" w:name="_Toc320515065"/>
      <w:r>
        <w:rPr>
          <w:rFonts w:ascii="宋体" w:hAnsi="宋体" w:eastAsia="宋体" w:cs="Times New Roman"/>
          <w:b/>
          <w:bCs/>
          <w:color w:val="auto"/>
          <w:sz w:val="28"/>
          <w:szCs w:val="28"/>
          <w:highlight w:val="none"/>
          <w:lang w:eastAsia="zh-TW"/>
        </w:rPr>
        <w:br w:type="page"/>
      </w:r>
      <w:r>
        <w:rPr>
          <w:rFonts w:hint="eastAsia" w:ascii="宋体" w:hAnsi="宋体" w:eastAsia="宋体" w:cs="宋体"/>
          <w:b/>
          <w:bCs/>
          <w:color w:val="auto"/>
          <w:sz w:val="28"/>
          <w:szCs w:val="28"/>
          <w:highlight w:val="none"/>
          <w:lang w:eastAsia="zh-TW"/>
        </w:rPr>
        <w:t>说</w:t>
      </w:r>
      <w:r>
        <w:rPr>
          <w:rFonts w:ascii="宋体" w:hAnsi="宋体" w:eastAsia="宋体" w:cs="宋体"/>
          <w:b/>
          <w:bCs/>
          <w:color w:val="auto"/>
          <w:sz w:val="28"/>
          <w:szCs w:val="28"/>
          <w:highlight w:val="none"/>
          <w:lang w:eastAsia="zh-TW"/>
        </w:rPr>
        <w:t xml:space="preserve"> </w:t>
      </w:r>
      <w:r>
        <w:rPr>
          <w:rFonts w:hint="eastAsia" w:ascii="宋体" w:hAnsi="宋体" w:eastAsia="宋体" w:cs="宋体"/>
          <w:b/>
          <w:bCs/>
          <w:color w:val="auto"/>
          <w:sz w:val="28"/>
          <w:szCs w:val="28"/>
          <w:highlight w:val="none"/>
          <w:lang w:eastAsia="zh-TW"/>
        </w:rPr>
        <w:t>明</w:t>
      </w:r>
      <w:bookmarkEnd w:id="35"/>
      <w:bookmarkEnd w:id="36"/>
      <w:bookmarkEnd w:id="37"/>
      <w:bookmarkEnd w:id="38"/>
      <w:bookmarkEnd w:id="39"/>
      <w:bookmarkEnd w:id="40"/>
      <w:bookmarkEnd w:id="41"/>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42" w:name="_Toc315793451"/>
      <w:bookmarkStart w:id="43" w:name="_Toc363737683"/>
      <w:bookmarkStart w:id="44" w:name="_Toc320515066"/>
      <w:bookmarkStart w:id="45" w:name="_Toc475104469"/>
      <w:bookmarkStart w:id="46" w:name="_Toc320515017"/>
      <w:bookmarkStart w:id="47" w:name="_Toc322680343"/>
      <w:bookmarkStart w:id="48" w:name="_Toc323110976"/>
      <w:r>
        <w:rPr>
          <w:rFonts w:hint="eastAsia" w:ascii="宋体" w:hAnsi="宋体" w:eastAsia="宋体" w:cs="宋体"/>
          <w:b/>
          <w:bCs/>
          <w:color w:val="auto"/>
          <w:sz w:val="24"/>
          <w:szCs w:val="24"/>
          <w:highlight w:val="none"/>
        </w:rPr>
        <w:t>招标适用范围</w:t>
      </w:r>
      <w:bookmarkEnd w:id="42"/>
      <w:bookmarkEnd w:id="43"/>
      <w:bookmarkEnd w:id="44"/>
      <w:bookmarkEnd w:id="45"/>
      <w:bookmarkEnd w:id="46"/>
      <w:bookmarkEnd w:id="47"/>
      <w:bookmarkEnd w:id="48"/>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rPr>
        <w:t>本公开遴选文件适用于本公开遴选邀请中所述项目的政府采购。</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49" w:name="_Toc363737684"/>
      <w:bookmarkStart w:id="50" w:name="_Toc322680344"/>
      <w:bookmarkStart w:id="51" w:name="_Toc320515018"/>
      <w:bookmarkStart w:id="52" w:name="_Toc323110977"/>
      <w:bookmarkStart w:id="53" w:name="_Toc475104470"/>
      <w:bookmarkStart w:id="54" w:name="_Toc320515067"/>
      <w:r>
        <w:rPr>
          <w:rFonts w:hint="eastAsia" w:ascii="宋体" w:hAnsi="宋体" w:eastAsia="宋体" w:cs="宋体"/>
          <w:b/>
          <w:bCs/>
          <w:color w:val="auto"/>
          <w:sz w:val="24"/>
          <w:szCs w:val="24"/>
          <w:highlight w:val="none"/>
        </w:rPr>
        <w:t>定义</w:t>
      </w:r>
      <w:bookmarkEnd w:id="49"/>
      <w:bookmarkEnd w:id="50"/>
      <w:bookmarkEnd w:id="51"/>
      <w:bookmarkEnd w:id="52"/>
      <w:bookmarkEnd w:id="53"/>
      <w:bookmarkEnd w:id="54"/>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“采购人”系指广州市生态环境局越秀分局。</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“采购代理机构”系指广州市信怡招标代理有限公司。</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“供应商”系指向采购代理机构提交遴选响应文件的自然人、法人或其他组织。</w:t>
      </w:r>
    </w:p>
    <w:p>
      <w:pPr>
        <w:numPr>
          <w:ilvl w:val="1"/>
          <w:numId w:val="4"/>
        </w:numPr>
        <w:autoSpaceDE w:val="0"/>
        <w:autoSpaceDN w:val="0"/>
        <w:adjustRightInd w:val="0"/>
        <w:snapToGrid w:val="0"/>
        <w:spacing w:line="360" w:lineRule="auto"/>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“甲方”系指采购人。</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“乙方”系指成交供应商。</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“日期”指公历日</w:t>
      </w:r>
      <w:r>
        <w:rPr>
          <w:rFonts w:ascii="宋体" w:hAnsi="宋体" w:eastAsia="宋体" w:cs="宋体"/>
          <w:color w:val="auto"/>
          <w:highlight w:val="none"/>
        </w:rPr>
        <w:t>,</w:t>
      </w:r>
      <w:r>
        <w:rPr>
          <w:rFonts w:hint="eastAsia" w:ascii="宋体" w:hAnsi="宋体" w:eastAsia="宋体" w:cs="宋体"/>
          <w:color w:val="auto"/>
          <w:highlight w:val="none"/>
        </w:rPr>
        <w:t>“时间”指北京时间。</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“书面形式”系指纸质文件形式，不包含电子邮件、手机短信等非纸质形式。</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“成交供应商”系指法定程序确定并授予合同的供应商。</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“实质性响应”系指符合公开遴选文件的所有要求、条款、条件和规定，且没有不利于项目实施质量效果和服务保障的重大偏离或保留。</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“重大偏离或保留”系指影响到公开遴选文件规定的范围、质量和性能或限制了采购人的权力和供应商义务的规定，而纠正这些偏离将影响到其它供应商的公平竞争地位。</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公开遴选文件中的标题或题名仅起引导作用，而不应该作为对公开遴选文件内容的理解或解释。</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55" w:name="_Toc333236630"/>
      <w:bookmarkStart w:id="56" w:name="_Toc363737686"/>
      <w:bookmarkStart w:id="57" w:name="_Toc475104472"/>
      <w:bookmarkStart w:id="58" w:name="_Toc315793455"/>
      <w:bookmarkStart w:id="59" w:name="_Toc322680347"/>
      <w:bookmarkStart w:id="60" w:name="_Toc320515021"/>
      <w:bookmarkStart w:id="61" w:name="_Toc323110980"/>
      <w:bookmarkStart w:id="62" w:name="_Toc320515070"/>
      <w:r>
        <w:rPr>
          <w:rFonts w:hint="eastAsia" w:ascii="宋体" w:hAnsi="宋体" w:eastAsia="宋体" w:cs="宋体"/>
          <w:b/>
          <w:bCs/>
          <w:color w:val="auto"/>
          <w:sz w:val="24"/>
          <w:szCs w:val="24"/>
          <w:highlight w:val="none"/>
        </w:rPr>
        <w:t>合格的服务和货物</w:t>
      </w:r>
      <w:bookmarkEnd w:id="55"/>
      <w:bookmarkEnd w:id="56"/>
      <w:bookmarkEnd w:id="57"/>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“服务”</w:t>
      </w:r>
      <w:r>
        <w:rPr>
          <w:rFonts w:ascii="宋体" w:hAnsi="宋体" w:eastAsia="宋体" w:cs="宋体"/>
          <w:color w:val="auto"/>
          <w:highlight w:val="none"/>
        </w:rPr>
        <w:t xml:space="preserve"> </w:t>
      </w:r>
      <w:r>
        <w:rPr>
          <w:rFonts w:hint="eastAsia" w:ascii="宋体" w:hAnsi="宋体" w:eastAsia="宋体" w:cs="宋体"/>
          <w:color w:val="auto"/>
          <w:highlight w:val="none"/>
        </w:rPr>
        <w:t>是指供应商按公开遴选文件规定完成的全部服务内容，其中包括完成服务所需的货物，及须承担的技术支持、培训和其它伴随服务。</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货物”是指供应商制造或组织符合公开遴选文件要求的货物等。提供的货物必须是其合法生产、合法来源的符合国家有关标准要求的货物，并满足公开遴选文件规定的规格、参数、质量、价格、有效期、售后服务等要求。</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供应商提供的所有服务，其质量、技术等特征必须符合国家、行业现行法律、法规的相关标准和《中华人民共和国政府采购法》的有关规定及用户需求。</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采购人有权拒绝接受任何不合格的服务，由此产生的费用及相关后果均由供应商自行承担。</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应保证为本项目提供的技术、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63" w:name="_Toc475104473"/>
      <w:bookmarkStart w:id="64" w:name="_Toc363737687"/>
      <w:r>
        <w:rPr>
          <w:rFonts w:hint="eastAsia" w:ascii="宋体" w:hAnsi="宋体" w:eastAsia="宋体" w:cs="宋体"/>
          <w:b/>
          <w:bCs/>
          <w:color w:val="auto"/>
          <w:sz w:val="24"/>
          <w:szCs w:val="24"/>
          <w:highlight w:val="none"/>
        </w:rPr>
        <w:t>遴选费用</w:t>
      </w:r>
      <w:bookmarkEnd w:id="58"/>
      <w:bookmarkEnd w:id="59"/>
      <w:bookmarkEnd w:id="60"/>
      <w:bookmarkEnd w:id="61"/>
      <w:bookmarkEnd w:id="62"/>
      <w:bookmarkEnd w:id="63"/>
      <w:bookmarkEnd w:id="64"/>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bookmarkStart w:id="65" w:name="_Toc320515022"/>
      <w:bookmarkStart w:id="66" w:name="_Toc323110981"/>
      <w:bookmarkStart w:id="67" w:name="_Toc322680348"/>
      <w:bookmarkStart w:id="68" w:name="_Toc320515071"/>
      <w:bookmarkStart w:id="69" w:name="_Toc315793456"/>
      <w:r>
        <w:rPr>
          <w:rFonts w:hint="eastAsia" w:ascii="宋体" w:hAnsi="宋体" w:eastAsia="宋体" w:cs="宋体"/>
          <w:color w:val="auto"/>
          <w:highlight w:val="none"/>
        </w:rPr>
        <w:t>供应商应承担所有与编写遴选响应文件和参加报价的所有费用，不论遴选的结果如何，采购代理机构和采购人在任何情况下均无义务和责任承担这些费用。</w:t>
      </w:r>
      <w:bookmarkEnd w:id="65"/>
      <w:bookmarkEnd w:id="66"/>
      <w:bookmarkEnd w:id="67"/>
      <w:bookmarkEnd w:id="68"/>
    </w:p>
    <w:bookmarkEnd w:id="69"/>
    <w:p>
      <w:pPr>
        <w:numPr>
          <w:ilvl w:val="0"/>
          <w:numId w:val="3"/>
        </w:numPr>
        <w:autoSpaceDE w:val="0"/>
        <w:autoSpaceDN w:val="0"/>
        <w:adjustRightInd w:val="0"/>
        <w:snapToGrid w:val="0"/>
        <w:spacing w:before="240" w:beforeLines="100" w:after="240" w:afterLines="100" w:line="360" w:lineRule="auto"/>
        <w:ind w:left="601" w:hanging="601"/>
        <w:jc w:val="center"/>
        <w:outlineLvl w:val="0"/>
        <w:rPr>
          <w:rFonts w:ascii="宋体" w:hAnsi="宋体" w:eastAsia="宋体" w:cs="Times New Roman"/>
          <w:b/>
          <w:bCs/>
          <w:color w:val="auto"/>
          <w:sz w:val="28"/>
          <w:szCs w:val="28"/>
          <w:highlight w:val="none"/>
          <w:lang w:eastAsia="zh-TW"/>
        </w:rPr>
      </w:pPr>
      <w:r>
        <w:rPr>
          <w:rFonts w:hint="eastAsia" w:ascii="宋体" w:hAnsi="宋体" w:eastAsia="宋体" w:cs="宋体"/>
          <w:b/>
          <w:bCs/>
          <w:color w:val="auto"/>
          <w:sz w:val="28"/>
          <w:szCs w:val="28"/>
          <w:highlight w:val="none"/>
        </w:rPr>
        <w:t>公开遴选文件</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70" w:name="_Toc315793458"/>
      <w:bookmarkStart w:id="71" w:name="_Toc363737689"/>
      <w:bookmarkStart w:id="72" w:name="_Toc323110983"/>
      <w:bookmarkStart w:id="73" w:name="_Toc320515024"/>
      <w:bookmarkStart w:id="74" w:name="_Toc475104475"/>
      <w:bookmarkStart w:id="75" w:name="_Toc322680350"/>
      <w:bookmarkStart w:id="76" w:name="_Toc320515073"/>
      <w:r>
        <w:rPr>
          <w:rFonts w:hint="eastAsia" w:ascii="宋体" w:hAnsi="宋体" w:eastAsia="宋体" w:cs="宋体"/>
          <w:b/>
          <w:bCs/>
          <w:color w:val="auto"/>
          <w:sz w:val="24"/>
          <w:szCs w:val="24"/>
          <w:highlight w:val="none"/>
        </w:rPr>
        <w:t>公开遴选文件的编制依据与构成</w:t>
      </w:r>
      <w:bookmarkEnd w:id="70"/>
      <w:bookmarkEnd w:id="71"/>
      <w:bookmarkEnd w:id="72"/>
      <w:bookmarkEnd w:id="73"/>
      <w:bookmarkEnd w:id="74"/>
      <w:bookmarkEnd w:id="75"/>
      <w:bookmarkEnd w:id="76"/>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本公开遴选文件的编制依据是相关规定。</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要求提供的货物或服务、采购过程和合同条件在公开遴选文件中均有说明。公开遴选文件以中文文字编写。</w:t>
      </w:r>
    </w:p>
    <w:p>
      <w:pPr>
        <w:numPr>
          <w:ilvl w:val="1"/>
          <w:numId w:val="4"/>
        </w:numPr>
        <w:spacing w:line="360" w:lineRule="auto"/>
        <w:outlineLvl w:val="3"/>
        <w:rPr>
          <w:rFonts w:ascii="宋体" w:hAnsi="宋体" w:eastAsia="宋体" w:cs="Times New Roman"/>
          <w:color w:val="auto"/>
          <w:highlight w:val="none"/>
          <w:lang w:eastAsia="zh-TW"/>
        </w:rPr>
      </w:pP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的组成</w:t>
      </w:r>
    </w:p>
    <w:p>
      <w:pPr>
        <w:spacing w:line="360" w:lineRule="auto"/>
        <w:ind w:firstLine="24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1</w:t>
      </w:r>
      <w:r>
        <w:rPr>
          <w:rFonts w:hint="eastAsia" w:ascii="宋体" w:hAnsi="宋体" w:eastAsia="宋体" w:cs="宋体"/>
          <w:color w:val="auto"/>
          <w:highlight w:val="none"/>
        </w:rPr>
        <w:t>）公开遴选邀请</w:t>
      </w:r>
    </w:p>
    <w:p>
      <w:pPr>
        <w:spacing w:line="360" w:lineRule="auto"/>
        <w:ind w:firstLine="24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）公开遴选须知</w:t>
      </w:r>
    </w:p>
    <w:p>
      <w:pPr>
        <w:spacing w:line="360" w:lineRule="auto"/>
        <w:ind w:firstLine="24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3</w:t>
      </w:r>
      <w:r>
        <w:rPr>
          <w:rFonts w:hint="eastAsia" w:ascii="宋体" w:hAnsi="宋体" w:eastAsia="宋体" w:cs="宋体"/>
          <w:color w:val="auto"/>
          <w:highlight w:val="none"/>
        </w:rPr>
        <w:t>）采购人需求书</w:t>
      </w:r>
    </w:p>
    <w:p>
      <w:pPr>
        <w:spacing w:line="360" w:lineRule="auto"/>
        <w:ind w:firstLine="24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4</w:t>
      </w:r>
      <w:r>
        <w:rPr>
          <w:rFonts w:hint="eastAsia" w:ascii="宋体" w:hAnsi="宋体" w:eastAsia="宋体" w:cs="宋体"/>
          <w:color w:val="auto"/>
          <w:highlight w:val="none"/>
        </w:rPr>
        <w:t>）政府采购合同（样本）</w:t>
      </w:r>
    </w:p>
    <w:p>
      <w:pPr>
        <w:spacing w:line="360" w:lineRule="auto"/>
        <w:ind w:firstLine="24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5</w:t>
      </w:r>
      <w:r>
        <w:rPr>
          <w:rFonts w:hint="eastAsia" w:ascii="宋体" w:hAnsi="宋体" w:eastAsia="宋体" w:cs="宋体"/>
          <w:color w:val="auto"/>
          <w:highlight w:val="none"/>
        </w:rPr>
        <w:t>）附件（格式）</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应认真阅读、并充分理解公开遴选文件的全部内容（包括所有的补充、修改内容、重要事项、格式、条款和技术规范、参数及要求等）。供应商没有按照公开遴选文件要求提交全部资料，或者遴选响应文件没有对公开遴选文件在各方面都作出实质性响应是供应商的风险，有可能导致其报价被拒绝，或被认定为无效响应。</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77" w:name="_Toc475104476"/>
      <w:bookmarkStart w:id="78" w:name="_Toc315793459"/>
      <w:bookmarkStart w:id="79" w:name="_Toc322680351"/>
      <w:bookmarkStart w:id="80" w:name="_Toc320515025"/>
      <w:bookmarkStart w:id="81" w:name="_Toc363737690"/>
      <w:bookmarkStart w:id="82" w:name="_Toc320515074"/>
      <w:bookmarkStart w:id="83" w:name="_Toc323110984"/>
      <w:r>
        <w:rPr>
          <w:rFonts w:hint="eastAsia" w:ascii="宋体" w:hAnsi="宋体" w:eastAsia="宋体" w:cs="宋体"/>
          <w:b/>
          <w:bCs/>
          <w:color w:val="auto"/>
          <w:sz w:val="24"/>
          <w:szCs w:val="24"/>
          <w:highlight w:val="none"/>
        </w:rPr>
        <w:t>公开遴选文件的澄清</w:t>
      </w:r>
      <w:bookmarkEnd w:id="77"/>
      <w:bookmarkEnd w:id="78"/>
      <w:bookmarkEnd w:id="79"/>
      <w:bookmarkEnd w:id="80"/>
      <w:bookmarkEnd w:id="81"/>
      <w:bookmarkEnd w:id="82"/>
      <w:bookmarkEnd w:id="83"/>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rPr>
        <w:t>任何要求对公开遴选文件进行澄清的供应商，均应以书面形式在遴选响应文件递交截止时间前通知采购代理机构。采购代理机构将组织采购人对供应商所要求澄清的内容均以书面形式予以答复。必要时，采购代理机构将组织相关专家召开答疑会，并将会议内容以书面形式发给每个购买公开遴选文件的潜在供应商，答复中不包括问题的来源。</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在规定的时间内未对公开遴选文件提出澄清或疑问的，采购代理机构将视其为无异议。对公开遴选文件中描述有歧意或前后不一致的地方，评审小组有权进行评判，但对同一条款的评判应适用于每个供应商。</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除非需要，不举行项目集中答疑会或现场考察，如举行集中答疑会或现场考察的，则按以下规定：</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在公开遴选邀请中规定的日期、时间和地点组织公开答疑会或现场考察；</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供应商对本项目提出的疑问，需在答疑会或现场考察召开日前至少一个工作日将问题清单以书面形式（加盖公章）提交至政府采购代理机构，供应商授权代表于上述的时间和地点出席答疑会或现场考察。</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已购买公开遴选文件的供应商如不出席答疑会或现场考察视为对公开遴选文件所有内容无任何异议。</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84" w:name="_Toc315793460"/>
      <w:bookmarkStart w:id="85" w:name="_Toc475104477"/>
      <w:bookmarkStart w:id="86" w:name="_Toc320515026"/>
      <w:bookmarkStart w:id="87" w:name="_Toc320515075"/>
      <w:bookmarkStart w:id="88" w:name="_Toc322680352"/>
      <w:bookmarkStart w:id="89" w:name="_Toc323110985"/>
      <w:bookmarkStart w:id="90" w:name="_Toc363737691"/>
      <w:r>
        <w:rPr>
          <w:rFonts w:hint="eastAsia" w:ascii="宋体" w:hAnsi="宋体" w:eastAsia="宋体" w:cs="宋体"/>
          <w:b/>
          <w:bCs/>
          <w:color w:val="auto"/>
          <w:sz w:val="24"/>
          <w:szCs w:val="24"/>
          <w:highlight w:val="none"/>
        </w:rPr>
        <w:t>公开遴选文件的修改</w:t>
      </w:r>
      <w:bookmarkEnd w:id="84"/>
      <w:bookmarkEnd w:id="85"/>
      <w:bookmarkEnd w:id="86"/>
      <w:bookmarkEnd w:id="87"/>
      <w:bookmarkEnd w:id="88"/>
      <w:bookmarkEnd w:id="89"/>
      <w:bookmarkEnd w:id="90"/>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无论出于何种原因，采购代理机构可主动地或在解答供应商提出的疑问时对公开遴选文件进行修改，政府采购代理机构对已发出的公开遴选文件进行必要修改的，应当于遴选响应文件递交截止时间前在政府采购指定媒体上发布公告通知所有已获取公开遴选文件的供应商，供应商在收到补充或修改通知后应立即以书面形式予以确认，该补充或修改的内容为公开遴选文件的组成部分。</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根据采购项目的具体情况，采购代理机构可延长遴选响应文件递交截止时间和遴选时间，但至少应当在规定的遴选响应文件递交截止时间至少两日前，将变更时间在媒体上发布公告，并通知所有报名的供应商。</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公开遴选文件的修改内容是公开遴选文件的组成部分，将以书面形式通知所有购买公开遴选文件的潜在供应商，并对潜在供应商具有约束力。潜在供应商在收到上述通知后，应立即以书面形式向采购代理机构确认。如在</w:t>
      </w:r>
      <w:r>
        <w:rPr>
          <w:rFonts w:ascii="宋体" w:hAnsi="宋体" w:eastAsia="宋体" w:cs="宋体"/>
          <w:color w:val="auto"/>
          <w:highlight w:val="none"/>
        </w:rPr>
        <w:t>24</w:t>
      </w:r>
      <w:r>
        <w:rPr>
          <w:rFonts w:hint="eastAsia" w:ascii="宋体" w:hAnsi="宋体" w:eastAsia="宋体" w:cs="宋体"/>
          <w:color w:val="auto"/>
          <w:highlight w:val="none"/>
        </w:rPr>
        <w:t>小时之内无书面回函则视为同意修改内容，并有责任履行相应的义务。</w:t>
      </w:r>
    </w:p>
    <w:p>
      <w:pPr>
        <w:autoSpaceDE w:val="0"/>
        <w:autoSpaceDN w:val="0"/>
        <w:adjustRightInd w:val="0"/>
        <w:snapToGrid w:val="0"/>
        <w:spacing w:line="360" w:lineRule="auto"/>
        <w:jc w:val="left"/>
        <w:rPr>
          <w:rFonts w:ascii="宋体" w:hAnsi="宋体" w:eastAsia="宋体" w:cs="Times New Roman"/>
          <w:color w:val="auto"/>
          <w:highlight w:val="none"/>
        </w:rPr>
      </w:pPr>
    </w:p>
    <w:p>
      <w:pPr>
        <w:numPr>
          <w:ilvl w:val="0"/>
          <w:numId w:val="3"/>
        </w:numPr>
        <w:autoSpaceDE w:val="0"/>
        <w:autoSpaceDN w:val="0"/>
        <w:adjustRightInd w:val="0"/>
        <w:snapToGrid w:val="0"/>
        <w:spacing w:before="240" w:beforeLines="100" w:after="240" w:afterLines="100" w:line="360" w:lineRule="auto"/>
        <w:ind w:left="601" w:hanging="601"/>
        <w:jc w:val="center"/>
        <w:outlineLvl w:val="0"/>
        <w:rPr>
          <w:rFonts w:ascii="宋体" w:hAnsi="宋体" w:eastAsia="宋体" w:cs="Times New Roman"/>
          <w:b/>
          <w:bCs/>
          <w:color w:val="auto"/>
          <w:sz w:val="28"/>
          <w:szCs w:val="28"/>
          <w:highlight w:val="none"/>
          <w:lang w:eastAsia="zh-TW"/>
        </w:rPr>
      </w:pPr>
      <w:bookmarkStart w:id="91" w:name="_Toc363737692"/>
      <w:bookmarkStart w:id="92" w:name="_Toc320515027"/>
      <w:bookmarkStart w:id="93" w:name="_Toc322680353"/>
      <w:bookmarkStart w:id="94" w:name="_Toc320515076"/>
      <w:bookmarkStart w:id="95" w:name="_Toc323110986"/>
      <w:bookmarkStart w:id="96" w:name="_Toc315793461"/>
      <w:bookmarkStart w:id="97" w:name="_Toc475104478"/>
      <w:r>
        <w:rPr>
          <w:rFonts w:hint="eastAsia" w:ascii="宋体" w:hAnsi="宋体" w:eastAsia="宋体" w:cs="宋体"/>
          <w:b/>
          <w:bCs/>
          <w:color w:val="auto"/>
          <w:sz w:val="28"/>
          <w:szCs w:val="28"/>
          <w:highlight w:val="none"/>
        </w:rPr>
        <w:t>遴选响应文件</w:t>
      </w:r>
      <w:r>
        <w:rPr>
          <w:rFonts w:hint="eastAsia" w:ascii="宋体" w:hAnsi="宋体" w:eastAsia="宋体" w:cs="宋体"/>
          <w:b/>
          <w:bCs/>
          <w:color w:val="auto"/>
          <w:sz w:val="28"/>
          <w:szCs w:val="28"/>
          <w:highlight w:val="none"/>
          <w:lang w:eastAsia="zh-TW"/>
        </w:rPr>
        <w:t>的编制</w:t>
      </w:r>
      <w:bookmarkEnd w:id="91"/>
      <w:bookmarkEnd w:id="92"/>
      <w:bookmarkEnd w:id="93"/>
      <w:bookmarkEnd w:id="94"/>
      <w:bookmarkEnd w:id="95"/>
      <w:bookmarkEnd w:id="96"/>
      <w:bookmarkEnd w:id="97"/>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98" w:name="_Toc315793462"/>
      <w:bookmarkStart w:id="99" w:name="_Toc323110987"/>
      <w:bookmarkStart w:id="100" w:name="_Toc363737693"/>
      <w:bookmarkStart w:id="101" w:name="_Toc320515077"/>
      <w:bookmarkStart w:id="102" w:name="_Toc322680354"/>
      <w:bookmarkStart w:id="103" w:name="_Toc475104479"/>
      <w:bookmarkStart w:id="104" w:name="_Toc320515028"/>
      <w:r>
        <w:rPr>
          <w:rFonts w:hint="eastAsia" w:ascii="宋体" w:hAnsi="宋体" w:eastAsia="宋体" w:cs="宋体"/>
          <w:b/>
          <w:bCs/>
          <w:color w:val="auto"/>
          <w:sz w:val="24"/>
          <w:szCs w:val="24"/>
          <w:highlight w:val="none"/>
        </w:rPr>
        <w:t>响应的语言</w:t>
      </w:r>
      <w:bookmarkEnd w:id="98"/>
      <w:bookmarkEnd w:id="99"/>
      <w:bookmarkEnd w:id="100"/>
      <w:bookmarkEnd w:id="101"/>
      <w:bookmarkEnd w:id="102"/>
      <w:bookmarkEnd w:id="103"/>
      <w:bookmarkEnd w:id="104"/>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rPr>
        <w:t>供应商提交的遴选响应文件以及供应商与采购代理机构就有关遴选响应的所有来往函电均应使用中文书写。供应商提交的支持资料和己印刷的文献可以用另一种语言，但相应内容应附有中文翻译本，在解释遴选响应文件的修改内容时以中文翻译本为准。对中文翻译有异议的，以权威机构的译本为准。</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105" w:name="_Toc475104480"/>
      <w:bookmarkStart w:id="106" w:name="_Toc323110988"/>
      <w:bookmarkStart w:id="107" w:name="_Toc320515078"/>
      <w:bookmarkStart w:id="108" w:name="_Toc320515029"/>
      <w:bookmarkStart w:id="109" w:name="_Toc315793463"/>
      <w:bookmarkStart w:id="110" w:name="_Toc322680355"/>
      <w:bookmarkStart w:id="111" w:name="_Toc363737694"/>
      <w:r>
        <w:rPr>
          <w:rFonts w:hint="eastAsia" w:ascii="宋体" w:hAnsi="宋体" w:eastAsia="宋体" w:cs="宋体"/>
          <w:b/>
          <w:bCs/>
          <w:color w:val="auto"/>
          <w:sz w:val="24"/>
          <w:szCs w:val="24"/>
          <w:highlight w:val="none"/>
        </w:rPr>
        <w:t>遴选响应文件的构成</w:t>
      </w:r>
      <w:bookmarkEnd w:id="105"/>
      <w:bookmarkEnd w:id="106"/>
      <w:bookmarkEnd w:id="107"/>
      <w:bookmarkEnd w:id="108"/>
      <w:bookmarkEnd w:id="109"/>
      <w:bookmarkEnd w:id="110"/>
      <w:bookmarkEnd w:id="111"/>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供应商编写的遴选响应文件应编排为三部分：①商务响应文件（包括</w:t>
      </w:r>
      <w:r>
        <w:rPr>
          <w:rFonts w:hint="eastAsia" w:ascii="宋体" w:hAnsi="宋体" w:eastAsia="宋体" w:cs="宋体"/>
          <w:color w:val="auto"/>
          <w:kern w:val="0"/>
          <w:highlight w:val="none"/>
        </w:rPr>
        <w:t>公开遴选函</w:t>
      </w:r>
      <w:r>
        <w:rPr>
          <w:rFonts w:hint="eastAsia" w:ascii="宋体" w:hAnsi="宋体" w:eastAsia="宋体" w:cs="宋体"/>
          <w:color w:val="auto"/>
          <w:highlight w:val="none"/>
        </w:rPr>
        <w:t>）；②技术响应文件；③报价信封，遴选响应文件应包含但不限于以下内容：</w:t>
      </w:r>
    </w:p>
    <w:p>
      <w:pPr>
        <w:autoSpaceDE w:val="0"/>
        <w:autoSpaceDN w:val="0"/>
        <w:adjustRightInd w:val="0"/>
        <w:snapToGrid w:val="0"/>
        <w:spacing w:line="360" w:lineRule="auto"/>
        <w:ind w:firstLine="525" w:firstLineChars="250"/>
        <w:jc w:val="left"/>
        <w:rPr>
          <w:rFonts w:ascii="宋体" w:hAnsi="宋体" w:eastAsia="宋体" w:cs="Times New Roman"/>
          <w:color w:val="auto"/>
          <w:highlight w:val="none"/>
        </w:rPr>
      </w:pPr>
      <w:r>
        <w:rPr>
          <w:rFonts w:hint="eastAsia" w:ascii="宋体" w:hAnsi="宋体" w:eastAsia="宋体" w:cs="宋体"/>
          <w:color w:val="auto"/>
          <w:highlight w:val="none"/>
        </w:rPr>
        <w:t>①按规定填写的公开遴选函、资格声明函、同意公开遴选文件条款说明；</w:t>
      </w:r>
    </w:p>
    <w:p>
      <w:pPr>
        <w:autoSpaceDE w:val="0"/>
        <w:autoSpaceDN w:val="0"/>
        <w:adjustRightInd w:val="0"/>
        <w:snapToGrid w:val="0"/>
        <w:spacing w:line="360" w:lineRule="auto"/>
        <w:ind w:firstLine="525" w:firstLineChars="250"/>
        <w:jc w:val="left"/>
        <w:rPr>
          <w:rFonts w:ascii="宋体" w:hAnsi="宋体" w:eastAsia="宋体" w:cs="Times New Roman"/>
          <w:color w:val="auto"/>
          <w:highlight w:val="none"/>
        </w:rPr>
      </w:pPr>
      <w:r>
        <w:rPr>
          <w:rFonts w:hint="eastAsia" w:ascii="宋体" w:hAnsi="宋体" w:eastAsia="宋体" w:cs="宋体"/>
          <w:color w:val="auto"/>
          <w:highlight w:val="none"/>
        </w:rPr>
        <w:t>②按要求出具的资格证明文件，证明供应商是合格的，而且获得成交资格后有能力履行合同；</w:t>
      </w:r>
    </w:p>
    <w:p>
      <w:pPr>
        <w:autoSpaceDE w:val="0"/>
        <w:autoSpaceDN w:val="0"/>
        <w:adjustRightInd w:val="0"/>
        <w:snapToGrid w:val="0"/>
        <w:spacing w:line="360" w:lineRule="auto"/>
        <w:ind w:firstLine="525" w:firstLineChars="250"/>
        <w:jc w:val="left"/>
        <w:rPr>
          <w:rFonts w:ascii="宋体" w:hAnsi="宋体" w:eastAsia="宋体" w:cs="Times New Roman"/>
          <w:color w:val="auto"/>
          <w:highlight w:val="none"/>
        </w:rPr>
      </w:pPr>
      <w:r>
        <w:rPr>
          <w:rFonts w:hint="eastAsia" w:ascii="宋体" w:hAnsi="宋体" w:eastAsia="宋体" w:cs="宋体"/>
          <w:color w:val="auto"/>
          <w:highlight w:val="none"/>
        </w:rPr>
        <w:t>③按规定出具的证明文件，证明供应商提供的服务及货物是合格的，而且符合公开遴选文件的规定；</w:t>
      </w:r>
    </w:p>
    <w:p>
      <w:pPr>
        <w:autoSpaceDE w:val="0"/>
        <w:autoSpaceDN w:val="0"/>
        <w:adjustRightInd w:val="0"/>
        <w:snapToGrid w:val="0"/>
        <w:spacing w:line="360" w:lineRule="auto"/>
        <w:ind w:firstLine="525" w:firstLineChars="250"/>
        <w:jc w:val="left"/>
        <w:rPr>
          <w:rFonts w:ascii="宋体" w:hAnsi="宋体" w:eastAsia="宋体" w:cs="Times New Roman"/>
          <w:color w:val="auto"/>
          <w:highlight w:val="none"/>
        </w:rPr>
      </w:pPr>
      <w:r>
        <w:rPr>
          <w:rFonts w:hint="eastAsia" w:ascii="宋体" w:hAnsi="宋体" w:eastAsia="宋体" w:cs="宋体"/>
          <w:color w:val="auto"/>
          <w:highlight w:val="none"/>
        </w:rPr>
        <w:t>④对公开遴选文件第三章作出的书面响应，包括但不限于服务及商务要求等；</w:t>
      </w:r>
    </w:p>
    <w:p>
      <w:pPr>
        <w:autoSpaceDE w:val="0"/>
        <w:autoSpaceDN w:val="0"/>
        <w:adjustRightInd w:val="0"/>
        <w:snapToGrid w:val="0"/>
        <w:spacing w:line="360" w:lineRule="auto"/>
        <w:ind w:firstLine="525" w:firstLineChars="250"/>
        <w:jc w:val="left"/>
        <w:rPr>
          <w:rFonts w:ascii="宋体" w:hAnsi="宋体" w:eastAsia="宋体" w:cs="Times New Roman"/>
          <w:color w:val="auto"/>
          <w:highlight w:val="none"/>
        </w:rPr>
      </w:pPr>
      <w:r>
        <w:rPr>
          <w:rFonts w:hint="eastAsia" w:ascii="宋体" w:hAnsi="宋体" w:eastAsia="宋体" w:cs="宋体"/>
          <w:color w:val="auto"/>
          <w:highlight w:val="none"/>
        </w:rPr>
        <w:t>⑤供应商认为须提交与评审内容相关的其他资料。</w:t>
      </w:r>
    </w:p>
    <w:p>
      <w:pPr>
        <w:numPr>
          <w:ilvl w:val="1"/>
          <w:numId w:val="4"/>
        </w:numPr>
        <w:tabs>
          <w:tab w:val="left" w:pos="360"/>
          <w:tab w:val="left" w:pos="709"/>
        </w:tabs>
        <w:adjustRightInd w:val="0"/>
        <w:spacing w:line="360" w:lineRule="auto"/>
        <w:textAlignment w:val="baseline"/>
        <w:rPr>
          <w:rFonts w:ascii="宋体" w:hAnsi="宋体" w:eastAsia="宋体" w:cs="Times New Roman"/>
          <w:color w:val="auto"/>
          <w:highlight w:val="none"/>
        </w:rPr>
      </w:pPr>
      <w:bookmarkStart w:id="112" w:name="_Toc475104481"/>
      <w:r>
        <w:rPr>
          <w:rFonts w:hint="eastAsia" w:ascii="宋体" w:hAnsi="宋体" w:eastAsia="宋体" w:cs="宋体"/>
          <w:color w:val="auto"/>
          <w:highlight w:val="none"/>
        </w:rPr>
        <w:t>商务部分文件是指供应商提交的证明供应商的资格合格，且获得成交资格后有能力履行合同的文件。服务部分文件是指证明供应商提供的服务和货物是合格的，而且符合本公开遴选文件规定的文件。</w:t>
      </w:r>
      <w:bookmarkEnd w:id="112"/>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遴选响应文件的构成应符合法律法规及公开遴选文件的要求。</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113" w:name="_Toc475104482"/>
      <w:bookmarkStart w:id="114" w:name="_Toc323110989"/>
      <w:bookmarkStart w:id="115" w:name="_Toc322680356"/>
      <w:bookmarkStart w:id="116" w:name="_Toc315793464"/>
      <w:bookmarkStart w:id="117" w:name="_Toc363737695"/>
      <w:bookmarkStart w:id="118" w:name="_Toc320515030"/>
      <w:bookmarkStart w:id="119" w:name="_Toc320515079"/>
      <w:r>
        <w:rPr>
          <w:rFonts w:hint="eastAsia" w:ascii="宋体" w:hAnsi="宋体" w:eastAsia="宋体" w:cs="宋体"/>
          <w:b/>
          <w:bCs/>
          <w:color w:val="auto"/>
          <w:sz w:val="24"/>
          <w:szCs w:val="24"/>
          <w:highlight w:val="none"/>
        </w:rPr>
        <w:t>遴选响应文件的编写</w:t>
      </w:r>
      <w:bookmarkEnd w:id="113"/>
      <w:bookmarkEnd w:id="114"/>
      <w:bookmarkEnd w:id="115"/>
      <w:bookmarkEnd w:id="116"/>
      <w:bookmarkEnd w:id="117"/>
      <w:bookmarkEnd w:id="118"/>
      <w:bookmarkEnd w:id="119"/>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应仔细阅读公开遴选文件的所有内容，按公开遴选文件的要求制作并递交遴选响应文件，并保证所提供的全部资料的真实性、准确性，以确保其报价对公开遴选文件做出实质性响应。</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在报价中提供不真实的材料，无论其材料是否重要，都将直接导致遴选响应文件无效，并承担由此产生的法律责任。</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响应语言和计量单位：遴选响应文件和来往函件应用简体中文书写，</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提供的支持文件、技术资料和印刷的文献可以用其他语言，但相应内容应附有中文翻译文本（经公证处公证），对不同文字文本遴选响应文件的解释发生异议的，以中文文本为准。计量单位应使用国际公制单位。</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须用人民币作为报价的货币单位。遴选响应文件的大写金额和小写金额不一致的，以大写金额为准；总价金额与按单价汇总金额不一致的，以单价金额计算结果为准；单价金额小数点有明显错位的，应以总价为准，并修改单价。</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应当对遴选响应文件进行装订，对未经装订的遴选响应文件可能发生的文件散落或缺损，由此造成的后果和责任由</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承担。</w:t>
      </w:r>
    </w:p>
    <w:p>
      <w:pPr>
        <w:numPr>
          <w:ilvl w:val="1"/>
          <w:numId w:val="4"/>
        </w:numPr>
        <w:tabs>
          <w:tab w:val="left" w:pos="709"/>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必须对遴选响应文件所提供的全部资料的真实性承担法律责任，并无条件接受采购人、政府采购代理机构及政府采购监督管理部门等对其中任何资料进行核实的要求。</w:t>
      </w:r>
    </w:p>
    <w:p>
      <w:pPr>
        <w:numPr>
          <w:ilvl w:val="1"/>
          <w:numId w:val="4"/>
        </w:numPr>
        <w:tabs>
          <w:tab w:val="left" w:pos="709"/>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如果因为</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的遴选响应文件只填写和提供了本公开遴选文件要求的部分内容和附件，或没有提供公开遴选文件中所要求的全部资料及数据，由此造成的后果和责任由</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承担。</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120" w:name="_Toc475104483"/>
      <w:bookmarkStart w:id="121" w:name="_Toc363737696"/>
      <w:bookmarkStart w:id="122" w:name="_Toc323110990"/>
      <w:r>
        <w:rPr>
          <w:rFonts w:hint="eastAsia" w:ascii="宋体" w:hAnsi="宋体" w:eastAsia="宋体" w:cs="宋体"/>
          <w:b/>
          <w:bCs/>
          <w:color w:val="auto"/>
          <w:sz w:val="24"/>
          <w:szCs w:val="24"/>
          <w:highlight w:val="none"/>
        </w:rPr>
        <w:t>公开遴选报价</w:t>
      </w:r>
      <w:bookmarkEnd w:id="120"/>
      <w:bookmarkEnd w:id="121"/>
      <w:bookmarkEnd w:id="122"/>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bookmarkStart w:id="123" w:name="_Toc322680358"/>
      <w:bookmarkStart w:id="124" w:name="_Toc320515032"/>
      <w:bookmarkStart w:id="125" w:name="_Toc315793468"/>
      <w:bookmarkStart w:id="126" w:name="_Toc323110991"/>
      <w:bookmarkStart w:id="127" w:name="_Toc320515081"/>
      <w:r>
        <w:rPr>
          <w:rFonts w:hint="eastAsia" w:ascii="Times New Roman" w:hAnsi="Times New Roman" w:eastAsia="宋体" w:cs="宋体"/>
          <w:color w:val="auto"/>
          <w:highlight w:val="none"/>
        </w:rPr>
        <w:t>供应商</w:t>
      </w:r>
      <w:r>
        <w:rPr>
          <w:rFonts w:hint="eastAsia" w:ascii="宋体" w:hAnsi="宋体" w:eastAsia="宋体" w:cs="宋体"/>
          <w:color w:val="auto"/>
          <w:highlight w:val="none"/>
          <w:lang w:eastAsia="zh-TW"/>
        </w:rPr>
        <w:t>人应按照“第</w:t>
      </w:r>
      <w:r>
        <w:rPr>
          <w:rFonts w:hint="eastAsia" w:ascii="宋体" w:hAnsi="宋体" w:eastAsia="宋体" w:cs="宋体"/>
          <w:color w:val="auto"/>
          <w:highlight w:val="none"/>
        </w:rPr>
        <w:t>三</w:t>
      </w:r>
      <w:r>
        <w:rPr>
          <w:rFonts w:hint="eastAsia" w:ascii="宋体" w:hAnsi="宋体" w:eastAsia="宋体" w:cs="宋体"/>
          <w:color w:val="auto"/>
          <w:highlight w:val="none"/>
          <w:lang w:eastAsia="zh-TW"/>
        </w:rPr>
        <w:t>章　</w:t>
      </w:r>
      <w:r>
        <w:rPr>
          <w:rFonts w:hint="eastAsia" w:ascii="宋体" w:hAnsi="宋体" w:eastAsia="宋体" w:cs="宋体"/>
          <w:color w:val="auto"/>
          <w:highlight w:val="none"/>
        </w:rPr>
        <w:t>采购人</w:t>
      </w:r>
      <w:r>
        <w:rPr>
          <w:rFonts w:hint="eastAsia" w:ascii="宋体" w:hAnsi="宋体" w:eastAsia="宋体" w:cs="宋体"/>
          <w:color w:val="auto"/>
          <w:highlight w:val="none"/>
          <w:lang w:eastAsia="zh-TW"/>
        </w:rPr>
        <w:t>需求</w:t>
      </w:r>
      <w:r>
        <w:rPr>
          <w:rFonts w:hint="eastAsia" w:ascii="宋体" w:hAnsi="宋体" w:eastAsia="宋体" w:cs="宋体"/>
          <w:color w:val="auto"/>
          <w:highlight w:val="none"/>
        </w:rPr>
        <w:t>书</w:t>
      </w:r>
      <w:r>
        <w:rPr>
          <w:rFonts w:hint="eastAsia" w:ascii="宋体" w:hAnsi="宋体" w:eastAsia="宋体" w:cs="宋体"/>
          <w:color w:val="auto"/>
          <w:highlight w:val="none"/>
          <w:lang w:eastAsia="zh-TW"/>
        </w:rPr>
        <w:t>”</w:t>
      </w:r>
      <w:r>
        <w:rPr>
          <w:rFonts w:ascii="宋体" w:hAnsi="宋体" w:eastAsia="宋体" w:cs="宋体"/>
          <w:color w:val="auto"/>
          <w:highlight w:val="none"/>
          <w:lang w:eastAsia="zh-TW"/>
        </w:rPr>
        <w:t xml:space="preserve"> </w:t>
      </w:r>
      <w:r>
        <w:rPr>
          <w:rFonts w:hint="eastAsia" w:ascii="宋体" w:hAnsi="宋体" w:eastAsia="宋体" w:cs="宋体"/>
          <w:color w:val="auto"/>
          <w:highlight w:val="none"/>
        </w:rPr>
        <w:t>中</w:t>
      </w:r>
      <w:r>
        <w:rPr>
          <w:rFonts w:hint="eastAsia" w:ascii="宋体" w:hAnsi="宋体" w:eastAsia="宋体" w:cs="宋体"/>
          <w:color w:val="auto"/>
          <w:highlight w:val="none"/>
          <w:lang w:eastAsia="zh-TW"/>
        </w:rPr>
        <w:t>采购项目</w:t>
      </w:r>
      <w:r>
        <w:rPr>
          <w:rFonts w:hint="eastAsia" w:ascii="宋体" w:hAnsi="宋体" w:eastAsia="宋体" w:cs="宋体"/>
          <w:color w:val="auto"/>
          <w:highlight w:val="none"/>
        </w:rPr>
        <w:t>服务</w:t>
      </w:r>
      <w:r>
        <w:rPr>
          <w:rFonts w:hint="eastAsia" w:ascii="宋体" w:hAnsi="宋体" w:eastAsia="宋体" w:cs="宋体"/>
          <w:color w:val="auto"/>
          <w:highlight w:val="none"/>
          <w:lang w:eastAsia="zh-TW"/>
        </w:rPr>
        <w:t>要求规定的内容、责任范围进行报价。并按《</w:t>
      </w:r>
      <w:r>
        <w:rPr>
          <w:rFonts w:hint="eastAsia" w:ascii="宋体" w:hAnsi="宋体" w:eastAsia="宋体" w:cs="宋体"/>
          <w:color w:val="auto"/>
          <w:kern w:val="0"/>
          <w:highlight w:val="none"/>
        </w:rPr>
        <w:t>公开遴选函</w:t>
      </w:r>
      <w:r>
        <w:rPr>
          <w:rFonts w:hint="eastAsia" w:ascii="宋体" w:hAnsi="宋体" w:eastAsia="宋体" w:cs="宋体"/>
          <w:color w:val="auto"/>
          <w:highlight w:val="none"/>
          <w:lang w:eastAsia="zh-TW"/>
        </w:rPr>
        <w:t>》的</w:t>
      </w:r>
      <w:r>
        <w:rPr>
          <w:rFonts w:hint="eastAsia" w:ascii="宋体" w:hAnsi="宋体" w:eastAsia="宋体" w:cs="宋体"/>
          <w:color w:val="auto"/>
          <w:highlight w:val="none"/>
        </w:rPr>
        <w:t>要求</w:t>
      </w:r>
      <w:r>
        <w:rPr>
          <w:rFonts w:hint="eastAsia" w:ascii="宋体" w:hAnsi="宋体" w:eastAsia="宋体" w:cs="宋体"/>
          <w:color w:val="auto"/>
          <w:highlight w:val="none"/>
          <w:lang w:eastAsia="zh-TW"/>
        </w:rPr>
        <w:t>报出总价和分项价格。</w:t>
      </w:r>
      <w:r>
        <w:rPr>
          <w:rFonts w:hint="eastAsia" w:ascii="宋体" w:hAnsi="宋体" w:eastAsia="宋体" w:cs="宋体"/>
          <w:color w:val="auto"/>
          <w:highlight w:val="none"/>
        </w:rPr>
        <w:t>报价</w:t>
      </w:r>
      <w:r>
        <w:rPr>
          <w:rFonts w:hint="eastAsia" w:ascii="宋体" w:hAnsi="宋体" w:eastAsia="宋体" w:cs="宋体"/>
          <w:color w:val="auto"/>
          <w:highlight w:val="none"/>
          <w:lang w:eastAsia="zh-TW"/>
        </w:rPr>
        <w:t>总价中不得包含</w:t>
      </w:r>
      <w:r>
        <w:rPr>
          <w:rFonts w:hint="eastAsia" w:ascii="宋体" w:hAnsi="宋体" w:eastAsia="宋体" w:cs="宋体"/>
          <w:color w:val="auto"/>
          <w:highlight w:val="none"/>
        </w:rPr>
        <w:t>遴选文件</w:t>
      </w:r>
      <w:r>
        <w:rPr>
          <w:rFonts w:hint="eastAsia" w:ascii="宋体" w:hAnsi="宋体" w:eastAsia="宋体" w:cs="宋体"/>
          <w:color w:val="auto"/>
          <w:highlight w:val="none"/>
          <w:lang w:eastAsia="zh-TW"/>
        </w:rPr>
        <w:t>要求以外的内容，否则，在</w:t>
      </w:r>
      <w:r>
        <w:rPr>
          <w:rFonts w:hint="eastAsia" w:ascii="宋体" w:hAnsi="宋体" w:eastAsia="宋体" w:cs="宋体"/>
          <w:color w:val="auto"/>
          <w:highlight w:val="none"/>
        </w:rPr>
        <w:t>评审</w:t>
      </w:r>
      <w:r>
        <w:rPr>
          <w:rFonts w:hint="eastAsia" w:ascii="宋体" w:hAnsi="宋体" w:eastAsia="宋体" w:cs="宋体"/>
          <w:color w:val="auto"/>
          <w:highlight w:val="none"/>
          <w:lang w:eastAsia="zh-TW"/>
        </w:rPr>
        <w:t>时不予核减。</w:t>
      </w:r>
      <w:r>
        <w:rPr>
          <w:rFonts w:hint="eastAsia" w:ascii="宋体" w:hAnsi="宋体" w:eastAsia="宋体" w:cs="宋体"/>
          <w:color w:val="auto"/>
          <w:highlight w:val="none"/>
        </w:rPr>
        <w:t>响应报价</w:t>
      </w:r>
      <w:r>
        <w:rPr>
          <w:rFonts w:hint="eastAsia" w:ascii="宋体" w:hAnsi="宋体" w:eastAsia="宋体" w:cs="宋体"/>
          <w:color w:val="auto"/>
          <w:highlight w:val="none"/>
          <w:lang w:eastAsia="zh-TW"/>
        </w:rPr>
        <w:t>总价中也不得缺漏</w:t>
      </w:r>
      <w:r>
        <w:rPr>
          <w:rFonts w:hint="eastAsia" w:ascii="宋体" w:hAnsi="宋体" w:eastAsia="宋体" w:cs="宋体"/>
          <w:color w:val="auto"/>
          <w:highlight w:val="none"/>
        </w:rPr>
        <w:t>遴选文件</w:t>
      </w:r>
      <w:r>
        <w:rPr>
          <w:rFonts w:hint="eastAsia" w:ascii="宋体" w:hAnsi="宋体" w:eastAsia="宋体" w:cs="宋体"/>
          <w:color w:val="auto"/>
          <w:highlight w:val="none"/>
          <w:lang w:eastAsia="zh-TW"/>
        </w:rPr>
        <w:t>所要求的内容，否则，被视为</w:t>
      </w:r>
      <w:r>
        <w:rPr>
          <w:rFonts w:hint="eastAsia" w:ascii="宋体" w:hAnsi="宋体" w:eastAsia="宋体" w:cs="宋体"/>
          <w:color w:val="auto"/>
          <w:highlight w:val="none"/>
        </w:rPr>
        <w:t>包含在报价中</w:t>
      </w:r>
      <w:r>
        <w:rPr>
          <w:rFonts w:hint="eastAsia" w:ascii="宋体" w:hAnsi="宋体" w:eastAsia="宋体" w:cs="宋体"/>
          <w:color w:val="auto"/>
          <w:highlight w:val="none"/>
          <w:lang w:eastAsia="zh-TW"/>
        </w:rPr>
        <w:t>。</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的报价明显低于其他响应报价，使得其响应报价可能低于其个别成本的，有可能影响服务质量和不能诚信履约的，应当要求其在评审现场合理的时间内提供书面说明，必要时提交相关证明材料；供应商不能证明其报价合理性的，评审小组应当将其作为无效投标处理。</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报价明细表</w:t>
      </w:r>
      <w:r>
        <w:rPr>
          <w:rFonts w:hint="eastAsia" w:ascii="宋体" w:hAnsi="宋体" w:eastAsia="宋体" w:cs="宋体"/>
          <w:color w:val="auto"/>
          <w:highlight w:val="none"/>
        </w:rPr>
        <w:t>内容应包含：</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公开遴选文件要求全部服务所需的费用；</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报价包含履行合同所有相关服务所需的费用；</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报价均应包含所有的税费；</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其他一切隐含及不可预见的费用；</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rPr>
        <w:t>报价为本次采购内容的总价包干响应报价即为合同价，不得在成交后提出任何增加费用要求，</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在报价时应充分考虑相关风险性因素。</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在获得成交资格并签署合同后，服务期限内出现的任何遗漏，均由成交供应商负责，采购人将不再支付任何费用。</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对于报价免费的项目须标明“免费”。</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lang w:eastAsia="zh-TW"/>
        </w:rPr>
        <w:t>所报的</w:t>
      </w:r>
      <w:r>
        <w:rPr>
          <w:rFonts w:hint="eastAsia" w:ascii="宋体" w:hAnsi="宋体" w:eastAsia="宋体" w:cs="宋体"/>
          <w:color w:val="auto"/>
          <w:highlight w:val="none"/>
        </w:rPr>
        <w:t>响应报</w:t>
      </w:r>
      <w:r>
        <w:rPr>
          <w:rFonts w:hint="eastAsia" w:ascii="宋体" w:hAnsi="宋体" w:eastAsia="宋体" w:cs="宋体"/>
          <w:color w:val="auto"/>
          <w:highlight w:val="none"/>
          <w:lang w:eastAsia="zh-TW"/>
        </w:rPr>
        <w:t>价在合同执行过程中是固定不变的</w:t>
      </w:r>
      <w:r>
        <w:rPr>
          <w:rFonts w:hint="eastAsia" w:ascii="宋体" w:hAnsi="宋体" w:eastAsia="宋体" w:cs="宋体"/>
          <w:color w:val="auto"/>
          <w:highlight w:val="none"/>
        </w:rPr>
        <w:t>，</w:t>
      </w:r>
      <w:r>
        <w:rPr>
          <w:rFonts w:hint="eastAsia" w:ascii="宋体" w:hAnsi="宋体" w:eastAsia="宋体" w:cs="宋体"/>
          <w:color w:val="auto"/>
          <w:highlight w:val="none"/>
          <w:lang w:eastAsia="zh-TW"/>
        </w:rPr>
        <w:t>不得以任何理由予以变更。任何包含价格调整要求的</w:t>
      </w:r>
      <w:r>
        <w:rPr>
          <w:rFonts w:hint="eastAsia" w:ascii="宋体" w:hAnsi="宋体" w:eastAsia="宋体" w:cs="宋体"/>
          <w:color w:val="auto"/>
          <w:highlight w:val="none"/>
        </w:rPr>
        <w:t>报价</w:t>
      </w:r>
      <w:r>
        <w:rPr>
          <w:rFonts w:hint="eastAsia" w:ascii="宋体" w:hAnsi="宋体" w:eastAsia="宋体" w:cs="宋体"/>
          <w:color w:val="auto"/>
          <w:highlight w:val="none"/>
          <w:lang w:eastAsia="zh-TW"/>
        </w:rPr>
        <w:t>被认为是非实质性响应而予以拒绝。</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bookmarkStart w:id="128" w:name="_Toc363737697"/>
      <w:bookmarkStart w:id="129" w:name="_Toc475104484"/>
      <w:r>
        <w:rPr>
          <w:rFonts w:hint="eastAsia" w:ascii="宋体" w:hAnsi="宋体" w:eastAsia="宋体" w:cs="宋体"/>
          <w:color w:val="auto"/>
          <w:highlight w:val="none"/>
        </w:rPr>
        <w:t>除遴选文件中另有规定外，本次采购不接受选择性报价及备选方案。每次报价固定唯一，且没有超采购项目预算金额。</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证明供应商合格和资格的文件</w:t>
      </w:r>
      <w:bookmarkEnd w:id="123"/>
      <w:bookmarkEnd w:id="124"/>
      <w:bookmarkEnd w:id="125"/>
      <w:bookmarkEnd w:id="126"/>
      <w:bookmarkEnd w:id="127"/>
      <w:bookmarkEnd w:id="128"/>
      <w:bookmarkEnd w:id="129"/>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应提交证明其有资格参加遴选响应和获得成交资格后有能力履行合同的文件，并作为其遴选响应文件的一部分。如果</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为联合体，应提交联合体各方的资格证明文件、联合体协议并注明主体方及各方拟承担的工作和责任。否则，将导致其响应无效。</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供应商提交的资格证明文件应证明其满足本须知定义的合格</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130" w:name="_Toc320515033"/>
      <w:bookmarkStart w:id="131" w:name="_Toc363737698"/>
      <w:bookmarkStart w:id="132" w:name="_Toc333236642"/>
      <w:bookmarkStart w:id="133" w:name="_Toc475104485"/>
      <w:bookmarkStart w:id="134" w:name="_Toc315793469"/>
      <w:bookmarkStart w:id="135" w:name="_Toc320515082"/>
      <w:bookmarkStart w:id="136" w:name="_Toc323110993"/>
      <w:r>
        <w:rPr>
          <w:rFonts w:hint="eastAsia" w:ascii="宋体" w:hAnsi="宋体" w:eastAsia="宋体" w:cs="宋体"/>
          <w:b/>
          <w:bCs/>
          <w:color w:val="auto"/>
          <w:sz w:val="24"/>
          <w:szCs w:val="24"/>
          <w:highlight w:val="none"/>
        </w:rPr>
        <w:t>证明服务的合格性和符合遴选文件规定的文件</w:t>
      </w:r>
      <w:bookmarkEnd w:id="130"/>
      <w:bookmarkEnd w:id="131"/>
      <w:bookmarkEnd w:id="132"/>
      <w:bookmarkEnd w:id="133"/>
      <w:bookmarkEnd w:id="134"/>
      <w:bookmarkEnd w:id="135"/>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供应商应提交证明文件</w:t>
      </w:r>
      <w:r>
        <w:rPr>
          <w:rFonts w:hint="eastAsia" w:ascii="宋体" w:hAnsi="宋体" w:eastAsia="宋体" w:cs="宋体"/>
          <w:color w:val="auto"/>
          <w:highlight w:val="none"/>
        </w:rPr>
        <w:t>，</w:t>
      </w:r>
      <w:r>
        <w:rPr>
          <w:rFonts w:hint="eastAsia" w:ascii="宋体" w:hAnsi="宋体" w:eastAsia="宋体" w:cs="宋体"/>
          <w:color w:val="auto"/>
          <w:highlight w:val="none"/>
          <w:lang w:eastAsia="zh-TW"/>
        </w:rPr>
        <w:t>证明其拟</w:t>
      </w:r>
      <w:r>
        <w:rPr>
          <w:rFonts w:hint="eastAsia" w:ascii="宋体" w:hAnsi="宋体" w:eastAsia="宋体" w:cs="宋体"/>
          <w:color w:val="auto"/>
          <w:highlight w:val="none"/>
        </w:rPr>
        <w:t>报价</w:t>
      </w:r>
      <w:r>
        <w:rPr>
          <w:rFonts w:hint="eastAsia" w:ascii="宋体" w:hAnsi="宋体" w:eastAsia="宋体" w:cs="宋体"/>
          <w:color w:val="auto"/>
          <w:highlight w:val="none"/>
          <w:lang w:eastAsia="zh-TW"/>
        </w:rPr>
        <w:t>的服务的合格性符合</w:t>
      </w: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规定。该证明文件作为</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的一部分。</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证明服务与</w:t>
      </w: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的要求相一致的文件，可以是文字资料、图纸和数据，它包括：</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服务主要内容、方案、质量、标准指标等的详细说明；</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对照公开遴选文件服务内容与要求，逐条说明所提供服务已对遴选文件的服务内容与要求作出了实质性的响应，并申明与服务内容与要求条文的偏差和例外。特别对有具体参数要求的指标，</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须提供所投服务的具体参数值。</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在阐述时应注意公开遴选文件的服务内容、要求和标准，</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在报价中要实质上满足或超过公开遴选文件的要求。</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137" w:name="_Toc363737699"/>
      <w:r>
        <w:rPr>
          <w:rFonts w:hint="eastAsia" w:ascii="宋体" w:hAnsi="宋体" w:eastAsia="宋体" w:cs="宋体"/>
          <w:b/>
          <w:bCs/>
          <w:color w:val="auto"/>
          <w:sz w:val="24"/>
          <w:szCs w:val="24"/>
          <w:highlight w:val="none"/>
        </w:rPr>
        <w:t>遴选保证金</w:t>
      </w:r>
      <w:bookmarkEnd w:id="137"/>
    </w:p>
    <w:bookmarkEnd w:id="136"/>
    <w:p>
      <w:pPr>
        <w:numPr>
          <w:ilvl w:val="1"/>
          <w:numId w:val="4"/>
        </w:numPr>
        <w:autoSpaceDE w:val="0"/>
        <w:autoSpaceDN w:val="0"/>
        <w:adjustRightInd w:val="0"/>
        <w:snapToGrid w:val="0"/>
        <w:spacing w:line="360" w:lineRule="auto"/>
        <w:outlineLvl w:val="0"/>
        <w:rPr>
          <w:rFonts w:ascii="宋体" w:hAnsi="宋体" w:eastAsia="宋体" w:cs="Times New Roman"/>
          <w:color w:val="auto"/>
          <w:highlight w:val="none"/>
        </w:rPr>
      </w:pPr>
      <w:bookmarkStart w:id="138" w:name="_Toc363737700"/>
      <w:bookmarkStart w:id="139" w:name="_Toc394926941"/>
      <w:bookmarkStart w:id="140" w:name="_Toc475104487"/>
      <w:bookmarkStart w:id="141" w:name="_Toc315793471"/>
      <w:bookmarkStart w:id="142" w:name="_Toc351550769"/>
      <w:bookmarkStart w:id="143" w:name="_Toc320515084"/>
      <w:bookmarkStart w:id="144" w:name="_Toc320515035"/>
      <w:bookmarkStart w:id="145" w:name="_Toc322680361"/>
      <w:bookmarkStart w:id="146" w:name="_Toc323110994"/>
      <w:r>
        <w:rPr>
          <w:rFonts w:hint="eastAsia" w:ascii="宋体" w:hAnsi="宋体" w:eastAsia="宋体" w:cs="宋体"/>
          <w:color w:val="auto"/>
          <w:highlight w:val="none"/>
        </w:rPr>
        <w:t>本项目不收取遴选保证金</w:t>
      </w:r>
    </w:p>
    <w:bookmarkEnd w:id="138"/>
    <w:bookmarkEnd w:id="139"/>
    <w:bookmarkEnd w:id="140"/>
    <w:bookmarkEnd w:id="141"/>
    <w:bookmarkEnd w:id="142"/>
    <w:bookmarkEnd w:id="143"/>
    <w:bookmarkEnd w:id="144"/>
    <w:bookmarkEnd w:id="145"/>
    <w:bookmarkEnd w:id="146"/>
    <w:p>
      <w:pPr>
        <w:numPr>
          <w:ilvl w:val="1"/>
          <w:numId w:val="4"/>
        </w:numPr>
        <w:autoSpaceDE w:val="0"/>
        <w:autoSpaceDN w:val="0"/>
        <w:adjustRightInd w:val="0"/>
        <w:snapToGrid w:val="0"/>
        <w:spacing w:line="360" w:lineRule="auto"/>
        <w:outlineLvl w:val="0"/>
        <w:rPr>
          <w:rFonts w:ascii="宋体" w:hAnsi="宋体" w:eastAsia="宋体" w:cs="Times New Roman"/>
          <w:color w:val="auto"/>
          <w:highlight w:val="none"/>
        </w:rPr>
      </w:pPr>
      <w:bookmarkStart w:id="147" w:name="_Toc475104493"/>
      <w:r>
        <w:rPr>
          <w:rFonts w:hint="eastAsia" w:ascii="宋体" w:hAnsi="宋体" w:eastAsia="宋体" w:cs="宋体"/>
          <w:color w:val="auto"/>
          <w:highlight w:val="none"/>
        </w:rPr>
        <w:t>专业担保机构的选择。</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必须选定有合法资质的担保公司任一家作为专业担保机构。</w:t>
      </w:r>
    </w:p>
    <w:bookmarkEnd w:id="147"/>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响应有效期</w:t>
      </w:r>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bookmarkStart w:id="148" w:name="_Toc315793472"/>
      <w:bookmarkStart w:id="149" w:name="_Toc475104494"/>
      <w:bookmarkStart w:id="150" w:name="_Toc320515036"/>
      <w:bookmarkStart w:id="151" w:name="_Toc320515085"/>
      <w:bookmarkStart w:id="152" w:name="_Toc363737701"/>
      <w:bookmarkStart w:id="153" w:name="_Toc320515086"/>
      <w:bookmarkStart w:id="154" w:name="_Toc315793473"/>
      <w:bookmarkStart w:id="155" w:name="_Toc323110996"/>
      <w:bookmarkStart w:id="156" w:name="_Toc320515037"/>
      <w:bookmarkStart w:id="157" w:name="_Toc322680363"/>
      <w:r>
        <w:rPr>
          <w:rFonts w:hint="eastAsia" w:ascii="宋体" w:hAnsi="宋体" w:eastAsia="宋体" w:cs="宋体"/>
          <w:color w:val="auto"/>
          <w:highlight w:val="none"/>
        </w:rPr>
        <w:t>从遴选响应文件递交截止日起，响应有效期为</w:t>
      </w:r>
      <w:r>
        <w:rPr>
          <w:rFonts w:ascii="宋体" w:hAnsi="宋体" w:eastAsia="宋体" w:cs="宋体"/>
          <w:color w:val="auto"/>
          <w:sz w:val="2"/>
          <w:szCs w:val="2"/>
          <w:highlight w:val="none"/>
        </w:rPr>
        <w:t>UU</w:t>
      </w:r>
      <w:r>
        <w:rPr>
          <w:rFonts w:ascii="宋体" w:hAnsi="宋体" w:eastAsia="宋体" w:cs="宋体"/>
          <w:color w:val="auto"/>
          <w:highlight w:val="none"/>
          <w:u w:val="single"/>
        </w:rPr>
        <w:t>90</w:t>
      </w:r>
      <w:r>
        <w:rPr>
          <w:rFonts w:ascii="宋体" w:hAnsi="宋体" w:eastAsia="宋体" w:cs="宋体"/>
          <w:color w:val="auto"/>
          <w:sz w:val="2"/>
          <w:szCs w:val="2"/>
          <w:highlight w:val="none"/>
        </w:rPr>
        <w:t>UU</w:t>
      </w:r>
      <w:r>
        <w:rPr>
          <w:rFonts w:hint="eastAsia" w:ascii="宋体" w:hAnsi="宋体" w:eastAsia="宋体" w:cs="宋体"/>
          <w:color w:val="auto"/>
          <w:highlight w:val="none"/>
        </w:rPr>
        <w:t>天（日历天）。响应有效期不足的响应将被视为非实质性响应，视为无效响应。</w:t>
      </w:r>
    </w:p>
    <w:p>
      <w:pPr>
        <w:numPr>
          <w:ilvl w:val="1"/>
          <w:numId w:val="4"/>
        </w:numPr>
        <w:autoSpaceDE w:val="0"/>
        <w:autoSpaceDN w:val="0"/>
        <w:adjustRightInd w:val="0"/>
        <w:snapToGrid w:val="0"/>
        <w:spacing w:line="360" w:lineRule="auto"/>
        <w:jc w:val="left"/>
        <w:rPr>
          <w:rFonts w:ascii="宋体" w:hAnsi="宋体" w:eastAsia="宋体" w:cs="Times New Roman"/>
          <w:b/>
          <w:bCs/>
          <w:color w:val="auto"/>
          <w:sz w:val="24"/>
          <w:szCs w:val="24"/>
          <w:highlight w:val="none"/>
        </w:rPr>
      </w:pPr>
      <w:r>
        <w:rPr>
          <w:rFonts w:hint="eastAsia" w:ascii="宋体" w:hAnsi="宋体" w:eastAsia="宋体" w:cs="宋体"/>
          <w:color w:val="auto"/>
          <w:highlight w:val="none"/>
        </w:rPr>
        <w:t>特殊情况下，在原响应有效期截止之前，政府采购代理机构可要求</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延长响应有效期。这种要求与答复均应以书面形式提交。</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可拒绝政府采购代理机构的这种要求，但其遴选响应在原响应有效期期满后将不再有效。同意延长响应有效期的</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将不会被要求和允许修正其遴选响应</w:t>
      </w:r>
      <w:r>
        <w:rPr>
          <w:rFonts w:hint="eastAsia" w:ascii="宋体" w:hAnsi="宋体" w:eastAsia="宋体" w:cs="宋体"/>
          <w:color w:val="auto"/>
          <w:highlight w:val="none"/>
          <w:lang w:eastAsia="zh-TW"/>
        </w:rPr>
        <w:t>。</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遴选响应文件的式样和签署</w:t>
      </w:r>
      <w:bookmarkEnd w:id="148"/>
      <w:bookmarkEnd w:id="149"/>
      <w:bookmarkEnd w:id="150"/>
      <w:bookmarkEnd w:id="151"/>
      <w:bookmarkEnd w:id="152"/>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lang w:eastAsia="zh-TW"/>
        </w:rPr>
        <w:t>全部</w:t>
      </w:r>
      <w:r>
        <w:rPr>
          <w:rFonts w:hint="eastAsia" w:ascii="宋体" w:hAnsi="宋体" w:eastAsia="宋体" w:cs="宋体"/>
          <w:color w:val="auto"/>
          <w:highlight w:val="none"/>
        </w:rPr>
        <w:t>遴选响应文件数量参看《公开遴选须知一览表》</w:t>
      </w:r>
      <w:r>
        <w:rPr>
          <w:rFonts w:hint="eastAsia" w:ascii="宋体" w:hAnsi="宋体" w:eastAsia="宋体" w:cs="宋体"/>
          <w:color w:val="auto"/>
          <w:highlight w:val="none"/>
          <w:lang w:eastAsia="zh-TW"/>
        </w:rPr>
        <w:t>，所有</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应用</w:t>
      </w:r>
      <w:r>
        <w:rPr>
          <w:rFonts w:ascii="宋体" w:hAnsi="宋体" w:eastAsia="宋体" w:cs="宋体"/>
          <w:color w:val="auto"/>
          <w:highlight w:val="none"/>
          <w:lang w:eastAsia="zh-TW"/>
        </w:rPr>
        <w:t>A4</w:t>
      </w:r>
      <w:r>
        <w:rPr>
          <w:rFonts w:hint="eastAsia" w:ascii="宋体" w:hAnsi="宋体" w:eastAsia="宋体" w:cs="宋体"/>
          <w:color w:val="auto"/>
          <w:highlight w:val="none"/>
          <w:lang w:eastAsia="zh-TW"/>
        </w:rPr>
        <w:t>规格纸打印装订成册</w:t>
      </w:r>
      <w:r>
        <w:rPr>
          <w:rFonts w:hint="eastAsia" w:ascii="宋体" w:hAnsi="宋体" w:eastAsia="宋体" w:cs="宋体"/>
          <w:color w:val="auto"/>
          <w:highlight w:val="none"/>
        </w:rPr>
        <w:t>。于封面注明“正本”和“副本”。如果正本与副本不符，应以正本为准。所有不完整的遴选响应将被拒绝。无论遴选结果如何，</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的全部遴选响应文件均不退回。</w:t>
      </w:r>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的签署：</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遴选响应文件的正本需打印，遴选响应文件要求签名的由法定代表人或经其正式授权的代表签字，</w:t>
      </w:r>
      <w:r>
        <w:rPr>
          <w:rFonts w:ascii="宋体" w:hAnsi="宋体" w:eastAsia="宋体" w:cs="宋体"/>
          <w:color w:val="auto"/>
          <w:sz w:val="2"/>
          <w:szCs w:val="2"/>
          <w:highlight w:val="none"/>
        </w:rPr>
        <w:t>UU</w:t>
      </w:r>
      <w:r>
        <w:rPr>
          <w:rFonts w:hint="eastAsia" w:ascii="宋体" w:hAnsi="宋体" w:eastAsia="宋体" w:cs="宋体"/>
          <w:b/>
          <w:bCs/>
          <w:color w:val="auto"/>
          <w:highlight w:val="none"/>
          <w:u w:val="single"/>
        </w:rPr>
        <w:t>遴选响应文件正本每一页均要求加盖供应商公章</w:t>
      </w:r>
      <w:r>
        <w:rPr>
          <w:rFonts w:ascii="宋体" w:hAnsi="宋体" w:eastAsia="宋体" w:cs="宋体"/>
          <w:color w:val="auto"/>
          <w:sz w:val="2"/>
          <w:szCs w:val="2"/>
          <w:highlight w:val="none"/>
        </w:rPr>
        <w:t>UU</w:t>
      </w:r>
      <w:r>
        <w:rPr>
          <w:rFonts w:hint="eastAsia" w:ascii="宋体" w:hAnsi="宋体" w:eastAsia="宋体" w:cs="宋体"/>
          <w:color w:val="auto"/>
          <w:highlight w:val="none"/>
        </w:rPr>
        <w:t>，副本可以复印，与正本具有同等法律效力。授权代表须将以书面形式出具的《法定代表人授权委托书》附在遴选响应文件中。</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遴选响应文件中的任何重要的插字、涂改、增删和修正，必须由法定代表人或经其正式授权的代表在旁边签章或签字才有效。</w:t>
      </w:r>
    </w:p>
    <w:p>
      <w:pPr>
        <w:numPr>
          <w:ilvl w:val="0"/>
          <w:numId w:val="3"/>
        </w:numPr>
        <w:autoSpaceDE w:val="0"/>
        <w:autoSpaceDN w:val="0"/>
        <w:adjustRightInd w:val="0"/>
        <w:snapToGrid w:val="0"/>
        <w:spacing w:before="240" w:beforeLines="100" w:after="240" w:afterLines="100" w:line="360" w:lineRule="auto"/>
        <w:ind w:left="601" w:hanging="601"/>
        <w:jc w:val="center"/>
        <w:outlineLvl w:val="0"/>
        <w:rPr>
          <w:rFonts w:ascii="宋体" w:hAnsi="宋体" w:eastAsia="宋体" w:cs="Times New Roman"/>
          <w:b/>
          <w:bCs/>
          <w:color w:val="auto"/>
          <w:sz w:val="28"/>
          <w:szCs w:val="28"/>
          <w:highlight w:val="none"/>
          <w:lang w:eastAsia="zh-TW"/>
        </w:rPr>
      </w:pPr>
      <w:bookmarkStart w:id="158" w:name="_Toc363737702"/>
      <w:bookmarkStart w:id="159" w:name="_Toc475104495"/>
      <w:r>
        <w:rPr>
          <w:rFonts w:hint="eastAsia" w:ascii="宋体" w:hAnsi="宋体" w:eastAsia="宋体" w:cs="宋体"/>
          <w:b/>
          <w:bCs/>
          <w:color w:val="auto"/>
          <w:sz w:val="28"/>
          <w:szCs w:val="28"/>
          <w:highlight w:val="none"/>
        </w:rPr>
        <w:t>遴选响应文件</w:t>
      </w:r>
      <w:r>
        <w:rPr>
          <w:rFonts w:hint="eastAsia" w:ascii="宋体" w:hAnsi="宋体" w:eastAsia="宋体" w:cs="宋体"/>
          <w:b/>
          <w:bCs/>
          <w:color w:val="auto"/>
          <w:sz w:val="28"/>
          <w:szCs w:val="28"/>
          <w:highlight w:val="none"/>
          <w:lang w:eastAsia="zh-TW"/>
        </w:rPr>
        <w:t>的递交</w:t>
      </w:r>
      <w:bookmarkEnd w:id="153"/>
      <w:bookmarkEnd w:id="154"/>
      <w:bookmarkEnd w:id="155"/>
      <w:bookmarkEnd w:id="156"/>
      <w:bookmarkEnd w:id="157"/>
      <w:bookmarkEnd w:id="158"/>
      <w:bookmarkEnd w:id="159"/>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160" w:name="_Toc475104496"/>
      <w:bookmarkStart w:id="161" w:name="_Toc363737703"/>
      <w:bookmarkStart w:id="162" w:name="_Toc315793474"/>
      <w:bookmarkStart w:id="163" w:name="_Toc320515038"/>
      <w:bookmarkStart w:id="164" w:name="_Toc320515087"/>
      <w:r>
        <w:rPr>
          <w:rFonts w:hint="eastAsia" w:ascii="宋体" w:hAnsi="宋体" w:eastAsia="宋体" w:cs="宋体"/>
          <w:b/>
          <w:bCs/>
          <w:color w:val="auto"/>
          <w:sz w:val="24"/>
          <w:szCs w:val="24"/>
          <w:highlight w:val="none"/>
        </w:rPr>
        <w:t>遴选响应文件的密封和标记</w:t>
      </w:r>
      <w:bookmarkEnd w:id="160"/>
      <w:bookmarkEnd w:id="161"/>
      <w:bookmarkEnd w:id="162"/>
      <w:bookmarkEnd w:id="163"/>
      <w:bookmarkEnd w:id="164"/>
    </w:p>
    <w:p>
      <w:pPr>
        <w:numPr>
          <w:ilvl w:val="1"/>
          <w:numId w:val="4"/>
        </w:numPr>
        <w:autoSpaceDE w:val="0"/>
        <w:autoSpaceDN w:val="0"/>
        <w:adjustRightInd w:val="0"/>
        <w:snapToGrid w:val="0"/>
        <w:spacing w:line="360" w:lineRule="auto"/>
        <w:rPr>
          <w:rFonts w:ascii="宋体" w:hAnsi="宋体" w:eastAsia="宋体" w:cs="Times New Roman"/>
          <w:b/>
          <w:bCs/>
          <w:dstrike/>
          <w:color w:val="auto"/>
          <w:highlight w:val="none"/>
        </w:rPr>
      </w:pPr>
      <w:r>
        <w:rPr>
          <w:rFonts w:hint="eastAsia" w:ascii="宋体" w:hAnsi="宋体" w:eastAsia="宋体" w:cs="宋体"/>
          <w:color w:val="auto"/>
          <w:highlight w:val="none"/>
        </w:rPr>
        <w:t>报价信封的密封和标记：</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b/>
          <w:bCs/>
          <w:dstrike/>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lang w:eastAsia="zh-TW"/>
        </w:rPr>
        <w:t>应将</w:t>
      </w:r>
      <w:r>
        <w:rPr>
          <w:rFonts w:hint="eastAsia" w:ascii="宋体" w:hAnsi="宋体" w:eastAsia="宋体" w:cs="宋体"/>
          <w:color w:val="auto"/>
          <w:kern w:val="0"/>
          <w:highlight w:val="none"/>
        </w:rPr>
        <w:t>公开遴选函</w:t>
      </w:r>
      <w:r>
        <w:rPr>
          <w:rFonts w:hint="eastAsia" w:ascii="宋体" w:hAnsi="宋体" w:eastAsia="宋体" w:cs="宋体"/>
          <w:color w:val="auto"/>
          <w:highlight w:val="none"/>
        </w:rPr>
        <w:t>和电子文件</w:t>
      </w:r>
      <w:r>
        <w:rPr>
          <w:rFonts w:hint="eastAsia" w:ascii="宋体" w:hAnsi="宋体" w:eastAsia="宋体" w:cs="宋体"/>
          <w:color w:val="auto"/>
          <w:highlight w:val="none"/>
          <w:lang w:eastAsia="zh-TW"/>
        </w:rPr>
        <w:t>单独</w:t>
      </w:r>
      <w:r>
        <w:rPr>
          <w:rFonts w:hint="eastAsia" w:ascii="宋体" w:hAnsi="宋体" w:eastAsia="宋体" w:cs="宋体"/>
          <w:color w:val="auto"/>
          <w:highlight w:val="none"/>
        </w:rPr>
        <w:t>一起</w:t>
      </w:r>
      <w:r>
        <w:rPr>
          <w:rFonts w:hint="eastAsia" w:ascii="宋体" w:hAnsi="宋体" w:eastAsia="宋体" w:cs="宋体"/>
          <w:color w:val="auto"/>
          <w:highlight w:val="none"/>
          <w:lang w:eastAsia="zh-TW"/>
        </w:rPr>
        <w:t>密封提交</w:t>
      </w:r>
      <w:r>
        <w:rPr>
          <w:rFonts w:hint="eastAsia" w:ascii="宋体" w:hAnsi="宋体" w:eastAsia="宋体" w:cs="宋体"/>
          <w:color w:val="auto"/>
          <w:highlight w:val="none"/>
        </w:rPr>
        <w:t>，</w:t>
      </w:r>
      <w:r>
        <w:rPr>
          <w:rFonts w:hint="eastAsia" w:ascii="宋体" w:hAnsi="宋体" w:eastAsia="宋体" w:cs="宋体"/>
          <w:color w:val="auto"/>
          <w:highlight w:val="none"/>
          <w:lang w:eastAsia="zh-TW"/>
        </w:rPr>
        <w:t>并在信封上标明</w:t>
      </w:r>
      <w:r>
        <w:rPr>
          <w:rFonts w:hint="eastAsia" w:ascii="宋体" w:hAnsi="宋体" w:eastAsia="宋体" w:cs="宋体"/>
          <w:color w:val="auto"/>
          <w:highlight w:val="none"/>
        </w:rPr>
        <w:t>“报价信封”的</w:t>
      </w:r>
      <w:r>
        <w:rPr>
          <w:rFonts w:hint="eastAsia" w:ascii="宋体" w:hAnsi="宋体" w:eastAsia="宋体" w:cs="宋体"/>
          <w:color w:val="auto"/>
          <w:highlight w:val="none"/>
          <w:lang w:eastAsia="zh-TW"/>
        </w:rPr>
        <w:t>字样。</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遴选响应文件递交及封装：</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所有遴选响应文件及样板（如有）应在遴选响应文件递交截止时间前送达遴选响应文件递交地点（时间及地点以第一章公开遴选邀请为准），并当面交予采购代理机构专责人员，采购代理机构将拒绝以下情况之一的遴选响应文件：</w:t>
      </w:r>
    </w:p>
    <w:p>
      <w:pPr>
        <w:tabs>
          <w:tab w:val="left" w:pos="851"/>
        </w:tabs>
        <w:autoSpaceDE w:val="0"/>
        <w:autoSpaceDN w:val="0"/>
        <w:adjustRightInd w:val="0"/>
        <w:snapToGrid w:val="0"/>
        <w:spacing w:line="360" w:lineRule="auto"/>
        <w:ind w:firstLine="630" w:firstLineChars="30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1</w:t>
      </w:r>
      <w:r>
        <w:rPr>
          <w:rFonts w:hint="eastAsia" w:ascii="宋体" w:hAnsi="宋体" w:eastAsia="宋体" w:cs="宋体"/>
          <w:color w:val="auto"/>
          <w:highlight w:val="none"/>
        </w:rPr>
        <w:t>）迟于遴选响应文件递交截止时间递交的；</w:t>
      </w:r>
    </w:p>
    <w:p>
      <w:pPr>
        <w:tabs>
          <w:tab w:val="left" w:pos="851"/>
        </w:tabs>
        <w:autoSpaceDE w:val="0"/>
        <w:autoSpaceDN w:val="0"/>
        <w:adjustRightInd w:val="0"/>
        <w:snapToGrid w:val="0"/>
        <w:spacing w:line="360" w:lineRule="auto"/>
        <w:ind w:firstLine="630" w:firstLineChars="30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）以电报、电话、电传、传真或邮递形式递交的；</w:t>
      </w:r>
    </w:p>
    <w:p>
      <w:pPr>
        <w:tabs>
          <w:tab w:val="left" w:pos="851"/>
        </w:tabs>
        <w:autoSpaceDE w:val="0"/>
        <w:autoSpaceDN w:val="0"/>
        <w:adjustRightInd w:val="0"/>
        <w:snapToGrid w:val="0"/>
        <w:spacing w:line="360" w:lineRule="auto"/>
        <w:ind w:firstLine="630" w:firstLineChars="30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3</w:t>
      </w:r>
      <w:r>
        <w:rPr>
          <w:rFonts w:hint="eastAsia" w:ascii="宋体" w:hAnsi="宋体" w:eastAsia="宋体" w:cs="宋体"/>
          <w:color w:val="auto"/>
          <w:highlight w:val="none"/>
        </w:rPr>
        <w:t>）密封不严、册装不整的。</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正本单独封装，副本全部一起封装，报价信封单独封装，封套表面标明</w:t>
      </w:r>
      <w:r>
        <w:rPr>
          <w:rFonts w:ascii="宋体" w:hAnsi="宋体" w:eastAsia="宋体" w:cs="宋体"/>
          <w:color w:val="auto"/>
          <w:highlight w:val="none"/>
        </w:rPr>
        <w:t xml:space="preserve"> </w:t>
      </w:r>
      <w:r>
        <w:rPr>
          <w:rFonts w:hint="eastAsia" w:ascii="宋体" w:hAnsi="宋体" w:eastAsia="宋体" w:cs="宋体"/>
          <w:color w:val="auto"/>
          <w:highlight w:val="none"/>
        </w:rPr>
        <w:t>“正本”、“副本”或“报价信封”字样。在每一封套上按以下顺序标明如下字样，注明公开遴选邀请中指明的项目名称、项目编号和“在</w:t>
      </w:r>
      <w:r>
        <w:rPr>
          <w:rFonts w:ascii="宋体" w:hAnsi="宋体" w:eastAsia="宋体" w:cs="宋体"/>
          <w:color w:val="auto"/>
          <w:highlight w:val="none"/>
        </w:rPr>
        <w:t>(</w:t>
      </w:r>
      <w:r>
        <w:rPr>
          <w:rFonts w:hint="eastAsia" w:ascii="宋体" w:hAnsi="宋体" w:eastAsia="宋体" w:cs="宋体"/>
          <w:color w:val="auto"/>
          <w:highlight w:val="none"/>
        </w:rPr>
        <w:t>公开遴选文件中规定的遴选响应文件递交截止时间</w:t>
      </w:r>
      <w:r>
        <w:rPr>
          <w:rFonts w:ascii="宋体" w:hAnsi="宋体" w:eastAsia="宋体" w:cs="宋体"/>
          <w:color w:val="auto"/>
          <w:highlight w:val="none"/>
        </w:rPr>
        <w:t>)</w:t>
      </w:r>
      <w:r>
        <w:rPr>
          <w:rFonts w:hint="eastAsia" w:ascii="宋体" w:hAnsi="宋体" w:eastAsia="宋体" w:cs="宋体"/>
          <w:color w:val="auto"/>
          <w:highlight w:val="none"/>
        </w:rPr>
        <w:t>之前不得启封”的字样，如：</w:t>
      </w:r>
    </w:p>
    <w:tbl>
      <w:tblPr>
        <w:tblStyle w:val="90"/>
        <w:tblW w:w="7200" w:type="dxa"/>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7200" w:type="dxa"/>
          </w:tcPr>
          <w:p>
            <w:pPr>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收件人名称：广州市信怡招标代理有限公司</w:t>
            </w:r>
          </w:p>
          <w:p>
            <w:pPr>
              <w:spacing w:line="360" w:lineRule="auto"/>
              <w:ind w:firstLine="420" w:firstLineChars="200"/>
              <w:rPr>
                <w:rFonts w:ascii="宋体" w:hAnsi="宋体" w:eastAsia="宋体" w:cs="宋体"/>
                <w:color w:val="auto"/>
                <w:highlight w:val="none"/>
              </w:rPr>
            </w:pPr>
            <w:r>
              <w:rPr>
                <w:rFonts w:hint="eastAsia" w:ascii="宋体" w:hAnsi="宋体" w:eastAsia="宋体" w:cs="宋体"/>
                <w:color w:val="auto"/>
                <w:highlight w:val="none"/>
              </w:rPr>
              <w:t>项目编号：</w:t>
            </w:r>
            <w:r>
              <w:rPr>
                <w:rFonts w:ascii="宋体" w:hAnsi="宋体" w:eastAsia="宋体" w:cs="宋体"/>
                <w:color w:val="auto"/>
                <w:highlight w:val="none"/>
              </w:rPr>
              <w:t xml:space="preserve">                 </w:t>
            </w:r>
          </w:p>
          <w:p>
            <w:pPr>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项目名称：</w:t>
            </w:r>
          </w:p>
          <w:p>
            <w:pPr>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包装内容：遴选响应文件正本</w:t>
            </w:r>
            <w:r>
              <w:rPr>
                <w:rFonts w:ascii="宋体" w:hAnsi="宋体" w:eastAsia="宋体" w:cs="宋体"/>
                <w:color w:val="auto"/>
                <w:highlight w:val="none"/>
              </w:rPr>
              <w:t>/</w:t>
            </w:r>
            <w:r>
              <w:rPr>
                <w:rFonts w:hint="eastAsia" w:ascii="宋体" w:hAnsi="宋体" w:eastAsia="宋体" w:cs="宋体"/>
                <w:color w:val="auto"/>
                <w:highlight w:val="none"/>
              </w:rPr>
              <w:t>副本</w:t>
            </w:r>
            <w:r>
              <w:rPr>
                <w:rFonts w:ascii="宋体" w:hAnsi="宋体" w:eastAsia="宋体" w:cs="宋体"/>
                <w:color w:val="auto"/>
                <w:highlight w:val="none"/>
              </w:rPr>
              <w:t>/</w:t>
            </w:r>
            <w:r>
              <w:rPr>
                <w:rFonts w:hint="eastAsia" w:ascii="宋体" w:hAnsi="宋体" w:eastAsia="宋体" w:cs="宋体"/>
                <w:color w:val="auto"/>
                <w:highlight w:val="none"/>
              </w:rPr>
              <w:t>报价信封</w:t>
            </w:r>
          </w:p>
          <w:p>
            <w:pPr>
              <w:spacing w:line="360" w:lineRule="auto"/>
              <w:ind w:firstLine="420" w:firstLineChars="200"/>
              <w:rPr>
                <w:rFonts w:ascii="宋体" w:hAnsi="宋体" w:eastAsia="宋体" w:cs="Times New Roman"/>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名称：</w:t>
            </w:r>
          </w:p>
          <w:p>
            <w:pPr>
              <w:spacing w:line="360" w:lineRule="auto"/>
              <w:ind w:firstLine="420" w:firstLineChars="200"/>
              <w:rPr>
                <w:rFonts w:ascii="宋体" w:hAnsi="宋体" w:eastAsia="宋体" w:cs="Times New Roman"/>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地址：</w:t>
            </w:r>
          </w:p>
          <w:p>
            <w:pPr>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联</w:t>
            </w:r>
            <w:r>
              <w:rPr>
                <w:rFonts w:ascii="宋体" w:hAnsi="宋体" w:eastAsia="宋体" w:cs="宋体"/>
                <w:color w:val="auto"/>
                <w:highlight w:val="none"/>
              </w:rPr>
              <w:t xml:space="preserve"> </w:t>
            </w:r>
            <w:r>
              <w:rPr>
                <w:rFonts w:hint="eastAsia" w:ascii="宋体" w:hAnsi="宋体" w:eastAsia="宋体" w:cs="宋体"/>
                <w:color w:val="auto"/>
                <w:highlight w:val="none"/>
              </w:rPr>
              <w:t>系</w:t>
            </w:r>
            <w:r>
              <w:rPr>
                <w:rFonts w:ascii="宋体" w:hAnsi="宋体" w:eastAsia="宋体" w:cs="宋体"/>
                <w:color w:val="auto"/>
                <w:highlight w:val="none"/>
              </w:rPr>
              <w:t xml:space="preserve"> </w:t>
            </w:r>
            <w:r>
              <w:rPr>
                <w:rFonts w:hint="eastAsia" w:ascii="宋体" w:hAnsi="宋体" w:eastAsia="宋体" w:cs="宋体"/>
                <w:color w:val="auto"/>
                <w:highlight w:val="none"/>
              </w:rPr>
              <w:t>人：</w:t>
            </w:r>
          </w:p>
          <w:p>
            <w:pPr>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联系电话：</w:t>
            </w:r>
          </w:p>
          <w:p>
            <w:pPr>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传真电话：</w:t>
            </w:r>
          </w:p>
          <w:p>
            <w:pPr>
              <w:tabs>
                <w:tab w:val="left" w:pos="851"/>
              </w:tabs>
              <w:autoSpaceDE w:val="0"/>
              <w:autoSpaceDN w:val="0"/>
              <w:adjustRightInd w:val="0"/>
              <w:snapToGrid w:val="0"/>
              <w:spacing w:line="360" w:lineRule="auto"/>
              <w:ind w:firstLine="420" w:firstLineChars="200"/>
              <w:jc w:val="left"/>
              <w:rPr>
                <w:rFonts w:ascii="宋体" w:hAnsi="宋体" w:eastAsia="宋体" w:cs="Times New Roman"/>
                <w:color w:val="auto"/>
                <w:highlight w:val="none"/>
              </w:rPr>
            </w:pPr>
            <w:r>
              <w:rPr>
                <w:rFonts w:hint="eastAsia" w:ascii="宋体" w:hAnsi="宋体" w:eastAsia="宋体" w:cs="宋体"/>
                <w:color w:val="auto"/>
                <w:highlight w:val="none"/>
              </w:rPr>
              <w:t>在规定的遴选时间</w:t>
            </w:r>
            <w:r>
              <w:rPr>
                <w:rFonts w:ascii="宋体" w:hAnsi="宋体" w:eastAsia="宋体" w:cs="宋体"/>
                <w:color w:val="auto"/>
                <w:highlight w:val="none"/>
              </w:rPr>
              <w:t>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日前不得启封</w:t>
            </w:r>
          </w:p>
        </w:tc>
      </w:tr>
    </w:tbl>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采购代理机构对因不可抗力事件造成的遴选响应文件的损坏、丢失不承担责任。</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lang w:eastAsia="zh-TW"/>
        </w:rPr>
        <w:t>如果未按本须知</w:t>
      </w:r>
      <w:r>
        <w:rPr>
          <w:rFonts w:hint="eastAsia" w:ascii="宋体" w:hAnsi="宋体" w:eastAsia="宋体" w:cs="宋体"/>
          <w:color w:val="auto"/>
          <w:highlight w:val="none"/>
        </w:rPr>
        <w:t>上款</w:t>
      </w:r>
      <w:r>
        <w:rPr>
          <w:rFonts w:hint="eastAsia" w:ascii="宋体" w:hAnsi="宋体" w:eastAsia="宋体" w:cs="宋体"/>
          <w:color w:val="auto"/>
          <w:highlight w:val="none"/>
          <w:lang w:eastAsia="zh-TW"/>
        </w:rPr>
        <w:t>要求加写标记和</w:t>
      </w:r>
      <w:r>
        <w:rPr>
          <w:rFonts w:hint="eastAsia" w:ascii="宋体" w:hAnsi="宋体" w:eastAsia="宋体" w:cs="宋体"/>
          <w:color w:val="auto"/>
          <w:highlight w:val="none"/>
        </w:rPr>
        <w:t>密封，</w:t>
      </w:r>
      <w:r>
        <w:rPr>
          <w:rFonts w:hint="eastAsia" w:ascii="宋体" w:hAnsi="宋体" w:eastAsia="宋体" w:cs="宋体"/>
          <w:color w:val="auto"/>
          <w:highlight w:val="none"/>
          <w:lang w:eastAsia="zh-TW"/>
        </w:rPr>
        <w:t>政府采购代理机构对误投或提前启封概不负责</w:t>
      </w:r>
      <w:r>
        <w:rPr>
          <w:rFonts w:hint="eastAsia" w:ascii="宋体" w:hAnsi="宋体" w:eastAsia="宋体" w:cs="宋体"/>
          <w:color w:val="auto"/>
          <w:highlight w:val="none"/>
        </w:rPr>
        <w:t>。</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165" w:name="_Toc315793476"/>
      <w:bookmarkStart w:id="166" w:name="_Toc320515089"/>
      <w:bookmarkStart w:id="167" w:name="_Toc323110999"/>
      <w:bookmarkStart w:id="168" w:name="_Toc320515040"/>
      <w:bookmarkStart w:id="169" w:name="_Toc322680366"/>
      <w:r>
        <w:rPr>
          <w:rFonts w:hint="eastAsia" w:ascii="宋体" w:hAnsi="宋体" w:eastAsia="宋体" w:cs="宋体"/>
          <w:b/>
          <w:bCs/>
          <w:color w:val="auto"/>
          <w:sz w:val="24"/>
          <w:szCs w:val="24"/>
          <w:highlight w:val="none"/>
        </w:rPr>
        <w:t>遴选响应文件递交截止期</w:t>
      </w:r>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lang w:eastAsia="zh-TW"/>
        </w:rPr>
        <w:t>应在不迟于</w:t>
      </w: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规定的</w:t>
      </w:r>
      <w:r>
        <w:rPr>
          <w:rFonts w:hint="eastAsia" w:ascii="宋体" w:hAnsi="宋体" w:eastAsia="宋体" w:cs="宋体"/>
          <w:color w:val="auto"/>
          <w:highlight w:val="none"/>
        </w:rPr>
        <w:t>遴选响应文件递交截止时间</w:t>
      </w:r>
      <w:r>
        <w:rPr>
          <w:rFonts w:hint="eastAsia" w:ascii="宋体" w:hAnsi="宋体" w:eastAsia="宋体" w:cs="宋体"/>
          <w:color w:val="auto"/>
          <w:highlight w:val="none"/>
          <w:lang w:eastAsia="zh-TW"/>
        </w:rPr>
        <w:t>将</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递交至政府采购代理机构</w:t>
      </w:r>
      <w:r>
        <w:rPr>
          <w:rFonts w:hint="eastAsia" w:ascii="宋体" w:hAnsi="宋体" w:eastAsia="宋体" w:cs="宋体"/>
          <w:color w:val="auto"/>
          <w:highlight w:val="none"/>
        </w:rPr>
        <w:t>，</w:t>
      </w:r>
      <w:r>
        <w:rPr>
          <w:rFonts w:hint="eastAsia" w:ascii="宋体" w:hAnsi="宋体" w:eastAsia="宋体" w:cs="宋体"/>
          <w:color w:val="auto"/>
          <w:highlight w:val="none"/>
          <w:lang w:eastAsia="zh-TW"/>
        </w:rPr>
        <w:t>递交地点应是</w:t>
      </w: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中指明的地址。</w:t>
      </w:r>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lang w:eastAsia="zh-TW"/>
        </w:rPr>
        <w:t>采购代理机构将拒绝在规定的</w:t>
      </w:r>
      <w:r>
        <w:rPr>
          <w:rFonts w:hint="eastAsia" w:ascii="宋体" w:hAnsi="宋体" w:eastAsia="宋体" w:cs="宋体"/>
          <w:color w:val="auto"/>
          <w:highlight w:val="none"/>
        </w:rPr>
        <w:t>遴选响应文件递交截止时间</w:t>
      </w:r>
      <w:r>
        <w:rPr>
          <w:rFonts w:hint="eastAsia" w:ascii="宋体" w:hAnsi="宋体" w:eastAsia="宋体" w:cs="宋体"/>
          <w:color w:val="auto"/>
          <w:highlight w:val="none"/>
          <w:lang w:eastAsia="zh-TW"/>
        </w:rPr>
        <w:t>后收到的任何</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w:t>
      </w:r>
    </w:p>
    <w:bookmarkEnd w:id="165"/>
    <w:bookmarkEnd w:id="166"/>
    <w:bookmarkEnd w:id="167"/>
    <w:bookmarkEnd w:id="168"/>
    <w:bookmarkEnd w:id="169"/>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170" w:name="_Toc363737705"/>
      <w:bookmarkStart w:id="171" w:name="_Toc475104498"/>
      <w:bookmarkStart w:id="172" w:name="_Toc323111000"/>
      <w:r>
        <w:rPr>
          <w:rFonts w:hint="eastAsia" w:ascii="宋体" w:hAnsi="宋体" w:eastAsia="宋体" w:cs="宋体"/>
          <w:b/>
          <w:bCs/>
          <w:color w:val="auto"/>
          <w:sz w:val="24"/>
          <w:szCs w:val="24"/>
          <w:highlight w:val="none"/>
        </w:rPr>
        <w:t>遴选响应文件的修改和撤回</w:t>
      </w:r>
      <w:bookmarkEnd w:id="170"/>
      <w:bookmarkEnd w:id="171"/>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Times New Roman" w:hAnsi="Times New Roman" w:eastAsia="宋体" w:cs="宋体"/>
          <w:color w:val="auto"/>
          <w:highlight w:val="none"/>
        </w:rPr>
        <w:t>供应商</w:t>
      </w:r>
      <w:r>
        <w:rPr>
          <w:rFonts w:hint="eastAsia" w:ascii="宋体" w:hAnsi="宋体" w:eastAsia="宋体" w:cs="宋体"/>
          <w:color w:val="auto"/>
          <w:highlight w:val="none"/>
          <w:lang w:eastAsia="zh-TW"/>
        </w:rPr>
        <w:t>在</w:t>
      </w:r>
      <w:r>
        <w:rPr>
          <w:rFonts w:hint="eastAsia" w:ascii="宋体" w:hAnsi="宋体" w:eastAsia="宋体" w:cs="宋体"/>
          <w:color w:val="auto"/>
          <w:highlight w:val="none"/>
        </w:rPr>
        <w:t>遴选响应文件递交截止时间</w:t>
      </w:r>
      <w:r>
        <w:rPr>
          <w:rFonts w:hint="eastAsia" w:ascii="宋体" w:hAnsi="宋体" w:eastAsia="宋体" w:cs="宋体"/>
          <w:color w:val="auto"/>
          <w:highlight w:val="none"/>
          <w:lang w:eastAsia="zh-TW"/>
        </w:rPr>
        <w:t>前，可以对所递交的</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进行补充、修改或者撤回，并书面通知</w:t>
      </w:r>
      <w:r>
        <w:rPr>
          <w:rFonts w:hint="eastAsia" w:ascii="宋体" w:hAnsi="宋体" w:eastAsia="宋体" w:cs="宋体"/>
          <w:color w:val="auto"/>
          <w:highlight w:val="none"/>
        </w:rPr>
        <w:t>采购代理机构</w:t>
      </w:r>
      <w:r>
        <w:rPr>
          <w:rFonts w:hint="eastAsia" w:ascii="宋体" w:hAnsi="宋体" w:eastAsia="宋体" w:cs="宋体"/>
          <w:color w:val="auto"/>
          <w:highlight w:val="none"/>
          <w:lang w:eastAsia="zh-TW"/>
        </w:rPr>
        <w:t>。补充、修改的内容应当按</w:t>
      </w: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要求签署、盖章</w:t>
      </w:r>
      <w:r>
        <w:rPr>
          <w:rFonts w:hint="eastAsia" w:ascii="宋体" w:hAnsi="宋体" w:eastAsia="宋体" w:cs="宋体"/>
          <w:color w:val="auto"/>
          <w:highlight w:val="none"/>
        </w:rPr>
        <w:t>和密封</w:t>
      </w:r>
      <w:r>
        <w:rPr>
          <w:rFonts w:hint="eastAsia" w:ascii="宋体" w:hAnsi="宋体" w:eastAsia="宋体" w:cs="宋体"/>
          <w:color w:val="auto"/>
          <w:highlight w:val="none"/>
          <w:lang w:eastAsia="zh-TW"/>
        </w:rPr>
        <w:t>，</w:t>
      </w:r>
      <w:r>
        <w:rPr>
          <w:rFonts w:hint="eastAsia" w:ascii="宋体" w:hAnsi="宋体" w:eastAsia="宋体" w:cs="宋体"/>
          <w:color w:val="auto"/>
          <w:highlight w:val="none"/>
        </w:rPr>
        <w:t>在遴选响应文件递交截止时间前密封好提交，</w:t>
      </w:r>
      <w:r>
        <w:rPr>
          <w:rFonts w:hint="eastAsia" w:ascii="宋体" w:hAnsi="宋体" w:eastAsia="宋体" w:cs="宋体"/>
          <w:color w:val="auto"/>
          <w:highlight w:val="none"/>
          <w:lang w:eastAsia="zh-TW"/>
        </w:rPr>
        <w:t>并作为</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的组成部分。补充、修改的内容与响应文件不一致的，以补充、修改的内容为准。在</w:t>
      </w:r>
      <w:r>
        <w:rPr>
          <w:rFonts w:hint="eastAsia" w:ascii="宋体" w:hAnsi="宋体" w:eastAsia="宋体" w:cs="宋体"/>
          <w:color w:val="auto"/>
          <w:highlight w:val="none"/>
        </w:rPr>
        <w:t>遴选响应文件递交截止时间</w:t>
      </w:r>
      <w:r>
        <w:rPr>
          <w:rFonts w:hint="eastAsia" w:ascii="宋体" w:hAnsi="宋体" w:eastAsia="宋体" w:cs="宋体"/>
          <w:color w:val="auto"/>
          <w:highlight w:val="none"/>
          <w:lang w:eastAsia="zh-TW"/>
        </w:rPr>
        <w:t>后，</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lang w:eastAsia="zh-TW"/>
        </w:rPr>
        <w:t>不得对其</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做任何修改和补充。</w:t>
      </w:r>
    </w:p>
    <w:p>
      <w:pPr>
        <w:numPr>
          <w:ilvl w:val="0"/>
          <w:numId w:val="3"/>
        </w:numPr>
        <w:autoSpaceDE w:val="0"/>
        <w:autoSpaceDN w:val="0"/>
        <w:adjustRightInd w:val="0"/>
        <w:snapToGrid w:val="0"/>
        <w:spacing w:before="240" w:beforeLines="100" w:after="240" w:afterLines="100" w:line="360" w:lineRule="auto"/>
        <w:ind w:left="601" w:hanging="601"/>
        <w:jc w:val="center"/>
        <w:outlineLvl w:val="0"/>
        <w:rPr>
          <w:rFonts w:ascii="宋体" w:hAnsi="宋体" w:eastAsia="宋体" w:cs="Times New Roman"/>
          <w:b/>
          <w:bCs/>
          <w:color w:val="auto"/>
          <w:sz w:val="28"/>
          <w:szCs w:val="28"/>
          <w:highlight w:val="none"/>
          <w:lang w:eastAsia="zh-TW"/>
        </w:rPr>
      </w:pPr>
      <w:bookmarkStart w:id="173" w:name="_Toc363737706"/>
      <w:bookmarkStart w:id="174" w:name="_Toc475104499"/>
      <w:r>
        <w:rPr>
          <w:rFonts w:hint="eastAsia" w:ascii="宋体" w:hAnsi="宋体" w:eastAsia="宋体" w:cs="宋体"/>
          <w:b/>
          <w:bCs/>
          <w:color w:val="auto"/>
          <w:sz w:val="28"/>
          <w:szCs w:val="28"/>
          <w:highlight w:val="none"/>
        </w:rPr>
        <w:t>遴选流程</w:t>
      </w:r>
      <w:bookmarkEnd w:id="172"/>
      <w:bookmarkEnd w:id="173"/>
      <w:bookmarkEnd w:id="174"/>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评审小组</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bookmarkStart w:id="175" w:name="_Toc323111003"/>
      <w:bookmarkStart w:id="176" w:name="_Toc320515093"/>
      <w:bookmarkStart w:id="177" w:name="_Toc322680370"/>
      <w:bookmarkStart w:id="178" w:name="_Toc320515044"/>
      <w:bookmarkStart w:id="179" w:name="_Toc315793480"/>
      <w:bookmarkStart w:id="180" w:name="_Toc363737709"/>
      <w:bookmarkStart w:id="181" w:name="_Toc475104502"/>
      <w:r>
        <w:rPr>
          <w:rFonts w:hint="eastAsia" w:ascii="宋体" w:hAnsi="宋体" w:eastAsia="宋体" w:cs="宋体"/>
          <w:color w:val="auto"/>
          <w:highlight w:val="none"/>
        </w:rPr>
        <w:t>遴选由依照政府采购法律、法规、规章、政策的规定组建的评审小组负责。评审小组由采购人代表和评审专家组成，其中评审专家人数不得少于评审小组成员总数的</w:t>
      </w:r>
      <w:r>
        <w:rPr>
          <w:rFonts w:ascii="宋体" w:hAnsi="宋体" w:eastAsia="宋体" w:cs="宋体"/>
          <w:color w:val="auto"/>
          <w:highlight w:val="none"/>
        </w:rPr>
        <w:t>2/3</w:t>
      </w:r>
      <w:r>
        <w:rPr>
          <w:rFonts w:hint="eastAsia" w:ascii="宋体" w:hAnsi="宋体" w:eastAsia="宋体" w:cs="宋体"/>
          <w:color w:val="auto"/>
          <w:highlight w:val="none"/>
        </w:rPr>
        <w:t>。如采购人不派代表参加评审，则评审委员会全部由从政府采购专家库随机抽取的专家组成。评审专家从政府采购评审专家库内相关专业的专家名单中随机抽取。</w:t>
      </w:r>
    </w:p>
    <w:p>
      <w:pPr>
        <w:numPr>
          <w:ilvl w:val="1"/>
          <w:numId w:val="4"/>
        </w:numPr>
        <w:autoSpaceDE w:val="0"/>
        <w:autoSpaceDN w:val="0"/>
        <w:adjustRightInd w:val="0"/>
        <w:snapToGrid w:val="0"/>
        <w:spacing w:line="360" w:lineRule="auto"/>
        <w:jc w:val="left"/>
        <w:rPr>
          <w:rFonts w:ascii="宋体" w:hAnsi="宋体" w:eastAsia="宋体" w:cs="宋体"/>
          <w:color w:val="auto"/>
          <w:highlight w:val="none"/>
          <w:lang w:eastAsia="zh-TW"/>
        </w:rPr>
      </w:pPr>
      <w:r>
        <w:rPr>
          <w:rFonts w:hint="eastAsia" w:ascii="宋体" w:hAnsi="宋体" w:eastAsia="宋体" w:cs="宋体"/>
          <w:color w:val="auto"/>
          <w:highlight w:val="none"/>
        </w:rPr>
        <w:t>评审小组</w:t>
      </w:r>
      <w:r>
        <w:rPr>
          <w:rFonts w:hint="eastAsia" w:ascii="宋体" w:hAnsi="宋体" w:eastAsia="宋体" w:cs="宋体"/>
          <w:color w:val="auto"/>
          <w:highlight w:val="none"/>
          <w:lang w:eastAsia="zh-TW"/>
        </w:rPr>
        <w:t>名单在</w:t>
      </w:r>
      <w:r>
        <w:rPr>
          <w:rFonts w:hint="eastAsia" w:ascii="宋体" w:hAnsi="宋体" w:eastAsia="宋体" w:cs="宋体"/>
          <w:color w:val="auto"/>
          <w:highlight w:val="none"/>
        </w:rPr>
        <w:t>遴选</w:t>
      </w:r>
      <w:r>
        <w:rPr>
          <w:rFonts w:hint="eastAsia" w:ascii="宋体" w:hAnsi="宋体" w:eastAsia="宋体" w:cs="宋体"/>
          <w:color w:val="auto"/>
          <w:highlight w:val="none"/>
          <w:lang w:eastAsia="zh-TW"/>
        </w:rPr>
        <w:t>结果确定前严格保密。评审专家（含采购人代表）</w:t>
      </w:r>
      <w:r>
        <w:rPr>
          <w:rFonts w:hint="eastAsia" w:ascii="宋体" w:hAnsi="宋体" w:eastAsia="宋体" w:cs="宋体"/>
          <w:color w:val="auto"/>
          <w:highlight w:val="none"/>
        </w:rPr>
        <w:t>不得参与同自己或任职单位有利害关系的政府采购项目遴选活动。具有下列情形之一的，评审专家应主动提出回避，采购人、采购代理机构和政府采购监管部门也可以要求其回避</w:t>
      </w:r>
      <w:r>
        <w:rPr>
          <w:rFonts w:hint="eastAsia" w:ascii="宋体" w:hAnsi="宋体" w:eastAsia="宋体" w:cs="宋体"/>
          <w:color w:val="auto"/>
          <w:highlight w:val="none"/>
          <w:lang w:eastAsia="zh-TW"/>
        </w:rPr>
        <w:t>：</w:t>
      </w:r>
      <w:r>
        <w:rPr>
          <w:rFonts w:ascii="宋体" w:hAnsi="宋体" w:eastAsia="宋体" w:cs="宋体"/>
          <w:color w:val="auto"/>
          <w:highlight w:val="none"/>
          <w:lang w:eastAsia="zh-TW"/>
        </w:rPr>
        <w:t xml:space="preserve"> </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rPr>
        <w:t>本人、配偶或直系亲属</w:t>
      </w:r>
      <w:r>
        <w:rPr>
          <w:rFonts w:ascii="宋体" w:hAnsi="宋体" w:eastAsia="宋体" w:cs="宋体"/>
          <w:color w:val="auto"/>
          <w:highlight w:val="none"/>
        </w:rPr>
        <w:t>3</w:t>
      </w:r>
      <w:r>
        <w:rPr>
          <w:rFonts w:hint="eastAsia" w:ascii="宋体" w:hAnsi="宋体" w:eastAsia="宋体" w:cs="宋体"/>
          <w:color w:val="auto"/>
          <w:highlight w:val="none"/>
        </w:rPr>
        <w:t>年内曾在参加该采购项目的</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中任职（包括一般工作）或担任顾问，或参与该采购项目的</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发生过法律纠纷；</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rPr>
        <w:t>任职单位与采购人或参加该采购项目</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存在行政隶属关系；</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rPr>
        <w:t>曾经参加过该采购项目的进口产品或公开遴选文件、采购需求、采购方式的论证和咨询服务工作；</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rPr>
        <w:t>是参加该采购项目</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的上级主管部门、控股或参股单位的工作人员、或与该</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存在其他经济利益关系；</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rPr>
        <w:t>评审小组成员之间具有配偶、近亲属关系；</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rPr>
        <w:t>同一单位的评审专家在同一项目评审小组成员中超过两名；</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参加采购活动前</w:t>
      </w:r>
      <w:r>
        <w:rPr>
          <w:rFonts w:ascii="宋体" w:hAnsi="宋体" w:eastAsia="宋体" w:cs="宋体"/>
          <w:color w:val="auto"/>
          <w:highlight w:val="none"/>
          <w:lang w:eastAsia="zh-TW"/>
        </w:rPr>
        <w:t>3</w:t>
      </w:r>
      <w:r>
        <w:rPr>
          <w:rFonts w:hint="eastAsia" w:ascii="宋体" w:hAnsi="宋体" w:eastAsia="宋体" w:cs="宋体"/>
          <w:color w:val="auto"/>
          <w:highlight w:val="none"/>
          <w:lang w:eastAsia="zh-TW"/>
        </w:rPr>
        <w:t>年内与供应商存在劳动关系；</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参加采购活动前</w:t>
      </w:r>
      <w:r>
        <w:rPr>
          <w:rFonts w:ascii="宋体" w:hAnsi="宋体" w:eastAsia="宋体" w:cs="宋体"/>
          <w:color w:val="auto"/>
          <w:highlight w:val="none"/>
          <w:lang w:eastAsia="zh-TW"/>
        </w:rPr>
        <w:t>3</w:t>
      </w:r>
      <w:r>
        <w:rPr>
          <w:rFonts w:hint="eastAsia" w:ascii="宋体" w:hAnsi="宋体" w:eastAsia="宋体" w:cs="宋体"/>
          <w:color w:val="auto"/>
          <w:highlight w:val="none"/>
          <w:lang w:eastAsia="zh-TW"/>
        </w:rPr>
        <w:t>年内担任供应商的董事、监事；</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参加采购活动前</w:t>
      </w:r>
      <w:r>
        <w:rPr>
          <w:rFonts w:ascii="宋体" w:hAnsi="宋体" w:eastAsia="宋体" w:cs="宋体"/>
          <w:color w:val="auto"/>
          <w:highlight w:val="none"/>
          <w:lang w:eastAsia="zh-TW"/>
        </w:rPr>
        <w:t>3</w:t>
      </w:r>
      <w:r>
        <w:rPr>
          <w:rFonts w:hint="eastAsia" w:ascii="宋体" w:hAnsi="宋体" w:eastAsia="宋体" w:cs="宋体"/>
          <w:color w:val="auto"/>
          <w:highlight w:val="none"/>
          <w:lang w:eastAsia="zh-TW"/>
        </w:rPr>
        <w:t>年内是供应商的控股股东或者实际控制人；</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与供应商的法定代表人或者负责人有夫妻、直系血亲、三代以内旁系血亲或者近姻亲关系</w:t>
      </w:r>
      <w:r>
        <w:rPr>
          <w:rFonts w:hint="eastAsia" w:ascii="宋体" w:hAnsi="宋体" w:eastAsia="宋体" w:cs="宋体"/>
          <w:color w:val="auto"/>
          <w:highlight w:val="none"/>
        </w:rPr>
        <w:t>；</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与供应商有其他可能影响政府采购活动公平、公正进行的关系</w:t>
      </w:r>
      <w:r>
        <w:rPr>
          <w:rFonts w:hint="eastAsia" w:ascii="宋体" w:hAnsi="宋体" w:eastAsia="宋体" w:cs="宋体"/>
          <w:color w:val="auto"/>
          <w:highlight w:val="none"/>
        </w:rPr>
        <w:t>。</w:t>
      </w:r>
    </w:p>
    <w:p>
      <w:pPr>
        <w:numPr>
          <w:ilvl w:val="2"/>
          <w:numId w:val="4"/>
        </w:numPr>
        <w:tabs>
          <w:tab w:val="left" w:pos="851"/>
        </w:tabs>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供应商认为采购人员及相关人员与其他供应商有利害关系的</w:t>
      </w:r>
      <w:r>
        <w:rPr>
          <w:rFonts w:ascii="宋体" w:hAnsi="宋体" w:eastAsia="宋体" w:cs="宋体"/>
          <w:color w:val="auto"/>
          <w:highlight w:val="none"/>
          <w:lang w:eastAsia="zh-TW"/>
        </w:rPr>
        <w:t>,</w:t>
      </w:r>
      <w:r>
        <w:rPr>
          <w:rFonts w:hint="eastAsia" w:ascii="宋体" w:hAnsi="宋体" w:eastAsia="宋体" w:cs="宋体"/>
          <w:color w:val="auto"/>
          <w:highlight w:val="none"/>
          <w:lang w:eastAsia="zh-TW"/>
        </w:rPr>
        <w:t>可以向采购人或者采购代理机构书面提出回避申请</w:t>
      </w:r>
      <w:r>
        <w:rPr>
          <w:rFonts w:ascii="宋体" w:hAnsi="宋体" w:eastAsia="宋体" w:cs="宋体"/>
          <w:color w:val="auto"/>
          <w:highlight w:val="none"/>
          <w:lang w:eastAsia="zh-TW"/>
        </w:rPr>
        <w:t>,</w:t>
      </w:r>
      <w:r>
        <w:rPr>
          <w:rFonts w:hint="eastAsia" w:ascii="宋体" w:hAnsi="宋体" w:eastAsia="宋体" w:cs="宋体"/>
          <w:color w:val="auto"/>
          <w:highlight w:val="none"/>
          <w:lang w:eastAsia="zh-TW"/>
        </w:rPr>
        <w:t>并说明理由。采购人或者采购代理机构应当及时询问被申请回避人员</w:t>
      </w:r>
      <w:r>
        <w:rPr>
          <w:rFonts w:ascii="宋体" w:hAnsi="宋体" w:eastAsia="宋体" w:cs="宋体"/>
          <w:color w:val="auto"/>
          <w:highlight w:val="none"/>
          <w:lang w:eastAsia="zh-TW"/>
        </w:rPr>
        <w:t>,</w:t>
      </w:r>
      <w:r>
        <w:rPr>
          <w:rFonts w:hint="eastAsia" w:ascii="宋体" w:hAnsi="宋体" w:eastAsia="宋体" w:cs="宋体"/>
          <w:color w:val="auto"/>
          <w:highlight w:val="none"/>
          <w:lang w:eastAsia="zh-TW"/>
        </w:rPr>
        <w:t>有利害关系的被申请回避人员应当回避。</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遴选响应文件的</w:t>
      </w:r>
      <w:bookmarkEnd w:id="175"/>
      <w:bookmarkEnd w:id="176"/>
      <w:bookmarkEnd w:id="177"/>
      <w:bookmarkEnd w:id="178"/>
      <w:bookmarkEnd w:id="179"/>
      <w:bookmarkEnd w:id="180"/>
      <w:r>
        <w:rPr>
          <w:rFonts w:hint="eastAsia" w:ascii="宋体" w:hAnsi="宋体" w:eastAsia="宋体" w:cs="宋体"/>
          <w:b/>
          <w:bCs/>
          <w:color w:val="auto"/>
          <w:sz w:val="24"/>
          <w:szCs w:val="24"/>
          <w:highlight w:val="none"/>
        </w:rPr>
        <w:t>资格性审查及符合性检查</w:t>
      </w:r>
      <w:bookmarkEnd w:id="181"/>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rPr>
        <w:t>评审小组</w:t>
      </w:r>
      <w:r>
        <w:rPr>
          <w:rFonts w:hint="eastAsia" w:ascii="宋体" w:hAnsi="宋体" w:eastAsia="宋体" w:cs="宋体"/>
          <w:color w:val="auto"/>
          <w:highlight w:val="none"/>
          <w:lang w:eastAsia="zh-TW"/>
        </w:rPr>
        <w:t>将根据</w:t>
      </w: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的规定，对各</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进行资格性审查及符合性检查</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出现下列情况之一时将被认定为</w:t>
      </w:r>
      <w:r>
        <w:rPr>
          <w:rFonts w:hint="eastAsia" w:ascii="宋体" w:hAnsi="宋体" w:eastAsia="宋体" w:cs="宋体"/>
          <w:color w:val="auto"/>
          <w:highlight w:val="none"/>
        </w:rPr>
        <w:t>采购响应无效</w:t>
      </w:r>
      <w:r>
        <w:rPr>
          <w:rFonts w:hint="eastAsia" w:ascii="宋体" w:hAnsi="宋体" w:eastAsia="宋体" w:cs="宋体"/>
          <w:color w:val="auto"/>
          <w:highlight w:val="none"/>
          <w:lang w:eastAsia="zh-TW"/>
        </w:rPr>
        <w:t>：</w:t>
      </w:r>
    </w:p>
    <w:p>
      <w:pPr>
        <w:autoSpaceDE w:val="0"/>
        <w:autoSpaceDN w:val="0"/>
        <w:adjustRightInd w:val="0"/>
        <w:snapToGrid w:val="0"/>
        <w:spacing w:line="360" w:lineRule="auto"/>
        <w:ind w:firstLine="525" w:firstLineChars="250"/>
        <w:jc w:val="left"/>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不具备《中华人民共和国政府采购法》第二十二条规定条件；</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kern w:val="0"/>
          <w:highlight w:val="none"/>
        </w:rPr>
        <w:t>2</w:t>
      </w:r>
      <w:r>
        <w:rPr>
          <w:rFonts w:hint="eastAsia" w:ascii="宋体" w:hAnsi="宋体" w:eastAsia="宋体" w:cs="宋体"/>
          <w:color w:val="auto"/>
          <w:kern w:val="0"/>
          <w:highlight w:val="none"/>
        </w:rPr>
        <w:t>）</w:t>
      </w:r>
      <w:r>
        <w:rPr>
          <w:rFonts w:hint="eastAsia" w:ascii="宋体" w:hAnsi="宋体" w:eastAsia="宋体" w:cs="宋体"/>
          <w:color w:val="auto"/>
          <w:highlight w:val="none"/>
        </w:rPr>
        <w:t>遴选响应文件</w:t>
      </w:r>
      <w:r>
        <w:rPr>
          <w:rFonts w:hint="eastAsia" w:ascii="宋体" w:hAnsi="宋体" w:eastAsia="宋体" w:cs="宋体"/>
          <w:color w:val="auto"/>
          <w:kern w:val="0"/>
          <w:highlight w:val="none"/>
        </w:rPr>
        <w:t>没有</w:t>
      </w:r>
      <w:r>
        <w:rPr>
          <w:rFonts w:hint="eastAsia" w:ascii="Times New Roman" w:hAnsi="Times New Roman" w:eastAsia="宋体" w:cs="宋体"/>
          <w:color w:val="auto"/>
          <w:highlight w:val="none"/>
        </w:rPr>
        <w:t>供应商</w:t>
      </w:r>
      <w:r>
        <w:rPr>
          <w:rFonts w:hint="eastAsia" w:ascii="宋体" w:hAnsi="宋体" w:eastAsia="宋体" w:cs="宋体"/>
          <w:color w:val="auto"/>
          <w:kern w:val="0"/>
          <w:highlight w:val="none"/>
        </w:rPr>
        <w:t>盖章及其法定代表人（或法定代表人委托的代理人）的印鉴或签名的；</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kern w:val="0"/>
          <w:highlight w:val="none"/>
        </w:rPr>
        <w:t>3</w:t>
      </w:r>
      <w:r>
        <w:rPr>
          <w:rFonts w:hint="eastAsia" w:ascii="宋体" w:hAnsi="宋体" w:eastAsia="宋体" w:cs="宋体"/>
          <w:color w:val="auto"/>
          <w:kern w:val="0"/>
          <w:highlight w:val="none"/>
        </w:rPr>
        <w:t>）</w:t>
      </w:r>
      <w:r>
        <w:rPr>
          <w:rFonts w:hint="eastAsia" w:ascii="Times New Roman" w:hAnsi="Times New Roman" w:eastAsia="宋体" w:cs="宋体"/>
          <w:color w:val="auto"/>
          <w:highlight w:val="none"/>
        </w:rPr>
        <w:t>供应商</w:t>
      </w:r>
      <w:r>
        <w:rPr>
          <w:rFonts w:hint="eastAsia" w:ascii="宋体" w:hAnsi="宋体" w:eastAsia="宋体" w:cs="宋体"/>
          <w:color w:val="auto"/>
          <w:kern w:val="0"/>
          <w:highlight w:val="none"/>
        </w:rPr>
        <w:t>不符合资格条件；</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kern w:val="0"/>
          <w:highlight w:val="none"/>
        </w:rPr>
        <w:t>4</w:t>
      </w:r>
      <w:r>
        <w:rPr>
          <w:rFonts w:hint="eastAsia" w:ascii="宋体" w:hAnsi="宋体" w:eastAsia="宋体" w:cs="宋体"/>
          <w:color w:val="auto"/>
          <w:kern w:val="0"/>
          <w:highlight w:val="none"/>
        </w:rPr>
        <w:t>）</w:t>
      </w:r>
      <w:r>
        <w:rPr>
          <w:rFonts w:hint="eastAsia" w:ascii="宋体" w:hAnsi="宋体" w:eastAsia="宋体" w:cs="宋体"/>
          <w:color w:val="auto"/>
          <w:highlight w:val="none"/>
        </w:rPr>
        <w:t>遴选响应文件</w:t>
      </w:r>
      <w:r>
        <w:rPr>
          <w:rFonts w:hint="eastAsia" w:ascii="宋体" w:hAnsi="宋体" w:eastAsia="宋体" w:cs="宋体"/>
          <w:color w:val="auto"/>
          <w:kern w:val="0"/>
          <w:highlight w:val="none"/>
        </w:rPr>
        <w:t>提供虚假材料；</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kern w:val="0"/>
          <w:highlight w:val="none"/>
        </w:rPr>
        <w:t>5</w:t>
      </w:r>
      <w:r>
        <w:rPr>
          <w:rFonts w:hint="eastAsia" w:ascii="宋体" w:hAnsi="宋体" w:eastAsia="宋体" w:cs="宋体"/>
          <w:color w:val="auto"/>
          <w:kern w:val="0"/>
          <w:highlight w:val="none"/>
        </w:rPr>
        <w:t>）</w:t>
      </w:r>
      <w:r>
        <w:rPr>
          <w:rFonts w:hint="eastAsia" w:ascii="宋体" w:hAnsi="宋体" w:eastAsia="宋体" w:cs="宋体"/>
          <w:color w:val="auto"/>
          <w:highlight w:val="none"/>
        </w:rPr>
        <w:t>遴选响应文件</w:t>
      </w:r>
      <w:r>
        <w:rPr>
          <w:rFonts w:hint="eastAsia" w:ascii="宋体" w:hAnsi="宋体" w:eastAsia="宋体" w:cs="宋体"/>
          <w:color w:val="auto"/>
          <w:kern w:val="0"/>
          <w:highlight w:val="none"/>
        </w:rPr>
        <w:t>未完全满足公开遴选文件中带“★”号的条款或指标；</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kern w:val="0"/>
          <w:highlight w:val="none"/>
        </w:rPr>
        <w:t>6</w:t>
      </w:r>
      <w:r>
        <w:rPr>
          <w:rFonts w:hint="eastAsia" w:ascii="宋体" w:hAnsi="宋体" w:eastAsia="宋体" w:cs="宋体"/>
          <w:color w:val="auto"/>
          <w:kern w:val="0"/>
          <w:highlight w:val="none"/>
        </w:rPr>
        <w:t>）</w:t>
      </w:r>
      <w:r>
        <w:rPr>
          <w:rFonts w:hint="eastAsia" w:ascii="Times New Roman" w:hAnsi="Times New Roman" w:eastAsia="宋体" w:cs="宋体"/>
          <w:color w:val="auto"/>
          <w:highlight w:val="none"/>
        </w:rPr>
        <w:t>供应商</w:t>
      </w:r>
      <w:r>
        <w:rPr>
          <w:rFonts w:hint="eastAsia" w:ascii="宋体" w:hAnsi="宋体" w:eastAsia="宋体" w:cs="宋体"/>
          <w:color w:val="auto"/>
          <w:kern w:val="0"/>
          <w:highlight w:val="none"/>
        </w:rPr>
        <w:t>的相关证件、证明文件、合同和其他文件的原件、复印件没有按公开遴选文件规定提交或提交的原件与复印件不一致的；</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highlight w:val="none"/>
        </w:rPr>
        <w:t>7</w:t>
      </w:r>
      <w:r>
        <w:rPr>
          <w:rFonts w:hint="eastAsia" w:ascii="宋体" w:hAnsi="宋体" w:eastAsia="宋体" w:cs="宋体"/>
          <w:color w:val="auto"/>
          <w:highlight w:val="none"/>
        </w:rPr>
        <w:t>）</w:t>
      </w:r>
      <w:r>
        <w:rPr>
          <w:rFonts w:hint="eastAsia" w:ascii="宋体" w:hAnsi="宋体" w:eastAsia="宋体" w:cs="宋体"/>
          <w:color w:val="auto"/>
          <w:kern w:val="0"/>
          <w:highlight w:val="none"/>
        </w:rPr>
        <w:t>除遴选文件中另有规定外，本次采购不接受选择性报价及备选方案。每次报价固定唯一，且没有超采购项目预算金额；</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kern w:val="0"/>
          <w:highlight w:val="none"/>
        </w:rPr>
        <w:t>8</w:t>
      </w:r>
      <w:r>
        <w:rPr>
          <w:rFonts w:hint="eastAsia" w:ascii="宋体" w:hAnsi="宋体" w:eastAsia="宋体" w:cs="宋体"/>
          <w:color w:val="auto"/>
          <w:kern w:val="0"/>
          <w:highlight w:val="none"/>
        </w:rPr>
        <w:t>）最终响应报价不确定或超过公开遴选文件中列出的采购预算（最高限价）的；</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kern w:val="0"/>
          <w:highlight w:val="none"/>
        </w:rPr>
        <w:t>9)</w:t>
      </w:r>
      <w:r>
        <w:rPr>
          <w:rFonts w:hint="eastAsia" w:ascii="宋体" w:hAnsi="宋体" w:eastAsia="宋体" w:cs="宋体"/>
          <w:color w:val="auto"/>
          <w:kern w:val="0"/>
          <w:highlight w:val="none"/>
        </w:rPr>
        <w:t>恶意竞争低于成本价的；</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kern w:val="0"/>
          <w:highlight w:val="none"/>
        </w:rPr>
        <w:t>10</w:t>
      </w:r>
      <w:r>
        <w:rPr>
          <w:rFonts w:hint="eastAsia" w:ascii="宋体" w:hAnsi="宋体" w:eastAsia="宋体" w:cs="宋体"/>
          <w:color w:val="auto"/>
          <w:kern w:val="0"/>
          <w:highlight w:val="none"/>
        </w:rPr>
        <w:t>）遴选期间，供应商没有按评审小组的要求提交经授权代表签字的澄清、说明、补正或改变了遴选响应文件的实质性内容；</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kern w:val="0"/>
          <w:highlight w:val="none"/>
        </w:rPr>
        <w:t>11</w:t>
      </w:r>
      <w:r>
        <w:rPr>
          <w:rFonts w:hint="eastAsia" w:ascii="宋体" w:hAnsi="宋体" w:eastAsia="宋体" w:cs="宋体"/>
          <w:color w:val="auto"/>
          <w:kern w:val="0"/>
          <w:highlight w:val="none"/>
        </w:rPr>
        <w:t>）供应商对采购人、采购代理机构、评审小组及其工作人员施加影响，有碍公平、公正；</w:t>
      </w:r>
    </w:p>
    <w:p>
      <w:pPr>
        <w:autoSpaceDE w:val="0"/>
        <w:autoSpaceDN w:val="0"/>
        <w:adjustRightInd w:val="0"/>
        <w:snapToGrid w:val="0"/>
        <w:spacing w:line="360" w:lineRule="auto"/>
        <w:ind w:firstLine="525" w:firstLineChars="250"/>
        <w:jc w:val="left"/>
        <w:rPr>
          <w:rFonts w:ascii="宋体" w:hAnsi="宋体" w:eastAsia="宋体" w:cs="Times New Roman"/>
          <w:color w:val="auto"/>
          <w:kern w:val="0"/>
          <w:highlight w:val="none"/>
        </w:rPr>
      </w:pPr>
      <w:r>
        <w:rPr>
          <w:rFonts w:ascii="宋体" w:hAnsi="宋体" w:eastAsia="宋体" w:cs="宋体"/>
          <w:color w:val="auto"/>
          <w:kern w:val="0"/>
          <w:highlight w:val="none"/>
        </w:rPr>
        <w:t>12</w:t>
      </w:r>
      <w:r>
        <w:rPr>
          <w:rFonts w:hint="eastAsia" w:ascii="宋体" w:hAnsi="宋体" w:eastAsia="宋体" w:cs="宋体"/>
          <w:color w:val="auto"/>
          <w:kern w:val="0"/>
          <w:highlight w:val="none"/>
        </w:rPr>
        <w:t>）法律、法规、规章规定属于报价无效的其他情形。</w:t>
      </w:r>
    </w:p>
    <w:p>
      <w:pPr>
        <w:spacing w:line="360" w:lineRule="auto"/>
        <w:ind w:left="420" w:leftChars="200" w:firstLine="315" w:firstLineChars="150"/>
        <w:jc w:val="left"/>
        <w:rPr>
          <w:rFonts w:ascii="宋体" w:hAnsi="宋体" w:eastAsia="宋体" w:cs="Times New Roman"/>
          <w:color w:val="auto"/>
          <w:highlight w:val="none"/>
        </w:rPr>
      </w:pPr>
      <w:bookmarkStart w:id="182" w:name="_Toc475104503"/>
      <w:bookmarkStart w:id="183" w:name="_Toc363737710"/>
      <w:bookmarkStart w:id="184" w:name="_Toc351716665"/>
      <w:bookmarkStart w:id="185" w:name="_Toc323111004"/>
      <w:bookmarkStart w:id="186" w:name="_Toc323111005"/>
      <w:bookmarkStart w:id="187" w:name="_Toc320515096"/>
      <w:bookmarkStart w:id="188" w:name="_Toc322680372"/>
      <w:bookmarkStart w:id="189" w:name="_Toc320515047"/>
      <w:bookmarkStart w:id="190" w:name="_Toc315793483"/>
      <w:r>
        <w:rPr>
          <w:rFonts w:hint="eastAsia" w:ascii="宋体" w:hAnsi="宋体" w:eastAsia="宋体" w:cs="宋体"/>
          <w:color w:val="auto"/>
          <w:highlight w:val="none"/>
        </w:rPr>
        <w:t>评审小组进行资格性、符合性检查时发现</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有实质性不响应</w:t>
      </w:r>
      <w:r>
        <w:rPr>
          <w:rFonts w:hint="eastAsia" w:ascii="宋体" w:hAnsi="宋体" w:eastAsia="宋体" w:cs="宋体"/>
          <w:color w:val="auto"/>
          <w:kern w:val="0"/>
          <w:highlight w:val="none"/>
        </w:rPr>
        <w:t>公开遴选文件</w:t>
      </w:r>
      <w:r>
        <w:rPr>
          <w:rFonts w:hint="eastAsia" w:ascii="宋体" w:hAnsi="宋体" w:eastAsia="宋体" w:cs="宋体"/>
          <w:color w:val="auto"/>
          <w:highlight w:val="none"/>
        </w:rPr>
        <w:t>的，即现场告知</w:t>
      </w:r>
      <w:r>
        <w:rPr>
          <w:rFonts w:hint="eastAsia" w:ascii="Times New Roman" w:hAnsi="Times New Roman" w:eastAsia="宋体" w:cs="宋体"/>
          <w:color w:val="auto"/>
          <w:highlight w:val="none"/>
        </w:rPr>
        <w:t>供应商</w:t>
      </w:r>
      <w:r>
        <w:rPr>
          <w:rFonts w:hint="eastAsia" w:ascii="宋体" w:hAnsi="宋体" w:eastAsia="宋体" w:cs="宋体"/>
          <w:color w:val="auto"/>
          <w:highlight w:val="none"/>
        </w:rPr>
        <w:t>并说明理由。如其遴选响应文件</w:t>
      </w:r>
      <w:r>
        <w:rPr>
          <w:rFonts w:hint="eastAsia" w:ascii="宋体" w:hAnsi="宋体" w:eastAsia="宋体" w:cs="宋体"/>
          <w:color w:val="auto"/>
          <w:highlight w:val="none"/>
          <w:lang w:eastAsia="zh-TW"/>
        </w:rPr>
        <w:t>被认定为无效</w:t>
      </w:r>
      <w:r>
        <w:rPr>
          <w:rFonts w:hint="eastAsia" w:ascii="宋体" w:hAnsi="宋体" w:eastAsia="宋体" w:cs="宋体"/>
          <w:color w:val="auto"/>
          <w:highlight w:val="none"/>
        </w:rPr>
        <w:t>报价即被视为不能通过资格性审查及符合性检查，不得参与技术、商务和价格等的后续遴选。</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遴选响应文件的详细评审</w:t>
      </w:r>
      <w:bookmarkEnd w:id="182"/>
      <w:bookmarkEnd w:id="183"/>
      <w:bookmarkEnd w:id="184"/>
      <w:bookmarkEnd w:id="185"/>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bookmarkStart w:id="191" w:name="_Toc475104505"/>
      <w:bookmarkStart w:id="192" w:name="_Toc363737712"/>
      <w:r>
        <w:rPr>
          <w:rFonts w:hint="eastAsia" w:ascii="宋体" w:hAnsi="宋体" w:eastAsia="宋体" w:cs="宋体"/>
          <w:color w:val="auto"/>
          <w:highlight w:val="none"/>
        </w:rPr>
        <w:t>评审小组在对响应文件的有效性、完整性和响应程度进行审查时，可以要求供应商对响应文件中含义不明确、同类问题表述不一致或者有明显文字和计算错误的内容等作出必要的澄清、说明或者更正。报价人的澄清、说明或者更正不得超出响应文件的范围或者改变响应文件的实质性内容。</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评审小组要求供应商澄清、说明或者更正响应文件应当以书面形式作出。报价人的澄清、说明或者更正应当由法定代表人或其授权代表签字或者加盖公章。由授权代表签字的，应当附法定代表人授权书。报价人为自然人的，应当由本人签字并附身份证明。</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由评审小组采用综合评分法响应文件进行综合评分。</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193" w:name="_Toc363737711"/>
      <w:bookmarkStart w:id="194" w:name="_Toc351716666"/>
      <w:bookmarkStart w:id="195" w:name="_Toc475104504"/>
      <w:r>
        <w:rPr>
          <w:rFonts w:hint="eastAsia" w:ascii="宋体" w:hAnsi="宋体" w:eastAsia="宋体" w:cs="宋体"/>
          <w:b/>
          <w:bCs/>
          <w:color w:val="auto"/>
          <w:sz w:val="24"/>
          <w:szCs w:val="24"/>
          <w:highlight w:val="none"/>
        </w:rPr>
        <w:t>评定成交的评审方法和标准</w:t>
      </w:r>
      <w:bookmarkEnd w:id="193"/>
      <w:bookmarkEnd w:id="194"/>
      <w:bookmarkEnd w:id="195"/>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评审小组按照公开遴选文件确定的、方法、步骤、标准，对遴选响应文件进行评审，提出书面公开遴选报告。</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公开遴选</w:t>
      </w:r>
      <w:r>
        <w:rPr>
          <w:rFonts w:hint="eastAsia" w:ascii="Times New Roman" w:hAnsi="Times New Roman" w:eastAsia="宋体" w:cs="宋体"/>
          <w:color w:val="auto"/>
          <w:highlight w:val="none"/>
        </w:rPr>
        <w:t>报告应当由评审小组全体人员签字认可。评审小组成员对</w:t>
      </w:r>
      <w:r>
        <w:rPr>
          <w:rFonts w:hint="eastAsia" w:ascii="宋体" w:hAnsi="宋体" w:eastAsia="宋体" w:cs="宋体"/>
          <w:color w:val="auto"/>
          <w:highlight w:val="none"/>
        </w:rPr>
        <w:t>公开遴选</w:t>
      </w:r>
      <w:r>
        <w:rPr>
          <w:rFonts w:hint="eastAsia" w:ascii="Times New Roman" w:hAnsi="Times New Roman" w:eastAsia="宋体" w:cs="宋体"/>
          <w:color w:val="auto"/>
          <w:highlight w:val="none"/>
        </w:rPr>
        <w:t>报告有异议的，评审小组按照少数服从多数的原则推荐成交候选人，采购程序继续进行。对公开遴选报告有异议的评审小组成员，应当在报告上签署不同意见并说明理由，由评审小组书面记录相关情况。评审小组成员拒绝在报告上签字又不书面说明其不同意见和理由的，视为同意</w:t>
      </w:r>
      <w:r>
        <w:rPr>
          <w:rFonts w:hint="eastAsia" w:ascii="宋体" w:hAnsi="宋体" w:eastAsia="宋体" w:cs="宋体"/>
          <w:color w:val="auto"/>
          <w:highlight w:val="none"/>
        </w:rPr>
        <w:t>公开遴选</w:t>
      </w:r>
      <w:r>
        <w:rPr>
          <w:rFonts w:hint="eastAsia" w:ascii="Times New Roman" w:hAnsi="Times New Roman" w:eastAsia="宋体" w:cs="宋体"/>
          <w:color w:val="auto"/>
          <w:highlight w:val="none"/>
        </w:rPr>
        <w:t>报告。</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综合评分</w:t>
      </w:r>
      <w:r>
        <w:rPr>
          <w:rFonts w:ascii="宋体" w:hAnsi="宋体" w:eastAsia="宋体" w:cs="宋体"/>
          <w:color w:val="auto"/>
          <w:highlight w:val="none"/>
        </w:rPr>
        <w:t>=</w:t>
      </w:r>
      <w:r>
        <w:rPr>
          <w:rFonts w:hint="eastAsia" w:ascii="宋体" w:hAnsi="宋体" w:eastAsia="宋体" w:cs="宋体"/>
          <w:color w:val="auto"/>
          <w:highlight w:val="none"/>
        </w:rPr>
        <w:t>技术商务得分</w:t>
      </w:r>
      <w:r>
        <w:rPr>
          <w:rFonts w:ascii="宋体" w:hAnsi="宋体" w:eastAsia="宋体" w:cs="宋体"/>
          <w:color w:val="auto"/>
          <w:highlight w:val="none"/>
        </w:rPr>
        <w:t>+</w:t>
      </w:r>
      <w:r>
        <w:rPr>
          <w:rFonts w:hint="eastAsia" w:ascii="宋体" w:hAnsi="宋体" w:eastAsia="宋体" w:cs="宋体"/>
          <w:color w:val="auto"/>
          <w:highlight w:val="none"/>
        </w:rPr>
        <w:t>价格得分。</w:t>
      </w:r>
    </w:p>
    <w:p>
      <w:pPr>
        <w:numPr>
          <w:ilvl w:val="1"/>
          <w:numId w:val="4"/>
        </w:numPr>
        <w:autoSpaceDE w:val="0"/>
        <w:autoSpaceDN w:val="0"/>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采用综合评分法的，按评审后评审得分由高到低顺序排列。综合评分相同的，按照最后报价由低到高的顺序推荐。综合得分且最后报价相同的，按照价格由低到高的顺序推荐。评审得分相同，且评审价和技术评分均相同的，名次由评审小组会投票决定。评审小组会按上述排列向采购人推荐综合总得分第一名</w:t>
      </w:r>
      <w:r>
        <w:rPr>
          <w:rFonts w:hint="eastAsia" w:ascii="宋体" w:hAnsi="宋体" w:eastAsia="宋体" w:cs="宋体"/>
          <w:color w:val="auto"/>
          <w:highlight w:val="none"/>
          <w:lang w:val="en-US" w:eastAsia="zh-CN"/>
        </w:rPr>
        <w:t>至第三名</w:t>
      </w:r>
      <w:r>
        <w:rPr>
          <w:rFonts w:hint="eastAsia" w:ascii="宋体" w:hAnsi="宋体" w:eastAsia="宋体" w:cs="宋体"/>
          <w:color w:val="auto"/>
          <w:highlight w:val="none"/>
        </w:rPr>
        <w:t>为第一成交候选人，第</w:t>
      </w:r>
      <w:r>
        <w:rPr>
          <w:rFonts w:hint="eastAsia" w:ascii="宋体" w:hAnsi="宋体" w:eastAsia="宋体" w:cs="宋体"/>
          <w:color w:val="auto"/>
          <w:highlight w:val="none"/>
          <w:lang w:val="en-US" w:eastAsia="zh-CN"/>
        </w:rPr>
        <w:t>四</w:t>
      </w:r>
      <w:r>
        <w:rPr>
          <w:rFonts w:hint="eastAsia" w:ascii="宋体" w:hAnsi="宋体" w:eastAsia="宋体" w:cs="宋体"/>
          <w:color w:val="auto"/>
          <w:highlight w:val="none"/>
        </w:rPr>
        <w:t>名为第二成交候选人，第</w:t>
      </w:r>
      <w:r>
        <w:rPr>
          <w:rFonts w:hint="eastAsia" w:ascii="宋体" w:hAnsi="宋体" w:eastAsia="宋体" w:cs="宋体"/>
          <w:color w:val="auto"/>
          <w:highlight w:val="none"/>
          <w:lang w:val="en-US" w:eastAsia="zh-CN"/>
        </w:rPr>
        <w:t>五</w:t>
      </w:r>
      <w:r>
        <w:rPr>
          <w:rFonts w:hint="eastAsia" w:ascii="宋体" w:hAnsi="宋体" w:eastAsia="宋体" w:cs="宋体"/>
          <w:color w:val="auto"/>
          <w:highlight w:val="none"/>
        </w:rPr>
        <w:t>名为第三成交候选人。第一成交候选人不得随意放弃成交资格。</w:t>
      </w:r>
    </w:p>
    <w:bookmarkEnd w:id="191"/>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196" w:name="_Toc475104507"/>
      <w:r>
        <w:rPr>
          <w:rFonts w:hint="eastAsia" w:ascii="宋体" w:hAnsi="宋体" w:eastAsia="宋体" w:cs="宋体"/>
          <w:b/>
          <w:bCs/>
          <w:color w:val="auto"/>
          <w:sz w:val="24"/>
          <w:szCs w:val="24"/>
          <w:highlight w:val="none"/>
        </w:rPr>
        <w:t>定标原则与授标</w:t>
      </w:r>
      <w:bookmarkEnd w:id="186"/>
      <w:bookmarkEnd w:id="187"/>
      <w:bookmarkEnd w:id="188"/>
      <w:bookmarkEnd w:id="189"/>
      <w:bookmarkEnd w:id="190"/>
      <w:bookmarkEnd w:id="192"/>
      <w:bookmarkEnd w:id="196"/>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bookmarkStart w:id="197" w:name="_Toc363737713"/>
      <w:bookmarkStart w:id="198" w:name="_Toc475104508"/>
      <w:bookmarkStart w:id="199" w:name="_Toc320515097"/>
      <w:bookmarkStart w:id="200" w:name="_Toc315793484"/>
      <w:bookmarkStart w:id="201" w:name="_Toc320515048"/>
      <w:bookmarkStart w:id="202" w:name="_Toc322680374"/>
      <w:bookmarkStart w:id="203" w:name="_Toc323111007"/>
      <w:r>
        <w:rPr>
          <w:rFonts w:hint="eastAsia" w:ascii="宋体" w:hAnsi="宋体" w:eastAsia="宋体" w:cs="宋体"/>
          <w:color w:val="auto"/>
          <w:highlight w:val="none"/>
        </w:rPr>
        <w:t>评审小组按照公开遴选文件确定的、方法、步骤、标准，对遴选响应文件进行评审，提出书面公开遴选报告。</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遴选报告应当由评审小组全体人员签字认可。评审小组成员对遴选报告有异议的，评审小组按照少数服从多数的原则推荐成交候选人，采购程序继续进行。对遴选报告有异议的评审小组成员，应当在报告上签署不同意见并说明理由，由评审小组书面记录相关情况。评审小组成员拒绝在报告上签字又不书面说明其不同意见和理由的，视为同意遴选报告。</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评审小组提交公开遴选报告和推荐成交意见报采购人确认，采购人在收到公开遴选报告后的法定时间内，按照公开遴选报告中推荐的成交候选人顺序确定成交供应商，也可以事先授权评审小组直接确定成交供应商。确认后政府采购代理机构将在媒体上发布成交公告。不在成交名单之列者即为</w:t>
      </w:r>
      <w:r>
        <w:rPr>
          <w:rFonts w:hint="eastAsia" w:ascii="宋体" w:hAnsi="宋体" w:eastAsia="宋体" w:cs="宋体"/>
          <w:color w:val="auto"/>
          <w:highlight w:val="none"/>
          <w:shd w:val="clear" w:color="auto" w:fill="FFFFFF"/>
        </w:rPr>
        <w:t>未能中标</w:t>
      </w:r>
      <w:r>
        <w:rPr>
          <w:rFonts w:ascii="宋体" w:hAnsi="宋体" w:eastAsia="宋体" w:cs="宋体"/>
          <w:color w:val="auto"/>
          <w:highlight w:val="none"/>
          <w:shd w:val="clear" w:color="auto" w:fill="FFFFFF"/>
        </w:rPr>
        <w:t>/</w:t>
      </w:r>
      <w:r>
        <w:rPr>
          <w:rFonts w:hint="eastAsia" w:ascii="宋体" w:hAnsi="宋体" w:eastAsia="宋体" w:cs="宋体"/>
          <w:color w:val="auto"/>
          <w:highlight w:val="none"/>
          <w:shd w:val="clear" w:color="auto" w:fill="FFFFFF"/>
        </w:rPr>
        <w:t>成交</w:t>
      </w:r>
      <w:r>
        <w:rPr>
          <w:rFonts w:hint="eastAsia" w:ascii="宋体" w:hAnsi="宋体" w:eastAsia="宋体" w:cs="宋体"/>
          <w:color w:val="auto"/>
          <w:highlight w:val="none"/>
        </w:rPr>
        <w:t>供应商，</w:t>
      </w:r>
      <w:r>
        <w:rPr>
          <w:rFonts w:hint="eastAsia" w:ascii="宋体" w:hAnsi="宋体" w:eastAsia="宋体" w:cs="宋体"/>
          <w:color w:val="auto"/>
          <w:highlight w:val="none"/>
          <w:shd w:val="clear" w:color="auto" w:fill="FFFFFF"/>
        </w:rPr>
        <w:t>投标供应商未能中标</w:t>
      </w:r>
      <w:r>
        <w:rPr>
          <w:rFonts w:ascii="宋体" w:hAnsi="宋体" w:eastAsia="宋体" w:cs="宋体"/>
          <w:color w:val="auto"/>
          <w:highlight w:val="none"/>
          <w:shd w:val="clear" w:color="auto" w:fill="FFFFFF"/>
        </w:rPr>
        <w:t>/</w:t>
      </w:r>
      <w:r>
        <w:rPr>
          <w:rFonts w:hint="eastAsia" w:ascii="宋体" w:hAnsi="宋体" w:eastAsia="宋体" w:cs="宋体"/>
          <w:color w:val="auto"/>
          <w:highlight w:val="none"/>
          <w:shd w:val="clear" w:color="auto" w:fill="FFFFFF"/>
        </w:rPr>
        <w:t>成交，采购代理机构将以书面形式告知其原因。</w:t>
      </w:r>
    </w:p>
    <w:p>
      <w:pPr>
        <w:numPr>
          <w:ilvl w:val="1"/>
          <w:numId w:val="4"/>
        </w:numPr>
        <w:shd w:val="clear" w:color="auto" w:fill="FFFFFF"/>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根据相关规定，采用公开遴选采购方式采购的政府购买服务项目（含政府和社会资本合作项目），在采购过程中符合要求的供应商（社会资本）只有</w:t>
      </w:r>
      <w:r>
        <w:rPr>
          <w:rFonts w:ascii="宋体" w:hAnsi="宋体" w:eastAsia="宋体" w:cs="宋体"/>
          <w:color w:val="auto"/>
          <w:highlight w:val="none"/>
        </w:rPr>
        <w:t>2</w:t>
      </w:r>
      <w:r>
        <w:rPr>
          <w:rFonts w:hint="eastAsia" w:ascii="宋体" w:hAnsi="宋体" w:eastAsia="宋体" w:cs="宋体"/>
          <w:color w:val="auto"/>
          <w:highlight w:val="none"/>
        </w:rPr>
        <w:t>家的，公开遴选采购活动可以继续进行。采购过程中符合要求的供应商（社会资本）只有</w:t>
      </w:r>
      <w:r>
        <w:rPr>
          <w:rFonts w:ascii="宋体" w:hAnsi="宋体" w:eastAsia="宋体" w:cs="宋体"/>
          <w:color w:val="auto"/>
          <w:highlight w:val="none"/>
        </w:rPr>
        <w:t>1</w:t>
      </w:r>
      <w:r>
        <w:rPr>
          <w:rFonts w:hint="eastAsia" w:ascii="宋体" w:hAnsi="宋体" w:eastAsia="宋体" w:cs="宋体"/>
          <w:color w:val="auto"/>
          <w:highlight w:val="none"/>
        </w:rPr>
        <w:t>家的，采购人（项目实施机构）或者采购代理机构应当终止公开遴选采购活动，发布项目终止公告并说明原因，重新开展采购活动。</w:t>
      </w:r>
    </w:p>
    <w:p>
      <w:pPr>
        <w:numPr>
          <w:ilvl w:val="1"/>
          <w:numId w:val="4"/>
        </w:numPr>
        <w:shd w:val="clear" w:color="auto" w:fill="FFFFFF"/>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因不可抗力或自身原因不能履行政府采购合同的、不按要求与采购人签订政府采购合同、成交供应商放弃成交、成交资格被依法确认无效的，采购人可以与排位在成交供应商之后第一位的成交候选人签订政府采购合同，没有其他成交候选人的，应当重新组织采购活动。</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质疑与回复</w:t>
      </w:r>
      <w:bookmarkEnd w:id="197"/>
      <w:bookmarkEnd w:id="198"/>
      <w:bookmarkEnd w:id="199"/>
      <w:bookmarkEnd w:id="200"/>
      <w:bookmarkEnd w:id="201"/>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质疑书应当包括下列主要内容：</w:t>
      </w:r>
    </w:p>
    <w:p>
      <w:pPr>
        <w:numPr>
          <w:ilvl w:val="2"/>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供应商的姓名或者名称、地址、邮编、联系人及联系电话；</w:t>
      </w:r>
    </w:p>
    <w:p>
      <w:pPr>
        <w:numPr>
          <w:ilvl w:val="2"/>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质疑项目的名称、编号；</w:t>
      </w:r>
    </w:p>
    <w:p>
      <w:pPr>
        <w:numPr>
          <w:ilvl w:val="2"/>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具体、明确的质疑事项和与质疑事项相关的请求；</w:t>
      </w:r>
    </w:p>
    <w:p>
      <w:pPr>
        <w:numPr>
          <w:ilvl w:val="2"/>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事实依据；</w:t>
      </w:r>
    </w:p>
    <w:p>
      <w:pPr>
        <w:numPr>
          <w:ilvl w:val="2"/>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必要的法律依据；</w:t>
      </w:r>
    </w:p>
    <w:p>
      <w:pPr>
        <w:numPr>
          <w:ilvl w:val="2"/>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提出质疑的日期。</w:t>
      </w:r>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rPr>
        <w:t>质疑书应当署名。供应商为自然人的，应当由本人签字；供应商为法人或者其他组织的，应当由法定代表人、主要负责人，或者其授权代表签字或者盖章，并加盖公章。</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供应商认为公开遴选文件的内容损害其权益的，应当以书面形式（加盖供应商公章）在公开遴选文件公示期间或者自期满之日起</w:t>
      </w:r>
      <w:r>
        <w:rPr>
          <w:rFonts w:ascii="宋体" w:hAnsi="宋体" w:eastAsia="宋体" w:cs="宋体"/>
          <w:color w:val="auto"/>
          <w:highlight w:val="none"/>
        </w:rPr>
        <w:t>7</w:t>
      </w:r>
      <w:r>
        <w:rPr>
          <w:rFonts w:hint="eastAsia" w:ascii="宋体" w:hAnsi="宋体" w:eastAsia="宋体" w:cs="宋体"/>
          <w:color w:val="auto"/>
          <w:highlight w:val="none"/>
        </w:rPr>
        <w:t>个工作日内向政府采购代理机构提交质疑书，逾期质疑无效。供应商以电话、传真或电邮形式提交的质疑属于无效质疑。</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供应商认为采购过程和成交结果使自己的权益受到损害的，应当以书面形式（加盖供应商公章）在知道或者应知其权益受到损害之日起</w:t>
      </w:r>
      <w:r>
        <w:rPr>
          <w:rFonts w:ascii="宋体" w:hAnsi="宋体" w:eastAsia="宋体" w:cs="宋体"/>
          <w:color w:val="auto"/>
          <w:highlight w:val="none"/>
        </w:rPr>
        <w:t>7</w:t>
      </w:r>
      <w:r>
        <w:rPr>
          <w:rFonts w:hint="eastAsia" w:ascii="宋体" w:hAnsi="宋体" w:eastAsia="宋体" w:cs="宋体"/>
          <w:color w:val="auto"/>
          <w:highlight w:val="none"/>
        </w:rPr>
        <w:t>个工作日内向政府采购代理机构提交质疑书，逾期质疑无效。供应商以电话、传真或电邮形式提交的质疑属于无效质疑。</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质疑内容不得含有虚假、恶意成分。依据谁主张谁举证的原则，质疑者提供的质疑书应当包括下列主要内容：具体的质疑事项、事实依据及相关确凿的证明材料和注明事实的确切来源、供应商名称、联系人与联系电话、质疑时间，质疑书应当署名并由法定代表人或授权代表签字并加盖公章。政府采购代理机构受理书面质疑书之日起，在规定的期限内作出答复。对于捏造事实、进行虚假质疑及投诉情节严重的，禁止参加政府采购活动一至三年。</w:t>
      </w:r>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rPr>
        <w:t>政府采购代理机构在收到供应商的有效书面质疑后七个工作日内作出答复，但答复的内容不涉及商业秘密，质疑供应商对采购人、政府采购代理机构的质疑答复不满意，或采购人、政府采购代理机构未在规定期限内作出答复的，可以在答复期满后十五个工作日内向同级政府采购监督管理部门提出投诉。投诉事项应该是经过质疑的事项。</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质疑供应商需要修改、补充质疑函的，应当在质疑有效期内提交修改或补充材料。质疑函收到日期以提交修改或补充的质疑函原件之日计算。</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供应商询问的途径、接收质疑函的方式：</w:t>
      </w:r>
    </w:p>
    <w:bookmarkEnd w:id="202"/>
    <w:bookmarkEnd w:id="203"/>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bookmarkStart w:id="204" w:name="_Toc363737714"/>
      <w:bookmarkStart w:id="205" w:name="_Toc475104509"/>
      <w:r>
        <w:rPr>
          <w:rFonts w:hint="eastAsia" w:ascii="宋体" w:hAnsi="宋体" w:eastAsia="宋体" w:cs="宋体"/>
          <w:color w:val="auto"/>
          <w:highlight w:val="none"/>
        </w:rPr>
        <w:t>询问和质疑接收机构名称：广州市信怡招标代理有限公司</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询问和质疑接收机构地址：广州市天河区粤垦路</w:t>
      </w:r>
      <w:r>
        <w:rPr>
          <w:rFonts w:ascii="宋体" w:hAnsi="宋体" w:eastAsia="宋体" w:cs="宋体"/>
          <w:color w:val="auto"/>
          <w:highlight w:val="none"/>
        </w:rPr>
        <w:t>623</w:t>
      </w:r>
      <w:r>
        <w:rPr>
          <w:rFonts w:hint="eastAsia" w:ascii="宋体" w:hAnsi="宋体" w:eastAsia="宋体" w:cs="宋体"/>
          <w:color w:val="auto"/>
          <w:highlight w:val="none"/>
        </w:rPr>
        <w:t>号燕都商务大厦</w:t>
      </w:r>
      <w:r>
        <w:rPr>
          <w:rFonts w:ascii="宋体" w:hAnsi="宋体" w:eastAsia="宋体" w:cs="宋体"/>
          <w:color w:val="auto"/>
          <w:highlight w:val="none"/>
        </w:rPr>
        <w:t>12</w:t>
      </w:r>
      <w:r>
        <w:rPr>
          <w:rFonts w:hint="eastAsia" w:ascii="宋体" w:hAnsi="宋体" w:eastAsia="宋体" w:cs="宋体"/>
          <w:color w:val="auto"/>
          <w:highlight w:val="none"/>
        </w:rPr>
        <w:t>楼</w:t>
      </w:r>
      <w:r>
        <w:rPr>
          <w:rFonts w:ascii="宋体" w:hAnsi="宋体" w:eastAsia="宋体" w:cs="宋体"/>
          <w:color w:val="auto"/>
          <w:highlight w:val="none"/>
        </w:rPr>
        <w:t>1202</w:t>
      </w:r>
      <w:r>
        <w:rPr>
          <w:rFonts w:hint="eastAsia" w:ascii="宋体" w:hAnsi="宋体" w:eastAsia="宋体" w:cs="宋体"/>
          <w:color w:val="auto"/>
          <w:highlight w:val="none"/>
        </w:rPr>
        <w:t>室</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询问和质疑接收部门联系人：胡先生</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询问和质疑接收机构电话：</w:t>
      </w:r>
      <w:r>
        <w:rPr>
          <w:rFonts w:ascii="宋体" w:hAnsi="宋体" w:eastAsia="宋体" w:cs="宋体"/>
          <w:color w:val="auto"/>
          <w:highlight w:val="none"/>
        </w:rPr>
        <w:t>020-89001296</w:t>
      </w:r>
      <w:r>
        <w:rPr>
          <w:rFonts w:hint="eastAsia" w:ascii="宋体" w:hAnsi="宋体" w:eastAsia="宋体" w:cs="宋体"/>
          <w:color w:val="auto"/>
          <w:highlight w:val="none"/>
        </w:rPr>
        <w:t>（工作</w:t>
      </w:r>
      <w:r>
        <w:rPr>
          <w:rFonts w:ascii="宋体" w:hAnsi="宋体" w:eastAsia="宋体" w:cs="宋体"/>
          <w:color w:val="auto"/>
          <w:highlight w:val="none"/>
        </w:rPr>
        <w:t>/</w:t>
      </w:r>
      <w:r>
        <w:rPr>
          <w:rFonts w:hint="eastAsia" w:ascii="宋体" w:hAnsi="宋体" w:eastAsia="宋体" w:cs="宋体"/>
          <w:color w:val="auto"/>
          <w:highlight w:val="none"/>
        </w:rPr>
        <w:t>接收时间：</w:t>
      </w:r>
      <w:r>
        <w:rPr>
          <w:rFonts w:ascii="宋体" w:hAnsi="宋体" w:eastAsia="宋体" w:cs="宋体"/>
          <w:color w:val="auto"/>
          <w:highlight w:val="none"/>
        </w:rPr>
        <w:t>9</w:t>
      </w:r>
      <w:r>
        <w:rPr>
          <w:rFonts w:hint="eastAsia" w:ascii="宋体" w:hAnsi="宋体" w:eastAsia="宋体" w:cs="宋体"/>
          <w:color w:val="auto"/>
          <w:highlight w:val="none"/>
        </w:rPr>
        <w:t>：</w:t>
      </w:r>
      <w:r>
        <w:rPr>
          <w:rFonts w:ascii="宋体" w:hAnsi="宋体" w:eastAsia="宋体" w:cs="宋体"/>
          <w:color w:val="auto"/>
          <w:highlight w:val="none"/>
        </w:rPr>
        <w:t>00-17</w:t>
      </w:r>
      <w:r>
        <w:rPr>
          <w:rFonts w:hint="eastAsia" w:ascii="宋体" w:hAnsi="宋体" w:eastAsia="宋体" w:cs="宋体"/>
          <w:color w:val="auto"/>
          <w:highlight w:val="none"/>
        </w:rPr>
        <w:t>：</w:t>
      </w:r>
      <w:r>
        <w:rPr>
          <w:rFonts w:ascii="宋体" w:hAnsi="宋体" w:eastAsia="宋体" w:cs="宋体"/>
          <w:color w:val="auto"/>
          <w:highlight w:val="none"/>
        </w:rPr>
        <w:t>00</w:t>
      </w:r>
      <w:r>
        <w:rPr>
          <w:rFonts w:hint="eastAsia" w:ascii="宋体" w:hAnsi="宋体" w:eastAsia="宋体" w:cs="宋体"/>
          <w:color w:val="auto"/>
          <w:highlight w:val="none"/>
        </w:rPr>
        <w:t>）</w:t>
      </w:r>
    </w:p>
    <w:p>
      <w:pPr>
        <w:numPr>
          <w:ilvl w:val="1"/>
          <w:numId w:val="4"/>
        </w:numPr>
        <w:autoSpaceDE w:val="0"/>
        <w:autoSpaceDN w:val="0"/>
        <w:adjustRightInd w:val="0"/>
        <w:snapToGrid w:val="0"/>
        <w:spacing w:line="360" w:lineRule="auto"/>
        <w:jc w:val="left"/>
        <w:rPr>
          <w:rFonts w:ascii="宋体" w:hAnsi="宋体" w:eastAsia="宋体" w:cs="宋体"/>
          <w:color w:val="auto"/>
          <w:highlight w:val="none"/>
        </w:rPr>
      </w:pPr>
      <w:r>
        <w:rPr>
          <w:rFonts w:hint="eastAsia" w:ascii="宋体" w:hAnsi="宋体" w:eastAsia="宋体" w:cs="宋体"/>
          <w:color w:val="auto"/>
          <w:highlight w:val="none"/>
        </w:rPr>
        <w:t>质疑接收机构传真：</w:t>
      </w:r>
      <w:r>
        <w:rPr>
          <w:rFonts w:ascii="宋体" w:hAnsi="宋体" w:eastAsia="宋体" w:cs="宋体"/>
          <w:color w:val="auto"/>
          <w:highlight w:val="none"/>
        </w:rPr>
        <w:t>020-89001292</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成交通知书</w:t>
      </w:r>
      <w:bookmarkEnd w:id="204"/>
      <w:bookmarkEnd w:id="205"/>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lang w:eastAsia="zh-TW"/>
        </w:rPr>
        <w:t>成交供应商确定后</w:t>
      </w:r>
      <w:r>
        <w:rPr>
          <w:rFonts w:hint="eastAsia" w:ascii="宋体" w:hAnsi="宋体" w:eastAsia="宋体" w:cs="宋体"/>
          <w:color w:val="auto"/>
          <w:highlight w:val="none"/>
        </w:rPr>
        <w:t>，</w:t>
      </w:r>
      <w:r>
        <w:rPr>
          <w:rFonts w:hint="eastAsia" w:ascii="宋体" w:hAnsi="宋体" w:eastAsia="宋体" w:cs="宋体"/>
          <w:color w:val="auto"/>
          <w:highlight w:val="none"/>
          <w:lang w:eastAsia="zh-TW"/>
        </w:rPr>
        <w:t>政府采购代理机构将在政府采购监督管理部门</w:t>
      </w:r>
      <w:r>
        <w:rPr>
          <w:rFonts w:hint="eastAsia" w:ascii="宋体" w:hAnsi="宋体" w:eastAsia="宋体" w:cs="宋体"/>
          <w:color w:val="auto"/>
          <w:highlight w:val="none"/>
        </w:rPr>
        <w:t>法定</w:t>
      </w:r>
      <w:r>
        <w:rPr>
          <w:rFonts w:hint="eastAsia" w:ascii="宋体" w:hAnsi="宋体" w:eastAsia="宋体" w:cs="宋体"/>
          <w:color w:val="auto"/>
          <w:highlight w:val="none"/>
          <w:lang w:eastAsia="zh-TW"/>
        </w:rPr>
        <w:t>的媒体上发布</w:t>
      </w:r>
      <w:r>
        <w:rPr>
          <w:rFonts w:hint="eastAsia" w:ascii="宋体" w:hAnsi="宋体" w:eastAsia="宋体" w:cs="宋体"/>
          <w:color w:val="auto"/>
          <w:highlight w:val="none"/>
        </w:rPr>
        <w:t>成交结果公告</w:t>
      </w:r>
      <w:r>
        <w:rPr>
          <w:rFonts w:hint="eastAsia" w:ascii="宋体" w:hAnsi="宋体" w:eastAsia="宋体" w:cs="宋体"/>
          <w:color w:val="auto"/>
          <w:highlight w:val="none"/>
          <w:lang w:eastAsia="zh-TW"/>
        </w:rPr>
        <w:t>，并向成交供应商发出《成交通知书》</w:t>
      </w:r>
      <w:r>
        <w:rPr>
          <w:rFonts w:hint="eastAsia" w:ascii="宋体" w:hAnsi="宋体" w:eastAsia="宋体" w:cs="宋体"/>
          <w:color w:val="auto"/>
          <w:highlight w:val="none"/>
        </w:rPr>
        <w:t>，</w:t>
      </w:r>
      <w:r>
        <w:rPr>
          <w:rFonts w:hint="eastAsia" w:ascii="宋体" w:hAnsi="宋体" w:eastAsia="宋体" w:cs="宋体"/>
          <w:color w:val="auto"/>
          <w:highlight w:val="none"/>
          <w:lang w:eastAsia="zh-TW"/>
        </w:rPr>
        <w:t>《成交通知书》对成交供应商和采购人具有同等法律效力。</w:t>
      </w:r>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rPr>
        <w:t>《成交通知书》将作为授予合同资格的合法依据，是合同的一个组成部分。</w:t>
      </w:r>
    </w:p>
    <w:p>
      <w:pPr>
        <w:numPr>
          <w:ilvl w:val="0"/>
          <w:numId w:val="3"/>
        </w:numPr>
        <w:autoSpaceDE w:val="0"/>
        <w:autoSpaceDN w:val="0"/>
        <w:adjustRightInd w:val="0"/>
        <w:snapToGrid w:val="0"/>
        <w:spacing w:before="240" w:beforeLines="100" w:after="240" w:afterLines="100" w:line="360" w:lineRule="auto"/>
        <w:ind w:left="601" w:hanging="601"/>
        <w:jc w:val="center"/>
        <w:outlineLvl w:val="0"/>
        <w:rPr>
          <w:rFonts w:ascii="宋体" w:hAnsi="宋体" w:eastAsia="宋体" w:cs="Times New Roman"/>
          <w:b/>
          <w:bCs/>
          <w:color w:val="auto"/>
          <w:sz w:val="28"/>
          <w:szCs w:val="28"/>
          <w:highlight w:val="none"/>
          <w:lang w:eastAsia="zh-TW"/>
        </w:rPr>
      </w:pPr>
      <w:bookmarkStart w:id="206" w:name="_Toc363737715"/>
      <w:bookmarkStart w:id="207" w:name="_Toc475104510"/>
      <w:bookmarkStart w:id="208" w:name="_Toc315793486"/>
      <w:bookmarkStart w:id="209" w:name="_Toc320515099"/>
      <w:bookmarkStart w:id="210" w:name="_Toc320515050"/>
      <w:bookmarkStart w:id="211" w:name="_Toc28489462"/>
      <w:bookmarkStart w:id="212" w:name="_Toc14450813"/>
      <w:r>
        <w:rPr>
          <w:rFonts w:hint="eastAsia" w:ascii="宋体" w:hAnsi="宋体" w:eastAsia="宋体" w:cs="宋体"/>
          <w:b/>
          <w:bCs/>
          <w:color w:val="auto"/>
          <w:sz w:val="28"/>
          <w:szCs w:val="28"/>
          <w:highlight w:val="none"/>
          <w:lang w:eastAsia="zh-TW"/>
        </w:rPr>
        <w:t>授予合同</w:t>
      </w:r>
      <w:bookmarkEnd w:id="206"/>
      <w:bookmarkEnd w:id="207"/>
      <w:bookmarkEnd w:id="208"/>
      <w:bookmarkEnd w:id="209"/>
      <w:bookmarkEnd w:id="210"/>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bookmarkStart w:id="213" w:name="_Toc363737716"/>
      <w:bookmarkStart w:id="214" w:name="_Toc320515051"/>
      <w:bookmarkStart w:id="215" w:name="_Toc320515100"/>
      <w:bookmarkStart w:id="216" w:name="_Toc315793487"/>
      <w:bookmarkStart w:id="217" w:name="_Toc475104511"/>
      <w:r>
        <w:rPr>
          <w:rFonts w:hint="eastAsia" w:ascii="宋体" w:hAnsi="宋体" w:eastAsia="宋体" w:cs="宋体"/>
          <w:b/>
          <w:bCs/>
          <w:color w:val="auto"/>
          <w:sz w:val="24"/>
          <w:szCs w:val="24"/>
          <w:highlight w:val="none"/>
        </w:rPr>
        <w:t>合同的订立</w:t>
      </w:r>
      <w:bookmarkEnd w:id="213"/>
      <w:bookmarkEnd w:id="214"/>
      <w:bookmarkEnd w:id="215"/>
      <w:bookmarkEnd w:id="216"/>
      <w:bookmarkEnd w:id="217"/>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bookmarkStart w:id="218" w:name="_Toc475104512"/>
      <w:bookmarkStart w:id="219" w:name="_Toc320515052"/>
      <w:bookmarkStart w:id="220" w:name="_Toc363737717"/>
      <w:bookmarkStart w:id="221" w:name="_Toc320515101"/>
      <w:bookmarkStart w:id="222" w:name="_Toc315793488"/>
      <w:r>
        <w:rPr>
          <w:rFonts w:hint="eastAsia" w:ascii="宋体" w:hAnsi="宋体" w:eastAsia="宋体" w:cs="宋体"/>
          <w:color w:val="auto"/>
          <w:highlight w:val="none"/>
          <w:lang w:eastAsia="zh-TW"/>
        </w:rPr>
        <w:t>采购单位原则上应在中标（成交）通知书发出之日起</w:t>
      </w:r>
      <w:r>
        <w:rPr>
          <w:rFonts w:ascii="宋体" w:hAnsi="宋体" w:eastAsia="宋体" w:cs="宋体"/>
          <w:color w:val="auto"/>
          <w:highlight w:val="none"/>
          <w:lang w:eastAsia="zh-TW"/>
        </w:rPr>
        <w:t>20</w:t>
      </w:r>
      <w:r>
        <w:rPr>
          <w:rFonts w:hint="eastAsia" w:ascii="宋体" w:hAnsi="宋体" w:eastAsia="宋体" w:cs="宋体"/>
          <w:color w:val="auto"/>
          <w:highlight w:val="none"/>
          <w:lang w:eastAsia="zh-TW"/>
        </w:rPr>
        <w:t>日内和中标（成交）供应商签订政府采购合同，无正当理由不得拒绝或者拖延合同签订。所签订的合同不得对</w:t>
      </w: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和成交供应商</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作实质性修改</w:t>
      </w:r>
      <w:r>
        <w:rPr>
          <w:rFonts w:hint="eastAsia" w:ascii="宋体" w:hAnsi="宋体" w:eastAsia="宋体" w:cs="宋体"/>
          <w:color w:val="auto"/>
          <w:highlight w:val="none"/>
        </w:rPr>
        <w:t>。</w:t>
      </w:r>
    </w:p>
    <w:p>
      <w:pPr>
        <w:numPr>
          <w:ilvl w:val="1"/>
          <w:numId w:val="4"/>
        </w:numPr>
        <w:autoSpaceDE w:val="0"/>
        <w:autoSpaceDN w:val="0"/>
        <w:adjustRightInd w:val="0"/>
        <w:snapToGrid w:val="0"/>
        <w:spacing w:line="360" w:lineRule="auto"/>
        <w:jc w:val="left"/>
        <w:rPr>
          <w:rFonts w:ascii="宋体" w:hAnsi="宋体" w:eastAsia="宋体" w:cs="宋体"/>
          <w:color w:val="auto"/>
          <w:highlight w:val="none"/>
        </w:rPr>
      </w:pPr>
      <w:r>
        <w:rPr>
          <w:rFonts w:hint="eastAsia" w:ascii="宋体" w:hAnsi="宋体" w:eastAsia="宋体" w:cs="宋体"/>
          <w:color w:val="auto"/>
          <w:highlight w:val="none"/>
        </w:rPr>
        <w:t>招标采购单位不得向成交供应商提出任何不合理的要求，作为签订合同的条件，不得与成交供应商私下订立背离合同实质性内容的协议。</w:t>
      </w:r>
      <w:r>
        <w:rPr>
          <w:rFonts w:ascii="宋体" w:hAnsi="宋体" w:eastAsia="宋体" w:cs="宋体"/>
          <w:color w:val="auto"/>
          <w:highlight w:val="none"/>
        </w:rPr>
        <w:t xml:space="preserve"> </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签订政府采购合同后</w:t>
      </w:r>
      <w:r>
        <w:rPr>
          <w:rFonts w:hint="eastAsia" w:ascii="宋体" w:hAnsi="宋体" w:eastAsia="宋体" w:cs="宋体"/>
          <w:color w:val="auto"/>
          <w:highlight w:val="none"/>
        </w:rPr>
        <w:t>七</w:t>
      </w:r>
      <w:r>
        <w:rPr>
          <w:rFonts w:hint="eastAsia" w:ascii="宋体" w:hAnsi="宋体" w:eastAsia="宋体" w:cs="宋体"/>
          <w:color w:val="auto"/>
          <w:highlight w:val="none"/>
          <w:lang w:eastAsia="zh-TW"/>
        </w:rPr>
        <w:t>个工作日内，采购人应将政府采购合同副本报同级政府采购监督管理部门备案。</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合同的履行</w:t>
      </w:r>
      <w:bookmarkEnd w:id="218"/>
      <w:bookmarkEnd w:id="219"/>
      <w:bookmarkEnd w:id="220"/>
      <w:bookmarkEnd w:id="221"/>
      <w:bookmarkEnd w:id="222"/>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rPr>
        <w:t>依据《政府采购促进中小企业发展管理办法》规定享受扶持政策获得政府采购合同的，小微企业不得将合同分包给大中型企业，中型企业不得将合同分包给大型企业。</w:t>
      </w:r>
      <w:r>
        <w:rPr>
          <w:rFonts w:ascii="宋体" w:hAnsi="宋体" w:eastAsia="宋体" w:cs="宋体"/>
          <w:color w:val="auto"/>
          <w:highlight w:val="none"/>
        </w:rPr>
        <w:t xml:space="preserve"> </w:t>
      </w:r>
    </w:p>
    <w:p>
      <w:pPr>
        <w:numPr>
          <w:ilvl w:val="1"/>
          <w:numId w:val="4"/>
        </w:numPr>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rPr>
        <w:t>对于通过预留采购项目、预留专门采购包、要求以联合体形式参加或者合同分包等措施签订的采购合同，应当明确标注本合同为中小企业预留合同。其中，要求以联合体形式参加采购活动或者合同分包的，应当将联合协议或者分包意向协议作为采购合同的组成部分。</w:t>
      </w:r>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lang w:eastAsia="zh-TW"/>
        </w:rPr>
        <w:t>政府采购合同订立后，合同各方不得擅自变更、中止或者终止合同。政府采购合同需要变更的，采购人应将有关合同变更内容，以书面形式报政府采购监督管理</w:t>
      </w:r>
      <w:r>
        <w:rPr>
          <w:rFonts w:hint="eastAsia" w:ascii="宋体" w:hAnsi="宋体" w:eastAsia="宋体" w:cs="宋体"/>
          <w:color w:val="auto"/>
          <w:highlight w:val="none"/>
        </w:rPr>
        <w:t>部门</w:t>
      </w:r>
      <w:r>
        <w:rPr>
          <w:rFonts w:hint="eastAsia" w:ascii="宋体" w:hAnsi="宋体" w:eastAsia="宋体" w:cs="宋体"/>
          <w:color w:val="auto"/>
          <w:highlight w:val="none"/>
          <w:lang w:eastAsia="zh-TW"/>
        </w:rPr>
        <w:t>备案；因特殊情况需要中止或终止合同的，采购人应将中止或终止合同的理由以及相应措施，以书面形式报政府采购监督管理</w:t>
      </w:r>
      <w:r>
        <w:rPr>
          <w:rFonts w:hint="eastAsia" w:ascii="宋体" w:hAnsi="宋体" w:eastAsia="宋体" w:cs="宋体"/>
          <w:color w:val="auto"/>
          <w:highlight w:val="none"/>
        </w:rPr>
        <w:t>部门</w:t>
      </w:r>
      <w:r>
        <w:rPr>
          <w:rFonts w:hint="eastAsia" w:ascii="宋体" w:hAnsi="宋体" w:eastAsia="宋体" w:cs="宋体"/>
          <w:color w:val="auto"/>
          <w:highlight w:val="none"/>
          <w:lang w:eastAsia="zh-TW"/>
        </w:rPr>
        <w:t>备案。</w:t>
      </w:r>
    </w:p>
    <w:p>
      <w:pPr>
        <w:numPr>
          <w:ilvl w:val="1"/>
          <w:numId w:val="4"/>
        </w:numPr>
        <w:autoSpaceDE w:val="0"/>
        <w:autoSpaceDN w:val="0"/>
        <w:adjustRightInd w:val="0"/>
        <w:snapToGrid w:val="0"/>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lang w:eastAsia="zh-TW"/>
        </w:rPr>
        <w:t>政府采购合同履行中，采购人需追加与合同标的相同的货物、工程或者服务的，在不改变合同其他条款的前提下，可以与</w:t>
      </w:r>
      <w:r>
        <w:rPr>
          <w:rFonts w:hint="eastAsia" w:ascii="宋体" w:hAnsi="宋体" w:eastAsia="宋体" w:cs="宋体"/>
          <w:color w:val="auto"/>
          <w:highlight w:val="none"/>
        </w:rPr>
        <w:t>成交</w:t>
      </w:r>
      <w:r>
        <w:rPr>
          <w:rFonts w:hint="eastAsia" w:ascii="宋体" w:hAnsi="宋体" w:eastAsia="宋体" w:cs="宋体"/>
          <w:color w:val="auto"/>
          <w:highlight w:val="none"/>
          <w:lang w:eastAsia="zh-TW"/>
        </w:rPr>
        <w:t>供应商签订补充合同，但所补充合同的采购金额不得超过原</w:t>
      </w:r>
      <w:r>
        <w:rPr>
          <w:rFonts w:hint="eastAsia" w:ascii="宋体" w:hAnsi="宋体" w:eastAsia="宋体" w:cs="宋体"/>
          <w:color w:val="auto"/>
          <w:highlight w:val="none"/>
        </w:rPr>
        <w:t>合同</w:t>
      </w:r>
      <w:r>
        <w:rPr>
          <w:rFonts w:hint="eastAsia" w:ascii="宋体" w:hAnsi="宋体" w:eastAsia="宋体" w:cs="宋体"/>
          <w:color w:val="auto"/>
          <w:highlight w:val="none"/>
          <w:lang w:eastAsia="zh-TW"/>
        </w:rPr>
        <w:t>采购金额的百分之十。签订补充合同的必须按规定备案。</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采购代理服务费</w:t>
      </w:r>
    </w:p>
    <w:p>
      <w:pPr>
        <w:numPr>
          <w:ilvl w:val="1"/>
          <w:numId w:val="4"/>
        </w:numPr>
        <w:autoSpaceDE w:val="0"/>
        <w:autoSpaceDN w:val="0"/>
        <w:adjustRightInd w:val="0"/>
        <w:snapToGrid w:val="0"/>
        <w:spacing w:line="360" w:lineRule="auto"/>
        <w:outlineLvl w:val="0"/>
        <w:rPr>
          <w:rFonts w:ascii="宋体" w:hAnsi="宋体" w:eastAsia="宋体" w:cs="Times New Roman"/>
          <w:color w:val="auto"/>
          <w:highlight w:val="none"/>
        </w:rPr>
      </w:pPr>
      <w:bookmarkStart w:id="223" w:name="_Toc475104515"/>
      <w:bookmarkStart w:id="224" w:name="_Toc363737720"/>
      <w:r>
        <w:rPr>
          <w:rFonts w:hint="eastAsia" w:ascii="宋体" w:hAnsi="宋体" w:eastAsia="宋体" w:cs="宋体"/>
          <w:color w:val="auto"/>
          <w:highlight w:val="none"/>
        </w:rPr>
        <w:t>成交服务费按采购代理服务费收费依据及方法按《公开遴选须知一览表》中规定执行。</w:t>
      </w:r>
      <w:bookmarkEnd w:id="223"/>
      <w:bookmarkEnd w:id="224"/>
    </w:p>
    <w:p>
      <w:pPr>
        <w:numPr>
          <w:ilvl w:val="0"/>
          <w:numId w:val="4"/>
        </w:numPr>
        <w:autoSpaceDE w:val="0"/>
        <w:autoSpaceDN w:val="0"/>
        <w:adjustRightInd w:val="0"/>
        <w:snapToGrid w:val="0"/>
        <w:spacing w:line="360" w:lineRule="auto"/>
        <w:outlineLvl w:val="0"/>
        <w:rPr>
          <w:rFonts w:ascii="宋体" w:hAnsi="宋体" w:eastAsia="宋体" w:cs="宋体"/>
          <w:b/>
          <w:bCs/>
          <w:color w:val="auto"/>
          <w:sz w:val="24"/>
          <w:szCs w:val="24"/>
          <w:highlight w:val="none"/>
        </w:rPr>
      </w:pPr>
      <w:bookmarkStart w:id="225" w:name="_Toc363737723"/>
      <w:bookmarkStart w:id="226" w:name="_Toc475104518"/>
      <w:r>
        <w:rPr>
          <w:rFonts w:hint="eastAsia" w:ascii="宋体" w:hAnsi="宋体" w:eastAsia="宋体" w:cs="宋体"/>
          <w:b/>
          <w:bCs/>
          <w:color w:val="auto"/>
          <w:sz w:val="24"/>
          <w:szCs w:val="24"/>
          <w:highlight w:val="none"/>
        </w:rPr>
        <w:t>政府采购合同融资相关政策</w:t>
      </w:r>
      <w:r>
        <w:rPr>
          <w:rFonts w:ascii="宋体" w:hAnsi="宋体" w:eastAsia="宋体" w:cs="宋体"/>
          <w:b/>
          <w:bCs/>
          <w:color w:val="auto"/>
          <w:sz w:val="24"/>
          <w:szCs w:val="24"/>
          <w:highlight w:val="none"/>
        </w:rPr>
        <w:t xml:space="preserve"> </w:t>
      </w:r>
    </w:p>
    <w:p>
      <w:pPr>
        <w:numPr>
          <w:ilvl w:val="1"/>
          <w:numId w:val="4"/>
        </w:numPr>
        <w:autoSpaceDE w:val="0"/>
        <w:autoSpaceDN w:val="0"/>
        <w:adjustRightInd w:val="0"/>
        <w:snapToGrid w:val="0"/>
        <w:spacing w:line="360" w:lineRule="auto"/>
        <w:outlineLvl w:val="0"/>
        <w:rPr>
          <w:rFonts w:ascii="宋体" w:hAnsi="宋体" w:eastAsia="宋体" w:cs="Times New Roman"/>
          <w:color w:val="auto"/>
          <w:highlight w:val="none"/>
        </w:rPr>
      </w:pPr>
      <w:r>
        <w:rPr>
          <w:rFonts w:hint="eastAsia" w:ascii="宋体" w:hAnsi="宋体" w:eastAsia="宋体" w:cs="宋体"/>
          <w:color w:val="auto"/>
          <w:highlight w:val="none"/>
        </w:rPr>
        <w:t>包括但不限于以下文件，若涉及到国家或地方政策变动，按国家或地方最新政策执行。</w:t>
      </w:r>
    </w:p>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1</w:t>
      </w:r>
      <w:r>
        <w:rPr>
          <w:rFonts w:hint="eastAsia" w:ascii="宋体" w:hAnsi="宋体" w:eastAsia="宋体" w:cs="宋体"/>
          <w:color w:val="auto"/>
          <w:highlight w:val="none"/>
        </w:rPr>
        <w:t>）《关于进一步深化小微企业金融服务的意见》（银发〔</w:t>
      </w:r>
      <w:r>
        <w:rPr>
          <w:rFonts w:ascii="宋体" w:hAnsi="宋体" w:eastAsia="宋体" w:cs="宋体"/>
          <w:color w:val="auto"/>
          <w:highlight w:val="none"/>
        </w:rPr>
        <w:t>2018</w:t>
      </w:r>
      <w:r>
        <w:rPr>
          <w:rFonts w:hint="eastAsia" w:ascii="宋体" w:hAnsi="宋体" w:eastAsia="宋体" w:cs="宋体"/>
          <w:color w:val="auto"/>
          <w:highlight w:val="none"/>
        </w:rPr>
        <w:t>〕</w:t>
      </w:r>
      <w:r>
        <w:rPr>
          <w:rFonts w:ascii="宋体" w:hAnsi="宋体" w:eastAsia="宋体" w:cs="宋体"/>
          <w:color w:val="auto"/>
          <w:highlight w:val="none"/>
        </w:rPr>
        <w:t>162</w:t>
      </w:r>
      <w:r>
        <w:rPr>
          <w:rFonts w:hint="eastAsia" w:ascii="宋体" w:hAnsi="宋体" w:eastAsia="宋体" w:cs="宋体"/>
          <w:color w:val="auto"/>
          <w:highlight w:val="none"/>
        </w:rPr>
        <w:t>号）</w:t>
      </w:r>
    </w:p>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）《广东省支持中小企业融资的若干政策措施》（粤金监〔</w:t>
      </w:r>
      <w:r>
        <w:rPr>
          <w:rFonts w:ascii="宋体" w:hAnsi="宋体" w:eastAsia="宋体" w:cs="宋体"/>
          <w:color w:val="auto"/>
          <w:highlight w:val="none"/>
        </w:rPr>
        <w:t>2019</w:t>
      </w:r>
      <w:r>
        <w:rPr>
          <w:rFonts w:hint="eastAsia" w:ascii="宋体" w:hAnsi="宋体" w:eastAsia="宋体" w:cs="宋体"/>
          <w:color w:val="auto"/>
          <w:highlight w:val="none"/>
        </w:rPr>
        <w:t>〕</w:t>
      </w:r>
      <w:r>
        <w:rPr>
          <w:rFonts w:ascii="宋体" w:hAnsi="宋体" w:eastAsia="宋体" w:cs="宋体"/>
          <w:color w:val="auto"/>
          <w:highlight w:val="none"/>
        </w:rPr>
        <w:t>58</w:t>
      </w:r>
      <w:r>
        <w:rPr>
          <w:rFonts w:hint="eastAsia" w:ascii="宋体" w:hAnsi="宋体" w:eastAsia="宋体" w:cs="宋体"/>
          <w:color w:val="auto"/>
          <w:highlight w:val="none"/>
        </w:rPr>
        <w:t>号）</w:t>
      </w:r>
    </w:p>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3</w:t>
      </w:r>
      <w:r>
        <w:rPr>
          <w:rFonts w:hint="eastAsia" w:ascii="宋体" w:hAnsi="宋体" w:eastAsia="宋体" w:cs="宋体"/>
          <w:color w:val="auto"/>
          <w:highlight w:val="none"/>
        </w:rPr>
        <w:t>）《关于开展省级政府采购合同融资工作的通知》（粤财采购〔</w:t>
      </w:r>
      <w:r>
        <w:rPr>
          <w:rFonts w:ascii="宋体" w:hAnsi="宋体" w:eastAsia="宋体" w:cs="宋体"/>
          <w:color w:val="auto"/>
          <w:highlight w:val="none"/>
        </w:rPr>
        <w:t>2020</w:t>
      </w:r>
      <w:r>
        <w:rPr>
          <w:rFonts w:hint="eastAsia" w:ascii="宋体" w:hAnsi="宋体" w:eastAsia="宋体" w:cs="宋体"/>
          <w:color w:val="auto"/>
          <w:highlight w:val="none"/>
        </w:rPr>
        <w:t>〕</w:t>
      </w:r>
      <w:r>
        <w:rPr>
          <w:rFonts w:ascii="宋体" w:hAnsi="宋体" w:eastAsia="宋体" w:cs="宋体"/>
          <w:color w:val="auto"/>
          <w:highlight w:val="none"/>
        </w:rPr>
        <w:t>6</w:t>
      </w:r>
      <w:r>
        <w:rPr>
          <w:rFonts w:hint="eastAsia" w:ascii="宋体" w:hAnsi="宋体" w:eastAsia="宋体" w:cs="宋体"/>
          <w:color w:val="auto"/>
          <w:highlight w:val="none"/>
        </w:rPr>
        <w:t>号）</w:t>
      </w:r>
    </w:p>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4</w:t>
      </w:r>
      <w:r>
        <w:rPr>
          <w:rFonts w:hint="eastAsia" w:ascii="宋体" w:hAnsi="宋体" w:eastAsia="宋体" w:cs="宋体"/>
          <w:color w:val="auto"/>
          <w:highlight w:val="none"/>
        </w:rPr>
        <w:t>）《广州市财政局</w:t>
      </w:r>
      <w:r>
        <w:rPr>
          <w:rFonts w:ascii="宋体" w:hAnsi="宋体" w:eastAsia="宋体" w:cs="宋体"/>
          <w:color w:val="auto"/>
          <w:highlight w:val="none"/>
        </w:rPr>
        <w:t xml:space="preserve"> </w:t>
      </w:r>
      <w:r>
        <w:rPr>
          <w:rFonts w:hint="eastAsia" w:ascii="宋体" w:hAnsi="宋体" w:eastAsia="宋体" w:cs="宋体"/>
          <w:color w:val="auto"/>
          <w:highlight w:val="none"/>
        </w:rPr>
        <w:t>中国人民银行广州分行营业管理部关于开展广州市政府采购合同线上融资业务的通知》（穗财采</w:t>
      </w:r>
      <w:r>
        <w:rPr>
          <w:rFonts w:ascii="宋体" w:hAnsi="宋体" w:eastAsia="宋体" w:cs="宋体"/>
          <w:color w:val="auto"/>
          <w:highlight w:val="none"/>
        </w:rPr>
        <w:t>[2020]9</w:t>
      </w:r>
      <w:r>
        <w:rPr>
          <w:rFonts w:hint="eastAsia" w:ascii="宋体" w:hAnsi="宋体" w:eastAsia="宋体" w:cs="宋体"/>
          <w:color w:val="auto"/>
          <w:highlight w:val="none"/>
        </w:rPr>
        <w:t>号）</w:t>
      </w:r>
    </w:p>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5</w:t>
      </w:r>
      <w:r>
        <w:rPr>
          <w:rFonts w:hint="eastAsia" w:ascii="宋体" w:hAnsi="宋体" w:eastAsia="宋体" w:cs="宋体"/>
          <w:color w:val="auto"/>
          <w:highlight w:val="none"/>
        </w:rPr>
        <w:t>）《广州市财政局关于进一步做好已融资政府采购合同支付工作的通知》</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分包和转包</w:t>
      </w:r>
    </w:p>
    <w:p>
      <w:pPr>
        <w:numPr>
          <w:ilvl w:val="1"/>
          <w:numId w:val="4"/>
        </w:numPr>
        <w:autoSpaceDE w:val="0"/>
        <w:autoSpaceDN w:val="0"/>
        <w:adjustRightInd w:val="0"/>
        <w:snapToGrid w:val="0"/>
        <w:spacing w:line="360" w:lineRule="auto"/>
        <w:outlineLvl w:val="0"/>
        <w:rPr>
          <w:rFonts w:ascii="宋体" w:hAnsi="宋体" w:eastAsia="宋体" w:cs="Times New Roman"/>
          <w:color w:val="auto"/>
          <w:highlight w:val="none"/>
        </w:rPr>
      </w:pPr>
      <w:r>
        <w:rPr>
          <w:rFonts w:hint="eastAsia" w:ascii="宋体" w:hAnsi="宋体" w:eastAsia="宋体" w:cs="宋体"/>
          <w:color w:val="auto"/>
          <w:highlight w:val="none"/>
        </w:rPr>
        <w:t>未经采购人同意，中标人不得将项目的全部或任何部分分包和转包给他人。</w:t>
      </w:r>
    </w:p>
    <w:p>
      <w:pPr>
        <w:numPr>
          <w:ilvl w:val="1"/>
          <w:numId w:val="4"/>
        </w:numPr>
        <w:autoSpaceDE w:val="0"/>
        <w:autoSpaceDN w:val="0"/>
        <w:adjustRightInd w:val="0"/>
        <w:snapToGrid w:val="0"/>
        <w:spacing w:line="360" w:lineRule="auto"/>
        <w:outlineLvl w:val="0"/>
        <w:rPr>
          <w:rFonts w:ascii="宋体" w:hAnsi="宋体" w:eastAsia="宋体" w:cs="Times New Roman"/>
          <w:color w:val="auto"/>
          <w:highlight w:val="none"/>
        </w:rPr>
      </w:pPr>
      <w:r>
        <w:rPr>
          <w:rFonts w:hint="eastAsia" w:ascii="宋体" w:hAnsi="宋体" w:eastAsia="宋体" w:cs="宋体"/>
          <w:color w:val="auto"/>
          <w:highlight w:val="none"/>
        </w:rPr>
        <w:t>经采购单位同意，中标（成交）供应商可以依法将采购项目的非主体、非关键性工作进行分包。政府采购合同分包履行的，中标（成交）供应商就采购项目和分包项目向采购人负责，分包供应商就分包项目承担责任。中小企业依据价格扣除相关政策获取政府采购合同后，小型、微型企业不得分包或转包给大型、中型企业，中型企业不得分包或转包给大型企业。</w:t>
      </w:r>
    </w:p>
    <w:p>
      <w:pPr>
        <w:numPr>
          <w:ilvl w:val="1"/>
          <w:numId w:val="4"/>
        </w:numPr>
        <w:autoSpaceDE w:val="0"/>
        <w:autoSpaceDN w:val="0"/>
        <w:adjustRightInd w:val="0"/>
        <w:snapToGrid w:val="0"/>
        <w:spacing w:line="360" w:lineRule="auto"/>
        <w:outlineLvl w:val="0"/>
        <w:rPr>
          <w:rFonts w:ascii="Times New Roman" w:hAnsi="Times New Roman" w:eastAsia="宋体" w:cs="Times New Roman"/>
          <w:color w:val="auto"/>
          <w:highlight w:val="none"/>
        </w:rPr>
      </w:pPr>
      <w:r>
        <w:rPr>
          <w:rFonts w:hint="eastAsia" w:ascii="宋体" w:hAnsi="宋体" w:eastAsia="宋体" w:cs="宋体"/>
          <w:color w:val="auto"/>
          <w:highlight w:val="none"/>
        </w:rPr>
        <w:t>禁止中标（成交）供应商将其政府采购合同转包。采购单位在项目实施中，适时对照投标（响应）文件和合同对项目负责人、技术负责人等项目主要人员的身份、资格进行核验，对标的物数量、厂家、品牌、规格型号、产地进行核实，监督供应商严格按照合同约定履行责任和义务，及时发现、制止和纠正供应商将责任和义务全部或肢解后以分包名义分别转包给其他单位和个人履行的违法行为。</w:t>
      </w:r>
    </w:p>
    <w:p>
      <w:pPr>
        <w:numPr>
          <w:ilvl w:val="0"/>
          <w:numId w:val="4"/>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其他</w:t>
      </w:r>
      <w:bookmarkEnd w:id="225"/>
      <w:bookmarkEnd w:id="226"/>
    </w:p>
    <w:p>
      <w:pPr>
        <w:numPr>
          <w:ilvl w:val="1"/>
          <w:numId w:val="4"/>
        </w:numPr>
        <w:autoSpaceDE w:val="0"/>
        <w:autoSpaceDN w:val="0"/>
        <w:adjustRightInd w:val="0"/>
        <w:snapToGrid w:val="0"/>
        <w:spacing w:line="360" w:lineRule="auto"/>
        <w:outlineLvl w:val="0"/>
        <w:rPr>
          <w:rFonts w:ascii="宋体" w:hAnsi="宋体" w:eastAsia="宋体" w:cs="Times New Roman"/>
          <w:color w:val="auto"/>
          <w:highlight w:val="none"/>
        </w:rPr>
      </w:pPr>
      <w:bookmarkStart w:id="227" w:name="_Toc475104519"/>
      <w:bookmarkStart w:id="228" w:name="_Toc363737724"/>
      <w:r>
        <w:rPr>
          <w:rFonts w:hint="eastAsia" w:ascii="宋体" w:hAnsi="宋体" w:eastAsia="宋体" w:cs="宋体"/>
          <w:color w:val="auto"/>
          <w:highlight w:val="none"/>
        </w:rPr>
        <w:t>本项目相关公告在以下媒体发布：中国采购与招标网（网址：</w:t>
      </w:r>
      <w:r>
        <w:rPr>
          <w:rFonts w:ascii="宋体" w:hAnsi="宋体" w:eastAsia="宋体" w:cs="宋体"/>
          <w:color w:val="auto"/>
          <w:highlight w:val="none"/>
        </w:rPr>
        <w:t>www.chinabidding.cn</w:t>
      </w:r>
      <w:r>
        <w:rPr>
          <w:rFonts w:hint="eastAsia" w:ascii="宋体" w:hAnsi="宋体" w:eastAsia="宋体" w:cs="宋体"/>
          <w:color w:val="auto"/>
          <w:highlight w:val="none"/>
        </w:rPr>
        <w:t>）和广州市信怡招标代理有限公司网站（</w:t>
      </w:r>
      <w:r>
        <w:rPr>
          <w:rFonts w:ascii="宋体" w:hAnsi="宋体" w:eastAsia="宋体" w:cs="宋体"/>
          <w:color w:val="auto"/>
          <w:highlight w:val="none"/>
        </w:rPr>
        <w:t>www.gzxyzb.com</w:t>
      </w:r>
      <w:r>
        <w:rPr>
          <w:rFonts w:hint="eastAsia" w:ascii="宋体" w:hAnsi="宋体" w:eastAsia="宋体" w:cs="宋体"/>
          <w:color w:val="auto"/>
          <w:highlight w:val="none"/>
        </w:rPr>
        <w:t>）。相关公告在法定媒体上公布之日即视为有效送达，不再另行通知。</w:t>
      </w:r>
      <w:bookmarkEnd w:id="227"/>
      <w:bookmarkEnd w:id="228"/>
    </w:p>
    <w:p>
      <w:pPr>
        <w:numPr>
          <w:ilvl w:val="1"/>
          <w:numId w:val="4"/>
        </w:numPr>
        <w:autoSpaceDE w:val="0"/>
        <w:autoSpaceDN w:val="0"/>
        <w:adjustRightInd w:val="0"/>
        <w:snapToGrid w:val="0"/>
        <w:spacing w:line="360" w:lineRule="auto"/>
        <w:outlineLvl w:val="0"/>
        <w:rPr>
          <w:rFonts w:ascii="宋体" w:hAnsi="宋体" w:eastAsia="宋体" w:cs="Times New Roman"/>
          <w:color w:val="auto"/>
          <w:highlight w:val="none"/>
        </w:rPr>
      </w:pPr>
      <w:r>
        <w:rPr>
          <w:rFonts w:hint="eastAsia" w:ascii="宋体" w:hAnsi="宋体" w:eastAsia="宋体" w:cs="宋体"/>
          <w:color w:val="auto"/>
          <w:highlight w:val="none"/>
        </w:rPr>
        <w:t>询问函、质疑函格式</w:t>
      </w:r>
    </w:p>
    <w:p>
      <w:pPr>
        <w:snapToGrid w:val="0"/>
        <w:spacing w:line="360" w:lineRule="auto"/>
        <w:ind w:firstLine="424" w:firstLineChars="201"/>
        <w:rPr>
          <w:rFonts w:ascii="宋体" w:hAnsi="Times New Roman" w:eastAsia="宋体" w:cs="Times New Roman"/>
          <w:b/>
          <w:bCs/>
          <w:color w:val="auto"/>
          <w:highlight w:val="none"/>
        </w:rPr>
      </w:pPr>
      <w:r>
        <w:rPr>
          <w:rFonts w:hint="eastAsia" w:ascii="宋体" w:hAnsi="宋体" w:eastAsia="宋体" w:cs="宋体"/>
          <w:b/>
          <w:bCs/>
          <w:color w:val="auto"/>
          <w:highlight w:val="none"/>
        </w:rPr>
        <w:t>说明：本部分格式为</w:t>
      </w:r>
      <w:r>
        <w:rPr>
          <w:rFonts w:hint="eastAsia" w:ascii="宋体" w:hAnsi="宋体" w:eastAsia="宋体" w:cs="宋体"/>
          <w:b/>
          <w:bCs/>
          <w:color w:val="auto"/>
          <w:highlight w:val="none"/>
          <w:lang w:eastAsia="zh-CN"/>
        </w:rPr>
        <w:t>供应商</w:t>
      </w:r>
      <w:r>
        <w:rPr>
          <w:rFonts w:hint="eastAsia" w:ascii="宋体" w:hAnsi="宋体" w:eastAsia="宋体" w:cs="宋体"/>
          <w:b/>
          <w:bCs/>
          <w:color w:val="auto"/>
          <w:highlight w:val="none"/>
        </w:rPr>
        <w:t>提交询问函、质疑函时使用，不属于遴选响应文件格式的组成部分。</w:t>
      </w:r>
    </w:p>
    <w:p>
      <w:pPr>
        <w:spacing w:after="120" w:afterLines="50"/>
        <w:jc w:val="center"/>
        <w:rPr>
          <w:rFonts w:ascii="宋体" w:hAnsi="Times New Roman" w:eastAsia="宋体" w:cs="Times New Roman"/>
          <w:b/>
          <w:bCs/>
          <w:color w:val="auto"/>
          <w:sz w:val="28"/>
          <w:szCs w:val="28"/>
          <w:highlight w:val="none"/>
        </w:rPr>
      </w:pPr>
      <w:r>
        <w:rPr>
          <w:rFonts w:hint="eastAsia" w:ascii="宋体" w:hAnsi="宋体" w:eastAsia="宋体" w:cs="宋体"/>
          <w:b/>
          <w:bCs/>
          <w:color w:val="auto"/>
          <w:sz w:val="28"/>
          <w:szCs w:val="28"/>
          <w:highlight w:val="none"/>
        </w:rPr>
        <w:t>询</w:t>
      </w:r>
      <w:r>
        <w:rPr>
          <w:rFonts w:ascii="宋体" w:hAnsi="宋体" w:eastAsia="宋体" w:cs="宋体"/>
          <w:b/>
          <w:bCs/>
          <w:color w:val="auto"/>
          <w:sz w:val="28"/>
          <w:szCs w:val="28"/>
          <w:highlight w:val="none"/>
        </w:rPr>
        <w:t xml:space="preserve">  </w:t>
      </w:r>
      <w:r>
        <w:rPr>
          <w:rFonts w:hint="eastAsia" w:ascii="宋体" w:hAnsi="宋体" w:eastAsia="宋体" w:cs="宋体"/>
          <w:b/>
          <w:bCs/>
          <w:color w:val="auto"/>
          <w:sz w:val="28"/>
          <w:szCs w:val="28"/>
          <w:highlight w:val="none"/>
        </w:rPr>
        <w:t>问</w:t>
      </w:r>
      <w:r>
        <w:rPr>
          <w:rFonts w:ascii="宋体" w:hAnsi="宋体" w:eastAsia="宋体" w:cs="宋体"/>
          <w:b/>
          <w:bCs/>
          <w:color w:val="auto"/>
          <w:sz w:val="28"/>
          <w:szCs w:val="28"/>
          <w:highlight w:val="none"/>
        </w:rPr>
        <w:t xml:space="preserve">  </w:t>
      </w:r>
      <w:r>
        <w:rPr>
          <w:rFonts w:hint="eastAsia" w:ascii="宋体" w:hAnsi="宋体" w:eastAsia="宋体" w:cs="宋体"/>
          <w:b/>
          <w:bCs/>
          <w:color w:val="auto"/>
          <w:sz w:val="28"/>
          <w:szCs w:val="28"/>
          <w:highlight w:val="none"/>
        </w:rPr>
        <w:t>函</w:t>
      </w:r>
    </w:p>
    <w:p>
      <w:pPr>
        <w:widowControl/>
        <w:snapToGrid w:val="0"/>
        <w:spacing w:line="360" w:lineRule="auto"/>
        <w:rPr>
          <w:rFonts w:ascii="宋体" w:hAnsi="Times New Roman" w:eastAsia="宋体" w:cs="Times New Roman"/>
          <w:b/>
          <w:bCs/>
          <w:color w:val="auto"/>
          <w:highlight w:val="none"/>
        </w:rPr>
      </w:pPr>
      <w:r>
        <w:rPr>
          <w:rFonts w:hint="eastAsia" w:ascii="宋体" w:hAnsi="宋体" w:eastAsia="宋体" w:cs="宋体"/>
          <w:b/>
          <w:bCs/>
          <w:color w:val="auto"/>
          <w:highlight w:val="none"/>
        </w:rPr>
        <w:t>广州市信怡招标代理有限公司：</w:t>
      </w:r>
    </w:p>
    <w:p>
      <w:pPr>
        <w:widowControl/>
        <w:tabs>
          <w:tab w:val="left" w:pos="6300"/>
        </w:tabs>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我单位已报名并准备参与</w:t>
      </w:r>
      <w:r>
        <w:rPr>
          <w:rFonts w:hint="eastAsia" w:ascii="宋体" w:hAnsi="宋体" w:eastAsia="宋体" w:cs="宋体"/>
          <w:color w:val="auto"/>
          <w:highlight w:val="none"/>
          <w:u w:val="single"/>
        </w:rPr>
        <w:t>（项目名称）</w:t>
      </w:r>
      <w:r>
        <w:rPr>
          <w:rFonts w:hint="eastAsia" w:ascii="宋体" w:hAnsi="宋体" w:eastAsia="宋体" w:cs="宋体"/>
          <w:color w:val="auto"/>
          <w:highlight w:val="none"/>
        </w:rPr>
        <w:t>项目（项目采购编号：</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）的投标（或报价）活动，现有以下几个内容（或条款）存在疑问（或无法理解），特提出询问。</w:t>
      </w:r>
    </w:p>
    <w:p>
      <w:pPr>
        <w:widowControl/>
        <w:tabs>
          <w:tab w:val="center" w:pos="5019"/>
        </w:tabs>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一、</w:t>
      </w:r>
      <w:r>
        <w:rPr>
          <w:rFonts w:ascii="宋体" w:hAnsi="宋体" w:eastAsia="宋体" w:cs="宋体"/>
          <w:color w:val="auto"/>
          <w:highlight w:val="none"/>
        </w:rPr>
        <w:t>_____________________</w:t>
      </w:r>
      <w:r>
        <w:rPr>
          <w:rFonts w:hint="eastAsia" w:ascii="宋体" w:hAnsi="宋体" w:eastAsia="宋体" w:cs="宋体"/>
          <w:color w:val="auto"/>
          <w:highlight w:val="none"/>
        </w:rPr>
        <w:t>（事项一）</w:t>
      </w:r>
      <w:r>
        <w:rPr>
          <w:rFonts w:ascii="宋体" w:hAnsi="Times New Roman" w:eastAsia="宋体" w:cs="Times New Roman"/>
          <w:color w:val="auto"/>
          <w:highlight w:val="none"/>
        </w:rPr>
        <w:tab/>
      </w:r>
    </w:p>
    <w:p>
      <w:pPr>
        <w:widowControl/>
        <w:tabs>
          <w:tab w:val="left" w:pos="6300"/>
        </w:tabs>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1</w:t>
      </w:r>
      <w:r>
        <w:rPr>
          <w:rFonts w:hint="eastAsia" w:ascii="宋体" w:hAnsi="宋体" w:eastAsia="宋体" w:cs="宋体"/>
          <w:color w:val="auto"/>
          <w:highlight w:val="none"/>
        </w:rPr>
        <w:t>）</w:t>
      </w:r>
      <w:r>
        <w:rPr>
          <w:rFonts w:ascii="宋体" w:hAnsi="宋体" w:eastAsia="宋体" w:cs="宋体"/>
          <w:color w:val="auto"/>
          <w:highlight w:val="none"/>
        </w:rPr>
        <w:t>____________________</w:t>
      </w:r>
      <w:r>
        <w:rPr>
          <w:rFonts w:hint="eastAsia" w:ascii="宋体" w:hAnsi="宋体" w:eastAsia="宋体" w:cs="宋体"/>
          <w:color w:val="auto"/>
          <w:highlight w:val="none"/>
        </w:rPr>
        <w:t>（问题或条款内容）</w:t>
      </w:r>
    </w:p>
    <w:p>
      <w:pPr>
        <w:widowControl/>
        <w:tabs>
          <w:tab w:val="left" w:pos="6300"/>
        </w:tabs>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w:t>
      </w:r>
      <w:r>
        <w:rPr>
          <w:rFonts w:ascii="宋体" w:hAnsi="宋体" w:eastAsia="宋体" w:cs="宋体"/>
          <w:color w:val="auto"/>
          <w:highlight w:val="none"/>
        </w:rPr>
        <w:t>____________________</w:t>
      </w:r>
      <w:r>
        <w:rPr>
          <w:rFonts w:hint="eastAsia" w:ascii="宋体" w:hAnsi="宋体" w:eastAsia="宋体" w:cs="宋体"/>
          <w:color w:val="auto"/>
          <w:highlight w:val="none"/>
        </w:rPr>
        <w:t>（说明疑问或无法理解原因）</w:t>
      </w:r>
    </w:p>
    <w:p>
      <w:pPr>
        <w:widowControl/>
        <w:tabs>
          <w:tab w:val="left" w:pos="6300"/>
        </w:tabs>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3</w:t>
      </w:r>
      <w:r>
        <w:rPr>
          <w:rFonts w:hint="eastAsia" w:ascii="宋体" w:hAnsi="宋体" w:eastAsia="宋体" w:cs="宋体"/>
          <w:color w:val="auto"/>
          <w:highlight w:val="none"/>
        </w:rPr>
        <w:t>）</w:t>
      </w:r>
      <w:r>
        <w:rPr>
          <w:rFonts w:ascii="宋体" w:hAnsi="宋体" w:eastAsia="宋体" w:cs="宋体"/>
          <w:color w:val="auto"/>
          <w:highlight w:val="none"/>
        </w:rPr>
        <w:t>____________________</w:t>
      </w:r>
      <w:r>
        <w:rPr>
          <w:rFonts w:hint="eastAsia" w:ascii="宋体" w:hAnsi="宋体" w:eastAsia="宋体" w:cs="宋体"/>
          <w:color w:val="auto"/>
          <w:highlight w:val="none"/>
        </w:rPr>
        <w:t>（建议）</w:t>
      </w:r>
    </w:p>
    <w:p>
      <w:pPr>
        <w:widowControl/>
        <w:tabs>
          <w:tab w:val="left" w:pos="6300"/>
        </w:tabs>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二、</w:t>
      </w:r>
      <w:r>
        <w:rPr>
          <w:rFonts w:ascii="宋体" w:hAnsi="宋体" w:eastAsia="宋体" w:cs="宋体"/>
          <w:color w:val="auto"/>
          <w:highlight w:val="none"/>
        </w:rPr>
        <w:t>_____________________</w:t>
      </w:r>
      <w:r>
        <w:rPr>
          <w:rFonts w:hint="eastAsia" w:ascii="宋体" w:hAnsi="宋体" w:eastAsia="宋体" w:cs="宋体"/>
          <w:color w:val="auto"/>
          <w:highlight w:val="none"/>
        </w:rPr>
        <w:t>（事项二）</w:t>
      </w:r>
    </w:p>
    <w:p>
      <w:pPr>
        <w:widowControl/>
        <w:tabs>
          <w:tab w:val="left" w:pos="6300"/>
        </w:tabs>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w:t>
      </w:r>
    </w:p>
    <w:p>
      <w:pPr>
        <w:widowControl/>
        <w:tabs>
          <w:tab w:val="left" w:pos="6300"/>
        </w:tabs>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随附相关证明材料如下：（目录）。</w:t>
      </w:r>
    </w:p>
    <w:p>
      <w:pPr>
        <w:widowControl/>
        <w:tabs>
          <w:tab w:val="left" w:pos="6300"/>
        </w:tabs>
        <w:snapToGrid w:val="0"/>
        <w:spacing w:line="360" w:lineRule="auto"/>
        <w:ind w:firstLine="420" w:firstLineChars="200"/>
        <w:rPr>
          <w:rFonts w:ascii="宋体" w:hAnsi="宋体" w:eastAsia="宋体" w:cs="宋体"/>
          <w:color w:val="auto"/>
          <w:highlight w:val="none"/>
        </w:rPr>
      </w:pPr>
      <w:r>
        <w:rPr>
          <w:rFonts w:hint="eastAsia" w:ascii="宋体" w:hAnsi="宋体" w:eastAsia="宋体" w:cs="宋体"/>
          <w:color w:val="auto"/>
          <w:highlight w:val="none"/>
        </w:rPr>
        <w:t>询问人全称（加盖公章）</w:t>
      </w:r>
      <w:r>
        <w:rPr>
          <w:rFonts w:ascii="宋体" w:hAnsi="宋体" w:eastAsia="宋体" w:cs="宋体"/>
          <w:color w:val="auto"/>
          <w:highlight w:val="none"/>
        </w:rPr>
        <w:t>:</w:t>
      </w:r>
    </w:p>
    <w:p>
      <w:pPr>
        <w:widowControl/>
        <w:tabs>
          <w:tab w:val="left" w:pos="6300"/>
        </w:tabs>
        <w:snapToGrid w:val="0"/>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法定代表或其授权代表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widowControl/>
        <w:tabs>
          <w:tab w:val="left" w:pos="6300"/>
        </w:tabs>
        <w:snapToGrid w:val="0"/>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地址</w:t>
      </w:r>
      <w:r>
        <w:rPr>
          <w:rFonts w:ascii="宋体" w:hAnsi="宋体" w:eastAsia="宋体" w:cs="宋体"/>
          <w:color w:val="auto"/>
          <w:highlight w:val="none"/>
        </w:rPr>
        <w:t>/</w:t>
      </w:r>
      <w:r>
        <w:rPr>
          <w:rFonts w:hint="eastAsia" w:ascii="宋体" w:hAnsi="宋体" w:eastAsia="宋体" w:cs="宋体"/>
          <w:color w:val="auto"/>
          <w:highlight w:val="none"/>
        </w:rPr>
        <w:t>邮编：</w:t>
      </w:r>
    </w:p>
    <w:p>
      <w:pPr>
        <w:widowControl/>
        <w:tabs>
          <w:tab w:val="left" w:pos="6300"/>
        </w:tabs>
        <w:snapToGrid w:val="0"/>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电话</w:t>
      </w:r>
      <w:r>
        <w:rPr>
          <w:rFonts w:ascii="宋体" w:hAnsi="宋体" w:eastAsia="宋体" w:cs="宋体"/>
          <w:color w:val="auto"/>
          <w:highlight w:val="none"/>
        </w:rPr>
        <w:t>/</w:t>
      </w:r>
      <w:r>
        <w:rPr>
          <w:rFonts w:hint="eastAsia" w:ascii="宋体" w:hAnsi="宋体" w:eastAsia="宋体" w:cs="宋体"/>
          <w:color w:val="auto"/>
          <w:highlight w:val="none"/>
        </w:rPr>
        <w:t>传真：</w:t>
      </w:r>
    </w:p>
    <w:p>
      <w:pPr>
        <w:widowControl/>
        <w:tabs>
          <w:tab w:val="left" w:pos="6300"/>
        </w:tabs>
        <w:snapToGrid w:val="0"/>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napToGrid w:val="0"/>
        <w:spacing w:line="360" w:lineRule="auto"/>
        <w:ind w:firstLine="422" w:firstLineChars="201"/>
        <w:rPr>
          <w:rFonts w:ascii="宋体" w:hAnsi="Times New Roman" w:eastAsia="宋体" w:cs="Times New Roman"/>
          <w:color w:val="auto"/>
          <w:highlight w:val="none"/>
        </w:rPr>
      </w:pPr>
    </w:p>
    <w:p>
      <w:pPr>
        <w:spacing w:line="440" w:lineRule="exact"/>
        <w:rPr>
          <w:rFonts w:ascii="宋体" w:hAnsi="Times New Roman" w:eastAsia="宋体" w:cs="Times New Roman"/>
          <w:color w:val="auto"/>
          <w:sz w:val="24"/>
          <w:szCs w:val="24"/>
          <w:highlight w:val="none"/>
        </w:rPr>
      </w:pPr>
    </w:p>
    <w:p>
      <w:pPr>
        <w:spacing w:after="120" w:afterLines="50"/>
        <w:jc w:val="center"/>
        <w:rPr>
          <w:rFonts w:ascii="宋体" w:hAnsi="Times New Roman" w:eastAsia="宋体" w:cs="Times New Roman"/>
          <w:b/>
          <w:bCs/>
          <w:color w:val="auto"/>
          <w:sz w:val="28"/>
          <w:szCs w:val="28"/>
          <w:highlight w:val="none"/>
        </w:rPr>
      </w:pPr>
      <w:r>
        <w:rPr>
          <w:rFonts w:hint="eastAsia" w:ascii="宋体" w:hAnsi="宋体" w:eastAsia="宋体" w:cs="宋体"/>
          <w:b/>
          <w:bCs/>
          <w:color w:val="auto"/>
          <w:sz w:val="28"/>
          <w:szCs w:val="28"/>
          <w:highlight w:val="none"/>
        </w:rPr>
        <w:t>质</w:t>
      </w:r>
      <w:r>
        <w:rPr>
          <w:rFonts w:ascii="宋体" w:hAnsi="宋体" w:eastAsia="宋体" w:cs="宋体"/>
          <w:b/>
          <w:bCs/>
          <w:color w:val="auto"/>
          <w:sz w:val="28"/>
          <w:szCs w:val="28"/>
          <w:highlight w:val="none"/>
        </w:rPr>
        <w:t xml:space="preserve">  </w:t>
      </w:r>
      <w:r>
        <w:rPr>
          <w:rFonts w:hint="eastAsia" w:ascii="宋体" w:hAnsi="宋体" w:eastAsia="宋体" w:cs="宋体"/>
          <w:b/>
          <w:bCs/>
          <w:color w:val="auto"/>
          <w:sz w:val="28"/>
          <w:szCs w:val="28"/>
          <w:highlight w:val="none"/>
        </w:rPr>
        <w:t>疑</w:t>
      </w:r>
      <w:r>
        <w:rPr>
          <w:rFonts w:ascii="宋体" w:hAnsi="宋体" w:eastAsia="宋体" w:cs="宋体"/>
          <w:b/>
          <w:bCs/>
          <w:color w:val="auto"/>
          <w:sz w:val="28"/>
          <w:szCs w:val="28"/>
          <w:highlight w:val="none"/>
        </w:rPr>
        <w:t xml:space="preserve">  </w:t>
      </w:r>
      <w:r>
        <w:rPr>
          <w:rFonts w:hint="eastAsia" w:ascii="宋体" w:hAnsi="宋体" w:eastAsia="宋体" w:cs="宋体"/>
          <w:b/>
          <w:bCs/>
          <w:color w:val="auto"/>
          <w:sz w:val="28"/>
          <w:szCs w:val="28"/>
          <w:highlight w:val="none"/>
        </w:rPr>
        <w:t>函</w:t>
      </w:r>
    </w:p>
    <w:p>
      <w:pPr>
        <w:widowControl/>
        <w:spacing w:line="360" w:lineRule="auto"/>
        <w:jc w:val="center"/>
        <w:rPr>
          <w:rFonts w:ascii="宋体" w:hAnsi="Times New Roman" w:eastAsia="宋体" w:cs="Times New Roman"/>
          <w:b/>
          <w:bCs/>
          <w:color w:val="auto"/>
          <w:spacing w:val="10"/>
          <w:highlight w:val="none"/>
        </w:rPr>
      </w:pPr>
      <w:r>
        <w:rPr>
          <w:rFonts w:ascii="宋体" w:hAnsi="宋体" w:eastAsia="宋体" w:cs="宋体"/>
          <w:color w:val="auto"/>
          <w:spacing w:val="10"/>
          <w:highlight w:val="none"/>
        </w:rPr>
        <w:t xml:space="preserve"> (</w:t>
      </w:r>
      <w:r>
        <w:rPr>
          <w:rFonts w:hint="eastAsia" w:ascii="宋体" w:hAnsi="宋体" w:eastAsia="宋体" w:cs="宋体"/>
          <w:color w:val="auto"/>
          <w:spacing w:val="10"/>
          <w:highlight w:val="none"/>
        </w:rPr>
        <w:t>可根据质疑内容增加或删减</w:t>
      </w:r>
      <w:r>
        <w:rPr>
          <w:rFonts w:ascii="宋体" w:hAnsi="宋体" w:eastAsia="宋体" w:cs="宋体"/>
          <w:color w:val="auto"/>
          <w:spacing w:val="10"/>
          <w:highlight w:val="none"/>
        </w:rPr>
        <w:t>)</w:t>
      </w:r>
    </w:p>
    <w:p>
      <w:pPr>
        <w:widowControl/>
        <w:snapToGrid w:val="0"/>
        <w:spacing w:line="360" w:lineRule="auto"/>
        <w:rPr>
          <w:rFonts w:ascii="宋体" w:hAnsi="Times New Roman" w:eastAsia="宋体" w:cs="Times New Roman"/>
          <w:b/>
          <w:bCs/>
          <w:color w:val="auto"/>
          <w:highlight w:val="none"/>
        </w:rPr>
      </w:pPr>
      <w:r>
        <w:rPr>
          <w:rFonts w:hint="eastAsia" w:ascii="宋体" w:hAnsi="宋体" w:eastAsia="宋体" w:cs="宋体"/>
          <w:b/>
          <w:bCs/>
          <w:color w:val="auto"/>
          <w:highlight w:val="none"/>
        </w:rPr>
        <w:t>广州市信怡招标代理有限公司：</w:t>
      </w:r>
    </w:p>
    <w:p>
      <w:pPr>
        <w:widowControl/>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我公司依法参与了</w:t>
      </w:r>
      <w:r>
        <w:rPr>
          <w:rFonts w:hint="eastAsia" w:ascii="宋体" w:hAnsi="宋体" w:eastAsia="宋体" w:cs="宋体"/>
          <w:color w:val="auto"/>
          <w:highlight w:val="none"/>
          <w:u w:val="single"/>
        </w:rPr>
        <w:t>（采购代理机构或采购人）</w:t>
      </w:r>
      <w:r>
        <w:rPr>
          <w:rFonts w:hint="eastAsia" w:ascii="宋体" w:hAnsi="宋体" w:eastAsia="宋体" w:cs="宋体"/>
          <w:color w:val="auto"/>
          <w:highlight w:val="none"/>
        </w:rPr>
        <w:t>于</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日组织的政府采购活动。根据《政府采购法》和《政府采购供应商投诉处理办法》等规定，我公司认为</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（采购项目名称）（采购项目编号：</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w:t>
      </w:r>
      <w:r>
        <w:rPr>
          <w:rFonts w:hint="eastAsia" w:ascii="宋体" w:hAnsi="宋体" w:eastAsia="宋体" w:cs="宋体"/>
          <w:color w:val="auto"/>
          <w:highlight w:val="none"/>
        </w:rPr>
        <w:t>项目的采购活动中，</w:t>
      </w:r>
      <w:r>
        <w:rPr>
          <w:rFonts w:hint="eastAsia" w:ascii="宋体" w:hAnsi="宋体" w:eastAsia="宋体" w:cs="宋体"/>
          <w:color w:val="auto"/>
          <w:highlight w:val="none"/>
          <w:u w:val="single"/>
        </w:rPr>
        <w:t>（公开遴选文件、采购过程、中标</w:t>
      </w:r>
      <w:r>
        <w:rPr>
          <w:rFonts w:ascii="宋体" w:hAnsi="宋体" w:eastAsia="宋体" w:cs="宋体"/>
          <w:color w:val="auto"/>
          <w:highlight w:val="none"/>
          <w:u w:val="single"/>
        </w:rPr>
        <w:t>/</w:t>
      </w:r>
      <w:r>
        <w:rPr>
          <w:rFonts w:hint="eastAsia" w:ascii="宋体" w:hAnsi="宋体" w:eastAsia="宋体" w:cs="宋体"/>
          <w:color w:val="auto"/>
          <w:highlight w:val="none"/>
          <w:u w:val="single"/>
        </w:rPr>
        <w:t>成交结果）</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损害了我公司权益，特提出质疑。</w:t>
      </w:r>
    </w:p>
    <w:p>
      <w:pPr>
        <w:widowControl/>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一、我公司认为项目的</w:t>
      </w:r>
      <w:r>
        <w:rPr>
          <w:rFonts w:hint="eastAsia" w:ascii="宋体" w:hAnsi="宋体" w:eastAsia="宋体" w:cs="宋体"/>
          <w:color w:val="auto"/>
          <w:highlight w:val="none"/>
          <w:u w:val="single"/>
        </w:rPr>
        <w:t>（公开遴选文件、采购过程、中标</w:t>
      </w:r>
      <w:r>
        <w:rPr>
          <w:rFonts w:ascii="宋体" w:hAnsi="宋体" w:eastAsia="宋体" w:cs="宋体"/>
          <w:color w:val="auto"/>
          <w:highlight w:val="none"/>
          <w:u w:val="single"/>
        </w:rPr>
        <w:t>/</w:t>
      </w:r>
      <w:r>
        <w:rPr>
          <w:rFonts w:hint="eastAsia" w:ascii="宋体" w:hAnsi="宋体" w:eastAsia="宋体" w:cs="宋体"/>
          <w:color w:val="auto"/>
          <w:highlight w:val="none"/>
          <w:u w:val="single"/>
        </w:rPr>
        <w:t>成交结果）</w:t>
      </w:r>
      <w:r>
        <w:rPr>
          <w:rFonts w:hint="eastAsia" w:ascii="宋体" w:hAnsi="宋体" w:eastAsia="宋体" w:cs="宋体"/>
          <w:color w:val="auto"/>
          <w:highlight w:val="none"/>
        </w:rPr>
        <w:t>损害了我司权益，具体事项如下（每个质疑事项应有与之相对应的证据予以支持。质疑事项属于涉密的，应提供信息来源或有效证据）：</w:t>
      </w:r>
    </w:p>
    <w:p>
      <w:pPr>
        <w:widowControl/>
        <w:snapToGrid w:val="0"/>
        <w:spacing w:line="360" w:lineRule="auto"/>
        <w:ind w:firstLine="422" w:firstLineChars="200"/>
        <w:rPr>
          <w:rFonts w:ascii="宋体" w:hAnsi="Times New Roman" w:eastAsia="宋体" w:cs="Times New Roman"/>
          <w:b/>
          <w:bCs/>
          <w:color w:val="auto"/>
          <w:highlight w:val="none"/>
        </w:rPr>
      </w:pPr>
      <w:r>
        <w:rPr>
          <w:rFonts w:hint="eastAsia" w:ascii="宋体" w:hAnsi="宋体" w:eastAsia="宋体" w:cs="宋体"/>
          <w:b/>
          <w:bCs/>
          <w:color w:val="auto"/>
          <w:highlight w:val="none"/>
        </w:rPr>
        <w:t>质疑公开遴选文件</w:t>
      </w:r>
    </w:p>
    <w:p>
      <w:pPr>
        <w:widowControl/>
        <w:snapToGrid w:val="0"/>
        <w:spacing w:line="360" w:lineRule="auto"/>
        <w:ind w:firstLine="420" w:firstLineChars="200"/>
        <w:rPr>
          <w:rFonts w:ascii="宋体" w:hAnsi="Times New Roman"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．质疑内容公开遴选文件页，内容“</w:t>
      </w:r>
      <w:r>
        <w:rPr>
          <w:rFonts w:ascii="宋体" w:hAnsi="宋体" w:eastAsia="宋体" w:cs="宋体"/>
          <w:color w:val="auto"/>
          <w:highlight w:val="none"/>
        </w:rPr>
        <w:t xml:space="preserve">  </w:t>
      </w:r>
      <w:r>
        <w:rPr>
          <w:rFonts w:hint="eastAsia" w:ascii="宋体" w:hAnsi="宋体" w:eastAsia="宋体" w:cs="宋体"/>
          <w:color w:val="auto"/>
          <w:highlight w:val="none"/>
        </w:rPr>
        <w:t>”</w:t>
      </w:r>
      <w:r>
        <w:rPr>
          <w:rFonts w:ascii="宋体" w:hAnsi="宋体" w:eastAsia="宋体" w:cs="宋体"/>
          <w:color w:val="auto"/>
          <w:highlight w:val="none"/>
        </w:rPr>
        <w:t xml:space="preserve"> </w:t>
      </w:r>
      <w:r>
        <w:rPr>
          <w:rFonts w:hint="eastAsia" w:ascii="宋体" w:hAnsi="宋体" w:eastAsia="宋体" w:cs="宋体"/>
          <w:color w:val="auto"/>
          <w:highlight w:val="none"/>
        </w:rPr>
        <w:t>损害了我公司权益，</w:t>
      </w:r>
    </w:p>
    <w:p>
      <w:pPr>
        <w:widowControl/>
        <w:snapToGrid w:val="0"/>
        <w:spacing w:line="360" w:lineRule="auto"/>
        <w:ind w:firstLine="735" w:firstLineChars="350"/>
        <w:rPr>
          <w:rFonts w:ascii="宋体" w:hAnsi="Times New Roman" w:eastAsia="宋体" w:cs="Times New Roman"/>
          <w:color w:val="auto"/>
          <w:highlight w:val="none"/>
        </w:rPr>
      </w:pPr>
      <w:r>
        <w:rPr>
          <w:rFonts w:hint="eastAsia" w:ascii="宋体" w:hAnsi="宋体" w:eastAsia="宋体" w:cs="宋体"/>
          <w:color w:val="auto"/>
          <w:highlight w:val="none"/>
        </w:rPr>
        <w:t>事实依据：</w:t>
      </w:r>
      <w:r>
        <w:rPr>
          <w:rFonts w:ascii="宋体" w:hAnsi="宋体" w:eastAsia="宋体" w:cs="宋体"/>
          <w:color w:val="auto"/>
          <w:highlight w:val="none"/>
        </w:rPr>
        <w:t xml:space="preserve"> </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w:t>
      </w:r>
      <w:r>
        <w:rPr>
          <w:rFonts w:hint="eastAsia" w:ascii="宋体" w:hAnsi="宋体" w:eastAsia="宋体" w:cs="宋体"/>
          <w:color w:val="auto"/>
          <w:highlight w:val="none"/>
        </w:rPr>
        <w:t>证据见附件第页）</w:t>
      </w:r>
    </w:p>
    <w:p>
      <w:pPr>
        <w:widowControl/>
        <w:spacing w:line="360" w:lineRule="auto"/>
        <w:ind w:firstLine="743" w:firstLineChars="354"/>
        <w:rPr>
          <w:rFonts w:ascii="宋体" w:hAnsi="Times New Roman" w:eastAsia="宋体" w:cs="Times New Roman"/>
          <w:color w:val="auto"/>
          <w:highlight w:val="none"/>
        </w:rPr>
      </w:pPr>
      <w:r>
        <w:rPr>
          <w:rFonts w:hint="eastAsia" w:ascii="宋体" w:hAnsi="宋体" w:eastAsia="宋体" w:cs="宋体"/>
          <w:color w:val="auto"/>
          <w:highlight w:val="none"/>
        </w:rPr>
        <w:t>法律依据：</w:t>
      </w:r>
    </w:p>
    <w:p>
      <w:pPr>
        <w:widowControl/>
        <w:spacing w:line="360" w:lineRule="auto"/>
        <w:ind w:firstLine="743" w:firstLineChars="354"/>
        <w:rPr>
          <w:rFonts w:ascii="宋体" w:hAnsi="Times New Roman" w:eastAsia="宋体" w:cs="Times New Roman"/>
          <w:color w:val="auto"/>
          <w:highlight w:val="none"/>
          <w:u w:val="single"/>
        </w:rPr>
      </w:pPr>
      <w:r>
        <w:rPr>
          <w:rFonts w:hint="eastAsia" w:ascii="宋体" w:hAnsi="宋体" w:eastAsia="宋体" w:cs="宋体"/>
          <w:color w:val="auto"/>
          <w:highlight w:val="none"/>
        </w:rPr>
        <w:t>我方请求公开遴选文件做如下修改：</w:t>
      </w:r>
    </w:p>
    <w:p>
      <w:pPr>
        <w:widowControl/>
        <w:spacing w:line="360" w:lineRule="auto"/>
        <w:ind w:firstLine="743" w:firstLineChars="354"/>
        <w:rPr>
          <w:rFonts w:ascii="宋体" w:hAnsi="Times New Roman" w:eastAsia="宋体" w:cs="Times New Roman"/>
          <w:color w:val="auto"/>
          <w:highlight w:val="none"/>
        </w:rPr>
      </w:pPr>
      <w:r>
        <w:rPr>
          <w:rFonts w:hint="eastAsia" w:ascii="宋体" w:hAnsi="宋体" w:eastAsia="宋体" w:cs="宋体"/>
          <w:color w:val="auto"/>
          <w:highlight w:val="none"/>
        </w:rPr>
        <w:t>我方对公开遴选文件其他内容无质疑。</w:t>
      </w:r>
    </w:p>
    <w:p>
      <w:pPr>
        <w:widowControl/>
        <w:snapToGrid w:val="0"/>
        <w:spacing w:line="360" w:lineRule="auto"/>
        <w:ind w:firstLine="422" w:firstLineChars="200"/>
        <w:rPr>
          <w:rFonts w:ascii="宋体" w:hAnsi="Times New Roman" w:eastAsia="宋体" w:cs="Times New Roman"/>
          <w:b/>
          <w:bCs/>
          <w:color w:val="auto"/>
          <w:highlight w:val="none"/>
        </w:rPr>
      </w:pPr>
      <w:r>
        <w:rPr>
          <w:rFonts w:hint="eastAsia" w:ascii="宋体" w:hAnsi="宋体" w:eastAsia="宋体" w:cs="宋体"/>
          <w:b/>
          <w:bCs/>
          <w:color w:val="auto"/>
          <w:highlight w:val="none"/>
        </w:rPr>
        <w:t>质疑采购过程</w:t>
      </w:r>
    </w:p>
    <w:p>
      <w:pPr>
        <w:widowControl/>
        <w:snapToGrid w:val="0"/>
        <w:spacing w:line="360" w:lineRule="auto"/>
        <w:ind w:firstLine="420" w:firstLineChars="200"/>
        <w:rPr>
          <w:rFonts w:ascii="宋体" w:hAnsi="Times New Roman"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．于</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日，在进行的（收取公开遴选文件（样品）、开标、谈判）过程，发生损害了我公司权益的事项，</w:t>
      </w:r>
    </w:p>
    <w:p>
      <w:pPr>
        <w:widowControl/>
        <w:spacing w:line="360" w:lineRule="auto"/>
        <w:ind w:firstLine="743" w:firstLineChars="354"/>
        <w:rPr>
          <w:rFonts w:ascii="宋体" w:hAnsi="Times New Roman" w:eastAsia="宋体" w:cs="Times New Roman"/>
          <w:color w:val="auto"/>
          <w:highlight w:val="none"/>
        </w:rPr>
      </w:pPr>
      <w:r>
        <w:rPr>
          <w:rFonts w:hint="eastAsia" w:ascii="宋体" w:hAnsi="宋体" w:eastAsia="宋体" w:cs="宋体"/>
          <w:color w:val="auto"/>
          <w:highlight w:val="none"/>
        </w:rPr>
        <w:t>事实依据：</w:t>
      </w:r>
      <w:r>
        <w:rPr>
          <w:rFonts w:ascii="宋体" w:hAnsi="宋体" w:eastAsia="宋体" w:cs="宋体"/>
          <w:color w:val="auto"/>
          <w:highlight w:val="none"/>
        </w:rPr>
        <w:t xml:space="preserve"> </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w:t>
      </w:r>
      <w:r>
        <w:rPr>
          <w:rFonts w:hint="eastAsia" w:ascii="宋体" w:hAnsi="宋体" w:eastAsia="宋体" w:cs="宋体"/>
          <w:color w:val="auto"/>
          <w:highlight w:val="none"/>
        </w:rPr>
        <w:t>证据见附件第页）</w:t>
      </w:r>
    </w:p>
    <w:p>
      <w:pPr>
        <w:widowControl/>
        <w:spacing w:line="360" w:lineRule="auto"/>
        <w:ind w:firstLine="743" w:firstLineChars="354"/>
        <w:rPr>
          <w:rFonts w:ascii="宋体" w:hAnsi="Times New Roman" w:eastAsia="宋体" w:cs="Times New Roman"/>
          <w:color w:val="auto"/>
          <w:highlight w:val="none"/>
        </w:rPr>
      </w:pPr>
      <w:r>
        <w:rPr>
          <w:rFonts w:hint="eastAsia" w:ascii="宋体" w:hAnsi="宋体" w:eastAsia="宋体" w:cs="宋体"/>
          <w:color w:val="auto"/>
          <w:highlight w:val="none"/>
        </w:rPr>
        <w:t>法律依据：</w:t>
      </w:r>
    </w:p>
    <w:p>
      <w:pPr>
        <w:widowControl/>
        <w:spacing w:line="360" w:lineRule="auto"/>
        <w:ind w:firstLine="743" w:firstLineChars="354"/>
        <w:rPr>
          <w:rFonts w:ascii="宋体" w:hAnsi="Times New Roman" w:eastAsia="宋体" w:cs="Times New Roman"/>
          <w:color w:val="auto"/>
          <w:highlight w:val="none"/>
          <w:u w:val="single"/>
        </w:rPr>
      </w:pPr>
      <w:r>
        <w:rPr>
          <w:rFonts w:hint="eastAsia" w:ascii="宋体" w:hAnsi="宋体" w:eastAsia="宋体" w:cs="宋体"/>
          <w:color w:val="auto"/>
          <w:highlight w:val="none"/>
        </w:rPr>
        <w:t>我方请求：</w:t>
      </w:r>
    </w:p>
    <w:p>
      <w:pPr>
        <w:widowControl/>
        <w:spacing w:line="360" w:lineRule="auto"/>
        <w:ind w:firstLine="743" w:firstLineChars="354"/>
        <w:rPr>
          <w:rFonts w:ascii="宋体" w:hAnsi="Times New Roman" w:eastAsia="宋体" w:cs="Times New Roman"/>
          <w:color w:val="auto"/>
          <w:highlight w:val="none"/>
        </w:rPr>
      </w:pPr>
      <w:r>
        <w:rPr>
          <w:rFonts w:hint="eastAsia" w:ascii="宋体" w:hAnsi="宋体" w:eastAsia="宋体" w:cs="宋体"/>
          <w:color w:val="auto"/>
          <w:highlight w:val="none"/>
        </w:rPr>
        <w:t>我方对其他采购过程无质疑。</w:t>
      </w:r>
    </w:p>
    <w:p>
      <w:pPr>
        <w:widowControl/>
        <w:snapToGrid w:val="0"/>
        <w:spacing w:line="360" w:lineRule="auto"/>
        <w:ind w:firstLine="422" w:firstLineChars="200"/>
        <w:rPr>
          <w:rFonts w:ascii="宋体" w:hAnsi="Times New Roman" w:eastAsia="宋体" w:cs="Times New Roman"/>
          <w:b/>
          <w:bCs/>
          <w:color w:val="auto"/>
          <w:highlight w:val="none"/>
        </w:rPr>
      </w:pPr>
      <w:r>
        <w:rPr>
          <w:rFonts w:hint="eastAsia" w:ascii="宋体" w:hAnsi="宋体" w:eastAsia="宋体" w:cs="宋体"/>
          <w:b/>
          <w:bCs/>
          <w:color w:val="auto"/>
          <w:highlight w:val="none"/>
        </w:rPr>
        <w:t>质疑采购结果</w:t>
      </w:r>
    </w:p>
    <w:p>
      <w:pPr>
        <w:widowControl/>
        <w:snapToGrid w:val="0"/>
        <w:spacing w:line="360" w:lineRule="auto"/>
        <w:ind w:firstLine="420" w:firstLineChars="200"/>
        <w:rPr>
          <w:rFonts w:ascii="宋体" w:hAnsi="Times New Roman"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．于</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年</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月</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日公布的中标（成交）结果，发生损害了我公司权益的事项，</w:t>
      </w:r>
    </w:p>
    <w:p>
      <w:pPr>
        <w:widowControl/>
        <w:spacing w:line="360" w:lineRule="auto"/>
        <w:ind w:firstLine="743" w:firstLineChars="354"/>
        <w:rPr>
          <w:rFonts w:ascii="宋体" w:hAnsi="Times New Roman" w:eastAsia="宋体" w:cs="Times New Roman"/>
          <w:color w:val="auto"/>
          <w:highlight w:val="none"/>
        </w:rPr>
      </w:pPr>
      <w:r>
        <w:rPr>
          <w:rFonts w:hint="eastAsia" w:ascii="宋体" w:hAnsi="宋体" w:eastAsia="宋体" w:cs="宋体"/>
          <w:color w:val="auto"/>
          <w:highlight w:val="none"/>
        </w:rPr>
        <w:t>事实依据：</w:t>
      </w:r>
      <w:r>
        <w:rPr>
          <w:rFonts w:ascii="宋体" w:hAnsi="宋体" w:eastAsia="宋体" w:cs="宋体"/>
          <w:color w:val="auto"/>
          <w:highlight w:val="none"/>
        </w:rPr>
        <w:t xml:space="preserve"> </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w:t>
      </w:r>
      <w:r>
        <w:rPr>
          <w:rFonts w:hint="eastAsia" w:ascii="宋体" w:hAnsi="宋体" w:eastAsia="宋体" w:cs="宋体"/>
          <w:color w:val="auto"/>
          <w:highlight w:val="none"/>
        </w:rPr>
        <w:t>证据见附件第页）</w:t>
      </w:r>
    </w:p>
    <w:p>
      <w:pPr>
        <w:widowControl/>
        <w:spacing w:line="360" w:lineRule="auto"/>
        <w:ind w:firstLine="743" w:firstLineChars="354"/>
        <w:rPr>
          <w:rFonts w:ascii="宋体" w:hAnsi="Times New Roman" w:eastAsia="宋体" w:cs="Times New Roman"/>
          <w:color w:val="auto"/>
          <w:highlight w:val="none"/>
        </w:rPr>
      </w:pPr>
      <w:r>
        <w:rPr>
          <w:rFonts w:hint="eastAsia" w:ascii="宋体" w:hAnsi="宋体" w:eastAsia="宋体" w:cs="宋体"/>
          <w:color w:val="auto"/>
          <w:highlight w:val="none"/>
        </w:rPr>
        <w:t>法律依据：</w:t>
      </w:r>
    </w:p>
    <w:p>
      <w:pPr>
        <w:widowControl/>
        <w:spacing w:line="360" w:lineRule="auto"/>
        <w:ind w:firstLine="743" w:firstLineChars="354"/>
        <w:rPr>
          <w:rFonts w:ascii="宋体" w:hAnsi="Times New Roman" w:eastAsia="宋体" w:cs="Times New Roman"/>
          <w:color w:val="auto"/>
          <w:highlight w:val="none"/>
          <w:u w:val="single"/>
        </w:rPr>
      </w:pPr>
      <w:r>
        <w:rPr>
          <w:rFonts w:hint="eastAsia" w:ascii="宋体" w:hAnsi="宋体" w:eastAsia="宋体" w:cs="宋体"/>
          <w:color w:val="auto"/>
          <w:highlight w:val="none"/>
        </w:rPr>
        <w:t>我方请求：</w:t>
      </w:r>
    </w:p>
    <w:p>
      <w:pPr>
        <w:widowControl/>
        <w:spacing w:line="360" w:lineRule="auto"/>
        <w:ind w:firstLine="743" w:firstLineChars="354"/>
        <w:rPr>
          <w:rFonts w:ascii="宋体" w:hAnsi="Times New Roman" w:eastAsia="宋体" w:cs="Times New Roman"/>
          <w:color w:val="auto"/>
          <w:highlight w:val="none"/>
        </w:rPr>
      </w:pPr>
      <w:r>
        <w:rPr>
          <w:rFonts w:hint="eastAsia" w:ascii="宋体" w:hAnsi="宋体" w:eastAsia="宋体" w:cs="宋体"/>
          <w:color w:val="auto"/>
          <w:highlight w:val="none"/>
        </w:rPr>
        <w:t>我方对中标（成交）结果公告其他内容无质疑。</w:t>
      </w:r>
    </w:p>
    <w:p>
      <w:pPr>
        <w:widowControl/>
        <w:snapToGrid w:val="0"/>
        <w:spacing w:line="360" w:lineRule="auto"/>
        <w:ind w:firstLine="420" w:firstLineChars="200"/>
        <w:rPr>
          <w:rFonts w:ascii="宋体" w:hAnsi="Times New Roman" w:eastAsia="宋体" w:cs="Times New Roman"/>
          <w:color w:val="auto"/>
          <w:highlight w:val="none"/>
        </w:rPr>
      </w:pPr>
    </w:p>
    <w:p>
      <w:pPr>
        <w:widowControl/>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二、为维护我公司的合法权益，现要求贵方就上述质疑事项依照政府采购有关规定在限期内作出回复。</w:t>
      </w:r>
    </w:p>
    <w:p>
      <w:pPr>
        <w:widowControl/>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质疑供应商</w:t>
      </w:r>
      <w:r>
        <w:rPr>
          <w:rFonts w:hint="eastAsia" w:ascii="宋体" w:hAnsi="宋体" w:eastAsia="宋体" w:cs="宋体"/>
          <w:color w:val="auto"/>
          <w:highlight w:val="none"/>
          <w:u w:val="single"/>
        </w:rPr>
        <w:t>：</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（签章）</w:t>
      </w:r>
      <w:r>
        <w:rPr>
          <w:rFonts w:ascii="宋体" w:hAnsi="宋体" w:eastAsia="宋体" w:cs="宋体"/>
          <w:color w:val="auto"/>
          <w:highlight w:val="none"/>
          <w:u w:val="single"/>
        </w:rPr>
        <w:t xml:space="preserve">  </w:t>
      </w:r>
    </w:p>
    <w:p>
      <w:pPr>
        <w:widowControl/>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主要负责人</w:t>
      </w:r>
      <w:r>
        <w:rPr>
          <w:rFonts w:ascii="宋体" w:hAnsi="宋体" w:eastAsia="宋体" w:cs="宋体"/>
          <w:color w:val="auto"/>
          <w:highlight w:val="none"/>
        </w:rPr>
        <w:t xml:space="preserve"> </w:t>
      </w:r>
      <w:r>
        <w:rPr>
          <w:rFonts w:hint="eastAsia" w:ascii="宋体" w:hAnsi="宋体" w:eastAsia="宋体" w:cs="宋体"/>
          <w:color w:val="auto"/>
          <w:highlight w:val="none"/>
        </w:rPr>
        <w:t>：（签署本人姓名或印盖本人姓名章）</w:t>
      </w:r>
    </w:p>
    <w:p>
      <w:pPr>
        <w:widowControl/>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项目联系人：</w:t>
      </w:r>
    </w:p>
    <w:p>
      <w:pPr>
        <w:widowControl/>
        <w:snapToGrid w:val="0"/>
        <w:spacing w:line="360" w:lineRule="auto"/>
        <w:ind w:firstLine="420" w:firstLineChars="200"/>
        <w:rPr>
          <w:rFonts w:ascii="宋体" w:hAnsi="Times New Roman" w:eastAsia="宋体" w:cs="Times New Roman"/>
          <w:color w:val="auto"/>
          <w:highlight w:val="none"/>
          <w:u w:val="single"/>
        </w:rPr>
      </w:pPr>
      <w:r>
        <w:rPr>
          <w:rFonts w:hint="eastAsia" w:ascii="宋体" w:hAnsi="宋体" w:eastAsia="宋体" w:cs="宋体"/>
          <w:color w:val="auto"/>
          <w:highlight w:val="none"/>
        </w:rPr>
        <w:t>地址：</w:t>
      </w:r>
    </w:p>
    <w:p>
      <w:pPr>
        <w:widowControl/>
        <w:snapToGrid w:val="0"/>
        <w:spacing w:line="360" w:lineRule="auto"/>
        <w:ind w:firstLine="420" w:firstLineChars="200"/>
        <w:rPr>
          <w:rFonts w:ascii="宋体" w:hAnsi="Times New Roman" w:eastAsia="宋体" w:cs="Times New Roman"/>
          <w:color w:val="auto"/>
          <w:highlight w:val="none"/>
          <w:u w:val="single"/>
        </w:rPr>
      </w:pPr>
      <w:r>
        <w:rPr>
          <w:rFonts w:hint="eastAsia" w:ascii="宋体" w:hAnsi="宋体" w:eastAsia="宋体" w:cs="宋体"/>
          <w:color w:val="auto"/>
          <w:highlight w:val="none"/>
        </w:rPr>
        <w:t>法定代表人：（签署本人姓名或印盖本人姓名章）</w:t>
      </w:r>
    </w:p>
    <w:p>
      <w:pPr>
        <w:widowControl/>
        <w:snapToGrid w:val="0"/>
        <w:spacing w:line="360" w:lineRule="auto"/>
        <w:ind w:firstLine="420" w:firstLineChars="200"/>
        <w:rPr>
          <w:rFonts w:ascii="宋体" w:hAnsi="Times New Roman" w:eastAsia="宋体" w:cs="Times New Roman"/>
          <w:color w:val="auto"/>
          <w:highlight w:val="none"/>
          <w:u w:val="single"/>
        </w:rPr>
      </w:pPr>
      <w:r>
        <w:rPr>
          <w:rFonts w:hint="eastAsia" w:ascii="宋体" w:hAnsi="宋体" w:eastAsia="宋体" w:cs="宋体"/>
          <w:color w:val="auto"/>
          <w:highlight w:val="none"/>
        </w:rPr>
        <w:t>职位：</w:t>
      </w:r>
    </w:p>
    <w:p>
      <w:pPr>
        <w:widowControl/>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电话（手机</w:t>
      </w:r>
      <w:r>
        <w:rPr>
          <w:rFonts w:ascii="宋体" w:hAnsi="宋体" w:eastAsia="宋体" w:cs="宋体"/>
          <w:color w:val="auto"/>
          <w:highlight w:val="none"/>
        </w:rPr>
        <w:t>/</w:t>
      </w:r>
      <w:r>
        <w:rPr>
          <w:rFonts w:hint="eastAsia" w:ascii="宋体" w:hAnsi="宋体" w:eastAsia="宋体" w:cs="宋体"/>
          <w:color w:val="auto"/>
          <w:highlight w:val="none"/>
        </w:rPr>
        <w:t>座机）：</w:t>
      </w:r>
    </w:p>
    <w:p>
      <w:pPr>
        <w:widowControl/>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邮编：</w:t>
      </w:r>
    </w:p>
    <w:p>
      <w:pPr>
        <w:widowControl/>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电子邮箱：</w:t>
      </w:r>
    </w:p>
    <w:p>
      <w:pPr>
        <w:widowControl/>
        <w:snapToGrid w:val="0"/>
        <w:spacing w:line="360" w:lineRule="auto"/>
        <w:ind w:firstLine="420" w:firstLineChars="200"/>
        <w:rPr>
          <w:rFonts w:ascii="宋体" w:hAnsi="Times New Roman" w:eastAsia="宋体" w:cs="Times New Roman"/>
          <w:color w:val="auto"/>
          <w:highlight w:val="none"/>
          <w:u w:val="single"/>
        </w:rPr>
      </w:pPr>
      <w:r>
        <w:rPr>
          <w:rFonts w:hint="eastAsia" w:ascii="宋体" w:hAnsi="宋体" w:eastAsia="宋体" w:cs="宋体"/>
          <w:color w:val="auto"/>
          <w:highlight w:val="none"/>
        </w:rPr>
        <w:t>传真：</w:t>
      </w:r>
    </w:p>
    <w:p>
      <w:pPr>
        <w:widowControl/>
        <w:snapToGrid w:val="0"/>
        <w:spacing w:line="360" w:lineRule="auto"/>
        <w:ind w:firstLine="420" w:firstLineChars="200"/>
        <w:jc w:val="left"/>
        <w:rPr>
          <w:rFonts w:ascii="宋体" w:hAnsi="Times New Roman" w:eastAsia="宋体" w:cs="Times New Roman"/>
          <w:color w:val="auto"/>
          <w:highlight w:val="none"/>
        </w:rPr>
      </w:pPr>
      <w:r>
        <w:rPr>
          <w:rFonts w:hint="eastAsia" w:ascii="宋体" w:hAnsi="宋体" w:eastAsia="宋体" w:cs="宋体"/>
          <w:color w:val="auto"/>
          <w:highlight w:val="none"/>
        </w:rPr>
        <w:t>日期：</w:t>
      </w:r>
      <w:r>
        <w:rPr>
          <w:rFonts w:ascii="宋体" w:hAnsi="宋体" w:eastAsia="宋体" w:cs="宋体"/>
          <w:color w:val="auto"/>
          <w:highlight w:val="none"/>
        </w:rPr>
        <w:t xml:space="preserve">     </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widowControl/>
        <w:snapToGrid w:val="0"/>
        <w:spacing w:line="360" w:lineRule="auto"/>
        <w:ind w:firstLine="420" w:firstLineChars="200"/>
        <w:rPr>
          <w:rFonts w:ascii="宋体" w:hAnsi="Times New Roman" w:eastAsia="宋体" w:cs="Times New Roman"/>
          <w:color w:val="auto"/>
          <w:highlight w:val="none"/>
        </w:rPr>
      </w:pPr>
      <w:r>
        <w:rPr>
          <w:rFonts w:hint="eastAsia" w:ascii="宋体" w:hAnsi="宋体" w:eastAsia="宋体" w:cs="宋体"/>
          <w:color w:val="auto"/>
          <w:highlight w:val="none"/>
        </w:rPr>
        <w:t>备注：</w:t>
      </w:r>
    </w:p>
    <w:p>
      <w:pPr>
        <w:widowControl/>
        <w:numPr>
          <w:ilvl w:val="0"/>
          <w:numId w:val="5"/>
        </w:numPr>
        <w:snapToGrid w:val="0"/>
        <w:spacing w:line="360" w:lineRule="auto"/>
        <w:rPr>
          <w:rFonts w:ascii="宋体" w:hAnsi="Times New Roman" w:eastAsia="宋体" w:cs="Times New Roman"/>
          <w:color w:val="auto"/>
          <w:highlight w:val="none"/>
        </w:rPr>
      </w:pPr>
      <w:r>
        <w:rPr>
          <w:rFonts w:hint="eastAsia" w:ascii="宋体" w:hAnsi="宋体" w:eastAsia="宋体" w:cs="宋体"/>
          <w:color w:val="auto"/>
          <w:highlight w:val="none"/>
        </w:rPr>
        <w:t>每个质疑事项应有与之相对应的证据予以支持。质疑事项属于涉密的，应提供信息来源或有效证据。</w:t>
      </w:r>
    </w:p>
    <w:p>
      <w:pPr>
        <w:widowControl/>
        <w:numPr>
          <w:ilvl w:val="0"/>
          <w:numId w:val="5"/>
        </w:numPr>
        <w:snapToGrid w:val="0"/>
        <w:spacing w:line="360" w:lineRule="auto"/>
        <w:rPr>
          <w:rFonts w:ascii="宋体" w:hAnsi="Times New Roman" w:eastAsia="宋体" w:cs="Times New Roman"/>
          <w:color w:val="auto"/>
          <w:highlight w:val="none"/>
        </w:rPr>
      </w:pPr>
      <w:r>
        <w:rPr>
          <w:rFonts w:hint="eastAsia" w:ascii="宋体" w:hAnsi="宋体" w:eastAsia="宋体" w:cs="宋体"/>
          <w:color w:val="auto"/>
          <w:highlight w:val="none"/>
        </w:rPr>
        <w:t>供应商质疑、投诉应当有明确的请求和必要的证明材料</w:t>
      </w:r>
      <w:r>
        <w:rPr>
          <w:rFonts w:ascii="宋体" w:hAnsi="宋体" w:eastAsia="宋体" w:cs="宋体"/>
          <w:color w:val="auto"/>
          <w:highlight w:val="none"/>
        </w:rPr>
        <w:t>(</w:t>
      </w:r>
      <w:r>
        <w:rPr>
          <w:rFonts w:hint="eastAsia" w:ascii="宋体" w:hAnsi="宋体" w:eastAsia="宋体" w:cs="宋体"/>
          <w:color w:val="auto"/>
          <w:highlight w:val="none"/>
        </w:rPr>
        <w:t>依据《中华人民共和国政府采购法实施条例》第五十七条，捏造事实、提供虚假材料或者以非法手段取得证明材料不能作为质疑、投诉的证明材料；依据《中华人民共和国政府采购法实施条例》第七十三条，供应商捏造事实、提供虚假材料或者以非法手段取得证明材料进行投诉的，由财政部门列入不良行为记录名单，禁止</w:t>
      </w:r>
      <w:r>
        <w:rPr>
          <w:rFonts w:ascii="宋体" w:hAnsi="宋体" w:eastAsia="宋体" w:cs="宋体"/>
          <w:color w:val="auto"/>
          <w:highlight w:val="none"/>
        </w:rPr>
        <w:t>1</w:t>
      </w:r>
      <w:r>
        <w:rPr>
          <w:rFonts w:hint="eastAsia" w:ascii="宋体" w:hAnsi="宋体" w:eastAsia="宋体" w:cs="宋体"/>
          <w:color w:val="auto"/>
          <w:highlight w:val="none"/>
        </w:rPr>
        <w:t>至</w:t>
      </w:r>
      <w:r>
        <w:rPr>
          <w:rFonts w:ascii="宋体" w:hAnsi="宋体" w:eastAsia="宋体" w:cs="宋体"/>
          <w:color w:val="auto"/>
          <w:highlight w:val="none"/>
        </w:rPr>
        <w:t>3</w:t>
      </w:r>
      <w:r>
        <w:rPr>
          <w:rFonts w:hint="eastAsia" w:ascii="宋体" w:hAnsi="宋体" w:eastAsia="宋体" w:cs="宋体"/>
          <w:color w:val="auto"/>
          <w:highlight w:val="none"/>
        </w:rPr>
        <w:t>年内参加政府采购活动</w:t>
      </w:r>
      <w:r>
        <w:rPr>
          <w:rFonts w:ascii="宋体" w:hAnsi="宋体" w:eastAsia="宋体" w:cs="宋体"/>
          <w:color w:val="auto"/>
          <w:highlight w:val="none"/>
        </w:rPr>
        <w:t>)</w:t>
      </w:r>
      <w:r>
        <w:rPr>
          <w:rFonts w:hint="eastAsia" w:ascii="宋体" w:hAnsi="宋体" w:eastAsia="宋体" w:cs="宋体"/>
          <w:color w:val="auto"/>
          <w:highlight w:val="none"/>
        </w:rPr>
        <w:t>。</w:t>
      </w:r>
    </w:p>
    <w:p>
      <w:pPr>
        <w:widowControl/>
        <w:numPr>
          <w:ilvl w:val="0"/>
          <w:numId w:val="5"/>
        </w:numPr>
        <w:snapToGrid w:val="0"/>
        <w:spacing w:line="360" w:lineRule="auto"/>
        <w:rPr>
          <w:rFonts w:ascii="宋体" w:hAnsi="Times New Roman" w:eastAsia="宋体" w:cs="Times New Roman"/>
          <w:color w:val="auto"/>
          <w:highlight w:val="none"/>
        </w:rPr>
      </w:pPr>
      <w:r>
        <w:rPr>
          <w:rFonts w:hint="eastAsia" w:ascii="宋体" w:hAnsi="宋体" w:eastAsia="宋体" w:cs="宋体"/>
          <w:color w:val="auto"/>
          <w:highlight w:val="none"/>
        </w:rPr>
        <w:t>质疑函应当署名。质疑人为自然人的，应当有本人签名；质疑人为法人或者其他组织的，应当由法定代表人或者主要负责人</w:t>
      </w:r>
      <w:r>
        <w:rPr>
          <w:rFonts w:hint="eastAsia" w:ascii="宋体" w:hAnsi="宋体" w:eastAsia="宋体" w:cs="宋体"/>
          <w:color w:val="auto"/>
          <w:highlight w:val="none"/>
          <w:lang w:eastAsia="zh-TW"/>
        </w:rPr>
        <w:t>签署本人姓名（或印盖本人姓名章）</w:t>
      </w:r>
      <w:r>
        <w:rPr>
          <w:rFonts w:hint="eastAsia" w:ascii="宋体" w:hAnsi="宋体" w:eastAsia="宋体" w:cs="宋体"/>
          <w:color w:val="auto"/>
          <w:highlight w:val="none"/>
        </w:rPr>
        <w:t>并加盖公章。</w:t>
      </w:r>
    </w:p>
    <w:p>
      <w:pPr>
        <w:widowControl/>
        <w:snapToGrid w:val="0"/>
        <w:spacing w:line="360" w:lineRule="auto"/>
        <w:jc w:val="center"/>
        <w:rPr>
          <w:rFonts w:ascii="宋体" w:hAnsi="宋体" w:eastAsia="宋体" w:cs="Times New Roman"/>
          <w:b/>
          <w:bCs/>
          <w:color w:val="auto"/>
          <w:highlight w:val="none"/>
        </w:rPr>
        <w:sectPr>
          <w:pgSz w:w="11906" w:h="16838"/>
          <w:pgMar w:top="1134" w:right="1134" w:bottom="1134" w:left="1134" w:header="567" w:footer="737" w:gutter="0"/>
          <w:cols w:space="720" w:num="1"/>
          <w:docGrid w:linePitch="312" w:charSpace="0"/>
        </w:sectPr>
      </w:pPr>
    </w:p>
    <w:p>
      <w:pPr>
        <w:spacing w:after="120"/>
        <w:rPr>
          <w:rFonts w:ascii="Times New Roman" w:hAnsi="Times New Roman" w:eastAsia="宋体" w:cs="Times New Roman"/>
          <w:color w:val="auto"/>
          <w:highlight w:val="none"/>
        </w:rPr>
      </w:pPr>
    </w:p>
    <w:p>
      <w:pPr>
        <w:autoSpaceDE w:val="0"/>
        <w:autoSpaceDN w:val="0"/>
        <w:adjustRightInd w:val="0"/>
        <w:snapToGrid w:val="0"/>
        <w:spacing w:line="360" w:lineRule="auto"/>
        <w:outlineLvl w:val="0"/>
        <w:rPr>
          <w:rFonts w:ascii="宋体" w:hAnsi="宋体" w:eastAsia="宋体" w:cs="Times New Roman"/>
          <w:color w:val="auto"/>
          <w:sz w:val="44"/>
          <w:szCs w:val="44"/>
          <w:highlight w:val="none"/>
        </w:rPr>
      </w:pPr>
      <w:bookmarkStart w:id="229" w:name="_Toc320515055"/>
    </w:p>
    <w:p>
      <w:pPr>
        <w:spacing w:line="360" w:lineRule="auto"/>
        <w:rPr>
          <w:rFonts w:ascii="宋体" w:hAnsi="宋体" w:eastAsia="宋体" w:cs="Times New Roman"/>
          <w:color w:val="auto"/>
          <w:sz w:val="44"/>
          <w:szCs w:val="44"/>
          <w:highlight w:val="none"/>
        </w:rPr>
      </w:pPr>
    </w:p>
    <w:p>
      <w:pPr>
        <w:spacing w:line="360" w:lineRule="auto"/>
        <w:rPr>
          <w:rFonts w:ascii="宋体" w:hAnsi="宋体" w:eastAsia="宋体" w:cs="Times New Roman"/>
          <w:color w:val="auto"/>
          <w:sz w:val="44"/>
          <w:szCs w:val="44"/>
          <w:highlight w:val="none"/>
        </w:rPr>
      </w:pPr>
    </w:p>
    <w:p>
      <w:pPr>
        <w:spacing w:line="360" w:lineRule="auto"/>
        <w:rPr>
          <w:rFonts w:ascii="宋体" w:hAnsi="宋体" w:eastAsia="宋体" w:cs="Times New Roman"/>
          <w:color w:val="auto"/>
          <w:sz w:val="44"/>
          <w:szCs w:val="44"/>
          <w:highlight w:val="none"/>
        </w:rPr>
      </w:pPr>
    </w:p>
    <w:p>
      <w:pPr>
        <w:spacing w:line="360" w:lineRule="auto"/>
        <w:rPr>
          <w:rFonts w:ascii="宋体" w:hAnsi="宋体" w:eastAsia="宋体" w:cs="Times New Roman"/>
          <w:color w:val="auto"/>
          <w:sz w:val="44"/>
          <w:szCs w:val="44"/>
          <w:highlight w:val="none"/>
        </w:rPr>
      </w:pPr>
    </w:p>
    <w:p>
      <w:pPr>
        <w:spacing w:line="360" w:lineRule="auto"/>
        <w:rPr>
          <w:rFonts w:ascii="宋体" w:hAnsi="宋体" w:eastAsia="宋体" w:cs="Times New Roman"/>
          <w:color w:val="auto"/>
          <w:sz w:val="44"/>
          <w:szCs w:val="44"/>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bookmarkStart w:id="230" w:name="_Toc475104521"/>
      <w:r>
        <w:rPr>
          <w:rFonts w:ascii="宋体" w:hAnsi="宋体" w:eastAsia="宋体" w:cs="宋体"/>
          <w:color w:val="auto"/>
          <w:sz w:val="2"/>
          <w:szCs w:val="2"/>
          <w:highlight w:val="none"/>
        </w:rPr>
        <w:t>2B2B</w:t>
      </w:r>
      <w:r>
        <w:rPr>
          <w:rFonts w:hint="eastAsia" w:ascii="宋体" w:hAnsi="宋体" w:eastAsia="宋体" w:cs="宋体"/>
          <w:b/>
          <w:bCs/>
          <w:color w:val="auto"/>
          <w:sz w:val="44"/>
          <w:szCs w:val="44"/>
          <w:highlight w:val="none"/>
        </w:rPr>
        <w:t>第三章</w:t>
      </w:r>
      <w:bookmarkStart w:id="231" w:name="_Toc10525517"/>
      <w:r>
        <w:rPr>
          <w:rFonts w:ascii="宋体" w:hAnsi="宋体" w:eastAsia="宋体" w:cs="宋体"/>
          <w:b/>
          <w:bCs/>
          <w:color w:val="auto"/>
          <w:sz w:val="44"/>
          <w:szCs w:val="44"/>
          <w:highlight w:val="none"/>
        </w:rPr>
        <w:t xml:space="preserve"> </w:t>
      </w:r>
      <w:r>
        <w:rPr>
          <w:rFonts w:hint="eastAsia" w:ascii="宋体" w:hAnsi="宋体" w:eastAsia="宋体" w:cs="宋体"/>
          <w:b/>
          <w:bCs/>
          <w:color w:val="auto"/>
          <w:sz w:val="44"/>
          <w:szCs w:val="44"/>
          <w:highlight w:val="none"/>
        </w:rPr>
        <w:t>采购人需求书</w:t>
      </w:r>
      <w:bookmarkEnd w:id="211"/>
      <w:bookmarkEnd w:id="212"/>
      <w:bookmarkEnd w:id="229"/>
      <w:bookmarkEnd w:id="230"/>
      <w:bookmarkEnd w:id="231"/>
    </w:p>
    <w:p>
      <w:pPr>
        <w:spacing w:line="360" w:lineRule="auto"/>
        <w:rPr>
          <w:rFonts w:ascii="宋体" w:hAnsi="宋体" w:eastAsia="宋体" w:cs="Times New Roman"/>
          <w:color w:val="auto"/>
          <w:highlight w:val="none"/>
        </w:rPr>
      </w:pPr>
      <w:bookmarkStart w:id="232" w:name="_Toc28489480"/>
      <w:bookmarkStart w:id="233" w:name="_Toc14450822"/>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adjustRightInd w:val="0"/>
        <w:snapToGrid w:val="0"/>
        <w:spacing w:line="360" w:lineRule="auto"/>
        <w:rPr>
          <w:rFonts w:ascii="宋体" w:hAnsi="宋体" w:eastAsia="宋体" w:cs="Times New Roman"/>
          <w:b/>
          <w:bCs/>
          <w:color w:val="auto"/>
          <w:sz w:val="24"/>
          <w:szCs w:val="24"/>
          <w:highlight w:val="none"/>
        </w:rPr>
      </w:pPr>
      <w:bookmarkStart w:id="234" w:name="_Toc321815802"/>
      <w:bookmarkEnd w:id="234"/>
      <w:bookmarkStart w:id="235" w:name="_Toc321815819"/>
      <w:bookmarkEnd w:id="235"/>
      <w:bookmarkStart w:id="236" w:name="_Toc321815808"/>
      <w:bookmarkEnd w:id="236"/>
      <w:bookmarkStart w:id="237" w:name="_Toc321815822"/>
      <w:bookmarkEnd w:id="237"/>
      <w:bookmarkStart w:id="238" w:name="_Toc321815810"/>
      <w:bookmarkEnd w:id="238"/>
      <w:bookmarkStart w:id="239" w:name="_Toc321815821"/>
      <w:bookmarkEnd w:id="239"/>
      <w:bookmarkStart w:id="240" w:name="_Toc321815818"/>
      <w:bookmarkEnd w:id="240"/>
      <w:bookmarkStart w:id="241" w:name="_Toc321815811"/>
      <w:bookmarkEnd w:id="241"/>
      <w:bookmarkStart w:id="242" w:name="_Toc321815825"/>
      <w:bookmarkEnd w:id="242"/>
      <w:bookmarkStart w:id="243" w:name="_Toc321815801"/>
      <w:bookmarkEnd w:id="243"/>
      <w:bookmarkStart w:id="244" w:name="_Toc321815805"/>
      <w:bookmarkEnd w:id="244"/>
      <w:bookmarkStart w:id="245" w:name="_Toc321815817"/>
      <w:bookmarkEnd w:id="245"/>
      <w:bookmarkStart w:id="246" w:name="_Toc321815807"/>
      <w:bookmarkEnd w:id="246"/>
      <w:bookmarkStart w:id="247" w:name="_Toc321815816"/>
      <w:bookmarkEnd w:id="247"/>
      <w:bookmarkStart w:id="248" w:name="_Toc321815824"/>
      <w:bookmarkEnd w:id="248"/>
      <w:bookmarkStart w:id="249" w:name="_Toc321815812"/>
      <w:bookmarkEnd w:id="249"/>
      <w:bookmarkStart w:id="250" w:name="_Toc321815813"/>
      <w:bookmarkEnd w:id="250"/>
      <w:bookmarkStart w:id="251" w:name="_Toc321815815"/>
      <w:bookmarkEnd w:id="251"/>
      <w:bookmarkStart w:id="252" w:name="_Toc321815809"/>
      <w:bookmarkEnd w:id="252"/>
      <w:bookmarkStart w:id="253" w:name="_Toc321815820"/>
      <w:bookmarkEnd w:id="253"/>
      <w:bookmarkStart w:id="254" w:name="_Toc321815814"/>
      <w:bookmarkEnd w:id="254"/>
      <w:bookmarkStart w:id="255" w:name="_Toc321815823"/>
      <w:bookmarkEnd w:id="255"/>
      <w:bookmarkStart w:id="256" w:name="_Toc321815826"/>
      <w:bookmarkEnd w:id="256"/>
      <w:bookmarkStart w:id="257" w:name="_Toc321815806"/>
      <w:bookmarkEnd w:id="257"/>
      <w:bookmarkStart w:id="258" w:name="_Toc321815804"/>
      <w:bookmarkEnd w:id="258"/>
      <w:bookmarkStart w:id="259" w:name="_Toc320515056"/>
    </w:p>
    <w:p>
      <w:pPr>
        <w:adjustRightInd w:val="0"/>
        <w:snapToGrid w:val="0"/>
        <w:spacing w:line="360" w:lineRule="auto"/>
        <w:rPr>
          <w:rFonts w:ascii="宋体" w:hAnsi="宋体" w:eastAsia="宋体" w:cs="Times New Roman"/>
          <w:b/>
          <w:bCs/>
          <w:color w:val="auto"/>
          <w:sz w:val="24"/>
          <w:szCs w:val="24"/>
          <w:highlight w:val="none"/>
        </w:rPr>
      </w:pPr>
    </w:p>
    <w:p>
      <w:pPr>
        <w:adjustRightInd w:val="0"/>
        <w:snapToGrid w:val="0"/>
        <w:spacing w:line="360" w:lineRule="auto"/>
        <w:rPr>
          <w:rFonts w:ascii="宋体" w:hAnsi="宋体" w:eastAsia="宋体" w:cs="Times New Roman"/>
          <w:b/>
          <w:bCs/>
          <w:color w:val="auto"/>
          <w:sz w:val="24"/>
          <w:szCs w:val="24"/>
          <w:highlight w:val="none"/>
        </w:rPr>
      </w:pPr>
    </w:p>
    <w:p>
      <w:pPr>
        <w:adjustRightInd w:val="0"/>
        <w:snapToGrid w:val="0"/>
        <w:spacing w:line="360" w:lineRule="auto"/>
        <w:rPr>
          <w:rFonts w:ascii="宋体" w:hAnsi="宋体" w:eastAsia="宋体" w:cs="Times New Roman"/>
          <w:b/>
          <w:bCs/>
          <w:color w:val="auto"/>
          <w:sz w:val="24"/>
          <w:szCs w:val="24"/>
          <w:highlight w:val="none"/>
        </w:rPr>
      </w:pPr>
    </w:p>
    <w:p>
      <w:pPr>
        <w:adjustRightInd w:val="0"/>
        <w:snapToGrid w:val="0"/>
        <w:spacing w:line="360" w:lineRule="auto"/>
        <w:rPr>
          <w:rFonts w:ascii="宋体" w:hAnsi="宋体" w:eastAsia="宋体" w:cs="Times New Roman"/>
          <w:b/>
          <w:bCs/>
          <w:color w:val="auto"/>
          <w:sz w:val="24"/>
          <w:szCs w:val="24"/>
          <w:highlight w:val="none"/>
        </w:rPr>
      </w:pPr>
    </w:p>
    <w:bookmarkEnd w:id="232"/>
    <w:bookmarkEnd w:id="233"/>
    <w:bookmarkEnd w:id="259"/>
    <w:p>
      <w:pPr>
        <w:rPr>
          <w:rFonts w:ascii="宋体" w:hAnsi="宋体" w:eastAsia="宋体" w:cs="Times New Roman"/>
          <w:b/>
          <w:bCs/>
          <w:color w:val="auto"/>
          <w:highlight w:val="none"/>
        </w:rPr>
      </w:pPr>
      <w:r>
        <w:rPr>
          <w:rFonts w:ascii="宋体" w:hAnsi="宋体" w:eastAsia="宋体" w:cs="Times New Roman"/>
          <w:b/>
          <w:bCs/>
          <w:color w:val="auto"/>
          <w:highlight w:val="none"/>
        </w:rPr>
        <w:br w:type="page"/>
      </w:r>
    </w:p>
    <w:p>
      <w:pPr>
        <w:spacing w:line="360" w:lineRule="auto"/>
        <w:rPr>
          <w:rFonts w:ascii="宋体" w:hAnsi="宋体" w:eastAsia="宋体" w:cs="Times New Roman"/>
          <w:b/>
          <w:bCs/>
          <w:color w:val="auto"/>
          <w:highlight w:val="none"/>
        </w:rPr>
      </w:pPr>
      <w:r>
        <w:rPr>
          <w:rFonts w:hint="eastAsia" w:ascii="宋体" w:hAnsi="宋体" w:eastAsia="宋体" w:cs="宋体"/>
          <w:b/>
          <w:bCs/>
          <w:color w:val="auto"/>
          <w:highlight w:val="none"/>
        </w:rPr>
        <w:t>说明：</w:t>
      </w:r>
    </w:p>
    <w:p>
      <w:pPr>
        <w:spacing w:line="360" w:lineRule="auto"/>
        <w:rPr>
          <w:rFonts w:ascii="宋体" w:hAnsi="宋体" w:eastAsia="宋体" w:cs="Times New Roman"/>
          <w:b/>
          <w:bCs/>
          <w:color w:val="auto"/>
          <w:highlight w:val="none"/>
        </w:rPr>
      </w:pPr>
      <w:r>
        <w:rPr>
          <w:rFonts w:ascii="宋体" w:hAnsi="宋体" w:eastAsia="宋体" w:cs="宋体"/>
          <w:b/>
          <w:bCs/>
          <w:color w:val="auto"/>
          <w:highlight w:val="none"/>
        </w:rPr>
        <w:t xml:space="preserve">1. </w:t>
      </w:r>
      <w:r>
        <w:rPr>
          <w:rFonts w:hint="eastAsia" w:ascii="宋体" w:hAnsi="宋体" w:eastAsia="宋体" w:cs="宋体"/>
          <w:b/>
          <w:bCs/>
          <w:color w:val="auto"/>
          <w:highlight w:val="none"/>
        </w:rPr>
        <w:t>供应商须对所响应项目进行整体响应，任何只对其中一部分内容进行的响应都被视为无效响应。</w:t>
      </w:r>
    </w:p>
    <w:p>
      <w:pPr>
        <w:spacing w:line="360" w:lineRule="auto"/>
        <w:rPr>
          <w:rFonts w:ascii="宋体" w:hAnsi="宋体" w:eastAsia="宋体" w:cs="Times New Roman"/>
          <w:b/>
          <w:bCs/>
          <w:color w:val="auto"/>
          <w:highlight w:val="none"/>
        </w:rPr>
      </w:pPr>
      <w:r>
        <w:rPr>
          <w:rFonts w:ascii="宋体" w:hAnsi="宋体" w:eastAsia="宋体" w:cs="宋体"/>
          <w:b/>
          <w:bCs/>
          <w:color w:val="auto"/>
          <w:highlight w:val="none"/>
        </w:rPr>
        <w:t xml:space="preserve">2. </w:t>
      </w:r>
      <w:r>
        <w:rPr>
          <w:rFonts w:hint="eastAsia" w:ascii="宋体" w:hAnsi="宋体" w:eastAsia="宋体" w:cs="宋体"/>
          <w:b/>
          <w:bCs/>
          <w:color w:val="auto"/>
          <w:highlight w:val="none"/>
        </w:rPr>
        <w:t>标有“★”的条款为实质性响应条款，供应商如有任何一条未完全响应，则将导致其响应无效。</w:t>
      </w:r>
    </w:p>
    <w:p>
      <w:pPr>
        <w:spacing w:line="360" w:lineRule="auto"/>
        <w:rPr>
          <w:rFonts w:ascii="宋体" w:hAnsi="宋体" w:eastAsia="宋体" w:cs="Times New Roman"/>
          <w:b/>
          <w:bCs/>
          <w:color w:val="auto"/>
          <w:highlight w:val="none"/>
        </w:rPr>
      </w:pPr>
      <w:r>
        <w:rPr>
          <w:rFonts w:ascii="宋体" w:hAnsi="宋体" w:eastAsia="宋体" w:cs="宋体"/>
          <w:b/>
          <w:bCs/>
          <w:color w:val="auto"/>
          <w:highlight w:val="none"/>
        </w:rPr>
        <w:t>3.</w:t>
      </w:r>
      <w:r>
        <w:rPr>
          <w:rFonts w:hint="eastAsia" w:ascii="宋体" w:hAnsi="宋体" w:eastAsia="宋体" w:cs="宋体"/>
          <w:b/>
          <w:bCs/>
          <w:color w:val="auto"/>
          <w:highlight w:val="none"/>
        </w:rPr>
        <w:t>凡标有“▲”的地方为重要条款，请供应商注意，如供应商不满足将严重扣分。</w:t>
      </w:r>
    </w:p>
    <w:p>
      <w:pPr>
        <w:autoSpaceDE w:val="0"/>
        <w:autoSpaceDN w:val="0"/>
        <w:adjustRightInd w:val="0"/>
        <w:spacing w:line="360" w:lineRule="auto"/>
        <w:ind w:firstLine="420" w:firstLineChars="200"/>
        <w:jc w:val="left"/>
        <w:rPr>
          <w:rFonts w:ascii="宋体" w:hAnsi="宋体" w:eastAsia="宋体" w:cs="Times New Roman"/>
          <w:color w:val="auto"/>
          <w:kern w:val="0"/>
          <w:highlight w:val="none"/>
        </w:rPr>
      </w:pPr>
    </w:p>
    <w:p>
      <w:pPr>
        <w:adjustRightInd w:val="0"/>
        <w:snapToGrid w:val="0"/>
        <w:spacing w:line="360" w:lineRule="auto"/>
        <w:ind w:left="105"/>
        <w:jc w:val="left"/>
        <w:outlineLvl w:val="1"/>
        <w:rPr>
          <w:rFonts w:ascii="宋体" w:hAnsi="宋体" w:eastAsia="宋体" w:cs="Times New Roman"/>
          <w:b/>
          <w:bCs/>
          <w:color w:val="auto"/>
          <w:kern w:val="0"/>
          <w:sz w:val="24"/>
          <w:szCs w:val="24"/>
          <w:highlight w:val="none"/>
        </w:rPr>
      </w:pPr>
      <w:r>
        <w:rPr>
          <w:rFonts w:hint="eastAsia" w:ascii="宋体" w:hAnsi="宋体" w:eastAsia="宋体" w:cs="宋体"/>
          <w:b/>
          <w:bCs/>
          <w:color w:val="auto"/>
          <w:kern w:val="0"/>
          <w:sz w:val="24"/>
          <w:szCs w:val="24"/>
          <w:highlight w:val="none"/>
        </w:rPr>
        <w:t>一、项目概况</w:t>
      </w:r>
    </w:p>
    <w:p>
      <w:pPr>
        <w:snapToGrid w:val="0"/>
        <w:spacing w:line="360" w:lineRule="auto"/>
        <w:ind w:left="105" w:leftChars="50" w:firstLine="420" w:firstLineChars="200"/>
        <w:outlineLvl w:val="1"/>
        <w:rPr>
          <w:rFonts w:ascii="宋体" w:hAnsi="宋体" w:eastAsia="宋体" w:cs="Times New Roman"/>
          <w:color w:val="auto"/>
          <w:highlight w:val="none"/>
        </w:rPr>
      </w:pPr>
      <w:r>
        <w:rPr>
          <w:rFonts w:hint="eastAsia" w:ascii="宋体" w:hAnsi="宋体" w:eastAsia="宋体" w:cs="宋体"/>
          <w:color w:val="auto"/>
          <w:highlight w:val="none"/>
        </w:rPr>
        <w:t>（一）加强排污单位的环保监管需要监测数据作为支撑。为掌握越秀区有关污染源排放状况，严格贯彻落实环</w:t>
      </w:r>
      <w:r>
        <w:rPr>
          <w:rFonts w:hint="eastAsia" w:ascii="宋体" w:hAnsi="宋体" w:eastAsia="宋体" w:cs="宋体"/>
          <w:color w:val="auto"/>
          <w:highlight w:val="none"/>
        </w:rPr>
        <w:t>境监管职责，认真做好第二轮中央生态环境保护督察交办案件办理工作，广州市生态环境局越秀分局向社会购买污染源监督性监测和有关环境应急监测服务，对有关污染源单位排放的废气</w:t>
      </w:r>
      <w:r>
        <w:rPr>
          <w:rFonts w:ascii="宋体" w:hAnsi="宋体" w:eastAsia="宋体" w:cs="宋体"/>
          <w:color w:val="auto"/>
          <w:highlight w:val="none"/>
        </w:rPr>
        <w:t>[</w:t>
      </w:r>
      <w:r>
        <w:rPr>
          <w:rFonts w:hint="eastAsia" w:ascii="宋体" w:hAnsi="宋体" w:eastAsia="宋体" w:cs="宋体"/>
          <w:color w:val="auto"/>
          <w:highlight w:val="none"/>
        </w:rPr>
        <w:t>包括油烟、恶臭气体（臭气浓度）</w:t>
      </w:r>
      <w:r>
        <w:rPr>
          <w:rFonts w:ascii="宋体" w:hAnsi="宋体" w:eastAsia="宋体" w:cs="宋体"/>
          <w:color w:val="auto"/>
          <w:highlight w:val="none"/>
        </w:rPr>
        <w:t>]</w:t>
      </w:r>
      <w:r>
        <w:rPr>
          <w:rFonts w:hint="eastAsia" w:ascii="宋体" w:hAnsi="宋体" w:eastAsia="宋体" w:cs="宋体"/>
          <w:color w:val="auto"/>
          <w:highlight w:val="none"/>
        </w:rPr>
        <w:t>、噪声（昼间、夜间）、辐射、废水等项目进行污染源监督性监测。</w:t>
      </w:r>
    </w:p>
    <w:p>
      <w:pPr>
        <w:snapToGrid w:val="0"/>
        <w:spacing w:line="360" w:lineRule="auto"/>
        <w:ind w:left="105" w:firstLine="420" w:firstLineChars="200"/>
        <w:jc w:val="left"/>
        <w:outlineLvl w:val="1"/>
        <w:rPr>
          <w:rFonts w:ascii="宋体" w:hAnsi="宋体" w:eastAsia="宋体" w:cs="Times New Roman"/>
          <w:color w:val="auto"/>
          <w:highlight w:val="none"/>
        </w:rPr>
      </w:pPr>
      <w:r>
        <w:rPr>
          <w:rFonts w:hint="eastAsia" w:ascii="宋体" w:hAnsi="宋体" w:eastAsia="宋体" w:cs="宋体"/>
          <w:color w:val="auto"/>
          <w:highlight w:val="none"/>
        </w:rPr>
        <w:t>（二）采购内容</w:t>
      </w:r>
    </w:p>
    <w:tbl>
      <w:tblPr>
        <w:tblStyle w:val="90"/>
        <w:tblW w:w="8194"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691"/>
        <w:gridCol w:w="1887"/>
        <w:gridCol w:w="1617"/>
        <w:gridCol w:w="19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12" w:hRule="atLeast"/>
          <w:jc w:val="center"/>
        </w:trPr>
        <w:tc>
          <w:tcPr>
            <w:tcW w:w="2691" w:type="dxa"/>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监测内容</w:t>
            </w:r>
          </w:p>
        </w:tc>
        <w:tc>
          <w:tcPr>
            <w:tcW w:w="1887" w:type="dxa"/>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采购总预算</w:t>
            </w:r>
          </w:p>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（人民币</w:t>
            </w:r>
            <w:r>
              <w:rPr>
                <w:rFonts w:ascii="宋体" w:hAnsi="宋体" w:eastAsia="宋体" w:cs="宋体"/>
                <w:b/>
                <w:bCs/>
                <w:color w:val="auto"/>
                <w:highlight w:val="none"/>
              </w:rPr>
              <w:t xml:space="preserve"> </w:t>
            </w:r>
            <w:r>
              <w:rPr>
                <w:rFonts w:hint="eastAsia" w:ascii="宋体" w:hAnsi="宋体" w:eastAsia="宋体" w:cs="宋体"/>
                <w:b/>
                <w:bCs/>
                <w:color w:val="auto"/>
                <w:highlight w:val="none"/>
              </w:rPr>
              <w:t>万元）</w:t>
            </w:r>
          </w:p>
        </w:tc>
        <w:tc>
          <w:tcPr>
            <w:tcW w:w="1617" w:type="dxa"/>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成交供应商数量（家数）</w:t>
            </w:r>
          </w:p>
        </w:tc>
        <w:tc>
          <w:tcPr>
            <w:tcW w:w="1999" w:type="dxa"/>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服务期限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1102" w:hRule="atLeast"/>
          <w:jc w:val="center"/>
        </w:trPr>
        <w:tc>
          <w:tcPr>
            <w:tcW w:w="2691" w:type="dxa"/>
            <w:vAlign w:val="center"/>
          </w:tcPr>
          <w:p>
            <w:pPr>
              <w:jc w:val="left"/>
              <w:rPr>
                <w:rFonts w:ascii="宋体" w:hAnsi="宋体" w:eastAsia="宋体" w:cs="Times New Roman"/>
                <w:color w:val="auto"/>
                <w:highlight w:val="none"/>
              </w:rPr>
            </w:pPr>
            <w:r>
              <w:rPr>
                <w:rFonts w:hint="eastAsia" w:ascii="宋体" w:hAnsi="宋体" w:eastAsia="宋体" w:cs="宋体"/>
                <w:color w:val="auto"/>
                <w:highlight w:val="none"/>
              </w:rPr>
              <w:t>完成采购人安排的污染源单位监督性监测以及有关应急监测任务。</w:t>
            </w:r>
          </w:p>
        </w:tc>
        <w:tc>
          <w:tcPr>
            <w:tcW w:w="1887"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20</w:t>
            </w:r>
          </w:p>
        </w:tc>
        <w:tc>
          <w:tcPr>
            <w:tcW w:w="1617"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3</w:t>
            </w:r>
          </w:p>
        </w:tc>
        <w:tc>
          <w:tcPr>
            <w:tcW w:w="1999" w:type="dxa"/>
            <w:vAlign w:val="center"/>
          </w:tcPr>
          <w:p>
            <w:pPr>
              <w:jc w:val="left"/>
              <w:rPr>
                <w:rFonts w:ascii="宋体" w:hAnsi="宋体" w:eastAsia="宋体" w:cs="Times New Roman"/>
                <w:color w:val="auto"/>
                <w:highlight w:val="none"/>
              </w:rPr>
            </w:pPr>
            <w:r>
              <w:rPr>
                <w:rFonts w:hint="eastAsia" w:ascii="宋体" w:hAnsi="宋体" w:eastAsia="宋体" w:cs="宋体"/>
                <w:color w:val="auto"/>
                <w:highlight w:val="none"/>
              </w:rPr>
              <w:t>合同生效之日起至</w:t>
            </w:r>
            <w:r>
              <w:rPr>
                <w:rFonts w:ascii="宋体" w:hAnsi="宋体" w:eastAsia="宋体" w:cs="宋体"/>
                <w:color w:val="auto"/>
                <w:highlight w:val="none"/>
              </w:rPr>
              <w:t>2022</w:t>
            </w:r>
            <w:r>
              <w:rPr>
                <w:rFonts w:hint="eastAsia" w:ascii="宋体" w:hAnsi="宋体" w:eastAsia="宋体" w:cs="宋体"/>
                <w:color w:val="auto"/>
                <w:highlight w:val="none"/>
              </w:rPr>
              <w:t>年</w:t>
            </w:r>
            <w:r>
              <w:rPr>
                <w:rFonts w:ascii="宋体" w:hAnsi="宋体" w:eastAsia="宋体" w:cs="宋体"/>
                <w:color w:val="auto"/>
                <w:highlight w:val="none"/>
              </w:rPr>
              <w:t>7</w:t>
            </w:r>
            <w:r>
              <w:rPr>
                <w:rFonts w:hint="eastAsia" w:ascii="宋体" w:hAnsi="宋体" w:eastAsia="宋体" w:cs="宋体"/>
                <w:color w:val="auto"/>
                <w:highlight w:val="none"/>
              </w:rPr>
              <w:t>月</w:t>
            </w:r>
            <w:r>
              <w:rPr>
                <w:rFonts w:ascii="宋体" w:hAnsi="宋体" w:eastAsia="宋体" w:cs="宋体"/>
                <w:color w:val="auto"/>
                <w:highlight w:val="none"/>
              </w:rPr>
              <w:t>30</w:t>
            </w:r>
            <w:r>
              <w:rPr>
                <w:rFonts w:hint="eastAsia" w:ascii="宋体" w:hAnsi="宋体" w:eastAsia="宋体" w:cs="宋体"/>
                <w:color w:val="auto"/>
                <w:highlight w:val="none"/>
              </w:rPr>
              <w:t>日。</w:t>
            </w:r>
          </w:p>
        </w:tc>
      </w:tr>
    </w:tbl>
    <w:p>
      <w:pPr>
        <w:snapToGrid w:val="0"/>
        <w:spacing w:before="120" w:beforeLines="50" w:line="360" w:lineRule="auto"/>
        <w:ind w:firstLine="420" w:firstLineChars="200"/>
        <w:jc w:val="left"/>
        <w:outlineLvl w:val="1"/>
        <w:rPr>
          <w:rFonts w:ascii="宋体" w:hAnsi="宋体" w:eastAsia="宋体" w:cs="Times New Roman"/>
          <w:color w:val="auto"/>
          <w:highlight w:val="none"/>
        </w:rPr>
      </w:pPr>
      <w:bookmarkStart w:id="260" w:name="_Hlk77953493"/>
      <w:r>
        <w:rPr>
          <w:rFonts w:hint="eastAsia" w:ascii="宋体" w:hAnsi="宋体" w:eastAsia="宋体" w:cs="宋体"/>
          <w:color w:val="auto"/>
          <w:highlight w:val="none"/>
        </w:rPr>
        <w:t>注：</w:t>
      </w:r>
      <w:r>
        <w:rPr>
          <w:rFonts w:ascii="宋体" w:hAnsi="宋体" w:eastAsia="宋体" w:cs="宋体"/>
          <w:color w:val="auto"/>
          <w:highlight w:val="none"/>
        </w:rPr>
        <w:t>1</w:t>
      </w:r>
      <w:r>
        <w:rPr>
          <w:rFonts w:hint="eastAsia" w:ascii="宋体" w:hAnsi="宋体" w:eastAsia="宋体" w:cs="宋体"/>
          <w:color w:val="auto"/>
          <w:highlight w:val="none"/>
        </w:rPr>
        <w:t>、成交合同签订后，采购人根据工作需要编制每批次与</w:t>
      </w:r>
      <w:r>
        <w:rPr>
          <w:rFonts w:hint="eastAsia" w:ascii="宋体" w:hAnsi="宋体" w:eastAsia="宋体" w:cs="宋体"/>
          <w:color w:val="auto"/>
          <w:highlight w:val="none"/>
        </w:rPr>
        <w:t>成交供应商数量相对应的监测工作任务清单</w:t>
      </w:r>
      <w:r>
        <w:rPr>
          <w:rFonts w:ascii="宋体" w:hAnsi="宋体" w:eastAsia="宋体" w:cs="宋体"/>
          <w:color w:val="auto"/>
          <w:highlight w:val="none"/>
        </w:rPr>
        <w:t>(</w:t>
      </w:r>
      <w:r>
        <w:rPr>
          <w:rFonts w:hint="eastAsia" w:ascii="宋体" w:hAnsi="宋体" w:eastAsia="宋体" w:cs="宋体"/>
          <w:color w:val="auto"/>
          <w:highlight w:val="none"/>
        </w:rPr>
        <w:t>清单含监测项目、完成时间节点等内容</w:t>
      </w:r>
      <w:r>
        <w:rPr>
          <w:rFonts w:ascii="宋体" w:hAnsi="宋体" w:eastAsia="宋体" w:cs="宋体"/>
          <w:color w:val="auto"/>
          <w:highlight w:val="none"/>
        </w:rPr>
        <w:t>)</w:t>
      </w:r>
      <w:r>
        <w:rPr>
          <w:rFonts w:hint="eastAsia" w:ascii="宋体" w:hAnsi="宋体" w:eastAsia="宋体" w:cs="宋体"/>
          <w:color w:val="auto"/>
          <w:highlight w:val="none"/>
        </w:rPr>
        <w:t>，或根据中央生态环境环保督察交办案件制定应急监测任务，</w:t>
      </w:r>
      <w:r>
        <w:rPr>
          <w:rFonts w:hint="eastAsia" w:ascii="宋体" w:hAnsi="宋体" w:eastAsia="宋体" w:cs="宋体"/>
          <w:color w:val="auto"/>
          <w:highlight w:val="none"/>
        </w:rPr>
        <w:t>由采购人通过适当的方式并根据检测项目的特殊情况</w:t>
      </w:r>
      <w:r>
        <w:rPr>
          <w:rFonts w:hint="eastAsia" w:ascii="宋体" w:hAnsi="宋体" w:eastAsia="宋体" w:cs="宋体"/>
          <w:color w:val="auto"/>
          <w:highlight w:val="none"/>
        </w:rPr>
        <w:t>确定监测服务机构。</w:t>
      </w:r>
      <w:bookmarkEnd w:id="260"/>
    </w:p>
    <w:p>
      <w:pPr>
        <w:snapToGrid w:val="0"/>
        <w:spacing w:before="120" w:beforeLines="50" w:line="360" w:lineRule="auto"/>
        <w:ind w:firstLine="420" w:firstLineChars="200"/>
        <w:jc w:val="left"/>
        <w:outlineLvl w:val="1"/>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、若在服务期间，因成交供应商自身原因不能继续提供监测服务的，其原来承担的剩余工作量将纳入下批次监测工作任务清单，</w:t>
      </w:r>
      <w:r>
        <w:rPr>
          <w:rFonts w:hint="eastAsia" w:ascii="宋体" w:hAnsi="宋体" w:eastAsia="宋体" w:cs="宋体"/>
          <w:color w:val="auto"/>
          <w:highlight w:val="none"/>
        </w:rPr>
        <w:t>由采购人通过适当的方式并根据检测项目的特殊情况</w:t>
      </w:r>
      <w:r>
        <w:rPr>
          <w:rFonts w:hint="eastAsia" w:ascii="宋体" w:hAnsi="宋体" w:eastAsia="宋体" w:cs="宋体"/>
          <w:color w:val="auto"/>
          <w:highlight w:val="none"/>
        </w:rPr>
        <w:t>确定下批次监测工作任务清单的监测服务机构。</w:t>
      </w:r>
    </w:p>
    <w:p>
      <w:pPr>
        <w:snapToGrid w:val="0"/>
        <w:spacing w:before="120" w:beforeLines="50" w:line="360" w:lineRule="auto"/>
        <w:ind w:firstLine="420" w:firstLineChars="200"/>
        <w:jc w:val="left"/>
        <w:outlineLvl w:val="1"/>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、成交供应商必须独立完成监测任务，不得转包或分包。成交供应商应严格按照每批次监测工作任务清单规定的时间要求完成每批次的工作任务。</w:t>
      </w:r>
    </w:p>
    <w:p>
      <w:pPr>
        <w:snapToGrid w:val="0"/>
        <w:spacing w:before="120" w:beforeLines="50" w:line="360" w:lineRule="auto"/>
        <w:ind w:firstLine="420" w:firstLineChars="200"/>
        <w:outlineLvl w:val="1"/>
        <w:rPr>
          <w:rFonts w:ascii="宋体" w:hAnsi="宋体" w:eastAsia="宋体" w:cs="Times New Roman"/>
          <w:color w:val="auto"/>
          <w:highlight w:val="none"/>
        </w:rPr>
      </w:pPr>
      <w:r>
        <w:rPr>
          <w:rFonts w:hint="eastAsia" w:ascii="宋体" w:hAnsi="宋体" w:eastAsia="宋体" w:cs="宋体"/>
          <w:color w:val="auto"/>
          <w:highlight w:val="none"/>
        </w:rPr>
        <w:t>（三）采购人提供任务清单中的单位，原则上只监测</w:t>
      </w:r>
      <w:r>
        <w:rPr>
          <w:rFonts w:ascii="宋体" w:hAnsi="宋体" w:eastAsia="宋体" w:cs="宋体"/>
          <w:color w:val="auto"/>
          <w:highlight w:val="none"/>
        </w:rPr>
        <w:t>1</w:t>
      </w:r>
      <w:r>
        <w:rPr>
          <w:rFonts w:hint="eastAsia" w:ascii="宋体" w:hAnsi="宋体" w:eastAsia="宋体" w:cs="宋体"/>
          <w:color w:val="auto"/>
          <w:highlight w:val="none"/>
        </w:rPr>
        <w:t>间·次，在实际监测过程中，如因受监测单位关停等原因不能正常监测的，则取消对该单位的监测。按照成交供应商实际提交的有效的监测报告的实际工作量和成交单价据实结算。</w:t>
      </w:r>
    </w:p>
    <w:p>
      <w:pPr>
        <w:snapToGrid w:val="0"/>
        <w:spacing w:before="120" w:beforeLines="50" w:line="360" w:lineRule="auto"/>
        <w:ind w:firstLine="420" w:firstLineChars="200"/>
        <w:outlineLvl w:val="1"/>
        <w:rPr>
          <w:rFonts w:ascii="宋体" w:hAnsi="宋体" w:eastAsia="宋体" w:cs="Times New Roman"/>
          <w:color w:val="auto"/>
          <w:highlight w:val="none"/>
        </w:rPr>
      </w:pPr>
      <w:r>
        <w:rPr>
          <w:rFonts w:hint="eastAsia" w:ascii="宋体" w:hAnsi="宋体" w:eastAsia="宋体" w:cs="宋体"/>
          <w:color w:val="auto"/>
          <w:highlight w:val="none"/>
        </w:rPr>
        <w:t>各个监测项目价格根据广东省环境监测协会《关于发布＜广东省环境监测行业指导价＞的通知》（粤环监协〔</w:t>
      </w:r>
      <w:r>
        <w:rPr>
          <w:rFonts w:ascii="宋体" w:hAnsi="宋体" w:eastAsia="宋体" w:cs="宋体"/>
          <w:color w:val="auto"/>
          <w:highlight w:val="none"/>
        </w:rPr>
        <w:t>2018</w:t>
      </w:r>
      <w:r>
        <w:rPr>
          <w:rFonts w:hint="eastAsia" w:ascii="宋体" w:hAnsi="宋体" w:eastAsia="宋体" w:cs="宋体"/>
          <w:color w:val="auto"/>
          <w:highlight w:val="none"/>
        </w:rPr>
        <w:t>〕</w:t>
      </w:r>
      <w:r>
        <w:rPr>
          <w:rFonts w:ascii="宋体" w:hAnsi="宋体" w:eastAsia="宋体" w:cs="宋体"/>
          <w:color w:val="auto"/>
          <w:highlight w:val="none"/>
        </w:rPr>
        <w:t>611</w:t>
      </w:r>
      <w:r>
        <w:rPr>
          <w:rFonts w:hint="eastAsia" w:ascii="宋体" w:hAnsi="宋体" w:eastAsia="宋体" w:cs="宋体"/>
          <w:color w:val="auto"/>
          <w:highlight w:val="none"/>
        </w:rPr>
        <w:t>号）及结合越秀区污染源监督性监测工作实际，拟定以下各监测项目的单价为最高限价，</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需根据国家、省、市的有关规定，并结合越秀区污染源监督性监测实际，对各监测项目单价按照同一下浮率向下浮动进行报价，并根据同一下浮率计算出各监测项目单价。</w:t>
      </w:r>
    </w:p>
    <w:p>
      <w:pPr>
        <w:snapToGrid w:val="0"/>
        <w:spacing w:before="120" w:beforeLines="50" w:line="360" w:lineRule="auto"/>
        <w:ind w:firstLine="420" w:firstLineChars="200"/>
        <w:outlineLvl w:val="1"/>
        <w:rPr>
          <w:rFonts w:ascii="宋体" w:hAnsi="宋体" w:eastAsia="宋体" w:cs="Times New Roman"/>
          <w:color w:val="auto"/>
          <w:highlight w:val="none"/>
        </w:rPr>
      </w:pPr>
    </w:p>
    <w:p>
      <w:pPr>
        <w:snapToGrid w:val="0"/>
        <w:spacing w:line="360" w:lineRule="auto"/>
        <w:ind w:left="105" w:leftChars="50" w:firstLine="422" w:firstLineChars="200"/>
        <w:jc w:val="center"/>
        <w:outlineLvl w:val="1"/>
        <w:rPr>
          <w:rFonts w:ascii="宋体" w:hAnsi="宋体" w:eastAsia="宋体" w:cs="Times New Roman"/>
          <w:color w:val="auto"/>
          <w:highlight w:val="none"/>
        </w:rPr>
      </w:pPr>
      <w:r>
        <w:rPr>
          <w:rFonts w:hint="eastAsia" w:ascii="宋体" w:hAnsi="宋体" w:eastAsia="宋体" w:cs="宋体"/>
          <w:b/>
          <w:bCs/>
          <w:color w:val="auto"/>
          <w:highlight w:val="none"/>
        </w:rPr>
        <w:t>监测项目及单价限价表</w:t>
      </w:r>
    </w:p>
    <w:tbl>
      <w:tblPr>
        <w:tblStyle w:val="90"/>
        <w:tblW w:w="993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8"/>
        <w:gridCol w:w="1462"/>
        <w:gridCol w:w="2260"/>
        <w:gridCol w:w="906"/>
        <w:gridCol w:w="2268"/>
        <w:gridCol w:w="992"/>
        <w:gridCol w:w="12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 w:hRule="atLeast"/>
          <w:jc w:val="center"/>
        </w:trPr>
        <w:tc>
          <w:tcPr>
            <w:tcW w:w="768" w:type="dxa"/>
            <w:shd w:val="clear" w:color="auto" w:fill="FFFFFF"/>
            <w:noWrap/>
            <w:vAlign w:val="center"/>
          </w:tcPr>
          <w:p>
            <w:pPr>
              <w:tabs>
                <w:tab w:val="left" w:pos="1900"/>
              </w:tabs>
              <w:jc w:val="center"/>
              <w:rPr>
                <w:rFonts w:ascii="宋体" w:hAnsi="宋体" w:eastAsia="宋体" w:cs="Times New Roman"/>
                <w:b/>
                <w:bCs/>
                <w:color w:val="auto"/>
                <w:sz w:val="18"/>
                <w:szCs w:val="18"/>
                <w:highlight w:val="none"/>
              </w:rPr>
            </w:pPr>
            <w:r>
              <w:rPr>
                <w:rFonts w:hint="eastAsia" w:ascii="宋体" w:hAnsi="宋体" w:eastAsia="宋体" w:cs="宋体"/>
                <w:b/>
                <w:bCs/>
                <w:color w:val="auto"/>
                <w:sz w:val="18"/>
                <w:szCs w:val="18"/>
                <w:highlight w:val="none"/>
              </w:rPr>
              <w:t>序号</w:t>
            </w:r>
          </w:p>
        </w:tc>
        <w:tc>
          <w:tcPr>
            <w:tcW w:w="1462" w:type="dxa"/>
            <w:shd w:val="clear" w:color="auto" w:fill="FFFFFF"/>
            <w:noWrap/>
            <w:vAlign w:val="center"/>
          </w:tcPr>
          <w:p>
            <w:pPr>
              <w:tabs>
                <w:tab w:val="left" w:pos="1900"/>
              </w:tabs>
              <w:jc w:val="center"/>
              <w:rPr>
                <w:rFonts w:ascii="宋体" w:hAnsi="宋体" w:eastAsia="宋体" w:cs="Times New Roman"/>
                <w:b/>
                <w:bCs/>
                <w:color w:val="auto"/>
                <w:sz w:val="18"/>
                <w:szCs w:val="18"/>
                <w:highlight w:val="none"/>
              </w:rPr>
            </w:pPr>
            <w:r>
              <w:rPr>
                <w:rFonts w:hint="eastAsia" w:ascii="宋体" w:hAnsi="宋体" w:eastAsia="宋体" w:cs="宋体"/>
                <w:b/>
                <w:bCs/>
                <w:color w:val="auto"/>
                <w:sz w:val="18"/>
                <w:szCs w:val="18"/>
                <w:highlight w:val="none"/>
              </w:rPr>
              <w:t>监测项目</w:t>
            </w:r>
          </w:p>
          <w:p>
            <w:pPr>
              <w:tabs>
                <w:tab w:val="left" w:pos="1900"/>
              </w:tabs>
              <w:jc w:val="center"/>
              <w:rPr>
                <w:rFonts w:ascii="宋体" w:hAnsi="宋体" w:eastAsia="宋体" w:cs="Times New Roman"/>
                <w:b/>
                <w:bCs/>
                <w:color w:val="auto"/>
                <w:sz w:val="18"/>
                <w:szCs w:val="18"/>
                <w:highlight w:val="none"/>
              </w:rPr>
            </w:pPr>
            <w:r>
              <w:rPr>
                <w:rFonts w:hint="eastAsia" w:ascii="宋体" w:hAnsi="宋体" w:eastAsia="宋体" w:cs="宋体"/>
                <w:b/>
                <w:bCs/>
                <w:color w:val="auto"/>
                <w:sz w:val="18"/>
                <w:szCs w:val="18"/>
                <w:highlight w:val="none"/>
              </w:rPr>
              <w:t>类型</w:t>
            </w:r>
          </w:p>
        </w:tc>
        <w:tc>
          <w:tcPr>
            <w:tcW w:w="2260" w:type="dxa"/>
            <w:shd w:val="clear" w:color="auto" w:fill="FFFFFF"/>
            <w:vAlign w:val="center"/>
          </w:tcPr>
          <w:p>
            <w:pPr>
              <w:tabs>
                <w:tab w:val="left" w:pos="1900"/>
              </w:tabs>
              <w:jc w:val="center"/>
              <w:rPr>
                <w:rFonts w:ascii="宋体" w:hAnsi="宋体" w:eastAsia="宋体" w:cs="Times New Roman"/>
                <w:b/>
                <w:bCs/>
                <w:color w:val="auto"/>
                <w:sz w:val="18"/>
                <w:szCs w:val="18"/>
                <w:highlight w:val="none"/>
              </w:rPr>
            </w:pPr>
            <w:r>
              <w:rPr>
                <w:rFonts w:hint="eastAsia" w:ascii="宋体" w:hAnsi="宋体" w:eastAsia="宋体" w:cs="宋体"/>
                <w:b/>
                <w:bCs/>
                <w:color w:val="auto"/>
                <w:sz w:val="18"/>
                <w:szCs w:val="18"/>
                <w:highlight w:val="none"/>
              </w:rPr>
              <w:t>监测项目</w:t>
            </w:r>
          </w:p>
        </w:tc>
        <w:tc>
          <w:tcPr>
            <w:tcW w:w="906" w:type="dxa"/>
            <w:shd w:val="clear" w:color="auto" w:fill="FFFFFF"/>
            <w:vAlign w:val="center"/>
          </w:tcPr>
          <w:p>
            <w:pPr>
              <w:tabs>
                <w:tab w:val="left" w:pos="1900"/>
              </w:tabs>
              <w:jc w:val="center"/>
              <w:rPr>
                <w:rFonts w:ascii="宋体" w:hAnsi="宋体" w:eastAsia="宋体" w:cs="Times New Roman"/>
                <w:b/>
                <w:bCs/>
                <w:color w:val="auto"/>
                <w:sz w:val="18"/>
                <w:szCs w:val="18"/>
                <w:highlight w:val="none"/>
              </w:rPr>
            </w:pPr>
            <w:r>
              <w:rPr>
                <w:rFonts w:hint="eastAsia" w:ascii="宋体" w:hAnsi="宋体" w:eastAsia="宋体" w:cs="宋体"/>
                <w:b/>
                <w:bCs/>
                <w:color w:val="auto"/>
                <w:sz w:val="18"/>
                <w:szCs w:val="18"/>
                <w:highlight w:val="none"/>
              </w:rPr>
              <w:t>计费</w:t>
            </w:r>
          </w:p>
          <w:p>
            <w:pPr>
              <w:tabs>
                <w:tab w:val="left" w:pos="1900"/>
              </w:tabs>
              <w:jc w:val="center"/>
              <w:rPr>
                <w:rFonts w:ascii="宋体" w:hAnsi="宋体" w:eastAsia="宋体" w:cs="Times New Roman"/>
                <w:b/>
                <w:bCs/>
                <w:color w:val="auto"/>
                <w:sz w:val="18"/>
                <w:szCs w:val="18"/>
                <w:highlight w:val="none"/>
              </w:rPr>
            </w:pPr>
            <w:r>
              <w:rPr>
                <w:rFonts w:hint="eastAsia" w:ascii="宋体" w:hAnsi="宋体" w:eastAsia="宋体" w:cs="宋体"/>
                <w:b/>
                <w:bCs/>
                <w:color w:val="auto"/>
                <w:sz w:val="18"/>
                <w:szCs w:val="18"/>
                <w:highlight w:val="none"/>
              </w:rPr>
              <w:t>单位</w:t>
            </w:r>
          </w:p>
        </w:tc>
        <w:tc>
          <w:tcPr>
            <w:tcW w:w="3260" w:type="dxa"/>
            <w:gridSpan w:val="2"/>
            <w:shd w:val="clear" w:color="auto" w:fill="FFFFFF"/>
            <w:noWrap/>
            <w:vAlign w:val="center"/>
          </w:tcPr>
          <w:p>
            <w:pPr>
              <w:tabs>
                <w:tab w:val="left" w:pos="1900"/>
              </w:tabs>
              <w:jc w:val="center"/>
              <w:rPr>
                <w:rFonts w:ascii="宋体" w:hAnsi="宋体" w:eastAsia="宋体" w:cs="Times New Roman"/>
                <w:b/>
                <w:bCs/>
                <w:color w:val="auto"/>
                <w:sz w:val="18"/>
                <w:szCs w:val="18"/>
                <w:highlight w:val="none"/>
              </w:rPr>
            </w:pPr>
            <w:r>
              <w:rPr>
                <w:rFonts w:hint="eastAsia" w:ascii="宋体" w:hAnsi="宋体" w:eastAsia="宋体" w:cs="宋体"/>
                <w:b/>
                <w:bCs/>
                <w:color w:val="auto"/>
                <w:sz w:val="18"/>
                <w:szCs w:val="18"/>
                <w:highlight w:val="none"/>
              </w:rPr>
              <w:t>单价限价</w:t>
            </w:r>
          </w:p>
          <w:p>
            <w:pPr>
              <w:tabs>
                <w:tab w:val="left" w:pos="1900"/>
              </w:tabs>
              <w:jc w:val="center"/>
              <w:rPr>
                <w:rFonts w:ascii="宋体" w:hAnsi="宋体" w:eastAsia="宋体" w:cs="Times New Roman"/>
                <w:b/>
                <w:bCs/>
                <w:color w:val="auto"/>
                <w:sz w:val="18"/>
                <w:szCs w:val="18"/>
                <w:highlight w:val="none"/>
              </w:rPr>
            </w:pPr>
            <w:r>
              <w:rPr>
                <w:rFonts w:hint="eastAsia" w:ascii="宋体" w:hAnsi="宋体" w:eastAsia="宋体" w:cs="宋体"/>
                <w:b/>
                <w:bCs/>
                <w:color w:val="auto"/>
                <w:sz w:val="18"/>
                <w:szCs w:val="18"/>
                <w:highlight w:val="none"/>
              </w:rPr>
              <w:t>（元）</w:t>
            </w:r>
          </w:p>
        </w:tc>
        <w:tc>
          <w:tcPr>
            <w:tcW w:w="1276" w:type="dxa"/>
            <w:shd w:val="clear" w:color="auto" w:fill="FFFFFF"/>
          </w:tcPr>
          <w:p>
            <w:pPr>
              <w:tabs>
                <w:tab w:val="left" w:pos="1900"/>
              </w:tabs>
              <w:jc w:val="center"/>
              <w:rPr>
                <w:rFonts w:ascii="宋体" w:hAnsi="宋体" w:eastAsia="宋体" w:cs="Times New Roman"/>
                <w:b/>
                <w:bCs/>
                <w:color w:val="auto"/>
                <w:sz w:val="18"/>
                <w:szCs w:val="18"/>
                <w:highlight w:val="none"/>
              </w:rPr>
            </w:pPr>
            <w:r>
              <w:rPr>
                <w:rFonts w:hint="eastAsia" w:ascii="宋体" w:hAnsi="宋体" w:eastAsia="宋体" w:cs="宋体"/>
                <w:b/>
                <w:bCs/>
                <w:color w:val="auto"/>
                <w:sz w:val="18"/>
                <w:szCs w:val="18"/>
                <w:highlight w:val="none"/>
              </w:rPr>
              <w:t>小计</w:t>
            </w:r>
          </w:p>
          <w:p>
            <w:pPr>
              <w:tabs>
                <w:tab w:val="left" w:pos="1900"/>
              </w:tabs>
              <w:jc w:val="center"/>
              <w:rPr>
                <w:rFonts w:ascii="宋体" w:hAnsi="宋体" w:eastAsia="宋体" w:cs="Times New Roman"/>
                <w:b/>
                <w:bCs/>
                <w:color w:val="auto"/>
                <w:sz w:val="18"/>
                <w:szCs w:val="18"/>
                <w:highlight w:val="none"/>
              </w:rPr>
            </w:pPr>
            <w:r>
              <w:rPr>
                <w:rFonts w:hint="eastAsia" w:ascii="宋体" w:hAnsi="宋体" w:eastAsia="宋体" w:cs="宋体"/>
                <w:b/>
                <w:bCs/>
                <w:color w:val="auto"/>
                <w:sz w:val="18"/>
                <w:szCs w:val="18"/>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w:t>
            </w:r>
          </w:p>
        </w:tc>
        <w:tc>
          <w:tcPr>
            <w:tcW w:w="1462" w:type="dxa"/>
            <w:vMerge w:val="restart"/>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废气</w:t>
            </w:r>
          </w:p>
        </w:tc>
        <w:tc>
          <w:tcPr>
            <w:tcW w:w="2260"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饮食业油烟</w:t>
            </w: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2000</w:t>
            </w:r>
          </w:p>
        </w:tc>
        <w:tc>
          <w:tcPr>
            <w:tcW w:w="1276" w:type="dxa"/>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6"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恶臭气体（臭气浓度）</w:t>
            </w: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2000</w:t>
            </w:r>
          </w:p>
        </w:tc>
        <w:tc>
          <w:tcPr>
            <w:tcW w:w="1276" w:type="dxa"/>
          </w:tcPr>
          <w:p>
            <w:pPr>
              <w:jc w:val="center"/>
              <w:rPr>
                <w:rFonts w:ascii="宋体" w:hAnsi="宋体" w:eastAsia="宋体" w:cs="Times New Roman"/>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3</w:t>
            </w:r>
          </w:p>
        </w:tc>
        <w:tc>
          <w:tcPr>
            <w:tcW w:w="1462" w:type="dxa"/>
            <w:vMerge w:val="continue"/>
            <w:noWrap/>
            <w:vAlign w:val="center"/>
          </w:tcPr>
          <w:p>
            <w:pPr>
              <w:tabs>
                <w:tab w:val="left" w:pos="1900"/>
              </w:tabs>
              <w:jc w:val="center"/>
              <w:rPr>
                <w:rFonts w:ascii="宋体" w:hAnsi="宋体" w:eastAsia="宋体" w:cs="宋体"/>
                <w:color w:val="auto"/>
                <w:highlight w:val="none"/>
              </w:rPr>
            </w:pPr>
          </w:p>
        </w:tc>
        <w:tc>
          <w:tcPr>
            <w:tcW w:w="2260"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挥发性有机污染物含量</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第</w:t>
            </w:r>
            <w:r>
              <w:rPr>
                <w:rFonts w:ascii="宋体" w:hAnsi="宋体" w:eastAsia="宋体" w:cs="宋体"/>
                <w:color w:val="auto"/>
                <w:highlight w:val="none"/>
              </w:rPr>
              <w:t>1</w:t>
            </w:r>
            <w:r>
              <w:rPr>
                <w:rFonts w:hint="eastAsia" w:ascii="宋体" w:hAnsi="宋体" w:eastAsia="宋体" w:cs="宋体"/>
                <w:color w:val="auto"/>
                <w:highlight w:val="none"/>
              </w:rPr>
              <w:t>项</w:t>
            </w:r>
            <w:r>
              <w:rPr>
                <w:rFonts w:ascii="宋体" w:hAnsi="宋体" w:eastAsia="宋体" w:cs="宋体"/>
                <w:color w:val="auto"/>
                <w:highlight w:val="none"/>
              </w:rPr>
              <w:t>300,</w:t>
            </w:r>
            <w:r>
              <w:rPr>
                <w:rFonts w:hint="eastAsia" w:ascii="宋体" w:hAnsi="宋体" w:eastAsia="宋体" w:cs="宋体"/>
                <w:color w:val="auto"/>
                <w:highlight w:val="none"/>
              </w:rPr>
              <w:t>每增加一项加</w:t>
            </w:r>
            <w:r>
              <w:rPr>
                <w:rFonts w:ascii="宋体" w:hAnsi="宋体" w:eastAsia="宋体" w:cs="宋体"/>
                <w:color w:val="auto"/>
                <w:highlight w:val="none"/>
              </w:rPr>
              <w:t>150</w:t>
            </w:r>
            <w:r>
              <w:rPr>
                <w:rFonts w:hint="eastAsia" w:ascii="宋体" w:hAnsi="宋体" w:eastAsia="宋体" w:cs="宋体"/>
                <w:color w:val="auto"/>
                <w:highlight w:val="none"/>
              </w:rPr>
              <w:t>，最高</w:t>
            </w:r>
            <w:r>
              <w:rPr>
                <w:rFonts w:ascii="宋体" w:hAnsi="宋体" w:eastAsia="宋体" w:cs="宋体"/>
                <w:color w:val="auto"/>
                <w:highlight w:val="none"/>
              </w:rPr>
              <w:t>3000</w:t>
            </w:r>
            <w:r>
              <w:rPr>
                <w:rFonts w:hint="eastAsia" w:ascii="宋体" w:hAnsi="宋体" w:eastAsia="宋体" w:cs="宋体"/>
                <w:color w:val="auto"/>
                <w:highlight w:val="none"/>
              </w:rPr>
              <w:t>元</w:t>
            </w:r>
          </w:p>
        </w:tc>
        <w:tc>
          <w:tcPr>
            <w:tcW w:w="1276" w:type="dxa"/>
          </w:tcPr>
          <w:p>
            <w:pPr>
              <w:jc w:val="center"/>
              <w:rPr>
                <w:rFonts w:ascii="宋体" w:hAnsi="宋体" w:eastAsia="宋体" w:cs="Times New Roman"/>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4</w:t>
            </w:r>
          </w:p>
        </w:tc>
        <w:tc>
          <w:tcPr>
            <w:tcW w:w="1462" w:type="dxa"/>
            <w:vMerge w:val="continue"/>
            <w:noWrap/>
            <w:vAlign w:val="center"/>
          </w:tcPr>
          <w:p>
            <w:pPr>
              <w:tabs>
                <w:tab w:val="left" w:pos="1900"/>
              </w:tabs>
              <w:jc w:val="center"/>
              <w:rPr>
                <w:rFonts w:ascii="宋体" w:hAnsi="宋体" w:eastAsia="宋体" w:cs="宋体"/>
                <w:color w:val="auto"/>
                <w:highlight w:val="none"/>
              </w:rPr>
            </w:pPr>
          </w:p>
        </w:tc>
        <w:tc>
          <w:tcPr>
            <w:tcW w:w="2260"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总挥发性有机物（</w:t>
            </w:r>
            <w:r>
              <w:rPr>
                <w:rFonts w:ascii="宋体" w:hAnsi="宋体" w:eastAsia="宋体" w:cs="宋体"/>
                <w:color w:val="auto"/>
                <w:highlight w:val="none"/>
              </w:rPr>
              <w:t>VOCS</w:t>
            </w:r>
            <w:r>
              <w:rPr>
                <w:rFonts w:hint="eastAsia" w:ascii="宋体" w:hAnsi="宋体" w:eastAsia="宋体" w:cs="宋体"/>
                <w:color w:val="auto"/>
                <w:highlight w:val="none"/>
              </w:rPr>
              <w:t>）</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1500</w:t>
            </w:r>
          </w:p>
        </w:tc>
        <w:tc>
          <w:tcPr>
            <w:tcW w:w="1276" w:type="dxa"/>
          </w:tcPr>
          <w:p>
            <w:pPr>
              <w:jc w:val="center"/>
              <w:rPr>
                <w:rFonts w:ascii="宋体" w:hAnsi="宋体" w:eastAsia="宋体" w:cs="Times New Roman"/>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5</w:t>
            </w:r>
          </w:p>
        </w:tc>
        <w:tc>
          <w:tcPr>
            <w:tcW w:w="1462" w:type="dxa"/>
            <w:vMerge w:val="restart"/>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噪声</w:t>
            </w:r>
          </w:p>
        </w:tc>
        <w:tc>
          <w:tcPr>
            <w:tcW w:w="2260"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噪声（昼间）</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100</w:t>
            </w:r>
          </w:p>
        </w:tc>
        <w:tc>
          <w:tcPr>
            <w:tcW w:w="1276" w:type="dxa"/>
          </w:tcPr>
          <w:p>
            <w:pPr>
              <w:jc w:val="center"/>
              <w:rPr>
                <w:rFonts w:ascii="宋体" w:hAnsi="宋体" w:eastAsia="宋体" w:cs="Times New Roman"/>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6</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噪声（夜间）</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400</w:t>
            </w:r>
          </w:p>
        </w:tc>
        <w:tc>
          <w:tcPr>
            <w:tcW w:w="1276" w:type="dxa"/>
          </w:tcPr>
          <w:p>
            <w:pPr>
              <w:jc w:val="center"/>
              <w:rPr>
                <w:rFonts w:ascii="宋体" w:hAnsi="宋体" w:eastAsia="宋体" w:cs="Times New Roman"/>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7</w:t>
            </w:r>
          </w:p>
        </w:tc>
        <w:tc>
          <w:tcPr>
            <w:tcW w:w="1462" w:type="dxa"/>
            <w:vMerge w:val="restart"/>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废水</w:t>
            </w:r>
          </w:p>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（污水）</w:t>
            </w:r>
          </w:p>
        </w:tc>
        <w:tc>
          <w:tcPr>
            <w:tcW w:w="2260" w:type="dxa"/>
            <w:vMerge w:val="restart"/>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饮食业废水（</w:t>
            </w:r>
            <w:r>
              <w:rPr>
                <w:rFonts w:ascii="宋体" w:hAnsi="宋体" w:eastAsia="宋体" w:cs="宋体"/>
                <w:color w:val="auto"/>
                <w:highlight w:val="none"/>
              </w:rPr>
              <w:t>6</w:t>
            </w:r>
            <w:r>
              <w:rPr>
                <w:rFonts w:hint="eastAsia" w:ascii="宋体" w:hAnsi="宋体" w:eastAsia="宋体" w:cs="宋体"/>
                <w:color w:val="auto"/>
                <w:highlight w:val="none"/>
              </w:rPr>
              <w:t>项）</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spacing w:line="300" w:lineRule="exact"/>
              <w:jc w:val="center"/>
              <w:rPr>
                <w:rFonts w:ascii="宋体" w:hAnsi="宋体" w:eastAsia="宋体" w:cs="Times New Roman"/>
                <w:color w:val="auto"/>
                <w:highlight w:val="none"/>
              </w:rPr>
            </w:pPr>
            <w:r>
              <w:rPr>
                <w:rFonts w:ascii="宋体" w:hAnsi="宋体" w:eastAsia="宋体" w:cs="宋体"/>
                <w:color w:val="auto"/>
                <w:highlight w:val="none"/>
              </w:rPr>
              <w:t>pH</w:t>
            </w:r>
            <w:r>
              <w:rPr>
                <w:rFonts w:hint="eastAsia" w:ascii="宋体" w:hAnsi="宋体" w:eastAsia="宋体" w:cs="宋体"/>
                <w:color w:val="auto"/>
                <w:highlight w:val="none"/>
              </w:rPr>
              <w:t>值</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50</w:t>
            </w:r>
          </w:p>
        </w:tc>
        <w:tc>
          <w:tcPr>
            <w:tcW w:w="1276" w:type="dxa"/>
            <w:vMerge w:val="restart"/>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760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8</w:t>
            </w:r>
          </w:p>
        </w:tc>
        <w:tc>
          <w:tcPr>
            <w:tcW w:w="1462" w:type="dxa"/>
            <w:vMerge w:val="continue"/>
            <w:noWrap/>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化学需氧量</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120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9</w:t>
            </w:r>
          </w:p>
        </w:tc>
        <w:tc>
          <w:tcPr>
            <w:tcW w:w="1462" w:type="dxa"/>
            <w:vMerge w:val="continue"/>
            <w:noWrap/>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悬浮物</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120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10</w:t>
            </w:r>
          </w:p>
        </w:tc>
        <w:tc>
          <w:tcPr>
            <w:tcW w:w="1462" w:type="dxa"/>
            <w:vMerge w:val="continue"/>
            <w:noWrap/>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总磷</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150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11</w:t>
            </w:r>
          </w:p>
        </w:tc>
        <w:tc>
          <w:tcPr>
            <w:tcW w:w="1462" w:type="dxa"/>
            <w:vMerge w:val="continue"/>
            <w:noWrap/>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动植物油</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200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12</w:t>
            </w:r>
          </w:p>
        </w:tc>
        <w:tc>
          <w:tcPr>
            <w:tcW w:w="1462" w:type="dxa"/>
            <w:vMerge w:val="continue"/>
            <w:noWrap/>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氨氮</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120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4"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13</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Merge w:val="restart"/>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医疗污水（</w:t>
            </w:r>
            <w:r>
              <w:rPr>
                <w:rFonts w:ascii="宋体" w:hAnsi="宋体" w:eastAsia="宋体" w:cs="宋体"/>
                <w:color w:val="auto"/>
                <w:highlight w:val="none"/>
              </w:rPr>
              <w:t>10</w:t>
            </w:r>
            <w:r>
              <w:rPr>
                <w:rFonts w:hint="eastAsia" w:ascii="宋体" w:hAnsi="宋体" w:eastAsia="宋体" w:cs="宋体"/>
                <w:color w:val="auto"/>
                <w:highlight w:val="none"/>
              </w:rPr>
              <w:t>项）</w:t>
            </w: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ascii="宋体" w:hAnsi="宋体" w:eastAsia="宋体" w:cs="宋体"/>
                <w:color w:val="auto"/>
                <w:highlight w:val="none"/>
              </w:rPr>
              <w:t>pH</w:t>
            </w:r>
            <w:r>
              <w:rPr>
                <w:rFonts w:hint="eastAsia" w:ascii="宋体" w:hAnsi="宋体" w:eastAsia="宋体" w:cs="宋体"/>
                <w:color w:val="auto"/>
                <w:highlight w:val="none"/>
              </w:rPr>
              <w:t>值</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50</w:t>
            </w:r>
          </w:p>
        </w:tc>
        <w:tc>
          <w:tcPr>
            <w:tcW w:w="1276" w:type="dxa"/>
            <w:vMerge w:val="restart"/>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14</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化学需氧量</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120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15</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悬浮物</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120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16</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阴离子表面活性剂</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150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17</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氨氮</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120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18</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总磷</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150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8"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19</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总余氯</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120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20</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粪大肠菌群</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150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9"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21</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动植物油</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200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94"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22</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Merge w:val="continue"/>
            <w:vAlign w:val="center"/>
          </w:tcPr>
          <w:p>
            <w:pPr>
              <w:tabs>
                <w:tab w:val="left" w:pos="1900"/>
              </w:tabs>
              <w:jc w:val="center"/>
              <w:rPr>
                <w:rFonts w:ascii="宋体" w:hAnsi="宋体" w:eastAsia="宋体" w:cs="宋体"/>
                <w:color w:val="auto"/>
                <w:highlight w:val="none"/>
              </w:rPr>
            </w:pPr>
          </w:p>
        </w:tc>
        <w:tc>
          <w:tcPr>
            <w:tcW w:w="906" w:type="dxa"/>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2268" w:type="dxa"/>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石油类</w:t>
            </w:r>
          </w:p>
        </w:tc>
        <w:tc>
          <w:tcPr>
            <w:tcW w:w="992" w:type="dxa"/>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200</w:t>
            </w:r>
          </w:p>
        </w:tc>
        <w:tc>
          <w:tcPr>
            <w:tcW w:w="1276" w:type="dxa"/>
            <w:vMerge w:val="continue"/>
          </w:tcPr>
          <w:p>
            <w:pPr>
              <w:tabs>
                <w:tab w:val="left" w:pos="1900"/>
              </w:tabs>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23</w:t>
            </w:r>
          </w:p>
        </w:tc>
        <w:tc>
          <w:tcPr>
            <w:tcW w:w="1462" w:type="dxa"/>
            <w:vMerge w:val="restart"/>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电磁（电离）</w:t>
            </w:r>
          </w:p>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辐射</w:t>
            </w:r>
          </w:p>
        </w:tc>
        <w:tc>
          <w:tcPr>
            <w:tcW w:w="2260" w:type="dxa"/>
            <w:vAlign w:val="center"/>
          </w:tcPr>
          <w:p>
            <w:pPr>
              <w:tabs>
                <w:tab w:val="left" w:pos="1900"/>
              </w:tabs>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工频电场强度、工频磁场强度</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300</w:t>
            </w:r>
          </w:p>
        </w:tc>
        <w:tc>
          <w:tcPr>
            <w:tcW w:w="1276" w:type="dxa"/>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24</w:t>
            </w:r>
          </w:p>
        </w:tc>
        <w:tc>
          <w:tcPr>
            <w:tcW w:w="1462" w:type="dxa"/>
            <w:vMerge w:val="continue"/>
            <w:noWrap/>
            <w:vAlign w:val="center"/>
          </w:tcPr>
          <w:p>
            <w:pPr>
              <w:tabs>
                <w:tab w:val="left" w:pos="1900"/>
              </w:tabs>
              <w:jc w:val="center"/>
              <w:rPr>
                <w:rFonts w:ascii="宋体" w:hAnsi="宋体" w:eastAsia="宋体" w:cs="Times New Roman"/>
                <w:color w:val="auto"/>
                <w:highlight w:val="none"/>
              </w:rPr>
            </w:pPr>
          </w:p>
        </w:tc>
        <w:tc>
          <w:tcPr>
            <w:tcW w:w="2260" w:type="dxa"/>
            <w:vAlign w:val="center"/>
          </w:tcPr>
          <w:p>
            <w:pPr>
              <w:tabs>
                <w:tab w:val="left" w:pos="1900"/>
              </w:tabs>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工频电场强度</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300</w:t>
            </w:r>
          </w:p>
        </w:tc>
        <w:tc>
          <w:tcPr>
            <w:tcW w:w="1276"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25</w:t>
            </w:r>
          </w:p>
        </w:tc>
        <w:tc>
          <w:tcPr>
            <w:tcW w:w="1462" w:type="dxa"/>
            <w:vMerge w:val="restart"/>
            <w:noWrap/>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电磁（电离）</w:t>
            </w:r>
          </w:p>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辐射</w:t>
            </w:r>
          </w:p>
        </w:tc>
        <w:tc>
          <w:tcPr>
            <w:tcW w:w="2260" w:type="dxa"/>
            <w:vAlign w:val="center"/>
          </w:tcPr>
          <w:p>
            <w:pPr>
              <w:tabs>
                <w:tab w:val="left" w:pos="1900"/>
              </w:tabs>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电场强度、磁场强度、功率密度</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300</w:t>
            </w:r>
          </w:p>
        </w:tc>
        <w:tc>
          <w:tcPr>
            <w:tcW w:w="1276"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26</w:t>
            </w:r>
          </w:p>
        </w:tc>
        <w:tc>
          <w:tcPr>
            <w:tcW w:w="1462" w:type="dxa"/>
            <w:vMerge w:val="continue"/>
            <w:noWrap/>
            <w:vAlign w:val="center"/>
          </w:tcPr>
          <w:p>
            <w:pPr>
              <w:tabs>
                <w:tab w:val="left" w:pos="1900"/>
              </w:tabs>
              <w:jc w:val="center"/>
              <w:rPr>
                <w:rFonts w:ascii="宋体" w:hAnsi="宋体" w:eastAsia="宋体" w:cs="宋体"/>
                <w:color w:val="auto"/>
                <w:highlight w:val="none"/>
              </w:rPr>
            </w:pPr>
          </w:p>
        </w:tc>
        <w:tc>
          <w:tcPr>
            <w:tcW w:w="2260" w:type="dxa"/>
            <w:vAlign w:val="center"/>
          </w:tcPr>
          <w:p>
            <w:pPr>
              <w:tabs>
                <w:tab w:val="left" w:pos="1900"/>
              </w:tabs>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无线电干扰场强</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200</w:t>
            </w:r>
          </w:p>
        </w:tc>
        <w:tc>
          <w:tcPr>
            <w:tcW w:w="1276"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27</w:t>
            </w:r>
          </w:p>
        </w:tc>
        <w:tc>
          <w:tcPr>
            <w:tcW w:w="1462" w:type="dxa"/>
            <w:vMerge w:val="continue"/>
            <w:noWrap/>
            <w:vAlign w:val="center"/>
          </w:tcPr>
          <w:p>
            <w:pPr>
              <w:tabs>
                <w:tab w:val="left" w:pos="1900"/>
              </w:tabs>
              <w:jc w:val="center"/>
              <w:rPr>
                <w:rFonts w:ascii="宋体" w:hAnsi="宋体" w:eastAsia="宋体" w:cs="宋体"/>
                <w:color w:val="auto"/>
                <w:highlight w:val="none"/>
              </w:rPr>
            </w:pPr>
          </w:p>
        </w:tc>
        <w:tc>
          <w:tcPr>
            <w:tcW w:w="2260" w:type="dxa"/>
            <w:vAlign w:val="center"/>
          </w:tcPr>
          <w:p>
            <w:pPr>
              <w:tabs>
                <w:tab w:val="left" w:pos="1900"/>
              </w:tabs>
              <w:ind w:firstLine="27" w:firstLineChars="13"/>
              <w:jc w:val="center"/>
              <w:rPr>
                <w:rFonts w:ascii="宋体" w:hAnsi="宋体" w:eastAsia="宋体" w:cs="Times New Roman"/>
                <w:color w:val="auto"/>
                <w:highlight w:val="none"/>
              </w:rPr>
            </w:pPr>
            <w:r>
              <w:rPr>
                <w:rFonts w:ascii="宋体" w:hAnsi="宋体" w:eastAsia="宋体" w:cs="宋体"/>
                <w:color w:val="auto"/>
                <w:highlight w:val="none"/>
              </w:rPr>
              <w:t>X</w:t>
            </w:r>
            <w:r>
              <w:rPr>
                <w:rFonts w:hint="eastAsia" w:ascii="宋体" w:hAnsi="宋体" w:eastAsia="宋体" w:cs="宋体"/>
                <w:color w:val="auto"/>
                <w:highlight w:val="none"/>
              </w:rPr>
              <w:t>、γ辐射剂量率</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200</w:t>
            </w:r>
          </w:p>
        </w:tc>
        <w:tc>
          <w:tcPr>
            <w:tcW w:w="1276"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3" w:hRule="atLeast"/>
          <w:jc w:val="center"/>
        </w:trPr>
        <w:tc>
          <w:tcPr>
            <w:tcW w:w="768" w:type="dxa"/>
            <w:noWrap/>
            <w:vAlign w:val="center"/>
          </w:tcPr>
          <w:p>
            <w:pPr>
              <w:tabs>
                <w:tab w:val="left" w:pos="1900"/>
              </w:tabs>
              <w:jc w:val="center"/>
              <w:rPr>
                <w:rFonts w:ascii="宋体" w:hAnsi="宋体" w:eastAsia="宋体" w:cs="宋体"/>
                <w:color w:val="auto"/>
                <w:highlight w:val="none"/>
              </w:rPr>
            </w:pPr>
            <w:r>
              <w:rPr>
                <w:rFonts w:ascii="宋体" w:hAnsi="宋体" w:eastAsia="宋体" w:cs="宋体"/>
                <w:color w:val="auto"/>
                <w:highlight w:val="none"/>
              </w:rPr>
              <w:t>28</w:t>
            </w:r>
          </w:p>
        </w:tc>
        <w:tc>
          <w:tcPr>
            <w:tcW w:w="1462" w:type="dxa"/>
            <w:vMerge w:val="continue"/>
            <w:vAlign w:val="center"/>
          </w:tcPr>
          <w:p>
            <w:pPr>
              <w:tabs>
                <w:tab w:val="left" w:pos="1900"/>
              </w:tabs>
              <w:jc w:val="center"/>
              <w:rPr>
                <w:rFonts w:ascii="宋体" w:hAnsi="宋体" w:eastAsia="宋体" w:cs="宋体"/>
                <w:color w:val="auto"/>
                <w:highlight w:val="none"/>
              </w:rPr>
            </w:pPr>
          </w:p>
        </w:tc>
        <w:tc>
          <w:tcPr>
            <w:tcW w:w="2260" w:type="dxa"/>
            <w:vAlign w:val="center"/>
          </w:tcPr>
          <w:p>
            <w:pPr>
              <w:tabs>
                <w:tab w:val="left" w:pos="1900"/>
              </w:tabs>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α、β表面污染</w:t>
            </w:r>
          </w:p>
        </w:tc>
        <w:tc>
          <w:tcPr>
            <w:tcW w:w="906" w:type="dxa"/>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3260" w:type="dxa"/>
            <w:gridSpan w:val="2"/>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200</w:t>
            </w:r>
          </w:p>
        </w:tc>
        <w:tc>
          <w:tcPr>
            <w:tcW w:w="1276"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4" w:hRule="atLeast"/>
          <w:jc w:val="center"/>
        </w:trPr>
        <w:tc>
          <w:tcPr>
            <w:tcW w:w="4490" w:type="dxa"/>
            <w:gridSpan w:val="3"/>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备注</w:t>
            </w:r>
          </w:p>
        </w:tc>
        <w:tc>
          <w:tcPr>
            <w:tcW w:w="5442" w:type="dxa"/>
            <w:gridSpan w:val="4"/>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上述单价包括采样、检测、人员、交通、税费等全部费用</w:t>
            </w:r>
          </w:p>
        </w:tc>
      </w:tr>
    </w:tbl>
    <w:p>
      <w:pPr>
        <w:adjustRightInd w:val="0"/>
        <w:snapToGrid w:val="0"/>
        <w:spacing w:before="120" w:beforeLines="50" w:line="360" w:lineRule="auto"/>
        <w:ind w:firstLine="420" w:firstLineChars="200"/>
        <w:jc w:val="left"/>
        <w:outlineLvl w:val="1"/>
        <w:rPr>
          <w:rFonts w:ascii="宋体" w:hAnsi="宋体" w:eastAsia="宋体" w:cs="Times New Roman"/>
          <w:color w:val="auto"/>
          <w:highlight w:val="none"/>
        </w:rPr>
      </w:pPr>
      <w:r>
        <w:rPr>
          <w:rFonts w:hint="eastAsia" w:ascii="宋体" w:hAnsi="宋体" w:eastAsia="宋体" w:cs="宋体"/>
          <w:color w:val="auto"/>
          <w:highlight w:val="none"/>
        </w:rPr>
        <w:t>注：★</w:t>
      </w:r>
      <w:r>
        <w:rPr>
          <w:rFonts w:ascii="宋体" w:hAnsi="宋体" w:eastAsia="宋体" w:cs="宋体"/>
          <w:color w:val="auto"/>
          <w:highlight w:val="none"/>
        </w:rPr>
        <w:t>1</w:t>
      </w:r>
      <w:r>
        <w:rPr>
          <w:rFonts w:hint="eastAsia" w:ascii="宋体" w:hAnsi="宋体" w:eastAsia="宋体" w:cs="宋体"/>
          <w:color w:val="auto"/>
          <w:highlight w:val="none"/>
        </w:rPr>
        <w:t>、本项目以各监测项目的单价的同一下浮率进行报价。结算时，各单价限价×（</w:t>
      </w:r>
      <w:r>
        <w:rPr>
          <w:rFonts w:ascii="宋体" w:hAnsi="宋体" w:eastAsia="宋体" w:cs="宋体"/>
          <w:color w:val="auto"/>
          <w:highlight w:val="none"/>
        </w:rPr>
        <w:t>1-</w:t>
      </w:r>
      <w:r>
        <w:rPr>
          <w:rFonts w:hint="eastAsia" w:ascii="宋体" w:hAnsi="宋体" w:eastAsia="宋体" w:cs="宋体"/>
          <w:color w:val="auto"/>
          <w:highlight w:val="none"/>
        </w:rPr>
        <w:t>成交单价下浮率）</w:t>
      </w:r>
      <w:r>
        <w:rPr>
          <w:rFonts w:ascii="宋体" w:hAnsi="宋体" w:eastAsia="宋体" w:cs="宋体"/>
          <w:color w:val="auto"/>
          <w:highlight w:val="none"/>
        </w:rPr>
        <w:t>=</w:t>
      </w:r>
      <w:r>
        <w:rPr>
          <w:rFonts w:hint="eastAsia" w:ascii="宋体" w:hAnsi="宋体" w:eastAsia="宋体" w:cs="宋体"/>
          <w:color w:val="auto"/>
          <w:highlight w:val="none"/>
        </w:rPr>
        <w:t>各监测项目的单价，然后据实结算。</w:t>
      </w:r>
    </w:p>
    <w:p>
      <w:pPr>
        <w:adjustRightInd w:val="0"/>
        <w:snapToGrid w:val="0"/>
        <w:spacing w:before="120" w:beforeLines="50" w:line="360" w:lineRule="auto"/>
        <w:ind w:firstLine="420" w:firstLineChars="200"/>
        <w:jc w:val="left"/>
        <w:outlineLvl w:val="1"/>
        <w:rPr>
          <w:rFonts w:ascii="宋体" w:hAnsi="宋体" w:eastAsia="宋体" w:cs="Times New Roman"/>
          <w:color w:val="auto"/>
          <w:sz w:val="24"/>
          <w:szCs w:val="24"/>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、监测项目及单价限价中单价已包含该项目的采样、检测、人员、交通、税费等全部费用。采购人不再另外支付任何费用。</w:t>
      </w:r>
    </w:p>
    <w:p>
      <w:pPr>
        <w:snapToGrid w:val="0"/>
        <w:spacing w:line="360" w:lineRule="auto"/>
        <w:jc w:val="left"/>
        <w:outlineLvl w:val="1"/>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二、技术要求和监测项目</w:t>
      </w:r>
    </w:p>
    <w:p>
      <w:pPr>
        <w:snapToGrid w:val="0"/>
        <w:spacing w:line="360" w:lineRule="auto"/>
        <w:ind w:left="105" w:hanging="105"/>
        <w:jc w:val="left"/>
        <w:outlineLvl w:val="1"/>
        <w:rPr>
          <w:rFonts w:ascii="宋体" w:hAnsi="宋体" w:eastAsia="宋体" w:cs="Times New Roman"/>
          <w:color w:val="auto"/>
          <w:highlight w:val="none"/>
        </w:rPr>
      </w:pPr>
      <w:r>
        <w:rPr>
          <w:rFonts w:hint="eastAsia" w:ascii="宋体" w:hAnsi="宋体" w:eastAsia="宋体" w:cs="宋体"/>
          <w:color w:val="auto"/>
          <w:highlight w:val="none"/>
        </w:rPr>
        <w:t>（一）服务机构基本要求</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、投标时，提供的“检验检测机构资质认定证书”附表中的授权签字人及领域表。至少一名授权签字人的“批准授权签字领域”必须覆盖采购人所需监测项目的要求（以“检验检测机构资质认定证书”为准）。</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、必须具有履行合同所必需的设备、场地和专业技术能力，必须配备足够的监测人员和管理人员。要求至少有</w:t>
      </w:r>
      <w:r>
        <w:rPr>
          <w:rFonts w:ascii="宋体" w:hAnsi="宋体" w:eastAsia="宋体" w:cs="宋体"/>
          <w:color w:val="auto"/>
          <w:highlight w:val="none"/>
        </w:rPr>
        <w:t>15</w:t>
      </w:r>
      <w:r>
        <w:rPr>
          <w:rFonts w:hint="eastAsia" w:ascii="宋体" w:hAnsi="宋体" w:eastAsia="宋体" w:cs="宋体"/>
          <w:color w:val="auto"/>
          <w:highlight w:val="none"/>
        </w:rPr>
        <w:t>名持有上岗证的环境检测类技术人员，</w:t>
      </w:r>
      <w:r>
        <w:rPr>
          <w:rFonts w:ascii="宋体" w:hAnsi="宋体" w:eastAsia="宋体" w:cs="宋体"/>
          <w:color w:val="auto"/>
          <w:highlight w:val="none"/>
        </w:rPr>
        <w:t>3</w:t>
      </w:r>
      <w:r>
        <w:rPr>
          <w:rFonts w:hint="eastAsia" w:ascii="宋体" w:hAnsi="宋体" w:eastAsia="宋体" w:cs="宋体"/>
          <w:color w:val="auto"/>
          <w:highlight w:val="none"/>
        </w:rPr>
        <w:t>名以上监测报告授权签字人。</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、为了便于项目的顺利实施和有关环境应急监测工作的及时有效完成，</w:t>
      </w:r>
      <w:r>
        <w:rPr>
          <w:rFonts w:hint="eastAsia" w:ascii="宋体" w:hAnsi="宋体" w:eastAsia="宋体" w:cs="宋体"/>
          <w:color w:val="auto"/>
          <w:highlight w:val="none"/>
          <w:lang w:val="en-US" w:eastAsia="zh-CN"/>
        </w:rPr>
        <w:t>拟投入本项目工作人员应</w:t>
      </w:r>
      <w:r>
        <w:rPr>
          <w:rFonts w:hint="eastAsia" w:ascii="宋体" w:hAnsi="宋体" w:eastAsia="宋体" w:cs="宋体"/>
          <w:color w:val="auto"/>
          <w:highlight w:val="none"/>
        </w:rPr>
        <w:t>包括技术负责人、质量负责人、授权签字人等</w:t>
      </w:r>
      <w:r>
        <w:rPr>
          <w:rFonts w:hint="eastAsia" w:ascii="宋体" w:hAnsi="宋体" w:eastAsia="宋体" w:cs="宋体"/>
          <w:color w:val="auto"/>
          <w:highlight w:val="none"/>
          <w:lang w:val="en-US" w:eastAsia="zh-CN"/>
        </w:rPr>
        <w:t>其他</w:t>
      </w:r>
      <w:r>
        <w:rPr>
          <w:rFonts w:hint="eastAsia" w:ascii="宋体" w:hAnsi="宋体" w:eastAsia="宋体" w:cs="宋体"/>
          <w:color w:val="auto"/>
          <w:highlight w:val="none"/>
        </w:rPr>
        <w:t>人员。</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提供为本项目服务的相关人员（包括技术负责人、质量负责人、授权签字人）</w:t>
      </w:r>
      <w:r>
        <w:rPr>
          <w:rFonts w:hint="eastAsia" w:ascii="宋体" w:hAnsi="宋体" w:eastAsia="宋体" w:cs="宋体"/>
          <w:color w:val="auto"/>
          <w:highlight w:val="none"/>
          <w:lang w:val="en-US" w:eastAsia="zh-CN"/>
        </w:rPr>
        <w:t>一览表</w:t>
      </w:r>
      <w:r>
        <w:rPr>
          <w:rFonts w:hint="eastAsia" w:ascii="宋体" w:hAnsi="宋体" w:eastAsia="宋体" w:cs="宋体"/>
          <w:color w:val="auto"/>
          <w:highlight w:val="none"/>
        </w:rPr>
        <w:t>及由</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为其购买社保证明文件或退休证明文件</w:t>
      </w:r>
      <w:r>
        <w:rPr>
          <w:rFonts w:ascii="宋体" w:hAnsi="宋体" w:eastAsia="宋体" w:cs="宋体"/>
          <w:color w:val="auto"/>
          <w:highlight w:val="none"/>
        </w:rPr>
        <w:t>(</w:t>
      </w:r>
      <w:r>
        <w:rPr>
          <w:rFonts w:hint="eastAsia" w:ascii="宋体" w:hAnsi="宋体" w:eastAsia="宋体" w:cs="宋体"/>
          <w:color w:val="auto"/>
          <w:highlight w:val="none"/>
        </w:rPr>
        <w:t>如是退休证明文件的需同时提供与</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签订的劳动合同</w:t>
      </w:r>
      <w:r>
        <w:rPr>
          <w:rFonts w:ascii="宋体" w:hAnsi="宋体" w:eastAsia="宋体" w:cs="宋体"/>
          <w:color w:val="auto"/>
          <w:highlight w:val="none"/>
        </w:rPr>
        <w:t>)</w:t>
      </w:r>
      <w:r>
        <w:rPr>
          <w:rFonts w:hint="eastAsia" w:ascii="宋体" w:hAnsi="宋体" w:eastAsia="宋体" w:cs="宋体"/>
          <w:color w:val="auto"/>
          <w:highlight w:val="none"/>
        </w:rPr>
        <w:t>。</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4</w:t>
      </w:r>
      <w:r>
        <w:rPr>
          <w:rFonts w:hint="eastAsia" w:ascii="宋体" w:hAnsi="宋体" w:eastAsia="宋体" w:cs="宋体"/>
          <w:color w:val="auto"/>
          <w:highlight w:val="none"/>
        </w:rPr>
        <w:t>、对持证监测操作人员应制定计划定期开展培训，不断提高技术水平和业务能力。要求熟练掌握本岗位的采样或分析技术，保证监测数据的真实可靠。</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5</w:t>
      </w:r>
      <w:r>
        <w:rPr>
          <w:rFonts w:hint="eastAsia" w:ascii="宋体" w:hAnsi="宋体" w:eastAsia="宋体" w:cs="宋体"/>
          <w:color w:val="auto"/>
          <w:highlight w:val="none"/>
        </w:rPr>
        <w:t>、对于使用较大型、贵重精密仪器的分析人员，需通过内部考核并获得使用仪器的操作证。</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6</w:t>
      </w:r>
      <w:r>
        <w:rPr>
          <w:rFonts w:hint="eastAsia" w:ascii="宋体" w:hAnsi="宋体" w:eastAsia="宋体" w:cs="宋体"/>
          <w:color w:val="auto"/>
          <w:highlight w:val="none"/>
        </w:rPr>
        <w:t>、有健全的质量管理制度，并且愿意接受并配合采购人以保证监测数据和监测报告质量为目的的监督、检查和管理工作。</w:t>
      </w:r>
    </w:p>
    <w:p>
      <w:pPr>
        <w:snapToGrid w:val="0"/>
        <w:spacing w:line="360" w:lineRule="auto"/>
        <w:ind w:left="105" w:hanging="105"/>
        <w:jc w:val="left"/>
        <w:outlineLvl w:val="1"/>
        <w:rPr>
          <w:rFonts w:ascii="宋体" w:hAnsi="宋体" w:eastAsia="宋体" w:cs="Times New Roman"/>
          <w:color w:val="auto"/>
          <w:highlight w:val="none"/>
        </w:rPr>
      </w:pPr>
      <w:r>
        <w:rPr>
          <w:rFonts w:hint="eastAsia" w:ascii="宋体" w:hAnsi="宋体" w:eastAsia="宋体" w:cs="宋体"/>
          <w:color w:val="auto"/>
          <w:highlight w:val="none"/>
        </w:rPr>
        <w:t>（二）设备和环境条件要求</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、要求配备能满足采购人监督性监测项目需要的仪器设备，提供设备图片和计量检定报告。仪器设备要建立完善的检定、期间核查、自校准、标识、使用、维护等管理制度并得到规范实施。</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、实验室环境要求布局合理，有相应的安全和试剂管理制度。实验室的温度、湿度、防震、抗干扰、无菌室等环境条件要满足监测方法对环境条件的要求，满足保存样品和仪器设备正常运行的要求。</w:t>
      </w:r>
    </w:p>
    <w:p>
      <w:pPr>
        <w:snapToGrid w:val="0"/>
        <w:spacing w:line="360" w:lineRule="auto"/>
        <w:ind w:left="105" w:hanging="105"/>
        <w:jc w:val="left"/>
        <w:outlineLvl w:val="1"/>
        <w:rPr>
          <w:rFonts w:ascii="宋体" w:hAnsi="宋体" w:eastAsia="宋体" w:cs="Times New Roman"/>
          <w:color w:val="auto"/>
          <w:highlight w:val="none"/>
        </w:rPr>
      </w:pPr>
      <w:r>
        <w:rPr>
          <w:rFonts w:hint="eastAsia" w:ascii="宋体" w:hAnsi="宋体" w:eastAsia="宋体" w:cs="宋体"/>
          <w:color w:val="auto"/>
          <w:highlight w:val="none"/>
        </w:rPr>
        <w:t>（三）采样要求</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、现场采样必须有</w:t>
      </w:r>
      <w:r>
        <w:rPr>
          <w:rFonts w:ascii="宋体" w:hAnsi="宋体" w:eastAsia="宋体" w:cs="宋体"/>
          <w:color w:val="auto"/>
          <w:highlight w:val="none"/>
        </w:rPr>
        <w:t>2</w:t>
      </w:r>
      <w:r>
        <w:rPr>
          <w:rFonts w:hint="eastAsia" w:ascii="宋体" w:hAnsi="宋体" w:eastAsia="宋体" w:cs="宋体"/>
          <w:color w:val="auto"/>
          <w:highlight w:val="none"/>
        </w:rPr>
        <w:t>名以上持证人员参加。采样设备必须在检定有效期内使用，在使用前后应对仪器的技术状态进行检查和自校准，确保现场获得数据的有效性。</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、样品采集应严格按照国家、行业或地方颁布的相关规范执行，确保采集到有代表性的样品。现场应齐全、准确地记录采样信息，并有采样人、现场复核人和受测单位陪同人签名确认。</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、已采集的样品需按有关技术要求保存。需要低温保存的样品应采取相应的措施，在规定时间内送回实验室。</w:t>
      </w:r>
    </w:p>
    <w:p>
      <w:pPr>
        <w:snapToGrid w:val="0"/>
        <w:spacing w:line="360" w:lineRule="auto"/>
        <w:ind w:left="105" w:hanging="105"/>
        <w:jc w:val="left"/>
        <w:outlineLvl w:val="1"/>
        <w:rPr>
          <w:rFonts w:ascii="宋体" w:hAnsi="宋体" w:eastAsia="宋体" w:cs="Times New Roman"/>
          <w:color w:val="auto"/>
          <w:highlight w:val="none"/>
        </w:rPr>
      </w:pPr>
      <w:r>
        <w:rPr>
          <w:rFonts w:hint="eastAsia" w:ascii="宋体" w:hAnsi="宋体" w:eastAsia="宋体" w:cs="宋体"/>
          <w:color w:val="auto"/>
          <w:highlight w:val="none"/>
        </w:rPr>
        <w:t>（四）检测及标准方法要求</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、废水、废气的检测分析方法按《水和废水监测分析方法》（第四版增补版）、《空气和废气监测分析方法》（第四版增补版），或通过检验检测机构资质认定的标准等方法进行分析。</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、噪声的检测方法标准按《社会生活环境噪声排放标准》（</w:t>
      </w:r>
      <w:r>
        <w:rPr>
          <w:rFonts w:ascii="宋体" w:hAnsi="宋体" w:eastAsia="宋体" w:cs="宋体"/>
          <w:color w:val="auto"/>
          <w:highlight w:val="none"/>
        </w:rPr>
        <w:t>GB 22337-2008</w:t>
      </w:r>
      <w:r>
        <w:rPr>
          <w:rFonts w:hint="eastAsia" w:ascii="宋体" w:hAnsi="宋体" w:eastAsia="宋体" w:cs="宋体"/>
          <w:color w:val="auto"/>
          <w:highlight w:val="none"/>
        </w:rPr>
        <w:t>）、《工业企业厂界环境噪声排放标准》（</w:t>
      </w:r>
      <w:r>
        <w:rPr>
          <w:rFonts w:ascii="宋体" w:hAnsi="宋体" w:eastAsia="宋体" w:cs="宋体"/>
          <w:color w:val="auto"/>
          <w:highlight w:val="none"/>
        </w:rPr>
        <w:t>GB 12348-</w:t>
      </w:r>
      <w:r>
        <w:rPr>
          <w:rFonts w:ascii="宋体" w:hAnsi="宋体" w:eastAsia="宋体" w:cs="宋体"/>
          <w:color w:val="auto"/>
          <w:highlight w:val="none"/>
        </w:rPr>
        <w:t>2008</w:t>
      </w:r>
      <w:r>
        <w:rPr>
          <w:rFonts w:hint="eastAsia" w:ascii="宋体" w:hAnsi="宋体" w:eastAsia="宋体" w:cs="宋体"/>
          <w:color w:val="auto"/>
          <w:highlight w:val="none"/>
        </w:rPr>
        <w:t>）、《环境噪声监测技术规范</w:t>
      </w:r>
      <w:r>
        <w:rPr>
          <w:rFonts w:ascii="宋体" w:hAnsi="宋体" w:eastAsia="宋体" w:cs="宋体"/>
          <w:color w:val="auto"/>
          <w:highlight w:val="none"/>
        </w:rPr>
        <w:t xml:space="preserve"> </w:t>
      </w:r>
      <w:r>
        <w:rPr>
          <w:rFonts w:hint="eastAsia" w:ascii="宋体" w:hAnsi="宋体" w:eastAsia="宋体" w:cs="宋体"/>
          <w:color w:val="auto"/>
          <w:highlight w:val="none"/>
        </w:rPr>
        <w:t>噪声测量值修正》（</w:t>
      </w:r>
      <w:r>
        <w:rPr>
          <w:rFonts w:ascii="宋体" w:hAnsi="宋体" w:eastAsia="宋体" w:cs="宋体"/>
          <w:color w:val="auto"/>
          <w:highlight w:val="none"/>
        </w:rPr>
        <w:t>HJ 706-2014</w:t>
      </w:r>
      <w:r>
        <w:rPr>
          <w:rFonts w:hint="eastAsia" w:ascii="宋体" w:hAnsi="宋体" w:eastAsia="宋体" w:cs="宋体"/>
          <w:color w:val="auto"/>
          <w:highlight w:val="none"/>
        </w:rPr>
        <w:t>）、《环境噪声监测技术规范</w:t>
      </w:r>
      <w:r>
        <w:rPr>
          <w:rFonts w:ascii="宋体" w:hAnsi="宋体" w:eastAsia="宋体" w:cs="宋体"/>
          <w:color w:val="auto"/>
          <w:highlight w:val="none"/>
        </w:rPr>
        <w:t xml:space="preserve"> </w:t>
      </w:r>
      <w:r>
        <w:rPr>
          <w:rFonts w:hint="eastAsia" w:ascii="宋体" w:hAnsi="宋体" w:eastAsia="宋体" w:cs="宋体"/>
          <w:color w:val="auto"/>
          <w:highlight w:val="none"/>
        </w:rPr>
        <w:t>结构传播固定设备室内噪声》（</w:t>
      </w:r>
      <w:r>
        <w:rPr>
          <w:rFonts w:ascii="宋体" w:hAnsi="宋体" w:eastAsia="宋体" w:cs="宋体"/>
          <w:color w:val="auto"/>
          <w:highlight w:val="none"/>
        </w:rPr>
        <w:t>HJ 707-2014</w:t>
      </w:r>
      <w:r>
        <w:rPr>
          <w:rFonts w:hint="eastAsia" w:ascii="宋体" w:hAnsi="宋体" w:eastAsia="宋体" w:cs="宋体"/>
          <w:color w:val="auto"/>
          <w:highlight w:val="none"/>
        </w:rPr>
        <w:t>）、《广州市声环境功能区区划》的方法标准执行。</w:t>
      </w:r>
    </w:p>
    <w:p>
      <w:pPr>
        <w:tabs>
          <w:tab w:val="left" w:pos="1900"/>
        </w:tabs>
        <w:spacing w:line="360" w:lineRule="auto"/>
        <w:ind w:firstLine="315" w:firstLineChars="150"/>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、辐射的检测方法按照《环境γ辐射剂量率测量技术规范》</w:t>
      </w:r>
      <w:r>
        <w:rPr>
          <w:rFonts w:ascii="宋体" w:hAnsi="宋体" w:eastAsia="宋体" w:cs="宋体"/>
          <w:color w:val="auto"/>
          <w:highlight w:val="none"/>
        </w:rPr>
        <w:t>(HJ 1157—2021)</w:t>
      </w:r>
      <w:r>
        <w:rPr>
          <w:rFonts w:hint="eastAsia" w:ascii="宋体" w:hAnsi="宋体" w:eastAsia="宋体" w:cs="宋体"/>
          <w:color w:val="auto"/>
          <w:highlight w:val="none"/>
        </w:rPr>
        <w:t>、《表面污染测定</w:t>
      </w:r>
      <w:r>
        <w:rPr>
          <w:rFonts w:ascii="宋体" w:hAnsi="宋体" w:eastAsia="宋体" w:cs="宋体"/>
          <w:color w:val="auto"/>
          <w:highlight w:val="none"/>
        </w:rPr>
        <w:t xml:space="preserve"> </w:t>
      </w:r>
      <w:r>
        <w:rPr>
          <w:rFonts w:hint="eastAsia" w:ascii="宋体" w:hAnsi="宋体" w:eastAsia="宋体" w:cs="宋体"/>
          <w:color w:val="auto"/>
          <w:highlight w:val="none"/>
        </w:rPr>
        <w:t>第</w:t>
      </w:r>
      <w:r>
        <w:rPr>
          <w:rFonts w:ascii="宋体" w:hAnsi="宋体" w:eastAsia="宋体" w:cs="宋体"/>
          <w:color w:val="auto"/>
          <w:highlight w:val="none"/>
        </w:rPr>
        <w:t>1</w:t>
      </w:r>
      <w:r>
        <w:rPr>
          <w:rFonts w:hint="eastAsia" w:ascii="宋体" w:hAnsi="宋体" w:eastAsia="宋体" w:cs="宋体"/>
          <w:color w:val="auto"/>
          <w:highlight w:val="none"/>
        </w:rPr>
        <w:t>部分：β发射体</w:t>
      </w:r>
      <w:r>
        <w:rPr>
          <w:rFonts w:ascii="宋体" w:hAnsi="宋体" w:eastAsia="宋体" w:cs="宋体"/>
          <w:color w:val="auto"/>
          <w:highlight w:val="none"/>
        </w:rPr>
        <w:t>(E</w:t>
      </w:r>
      <w:r>
        <w:rPr>
          <w:rFonts w:hint="eastAsia" w:ascii="宋体" w:hAnsi="宋体" w:eastAsia="宋体" w:cs="宋体"/>
          <w:color w:val="auto"/>
          <w:highlight w:val="none"/>
        </w:rPr>
        <w:t>β</w:t>
      </w:r>
      <w:r>
        <w:rPr>
          <w:rFonts w:ascii="宋体" w:hAnsi="宋体" w:eastAsia="宋体" w:cs="宋体"/>
          <w:color w:val="auto"/>
          <w:highlight w:val="none"/>
        </w:rPr>
        <w:t>max&gt;0.15MeV)</w:t>
      </w:r>
      <w:r>
        <w:rPr>
          <w:rFonts w:hint="eastAsia" w:ascii="宋体" w:hAnsi="宋体" w:eastAsia="宋体" w:cs="宋体"/>
          <w:color w:val="auto"/>
          <w:highlight w:val="none"/>
        </w:rPr>
        <w:t>和α发射体》（</w:t>
      </w:r>
      <w:r>
        <w:rPr>
          <w:rFonts w:ascii="宋体" w:hAnsi="宋体" w:eastAsia="宋体" w:cs="宋体"/>
          <w:color w:val="auto"/>
          <w:highlight w:val="none"/>
        </w:rPr>
        <w:t>GB/T 14056.1-2008</w:t>
      </w:r>
      <w:r>
        <w:rPr>
          <w:rFonts w:hint="eastAsia" w:ascii="宋体" w:hAnsi="宋体" w:eastAsia="宋体" w:cs="宋体"/>
          <w:color w:val="auto"/>
          <w:highlight w:val="none"/>
        </w:rPr>
        <w:t>）的方法标准执行。</w:t>
      </w:r>
    </w:p>
    <w:p>
      <w:pPr>
        <w:tabs>
          <w:tab w:val="left" w:pos="1900"/>
        </w:tabs>
        <w:spacing w:line="360" w:lineRule="auto"/>
        <w:ind w:firstLine="315" w:firstLineChars="150"/>
        <w:rPr>
          <w:rFonts w:ascii="宋体" w:hAnsi="宋体" w:eastAsia="宋体" w:cs="Times New Roman"/>
          <w:color w:val="auto"/>
          <w:highlight w:val="none"/>
        </w:rPr>
      </w:pPr>
      <w:r>
        <w:rPr>
          <w:rFonts w:ascii="宋体" w:hAnsi="宋体" w:eastAsia="宋体" w:cs="宋体"/>
          <w:color w:val="auto"/>
          <w:highlight w:val="none"/>
        </w:rPr>
        <w:t>4</w:t>
      </w:r>
      <w:r>
        <w:rPr>
          <w:rFonts w:hint="eastAsia" w:ascii="宋体" w:hAnsi="宋体" w:eastAsia="宋体" w:cs="宋体"/>
          <w:color w:val="auto"/>
          <w:highlight w:val="none"/>
        </w:rPr>
        <w:t>、优先选择国家标准、行业标准和地方标准；当需要</w:t>
      </w:r>
      <w:r>
        <w:rPr>
          <w:rFonts w:hint="eastAsia" w:ascii="宋体" w:hAnsi="宋体" w:eastAsia="宋体" w:cs="宋体"/>
          <w:color w:val="auto"/>
          <w:highlight w:val="none"/>
        </w:rPr>
        <w:t>采用国际标准时，须向采购人说明并征得其同意。</w:t>
      </w:r>
    </w:p>
    <w:p>
      <w:pPr>
        <w:tabs>
          <w:tab w:val="left" w:pos="1900"/>
        </w:tabs>
        <w:spacing w:line="360" w:lineRule="auto"/>
        <w:ind w:firstLine="315" w:firstLineChars="150"/>
        <w:rPr>
          <w:rFonts w:ascii="宋体" w:hAnsi="宋体" w:eastAsia="宋体" w:cs="Times New Roman"/>
          <w:color w:val="auto"/>
          <w:highlight w:val="none"/>
        </w:rPr>
      </w:pPr>
      <w:r>
        <w:rPr>
          <w:rFonts w:ascii="宋体" w:hAnsi="宋体" w:eastAsia="宋体" w:cs="宋体"/>
          <w:color w:val="auto"/>
          <w:highlight w:val="none"/>
        </w:rPr>
        <w:t>5</w:t>
      </w:r>
      <w:r>
        <w:rPr>
          <w:rFonts w:hint="eastAsia" w:ascii="宋体" w:hAnsi="宋体" w:eastAsia="宋体" w:cs="宋体"/>
          <w:color w:val="auto"/>
          <w:highlight w:val="none"/>
        </w:rPr>
        <w:t>、如相关采样和分析方法依据发生修订或变动，应确保采样和分析方法符合最新的国家和地方标准、规范。</w:t>
      </w:r>
    </w:p>
    <w:p>
      <w:pPr>
        <w:tabs>
          <w:tab w:val="left" w:pos="1900"/>
        </w:tabs>
        <w:spacing w:line="360" w:lineRule="auto"/>
        <w:ind w:firstLine="315" w:firstLineChars="150"/>
        <w:rPr>
          <w:rFonts w:ascii="宋体" w:hAnsi="宋体" w:eastAsia="宋体" w:cs="Times New Roman"/>
          <w:color w:val="auto"/>
          <w:highlight w:val="none"/>
        </w:rPr>
      </w:pPr>
      <w:r>
        <w:rPr>
          <w:rFonts w:ascii="宋体" w:hAnsi="宋体" w:eastAsia="宋体" w:cs="宋体"/>
          <w:color w:val="auto"/>
          <w:highlight w:val="none"/>
        </w:rPr>
        <w:t>6</w:t>
      </w:r>
      <w:r>
        <w:rPr>
          <w:rFonts w:hint="eastAsia" w:ascii="宋体" w:hAnsi="宋体" w:eastAsia="宋体" w:cs="宋体"/>
          <w:color w:val="auto"/>
          <w:highlight w:val="none"/>
        </w:rPr>
        <w:t>、为严格规范对污染源单位的采样、分析过程，确保监测结果准确有效，要求成交供应商严格按照下表所列举的检测方法及标准对监督性监测项目进行监测。</w:t>
      </w:r>
    </w:p>
    <w:tbl>
      <w:tblPr>
        <w:tblStyle w:val="90"/>
        <w:tblW w:w="93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3"/>
        <w:gridCol w:w="739"/>
        <w:gridCol w:w="1782"/>
        <w:gridCol w:w="60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68" w:hRule="atLeast"/>
          <w:tblHeader/>
          <w:jc w:val="center"/>
        </w:trPr>
        <w:tc>
          <w:tcPr>
            <w:tcW w:w="773" w:type="dxa"/>
            <w:shd w:val="clear" w:color="auto" w:fill="E0E0E0"/>
            <w:vAlign w:val="center"/>
          </w:tcPr>
          <w:p>
            <w:pPr>
              <w:rPr>
                <w:rFonts w:ascii="宋体" w:hAnsi="宋体" w:eastAsia="宋体" w:cs="Times New Roman"/>
                <w:b/>
                <w:bCs/>
                <w:color w:val="auto"/>
                <w:highlight w:val="none"/>
              </w:rPr>
            </w:pPr>
            <w:r>
              <w:rPr>
                <w:rFonts w:hint="eastAsia" w:ascii="宋体" w:hAnsi="宋体" w:eastAsia="宋体" w:cs="宋体"/>
                <w:b/>
                <w:bCs/>
                <w:color w:val="auto"/>
                <w:highlight w:val="none"/>
              </w:rPr>
              <w:t>序号</w:t>
            </w:r>
          </w:p>
        </w:tc>
        <w:tc>
          <w:tcPr>
            <w:tcW w:w="2521" w:type="dxa"/>
            <w:gridSpan w:val="2"/>
            <w:shd w:val="clear" w:color="auto" w:fill="E0E0E0"/>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项目名称</w:t>
            </w:r>
          </w:p>
        </w:tc>
        <w:tc>
          <w:tcPr>
            <w:tcW w:w="6025" w:type="dxa"/>
            <w:shd w:val="clear" w:color="auto" w:fill="E0E0E0"/>
            <w:vAlign w:val="center"/>
          </w:tcPr>
          <w:p>
            <w:pPr>
              <w:ind w:firstLine="422" w:firstLineChars="200"/>
              <w:jc w:val="center"/>
              <w:rPr>
                <w:rFonts w:ascii="宋体" w:hAnsi="宋体" w:eastAsia="宋体" w:cs="Times New Roman"/>
                <w:b/>
                <w:bCs/>
                <w:color w:val="auto"/>
                <w:highlight w:val="none"/>
              </w:rPr>
            </w:pPr>
            <w:r>
              <w:rPr>
                <w:rFonts w:hint="eastAsia" w:ascii="宋体" w:hAnsi="宋体" w:eastAsia="宋体" w:cs="宋体"/>
                <w:b/>
                <w:bCs/>
                <w:color w:val="auto"/>
                <w:highlight w:val="none"/>
              </w:rPr>
              <w:t>检测方法及标准编号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7"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1</w:t>
            </w:r>
          </w:p>
        </w:tc>
        <w:tc>
          <w:tcPr>
            <w:tcW w:w="2521" w:type="dxa"/>
            <w:gridSpan w:val="2"/>
            <w:vAlign w:val="center"/>
          </w:tcPr>
          <w:p>
            <w:pPr>
              <w:ind w:firstLine="32" w:firstLineChars="13"/>
              <w:jc w:val="center"/>
              <w:rPr>
                <w:rFonts w:ascii="宋体" w:hAnsi="宋体" w:eastAsia="宋体" w:cs="Times New Roman"/>
                <w:color w:val="auto"/>
                <w:highlight w:val="none"/>
              </w:rPr>
            </w:pPr>
            <w:r>
              <w:rPr>
                <w:rFonts w:ascii="宋体" w:hAnsi="宋体" w:eastAsia="宋体" w:cs="宋体"/>
                <w:color w:val="auto"/>
                <w:spacing w:val="20"/>
                <w:highlight w:val="none"/>
              </w:rPr>
              <w:t>pH</w:t>
            </w:r>
            <w:r>
              <w:rPr>
                <w:rFonts w:hint="eastAsia" w:ascii="宋体" w:hAnsi="宋体" w:eastAsia="宋体" w:cs="宋体"/>
                <w:color w:val="auto"/>
                <w:spacing w:val="20"/>
                <w:highlight w:val="none"/>
              </w:rPr>
              <w:t>值</w:t>
            </w:r>
          </w:p>
        </w:tc>
        <w:tc>
          <w:tcPr>
            <w:tcW w:w="6025" w:type="dxa"/>
            <w:vAlign w:val="center"/>
          </w:tcPr>
          <w:p>
            <w:pPr>
              <w:ind w:firstLine="500" w:firstLineChars="200"/>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水质</w:t>
            </w:r>
            <w:r>
              <w:rPr>
                <w:rFonts w:ascii="宋体" w:hAnsi="宋体" w:eastAsia="宋体" w:cs="宋体"/>
                <w:color w:val="auto"/>
                <w:spacing w:val="20"/>
                <w:highlight w:val="none"/>
              </w:rPr>
              <w:t>pH</w:t>
            </w:r>
            <w:r>
              <w:rPr>
                <w:rFonts w:hint="eastAsia" w:ascii="宋体" w:hAnsi="宋体" w:eastAsia="宋体" w:cs="宋体"/>
                <w:color w:val="auto"/>
                <w:spacing w:val="20"/>
                <w:highlight w:val="none"/>
              </w:rPr>
              <w:t>值的测定电极法</w:t>
            </w:r>
            <w:r>
              <w:rPr>
                <w:rFonts w:ascii="宋体" w:hAnsi="宋体" w:eastAsia="宋体" w:cs="宋体"/>
                <w:color w:val="auto"/>
                <w:spacing w:val="20"/>
                <w:highlight w:val="none"/>
              </w:rPr>
              <w:t xml:space="preserve">HJ 1147-2020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7"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2</w:t>
            </w:r>
          </w:p>
        </w:tc>
        <w:tc>
          <w:tcPr>
            <w:tcW w:w="2521" w:type="dxa"/>
            <w:gridSpan w:val="2"/>
            <w:vAlign w:val="center"/>
          </w:tcPr>
          <w:p>
            <w:pPr>
              <w:ind w:firstLine="32" w:firstLineChars="13"/>
              <w:jc w:val="center"/>
              <w:rPr>
                <w:rFonts w:ascii="宋体" w:hAnsi="宋体" w:eastAsia="宋体" w:cs="Times New Roman"/>
                <w:color w:val="auto"/>
                <w:highlight w:val="none"/>
              </w:rPr>
            </w:pPr>
            <w:r>
              <w:rPr>
                <w:rFonts w:hint="eastAsia" w:ascii="宋体" w:hAnsi="宋体" w:eastAsia="宋体" w:cs="宋体"/>
                <w:color w:val="auto"/>
                <w:spacing w:val="20"/>
                <w:highlight w:val="none"/>
              </w:rPr>
              <w:t>悬浮物</w:t>
            </w:r>
          </w:p>
        </w:tc>
        <w:tc>
          <w:tcPr>
            <w:tcW w:w="6025" w:type="dxa"/>
            <w:vAlign w:val="center"/>
          </w:tcPr>
          <w:p>
            <w:pPr>
              <w:snapToGrid w:val="0"/>
              <w:ind w:left="125" w:hanging="125" w:hangingChars="50"/>
              <w:jc w:val="center"/>
              <w:rPr>
                <w:rFonts w:ascii="宋体" w:hAnsi="宋体" w:eastAsia="宋体" w:cs="Times New Roman"/>
                <w:color w:val="auto"/>
                <w:highlight w:val="none"/>
              </w:rPr>
            </w:pPr>
            <w:r>
              <w:rPr>
                <w:rFonts w:hint="eastAsia" w:ascii="宋体" w:hAnsi="宋体" w:eastAsia="宋体" w:cs="宋体"/>
                <w:color w:val="auto"/>
                <w:spacing w:val="20"/>
                <w:highlight w:val="none"/>
              </w:rPr>
              <w:t>水质悬浮物的测定重量法</w:t>
            </w:r>
            <w:r>
              <w:rPr>
                <w:rFonts w:ascii="宋体" w:hAnsi="宋体" w:eastAsia="宋体" w:cs="宋体"/>
                <w:color w:val="auto"/>
                <w:spacing w:val="20"/>
                <w:highlight w:val="none"/>
              </w:rPr>
              <w:t>GB/T11901-1989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4"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3</w:t>
            </w:r>
          </w:p>
        </w:tc>
        <w:tc>
          <w:tcPr>
            <w:tcW w:w="2521" w:type="dxa"/>
            <w:gridSpan w:val="2"/>
            <w:vAlign w:val="center"/>
          </w:tcPr>
          <w:p>
            <w:pPr>
              <w:ind w:firstLine="32" w:firstLineChars="13"/>
              <w:jc w:val="center"/>
              <w:rPr>
                <w:rFonts w:ascii="宋体" w:hAnsi="宋体" w:eastAsia="宋体" w:cs="Times New Roman"/>
                <w:color w:val="auto"/>
                <w:highlight w:val="none"/>
              </w:rPr>
            </w:pPr>
            <w:r>
              <w:rPr>
                <w:rFonts w:hint="eastAsia" w:ascii="宋体" w:hAnsi="宋体" w:eastAsia="宋体" w:cs="宋体"/>
                <w:color w:val="auto"/>
                <w:spacing w:val="20"/>
                <w:highlight w:val="none"/>
              </w:rPr>
              <w:t>氨氮</w:t>
            </w:r>
          </w:p>
        </w:tc>
        <w:tc>
          <w:tcPr>
            <w:tcW w:w="6025" w:type="dxa"/>
            <w:vAlign w:val="center"/>
          </w:tcPr>
          <w:p>
            <w:pPr>
              <w:snapToGrid w:val="0"/>
              <w:ind w:left="125" w:hanging="125" w:hangingChars="50"/>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水质氨氮的测定纳氏试剂分光光度法</w:t>
            </w:r>
            <w:r>
              <w:rPr>
                <w:rFonts w:ascii="宋体" w:hAnsi="宋体" w:eastAsia="宋体" w:cs="宋体"/>
                <w:color w:val="auto"/>
                <w:spacing w:val="20"/>
                <w:highlight w:val="none"/>
              </w:rPr>
              <w:t xml:space="preserve"> HJ 535-2009</w:t>
            </w:r>
          </w:p>
          <w:p>
            <w:pPr>
              <w:snapToGrid w:val="0"/>
              <w:ind w:left="125" w:hanging="125" w:hangingChars="50"/>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或</w:t>
            </w:r>
          </w:p>
          <w:p>
            <w:pPr>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水质氨氮的测定流动注射</w:t>
            </w:r>
            <w:r>
              <w:rPr>
                <w:rFonts w:ascii="宋体" w:hAnsi="宋体" w:eastAsia="宋体" w:cs="宋体"/>
                <w:color w:val="auto"/>
                <w:spacing w:val="20"/>
                <w:highlight w:val="none"/>
              </w:rPr>
              <w:t>-</w:t>
            </w:r>
            <w:r>
              <w:rPr>
                <w:rFonts w:hint="eastAsia" w:ascii="宋体" w:hAnsi="宋体" w:eastAsia="宋体" w:cs="宋体"/>
                <w:color w:val="auto"/>
                <w:spacing w:val="20"/>
                <w:highlight w:val="none"/>
              </w:rPr>
              <w:t>水杨酸分光光度法，</w:t>
            </w:r>
            <w:r>
              <w:rPr>
                <w:rFonts w:ascii="宋体" w:hAnsi="宋体" w:eastAsia="宋体" w:cs="宋体"/>
                <w:color w:val="auto"/>
                <w:spacing w:val="20"/>
                <w:highlight w:val="none"/>
              </w:rPr>
              <w:t>HJ 666-2013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4"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4</w:t>
            </w:r>
          </w:p>
        </w:tc>
        <w:tc>
          <w:tcPr>
            <w:tcW w:w="2521" w:type="dxa"/>
            <w:gridSpan w:val="2"/>
            <w:vAlign w:val="center"/>
          </w:tcPr>
          <w:p>
            <w:pPr>
              <w:ind w:firstLine="32" w:firstLineChars="13"/>
              <w:jc w:val="center"/>
              <w:rPr>
                <w:rFonts w:ascii="宋体" w:hAnsi="宋体" w:eastAsia="宋体" w:cs="Times New Roman"/>
                <w:color w:val="auto"/>
                <w:highlight w:val="none"/>
              </w:rPr>
            </w:pPr>
            <w:r>
              <w:rPr>
                <w:rFonts w:hint="eastAsia" w:ascii="宋体" w:hAnsi="宋体" w:eastAsia="宋体" w:cs="宋体"/>
                <w:color w:val="auto"/>
                <w:spacing w:val="20"/>
                <w:highlight w:val="none"/>
              </w:rPr>
              <w:t>化学需氧量</w:t>
            </w:r>
          </w:p>
        </w:tc>
        <w:tc>
          <w:tcPr>
            <w:tcW w:w="6025" w:type="dxa"/>
            <w:vAlign w:val="center"/>
          </w:tcPr>
          <w:p>
            <w:pPr>
              <w:snapToGrid w:val="0"/>
              <w:ind w:left="125" w:hanging="125" w:hangingChars="50"/>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水质化学需氧量的测定重铬酸盐法</w:t>
            </w:r>
            <w:r>
              <w:rPr>
                <w:rFonts w:ascii="宋体" w:hAnsi="宋体" w:eastAsia="宋体" w:cs="宋体"/>
                <w:color w:val="auto"/>
                <w:spacing w:val="20"/>
                <w:highlight w:val="none"/>
              </w:rPr>
              <w:t xml:space="preserve"> HJ 828—2017</w:t>
            </w:r>
          </w:p>
          <w:p>
            <w:pPr>
              <w:snapToGrid w:val="0"/>
              <w:ind w:left="125" w:hanging="125" w:hangingChars="50"/>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或</w:t>
            </w:r>
          </w:p>
          <w:p>
            <w:pPr>
              <w:snapToGrid w:val="0"/>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快速密闭催化消解法水和废水监测分析方法（第四版）</w:t>
            </w:r>
            <w:r>
              <w:rPr>
                <w:rFonts w:hint="eastAsia" w:ascii="宋体" w:hAnsi="宋体" w:eastAsia="宋体" w:cs="宋体"/>
                <w:color w:val="auto"/>
                <w:highlight w:val="none"/>
              </w:rPr>
              <w:t>（增补版）</w:t>
            </w:r>
            <w:r>
              <w:rPr>
                <w:rFonts w:ascii="宋体" w:hAnsi="宋体" w:eastAsia="宋体" w:cs="宋体"/>
                <w:color w:val="auto"/>
                <w:spacing w:val="20"/>
                <w:highlight w:val="none"/>
              </w:rPr>
              <w:t xml:space="preserve"> </w:t>
            </w:r>
            <w:r>
              <w:rPr>
                <w:rFonts w:hint="eastAsia" w:ascii="宋体" w:hAnsi="宋体" w:eastAsia="宋体" w:cs="宋体"/>
                <w:color w:val="auto"/>
                <w:spacing w:val="20"/>
                <w:highlight w:val="none"/>
              </w:rPr>
              <w:t>国家环保总局（</w:t>
            </w:r>
            <w:r>
              <w:rPr>
                <w:rFonts w:ascii="宋体" w:hAnsi="宋体" w:eastAsia="宋体" w:cs="宋体"/>
                <w:color w:val="auto"/>
                <w:spacing w:val="20"/>
                <w:highlight w:val="none"/>
              </w:rPr>
              <w:t>2002</w:t>
            </w:r>
            <w:r>
              <w:rPr>
                <w:rFonts w:hint="eastAsia" w:ascii="宋体" w:hAnsi="宋体" w:eastAsia="宋体" w:cs="宋体"/>
                <w:color w:val="auto"/>
                <w:spacing w:val="20"/>
                <w:highlight w:val="none"/>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7"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5</w:t>
            </w:r>
          </w:p>
        </w:tc>
        <w:tc>
          <w:tcPr>
            <w:tcW w:w="2521" w:type="dxa"/>
            <w:gridSpan w:val="2"/>
            <w:vAlign w:val="center"/>
          </w:tcPr>
          <w:p>
            <w:pPr>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总磷</w:t>
            </w:r>
          </w:p>
        </w:tc>
        <w:tc>
          <w:tcPr>
            <w:tcW w:w="6025" w:type="dxa"/>
            <w:vAlign w:val="center"/>
          </w:tcPr>
          <w:p>
            <w:pPr>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水质总磷的测定钼酸铵分光光度法，</w:t>
            </w:r>
            <w:r>
              <w:rPr>
                <w:rFonts w:ascii="宋体" w:hAnsi="宋体" w:eastAsia="宋体" w:cs="宋体"/>
                <w:color w:val="auto"/>
                <w:spacing w:val="20"/>
                <w:highlight w:val="none"/>
              </w:rPr>
              <w:t>GB/T11893-1989</w:t>
            </w:r>
          </w:p>
          <w:p>
            <w:pPr>
              <w:ind w:firstLine="500" w:firstLineChars="200"/>
              <w:jc w:val="center"/>
              <w:rPr>
                <w:rFonts w:ascii="宋体" w:hAnsi="宋体" w:eastAsia="宋体" w:cs="Times New Roman"/>
                <w:color w:val="auto"/>
                <w:spacing w:val="20"/>
                <w:highlight w:val="none"/>
              </w:rPr>
            </w:pPr>
            <w:r>
              <w:rPr>
                <w:rFonts w:ascii="宋体" w:hAnsi="宋体" w:eastAsia="宋体" w:cs="宋体"/>
                <w:color w:val="auto"/>
                <w:spacing w:val="20"/>
                <w:highlight w:val="none"/>
              </w:rPr>
              <w:t xml:space="preserve"> </w:t>
            </w:r>
            <w:r>
              <w:rPr>
                <w:rFonts w:hint="eastAsia" w:ascii="宋体" w:hAnsi="宋体" w:eastAsia="宋体" w:cs="宋体"/>
                <w:color w:val="auto"/>
                <w:spacing w:val="20"/>
                <w:highlight w:val="none"/>
              </w:rPr>
              <w:t>或</w:t>
            </w:r>
          </w:p>
          <w:p>
            <w:pPr>
              <w:ind w:left="-2" w:leftChars="-1" w:firstLine="2"/>
              <w:jc w:val="center"/>
              <w:rPr>
                <w:rFonts w:ascii="宋体" w:hAnsi="宋体" w:eastAsia="宋体" w:cs="宋体"/>
                <w:color w:val="auto"/>
                <w:spacing w:val="20"/>
                <w:highlight w:val="none"/>
              </w:rPr>
            </w:pPr>
            <w:r>
              <w:rPr>
                <w:rFonts w:ascii="宋体" w:hAnsi="宋体" w:eastAsia="宋体" w:cs="宋体"/>
                <w:color w:val="auto"/>
                <w:spacing w:val="20"/>
                <w:highlight w:val="none"/>
              </w:rPr>
              <w:t xml:space="preserve"> </w:t>
            </w:r>
            <w:r>
              <w:rPr>
                <w:rFonts w:hint="eastAsia" w:ascii="宋体" w:hAnsi="宋体" w:eastAsia="宋体" w:cs="宋体"/>
                <w:color w:val="auto"/>
                <w:spacing w:val="20"/>
                <w:highlight w:val="none"/>
              </w:rPr>
              <w:t>水质总磷的测定流动注射</w:t>
            </w:r>
            <w:r>
              <w:rPr>
                <w:rFonts w:ascii="宋体" w:hAnsi="宋体" w:eastAsia="宋体" w:cs="宋体"/>
                <w:color w:val="auto"/>
                <w:spacing w:val="20"/>
                <w:highlight w:val="none"/>
              </w:rPr>
              <w:t>-</w:t>
            </w:r>
            <w:r>
              <w:rPr>
                <w:rFonts w:hint="eastAsia" w:ascii="宋体" w:hAnsi="宋体" w:eastAsia="宋体" w:cs="宋体"/>
                <w:color w:val="auto"/>
                <w:spacing w:val="20"/>
                <w:highlight w:val="none"/>
              </w:rPr>
              <w:t>钼酸铵分光光度法，</w:t>
            </w:r>
            <w:r>
              <w:rPr>
                <w:rFonts w:ascii="宋体" w:hAnsi="宋体" w:eastAsia="宋体" w:cs="宋体"/>
                <w:color w:val="auto"/>
                <w:spacing w:val="20"/>
                <w:highlight w:val="none"/>
              </w:rPr>
              <w:t>HJ 671-2013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98" w:hRule="atLeast"/>
          <w:jc w:val="center"/>
        </w:trPr>
        <w:tc>
          <w:tcPr>
            <w:tcW w:w="773" w:type="dxa"/>
            <w:vAlign w:val="center"/>
          </w:tcPr>
          <w:p>
            <w:pPr>
              <w:ind w:firstLine="32" w:firstLineChars="13"/>
              <w:jc w:val="center"/>
              <w:rPr>
                <w:rFonts w:ascii="宋体" w:hAnsi="宋体" w:eastAsia="宋体" w:cs="宋体"/>
                <w:color w:val="auto"/>
                <w:spacing w:val="20"/>
                <w:highlight w:val="none"/>
              </w:rPr>
            </w:pPr>
            <w:r>
              <w:rPr>
                <w:rFonts w:ascii="宋体" w:hAnsi="宋体" w:eastAsia="宋体" w:cs="宋体"/>
                <w:color w:val="auto"/>
                <w:spacing w:val="20"/>
                <w:highlight w:val="none"/>
              </w:rPr>
              <w:t>6</w:t>
            </w:r>
          </w:p>
        </w:tc>
        <w:tc>
          <w:tcPr>
            <w:tcW w:w="2521" w:type="dxa"/>
            <w:gridSpan w:val="2"/>
            <w:vAlign w:val="center"/>
          </w:tcPr>
          <w:p>
            <w:pPr>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动植物油</w:t>
            </w:r>
          </w:p>
        </w:tc>
        <w:tc>
          <w:tcPr>
            <w:tcW w:w="6025" w:type="dxa"/>
            <w:vAlign w:val="center"/>
          </w:tcPr>
          <w:p>
            <w:pPr>
              <w:ind w:firstLine="32" w:firstLineChars="13"/>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水质石油类和动植物油类的测定红外分光光度法，</w:t>
            </w:r>
            <w:r>
              <w:rPr>
                <w:rFonts w:ascii="宋体" w:hAnsi="宋体" w:eastAsia="宋体" w:cs="宋体"/>
                <w:color w:val="auto"/>
                <w:spacing w:val="20"/>
                <w:highlight w:val="none"/>
              </w:rPr>
              <w:t>HJ 637-2018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7"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7</w:t>
            </w:r>
          </w:p>
        </w:tc>
        <w:tc>
          <w:tcPr>
            <w:tcW w:w="2521" w:type="dxa"/>
            <w:gridSpan w:val="2"/>
            <w:vAlign w:val="center"/>
          </w:tcPr>
          <w:p>
            <w:pPr>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阴离子表面活性剂</w:t>
            </w:r>
          </w:p>
        </w:tc>
        <w:tc>
          <w:tcPr>
            <w:tcW w:w="6025" w:type="dxa"/>
            <w:vAlign w:val="center"/>
          </w:tcPr>
          <w:p>
            <w:pPr>
              <w:ind w:firstLine="500" w:firstLineChars="200"/>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水质阴离子表面活性剂的测定亚甲蓝分光光法</w:t>
            </w:r>
            <w:r>
              <w:rPr>
                <w:rFonts w:ascii="宋体" w:hAnsi="宋体" w:eastAsia="宋体" w:cs="宋体"/>
                <w:color w:val="auto"/>
                <w:spacing w:val="20"/>
                <w:highlight w:val="none"/>
              </w:rPr>
              <w:t xml:space="preserve"> GB/T7494-1987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37"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8</w:t>
            </w:r>
          </w:p>
        </w:tc>
        <w:tc>
          <w:tcPr>
            <w:tcW w:w="2521" w:type="dxa"/>
            <w:gridSpan w:val="2"/>
            <w:vAlign w:val="center"/>
          </w:tcPr>
          <w:p>
            <w:pPr>
              <w:ind w:firstLine="32" w:firstLineChars="13"/>
              <w:jc w:val="center"/>
              <w:rPr>
                <w:rFonts w:ascii="宋体" w:hAnsi="宋体" w:eastAsia="宋体" w:cs="Times New Roman"/>
                <w:color w:val="auto"/>
                <w:highlight w:val="none"/>
              </w:rPr>
            </w:pPr>
            <w:r>
              <w:rPr>
                <w:rFonts w:hint="eastAsia" w:ascii="宋体" w:hAnsi="宋体" w:eastAsia="宋体" w:cs="宋体"/>
                <w:color w:val="auto"/>
                <w:spacing w:val="20"/>
                <w:highlight w:val="none"/>
              </w:rPr>
              <w:t>饮食业油烟</w:t>
            </w:r>
          </w:p>
        </w:tc>
        <w:tc>
          <w:tcPr>
            <w:tcW w:w="6025" w:type="dxa"/>
            <w:vAlign w:val="center"/>
          </w:tcPr>
          <w:p>
            <w:pPr>
              <w:snapToGrid w:val="0"/>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《饮食业油烟排放标准》（试行）</w:t>
            </w:r>
          </w:p>
          <w:p>
            <w:pPr>
              <w:snapToGrid w:val="0"/>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饮食业油烟采样方法及分析方法</w:t>
            </w:r>
            <w:r>
              <w:rPr>
                <w:rFonts w:ascii="宋体" w:hAnsi="宋体" w:eastAsia="宋体" w:cs="宋体"/>
                <w:color w:val="auto"/>
                <w:spacing w:val="20"/>
                <w:highlight w:val="none"/>
              </w:rPr>
              <w:t>GB 18483-2001</w:t>
            </w:r>
            <w:r>
              <w:rPr>
                <w:rFonts w:hint="eastAsia" w:ascii="宋体" w:hAnsi="宋体" w:eastAsia="宋体" w:cs="宋体"/>
                <w:color w:val="auto"/>
                <w:spacing w:val="20"/>
                <w:highlight w:val="none"/>
              </w:rPr>
              <w:t>附录</w:t>
            </w:r>
            <w:r>
              <w:rPr>
                <w:rFonts w:ascii="宋体" w:hAnsi="宋体" w:eastAsia="宋体" w:cs="宋体"/>
                <w:color w:val="auto"/>
                <w:spacing w:val="20"/>
                <w:highlight w:val="none"/>
              </w:rPr>
              <w:t>A</w:t>
            </w:r>
          </w:p>
          <w:p>
            <w:pPr>
              <w:ind w:firstLine="500" w:firstLineChars="200"/>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或</w:t>
            </w:r>
          </w:p>
          <w:p>
            <w:pPr>
              <w:ind w:firstLine="500" w:firstLineChars="200"/>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固定污染源废气油烟和油雾的测定红外分光光度法</w:t>
            </w:r>
            <w:r>
              <w:rPr>
                <w:rFonts w:ascii="宋体" w:hAnsi="宋体" w:eastAsia="宋体" w:cs="宋体"/>
                <w:color w:val="auto"/>
                <w:spacing w:val="20"/>
                <w:highlight w:val="none"/>
              </w:rPr>
              <w:t>HJ1077-2019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14"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9</w:t>
            </w:r>
          </w:p>
        </w:tc>
        <w:tc>
          <w:tcPr>
            <w:tcW w:w="739" w:type="dxa"/>
            <w:vMerge w:val="restart"/>
            <w:vAlign w:val="center"/>
          </w:tcPr>
          <w:p>
            <w:pPr>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噪声</w:t>
            </w:r>
          </w:p>
        </w:tc>
        <w:tc>
          <w:tcPr>
            <w:tcW w:w="1782" w:type="dxa"/>
            <w:vAlign w:val="center"/>
          </w:tcPr>
          <w:p>
            <w:pPr>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工业企业厂界环境噪声</w:t>
            </w:r>
          </w:p>
        </w:tc>
        <w:tc>
          <w:tcPr>
            <w:tcW w:w="6025" w:type="dxa"/>
            <w:vAlign w:val="center"/>
          </w:tcPr>
          <w:p>
            <w:pPr>
              <w:snapToGrid w:val="0"/>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工业企业厂界环境噪声排放标准</w:t>
            </w:r>
            <w:r>
              <w:rPr>
                <w:rFonts w:ascii="宋体" w:hAnsi="宋体" w:eastAsia="宋体" w:cs="宋体"/>
                <w:color w:val="auto"/>
                <w:spacing w:val="20"/>
                <w:highlight w:val="none"/>
              </w:rPr>
              <w:t>GB 12348-2008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76"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10</w:t>
            </w:r>
          </w:p>
        </w:tc>
        <w:tc>
          <w:tcPr>
            <w:tcW w:w="739" w:type="dxa"/>
            <w:vMerge w:val="continue"/>
            <w:vAlign w:val="center"/>
          </w:tcPr>
          <w:p>
            <w:pPr>
              <w:ind w:firstLine="32" w:firstLineChars="13"/>
              <w:jc w:val="center"/>
              <w:rPr>
                <w:rFonts w:ascii="宋体" w:hAnsi="宋体" w:eastAsia="宋体" w:cs="Times New Roman"/>
                <w:color w:val="auto"/>
                <w:spacing w:val="20"/>
                <w:highlight w:val="none"/>
              </w:rPr>
            </w:pPr>
          </w:p>
        </w:tc>
        <w:tc>
          <w:tcPr>
            <w:tcW w:w="1782" w:type="dxa"/>
            <w:vAlign w:val="center"/>
          </w:tcPr>
          <w:p>
            <w:pPr>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社会生活环境噪声</w:t>
            </w:r>
          </w:p>
        </w:tc>
        <w:tc>
          <w:tcPr>
            <w:tcW w:w="6025" w:type="dxa"/>
            <w:vAlign w:val="center"/>
          </w:tcPr>
          <w:p>
            <w:pPr>
              <w:snapToGrid w:val="0"/>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社会生活环境噪声排放标准</w:t>
            </w:r>
            <w:r>
              <w:rPr>
                <w:rFonts w:ascii="宋体" w:hAnsi="宋体" w:eastAsia="宋体" w:cs="宋体"/>
                <w:color w:val="auto"/>
                <w:spacing w:val="20"/>
                <w:highlight w:val="none"/>
              </w:rPr>
              <w:t>GB 22337-2008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15" w:hRule="atLeast"/>
          <w:jc w:val="center"/>
        </w:trPr>
        <w:tc>
          <w:tcPr>
            <w:tcW w:w="773" w:type="dxa"/>
            <w:vMerge w:val="restart"/>
            <w:vAlign w:val="center"/>
          </w:tcPr>
          <w:p>
            <w:pPr>
              <w:jc w:val="center"/>
              <w:rPr>
                <w:rFonts w:ascii="宋体" w:hAnsi="宋体" w:eastAsia="宋体" w:cs="宋体"/>
                <w:color w:val="auto"/>
                <w:highlight w:val="none"/>
              </w:rPr>
            </w:pPr>
            <w:r>
              <w:rPr>
                <w:rFonts w:ascii="宋体" w:hAnsi="宋体" w:eastAsia="宋体" w:cs="宋体"/>
                <w:color w:val="auto"/>
                <w:highlight w:val="none"/>
              </w:rPr>
              <w:t>11</w:t>
            </w:r>
          </w:p>
        </w:tc>
        <w:tc>
          <w:tcPr>
            <w:tcW w:w="739" w:type="dxa"/>
            <w:vMerge w:val="continue"/>
            <w:vAlign w:val="center"/>
          </w:tcPr>
          <w:p>
            <w:pPr>
              <w:ind w:firstLine="32" w:firstLineChars="13"/>
              <w:jc w:val="center"/>
              <w:rPr>
                <w:rFonts w:ascii="宋体" w:hAnsi="宋体" w:eastAsia="宋体" w:cs="Times New Roman"/>
                <w:color w:val="auto"/>
                <w:spacing w:val="20"/>
                <w:highlight w:val="none"/>
              </w:rPr>
            </w:pPr>
          </w:p>
        </w:tc>
        <w:tc>
          <w:tcPr>
            <w:tcW w:w="1782" w:type="dxa"/>
            <w:vAlign w:val="center"/>
          </w:tcPr>
          <w:p>
            <w:pPr>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建筑施工场界噪声</w:t>
            </w:r>
          </w:p>
        </w:tc>
        <w:tc>
          <w:tcPr>
            <w:tcW w:w="6025" w:type="dxa"/>
            <w:vAlign w:val="center"/>
          </w:tcPr>
          <w:p>
            <w:pPr>
              <w:snapToGrid w:val="0"/>
              <w:jc w:val="center"/>
              <w:rPr>
                <w:rFonts w:ascii="宋体" w:hAnsi="宋体" w:eastAsia="宋体" w:cs="宋体"/>
                <w:color w:val="auto"/>
                <w:highlight w:val="none"/>
              </w:rPr>
            </w:pPr>
            <w:r>
              <w:rPr>
                <w:rFonts w:hint="eastAsia" w:ascii="宋体" w:hAnsi="宋体" w:eastAsia="宋体" w:cs="宋体"/>
                <w:color w:val="auto"/>
                <w:highlight w:val="none"/>
              </w:rPr>
              <w:t>建筑施工场界环境噪声排放标准</w:t>
            </w:r>
            <w:r>
              <w:rPr>
                <w:rFonts w:ascii="宋体" w:hAnsi="宋体" w:eastAsia="宋体" w:cs="宋体"/>
                <w:color w:val="auto"/>
                <w:highlight w:val="none"/>
              </w:rPr>
              <w:t>GB 12523-2011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65" w:hRule="atLeast"/>
          <w:jc w:val="center"/>
        </w:trPr>
        <w:tc>
          <w:tcPr>
            <w:tcW w:w="773" w:type="dxa"/>
            <w:vMerge w:val="continue"/>
            <w:vAlign w:val="center"/>
          </w:tcPr>
          <w:p>
            <w:pPr>
              <w:jc w:val="center"/>
              <w:rPr>
                <w:rFonts w:ascii="宋体" w:hAnsi="宋体" w:eastAsia="宋体" w:cs="Times New Roman"/>
                <w:color w:val="auto"/>
                <w:highlight w:val="none"/>
              </w:rPr>
            </w:pPr>
          </w:p>
        </w:tc>
        <w:tc>
          <w:tcPr>
            <w:tcW w:w="739" w:type="dxa"/>
            <w:vMerge w:val="continue"/>
            <w:vAlign w:val="center"/>
          </w:tcPr>
          <w:p>
            <w:pPr>
              <w:ind w:firstLine="32" w:firstLineChars="13"/>
              <w:jc w:val="center"/>
              <w:rPr>
                <w:rFonts w:ascii="宋体" w:hAnsi="宋体" w:eastAsia="宋体" w:cs="Times New Roman"/>
                <w:color w:val="auto"/>
                <w:spacing w:val="20"/>
                <w:highlight w:val="none"/>
              </w:rPr>
            </w:pPr>
          </w:p>
        </w:tc>
        <w:tc>
          <w:tcPr>
            <w:tcW w:w="1782" w:type="dxa"/>
            <w:vAlign w:val="center"/>
          </w:tcPr>
          <w:p>
            <w:pPr>
              <w:ind w:firstLine="27" w:firstLineChars="13"/>
              <w:jc w:val="center"/>
              <w:rPr>
                <w:rFonts w:ascii="宋体" w:hAnsi="宋体" w:eastAsia="宋体" w:cs="Times New Roman"/>
                <w:color w:val="auto"/>
                <w:spacing w:val="20"/>
                <w:highlight w:val="none"/>
              </w:rPr>
            </w:pPr>
            <w:r>
              <w:rPr>
                <w:rFonts w:hint="eastAsia" w:ascii="宋体" w:hAnsi="宋体" w:eastAsia="宋体" w:cs="宋体"/>
                <w:color w:val="auto"/>
                <w:highlight w:val="none"/>
              </w:rPr>
              <w:t>结构传播固定设备室内噪声</w:t>
            </w:r>
          </w:p>
        </w:tc>
        <w:tc>
          <w:tcPr>
            <w:tcW w:w="6025" w:type="dxa"/>
            <w:vAlign w:val="center"/>
          </w:tcPr>
          <w:p>
            <w:pPr>
              <w:ind w:firstLine="420" w:firstLineChars="200"/>
              <w:jc w:val="center"/>
              <w:rPr>
                <w:rFonts w:ascii="宋体" w:hAnsi="宋体" w:eastAsia="宋体" w:cs="Times New Roman"/>
                <w:color w:val="auto"/>
                <w:highlight w:val="none"/>
              </w:rPr>
            </w:pPr>
            <w:r>
              <w:rPr>
                <w:rFonts w:hint="eastAsia" w:ascii="宋体" w:hAnsi="宋体" w:eastAsia="宋体" w:cs="宋体"/>
                <w:color w:val="auto"/>
                <w:highlight w:val="none"/>
              </w:rPr>
              <w:t>环境噪声监测技术规范</w:t>
            </w:r>
            <w:r>
              <w:rPr>
                <w:rFonts w:ascii="宋体" w:hAnsi="宋体" w:eastAsia="宋体" w:cs="宋体"/>
                <w:color w:val="auto"/>
                <w:highlight w:val="none"/>
              </w:rPr>
              <w:t xml:space="preserve"> </w:t>
            </w:r>
            <w:r>
              <w:rPr>
                <w:rFonts w:hint="eastAsia" w:ascii="宋体" w:hAnsi="宋体" w:eastAsia="宋体" w:cs="宋体"/>
                <w:color w:val="auto"/>
                <w:highlight w:val="none"/>
              </w:rPr>
              <w:t>结构传播固定设备室内噪声</w:t>
            </w:r>
            <w:r>
              <w:rPr>
                <w:rFonts w:ascii="宋体" w:hAnsi="宋体" w:eastAsia="宋体" w:cs="宋体"/>
                <w:color w:val="auto"/>
                <w:highlight w:val="none"/>
              </w:rPr>
              <w:t xml:space="preserve"> HJ 707-2014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533"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12</w:t>
            </w:r>
          </w:p>
        </w:tc>
        <w:tc>
          <w:tcPr>
            <w:tcW w:w="2521" w:type="dxa"/>
            <w:gridSpan w:val="2"/>
            <w:vAlign w:val="center"/>
          </w:tcPr>
          <w:p>
            <w:pPr>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总余氯</w:t>
            </w:r>
          </w:p>
        </w:tc>
        <w:tc>
          <w:tcPr>
            <w:tcW w:w="6025" w:type="dxa"/>
            <w:vAlign w:val="center"/>
          </w:tcPr>
          <w:p>
            <w:pPr>
              <w:ind w:firstLine="420" w:firstLineChars="200"/>
              <w:jc w:val="center"/>
              <w:rPr>
                <w:rFonts w:ascii="宋体" w:hAnsi="宋体" w:eastAsia="宋体" w:cs="宋体"/>
                <w:color w:val="auto"/>
                <w:highlight w:val="none"/>
              </w:rPr>
            </w:pPr>
            <w:r>
              <w:rPr>
                <w:rFonts w:hint="eastAsia" w:ascii="宋体" w:hAnsi="宋体" w:eastAsia="宋体" w:cs="宋体"/>
                <w:color w:val="auto"/>
                <w:highlight w:val="none"/>
              </w:rPr>
              <w:t>《水质</w:t>
            </w:r>
            <w:r>
              <w:rPr>
                <w:rFonts w:ascii="宋体" w:hAnsi="宋体" w:eastAsia="宋体" w:cs="宋体"/>
                <w:color w:val="auto"/>
                <w:highlight w:val="none"/>
              </w:rPr>
              <w:t xml:space="preserve"> </w:t>
            </w:r>
            <w:r>
              <w:rPr>
                <w:rFonts w:hint="eastAsia" w:ascii="宋体" w:hAnsi="宋体" w:eastAsia="宋体" w:cs="宋体"/>
                <w:color w:val="auto"/>
                <w:highlight w:val="none"/>
              </w:rPr>
              <w:t>游离氯和总氯的测定</w:t>
            </w:r>
            <w:r>
              <w:rPr>
                <w:rFonts w:ascii="宋体" w:hAnsi="宋体" w:eastAsia="宋体" w:cs="宋体"/>
                <w:color w:val="auto"/>
                <w:highlight w:val="none"/>
              </w:rPr>
              <w:t xml:space="preserve"> N,N-</w:t>
            </w:r>
            <w:r>
              <w:rPr>
                <w:rFonts w:hint="eastAsia" w:ascii="宋体" w:hAnsi="宋体" w:eastAsia="宋体" w:cs="宋体"/>
                <w:color w:val="auto"/>
                <w:highlight w:val="none"/>
              </w:rPr>
              <w:t>二乙基</w:t>
            </w:r>
            <w:r>
              <w:rPr>
                <w:rFonts w:ascii="宋体" w:hAnsi="宋体" w:eastAsia="宋体" w:cs="宋体"/>
                <w:color w:val="auto"/>
                <w:highlight w:val="none"/>
              </w:rPr>
              <w:t>-1,4-</w:t>
            </w:r>
            <w:r>
              <w:rPr>
                <w:rFonts w:hint="eastAsia" w:ascii="宋体" w:hAnsi="宋体" w:eastAsia="宋体" w:cs="宋体"/>
                <w:color w:val="auto"/>
                <w:highlight w:val="none"/>
              </w:rPr>
              <w:t>苯二胺分光光度法》</w:t>
            </w:r>
            <w:r>
              <w:rPr>
                <w:rFonts w:ascii="宋体" w:hAnsi="宋体" w:eastAsia="宋体" w:cs="宋体"/>
                <w:color w:val="auto"/>
                <w:highlight w:val="none"/>
              </w:rPr>
              <w:t>HJ 586-2010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4"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13</w:t>
            </w:r>
          </w:p>
        </w:tc>
        <w:tc>
          <w:tcPr>
            <w:tcW w:w="2521" w:type="dxa"/>
            <w:gridSpan w:val="2"/>
            <w:vAlign w:val="center"/>
          </w:tcPr>
          <w:p>
            <w:pPr>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粪大肠菌群</w:t>
            </w:r>
          </w:p>
        </w:tc>
        <w:tc>
          <w:tcPr>
            <w:tcW w:w="6025" w:type="dxa"/>
            <w:vAlign w:val="center"/>
          </w:tcPr>
          <w:p>
            <w:pPr>
              <w:ind w:firstLine="500" w:firstLineChars="200"/>
              <w:jc w:val="center"/>
              <w:rPr>
                <w:rFonts w:ascii="宋体" w:hAnsi="宋体" w:eastAsia="宋体" w:cs="Times New Roman"/>
                <w:color w:val="auto"/>
                <w:highlight w:val="none"/>
              </w:rPr>
            </w:pPr>
            <w:r>
              <w:rPr>
                <w:rFonts w:hint="eastAsia" w:ascii="宋体" w:hAnsi="宋体" w:eastAsia="宋体" w:cs="宋体"/>
                <w:color w:val="auto"/>
                <w:spacing w:val="20"/>
                <w:highlight w:val="none"/>
              </w:rPr>
              <w:t>水质总大肠菌群和粪大肠菌群的测定纸片快速法，</w:t>
            </w:r>
            <w:r>
              <w:rPr>
                <w:rFonts w:ascii="宋体" w:hAnsi="宋体" w:eastAsia="宋体" w:cs="宋体"/>
                <w:color w:val="auto"/>
                <w:spacing w:val="20"/>
                <w:highlight w:val="none"/>
              </w:rPr>
              <w:t>HJ 755-2015</w:t>
            </w:r>
          </w:p>
          <w:p>
            <w:pPr>
              <w:ind w:firstLine="500" w:firstLineChars="200"/>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及</w:t>
            </w:r>
          </w:p>
          <w:p>
            <w:pPr>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水质粪大肠菌群的测定滤膜法，</w:t>
            </w:r>
            <w:r>
              <w:rPr>
                <w:rFonts w:ascii="宋体" w:hAnsi="宋体" w:eastAsia="宋体" w:cs="宋体"/>
                <w:color w:val="auto"/>
                <w:spacing w:val="20"/>
                <w:highlight w:val="none"/>
              </w:rPr>
              <w:t>HJ 347.1-2018</w:t>
            </w:r>
          </w:p>
          <w:p>
            <w:pPr>
              <w:ind w:firstLine="500" w:firstLineChars="200"/>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及</w:t>
            </w:r>
          </w:p>
          <w:p>
            <w:pPr>
              <w:ind w:firstLine="500" w:firstLineChars="200"/>
              <w:jc w:val="center"/>
              <w:rPr>
                <w:rFonts w:ascii="宋体" w:hAnsi="宋体" w:eastAsia="宋体" w:cs="Times New Roman"/>
                <w:color w:val="auto"/>
                <w:highlight w:val="none"/>
              </w:rPr>
            </w:pPr>
            <w:r>
              <w:rPr>
                <w:rFonts w:hint="eastAsia" w:ascii="宋体" w:hAnsi="宋体" w:eastAsia="宋体" w:cs="宋体"/>
                <w:color w:val="auto"/>
                <w:spacing w:val="20"/>
                <w:highlight w:val="none"/>
              </w:rPr>
              <w:t>水质粪大肠菌群的测定多管发酵法，</w:t>
            </w:r>
            <w:r>
              <w:rPr>
                <w:rFonts w:ascii="宋体" w:hAnsi="宋体" w:eastAsia="宋体" w:cs="宋体"/>
                <w:color w:val="auto"/>
                <w:spacing w:val="20"/>
                <w:highlight w:val="none"/>
              </w:rPr>
              <w:t>HJ 347.2-2018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3"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14</w:t>
            </w:r>
          </w:p>
        </w:tc>
        <w:tc>
          <w:tcPr>
            <w:tcW w:w="2521" w:type="dxa"/>
            <w:gridSpan w:val="2"/>
            <w:vAlign w:val="center"/>
          </w:tcPr>
          <w:p>
            <w:pPr>
              <w:ind w:firstLine="27" w:firstLineChars="13"/>
              <w:jc w:val="center"/>
              <w:rPr>
                <w:rFonts w:ascii="宋体" w:hAnsi="宋体" w:eastAsia="宋体" w:cs="宋体"/>
                <w:color w:val="auto"/>
                <w:highlight w:val="none"/>
              </w:rPr>
            </w:pPr>
            <w:r>
              <w:rPr>
                <w:rFonts w:hint="eastAsia" w:ascii="宋体" w:hAnsi="宋体" w:eastAsia="宋体" w:cs="宋体"/>
                <w:color w:val="auto"/>
                <w:highlight w:val="none"/>
              </w:rPr>
              <w:t>恶臭气体</w:t>
            </w:r>
            <w:r>
              <w:rPr>
                <w:rFonts w:ascii="宋体" w:hAnsi="宋体" w:eastAsia="宋体" w:cs="宋体"/>
                <w:color w:val="auto"/>
                <w:highlight w:val="none"/>
              </w:rPr>
              <w:t>(</w:t>
            </w:r>
            <w:r>
              <w:rPr>
                <w:rFonts w:hint="eastAsia" w:ascii="宋体" w:hAnsi="宋体" w:eastAsia="宋体" w:cs="宋体"/>
                <w:color w:val="auto"/>
                <w:highlight w:val="none"/>
              </w:rPr>
              <w:t>臭气浓度</w:t>
            </w:r>
            <w:r>
              <w:rPr>
                <w:rFonts w:ascii="宋体" w:hAnsi="宋体" w:eastAsia="宋体" w:cs="宋体"/>
                <w:color w:val="auto"/>
                <w:highlight w:val="none"/>
              </w:rPr>
              <w:t>)</w:t>
            </w:r>
          </w:p>
        </w:tc>
        <w:tc>
          <w:tcPr>
            <w:tcW w:w="6025" w:type="dxa"/>
            <w:vAlign w:val="center"/>
          </w:tcPr>
          <w:p>
            <w:pPr>
              <w:ind w:firstLine="420" w:firstLineChars="200"/>
              <w:jc w:val="center"/>
              <w:rPr>
                <w:rFonts w:ascii="宋体" w:hAnsi="宋体" w:eastAsia="宋体" w:cs="宋体"/>
                <w:color w:val="auto"/>
                <w:highlight w:val="none"/>
              </w:rPr>
            </w:pPr>
            <w:r>
              <w:rPr>
                <w:rFonts w:hint="eastAsia" w:ascii="宋体" w:hAnsi="宋体" w:eastAsia="宋体" w:cs="宋体"/>
                <w:color w:val="auto"/>
                <w:highlight w:val="none"/>
              </w:rPr>
              <w:t>空气质量</w:t>
            </w:r>
            <w:r>
              <w:rPr>
                <w:rFonts w:ascii="宋体" w:hAnsi="宋体" w:eastAsia="宋体" w:cs="宋体"/>
                <w:color w:val="auto"/>
                <w:highlight w:val="none"/>
              </w:rPr>
              <w:t xml:space="preserve"> </w:t>
            </w:r>
            <w:r>
              <w:rPr>
                <w:rFonts w:hint="eastAsia" w:ascii="宋体" w:hAnsi="宋体" w:eastAsia="宋体" w:cs="宋体"/>
                <w:color w:val="auto"/>
                <w:highlight w:val="none"/>
              </w:rPr>
              <w:t>恶臭的测定</w:t>
            </w:r>
            <w:r>
              <w:rPr>
                <w:rFonts w:ascii="宋体" w:hAnsi="宋体" w:eastAsia="宋体" w:cs="宋体"/>
                <w:color w:val="auto"/>
                <w:highlight w:val="none"/>
              </w:rPr>
              <w:t xml:space="preserve"> </w:t>
            </w:r>
            <w:r>
              <w:rPr>
                <w:rFonts w:hint="eastAsia" w:ascii="宋体" w:hAnsi="宋体" w:eastAsia="宋体" w:cs="宋体"/>
                <w:color w:val="auto"/>
                <w:highlight w:val="none"/>
              </w:rPr>
              <w:t>三点比较式臭袋法</w:t>
            </w:r>
            <w:r>
              <w:rPr>
                <w:rFonts w:ascii="宋体" w:hAnsi="宋体" w:eastAsia="宋体" w:cs="宋体"/>
                <w:color w:val="auto"/>
                <w:highlight w:val="none"/>
              </w:rPr>
              <w:t>GB/T14675—93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93" w:hRule="atLeast"/>
          <w:jc w:val="center"/>
        </w:trPr>
        <w:tc>
          <w:tcPr>
            <w:tcW w:w="773"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15</w:t>
            </w:r>
          </w:p>
        </w:tc>
        <w:tc>
          <w:tcPr>
            <w:tcW w:w="739" w:type="dxa"/>
            <w:vMerge w:val="restart"/>
            <w:vAlign w:val="center"/>
          </w:tcPr>
          <w:p>
            <w:pPr>
              <w:tabs>
                <w:tab w:val="left" w:pos="1900"/>
              </w:tabs>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电磁辐射</w:t>
            </w:r>
          </w:p>
        </w:tc>
        <w:tc>
          <w:tcPr>
            <w:tcW w:w="1782" w:type="dxa"/>
            <w:vAlign w:val="center"/>
          </w:tcPr>
          <w:p>
            <w:pPr>
              <w:tabs>
                <w:tab w:val="left" w:pos="1900"/>
              </w:tabs>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功率密度</w:t>
            </w:r>
          </w:p>
          <w:p>
            <w:pPr>
              <w:tabs>
                <w:tab w:val="left" w:pos="1900"/>
              </w:tabs>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磁场强度</w:t>
            </w:r>
          </w:p>
        </w:tc>
        <w:tc>
          <w:tcPr>
            <w:tcW w:w="6025" w:type="dxa"/>
            <w:vAlign w:val="center"/>
          </w:tcPr>
          <w:p>
            <w:pPr>
              <w:tabs>
                <w:tab w:val="left" w:pos="1900"/>
              </w:tabs>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移动通信基站电磁辐射环境监测方法</w:t>
            </w:r>
            <w:r>
              <w:rPr>
                <w:rFonts w:ascii="宋体" w:hAnsi="宋体" w:eastAsia="宋体" w:cs="宋体"/>
                <w:color w:val="auto"/>
                <w:spacing w:val="20"/>
                <w:highlight w:val="none"/>
              </w:rPr>
              <w:t xml:space="preserve"> HJ972—2018</w:t>
            </w:r>
            <w:r>
              <w:rPr>
                <w:rFonts w:hint="eastAsia" w:ascii="宋体" w:hAnsi="宋体" w:eastAsia="宋体" w:cs="宋体"/>
                <w:color w:val="auto"/>
                <w:spacing w:val="20"/>
                <w:highlight w:val="none"/>
              </w:rPr>
              <w:t>，</w:t>
            </w:r>
          </w:p>
          <w:p>
            <w:pPr>
              <w:tabs>
                <w:tab w:val="left" w:pos="1900"/>
              </w:tabs>
              <w:ind w:firstLine="32" w:firstLineChars="13"/>
              <w:jc w:val="center"/>
              <w:rPr>
                <w:rFonts w:ascii="宋体" w:hAnsi="宋体" w:eastAsia="宋体" w:cs="Times New Roman"/>
                <w:color w:val="auto"/>
                <w:spacing w:val="20"/>
                <w:highlight w:val="none"/>
              </w:rPr>
            </w:pPr>
            <w:r>
              <w:rPr>
                <w:rFonts w:ascii="宋体" w:hAnsi="宋体" w:eastAsia="宋体" w:cs="宋体"/>
                <w:color w:val="auto"/>
                <w:spacing w:val="20"/>
                <w:highlight w:val="none"/>
              </w:rPr>
              <w:t>5G</w:t>
            </w:r>
            <w:r>
              <w:rPr>
                <w:rFonts w:hint="eastAsia" w:ascii="宋体" w:hAnsi="宋体" w:eastAsia="宋体" w:cs="宋体"/>
                <w:color w:val="auto"/>
                <w:spacing w:val="20"/>
                <w:highlight w:val="none"/>
              </w:rPr>
              <w:t>移动通信基站电磁辐射环境监测方法（试行）</w:t>
            </w:r>
            <w:r>
              <w:rPr>
                <w:rFonts w:ascii="宋体" w:hAnsi="宋体" w:eastAsia="宋体" w:cs="宋体"/>
                <w:color w:val="auto"/>
                <w:spacing w:val="20"/>
                <w:highlight w:val="none"/>
              </w:rPr>
              <w:t xml:space="preserve"> HJ 1151-2020</w:t>
            </w:r>
            <w:r>
              <w:rPr>
                <w:rFonts w:hint="eastAsia" w:ascii="宋体" w:hAnsi="宋体" w:eastAsia="宋体" w:cs="宋体"/>
                <w:color w:val="auto"/>
                <w:spacing w:val="20"/>
                <w:highlight w:val="none"/>
              </w:rPr>
              <w:t>，</w:t>
            </w:r>
          </w:p>
          <w:p>
            <w:pPr>
              <w:tabs>
                <w:tab w:val="left" w:pos="1900"/>
              </w:tabs>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中波广播发射台电磁辐射环境</w:t>
            </w:r>
            <w:r>
              <w:rPr>
                <w:rFonts w:ascii="宋体" w:hAnsi="宋体" w:eastAsia="宋体" w:cs="宋体"/>
                <w:color w:val="auto"/>
                <w:spacing w:val="20"/>
                <w:highlight w:val="none"/>
              </w:rPr>
              <w:t xml:space="preserve"> HJ 1136-2020</w:t>
            </w:r>
            <w:r>
              <w:rPr>
                <w:rFonts w:hint="eastAsia" w:ascii="宋体" w:hAnsi="宋体" w:eastAsia="宋体" w:cs="宋体"/>
                <w:color w:val="auto"/>
                <w:spacing w:val="20"/>
                <w:highlight w:val="none"/>
              </w:rPr>
              <w:t>，</w:t>
            </w:r>
          </w:p>
          <w:p>
            <w:pPr>
              <w:tabs>
                <w:tab w:val="left" w:pos="1900"/>
              </w:tabs>
              <w:ind w:firstLine="32" w:firstLineChars="13"/>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辐射环境保护管理导则</w:t>
            </w:r>
            <w:r>
              <w:rPr>
                <w:rFonts w:ascii="宋体" w:hAnsi="宋体" w:eastAsia="宋体" w:cs="宋体"/>
                <w:color w:val="auto"/>
                <w:spacing w:val="20"/>
                <w:highlight w:val="none"/>
              </w:rPr>
              <w:t xml:space="preserve"> </w:t>
            </w:r>
            <w:r>
              <w:rPr>
                <w:rFonts w:hint="eastAsia" w:ascii="宋体" w:hAnsi="宋体" w:eastAsia="宋体" w:cs="宋体"/>
                <w:color w:val="auto"/>
                <w:spacing w:val="20"/>
                <w:highlight w:val="none"/>
              </w:rPr>
              <w:t>电磁辐射监测仪器和方法</w:t>
            </w:r>
            <w:r>
              <w:rPr>
                <w:rFonts w:ascii="宋体" w:hAnsi="宋体" w:eastAsia="宋体" w:cs="宋体"/>
                <w:color w:val="auto"/>
                <w:spacing w:val="20"/>
                <w:highlight w:val="none"/>
              </w:rPr>
              <w:t xml:space="preserve"> HJ/T10.2-1996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78" w:hRule="atLeast"/>
          <w:jc w:val="center"/>
        </w:trPr>
        <w:tc>
          <w:tcPr>
            <w:tcW w:w="773"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16</w:t>
            </w:r>
          </w:p>
        </w:tc>
        <w:tc>
          <w:tcPr>
            <w:tcW w:w="739" w:type="dxa"/>
            <w:vMerge w:val="continue"/>
            <w:vAlign w:val="center"/>
          </w:tcPr>
          <w:p>
            <w:pPr>
              <w:tabs>
                <w:tab w:val="left" w:pos="1900"/>
              </w:tabs>
              <w:jc w:val="center"/>
              <w:rPr>
                <w:rFonts w:ascii="宋体" w:hAnsi="宋体" w:eastAsia="宋体" w:cs="Times New Roman"/>
                <w:color w:val="auto"/>
                <w:spacing w:val="20"/>
                <w:highlight w:val="none"/>
              </w:rPr>
            </w:pPr>
          </w:p>
        </w:tc>
        <w:tc>
          <w:tcPr>
            <w:tcW w:w="1782" w:type="dxa"/>
            <w:vAlign w:val="center"/>
          </w:tcPr>
          <w:p>
            <w:pPr>
              <w:tabs>
                <w:tab w:val="left" w:pos="1900"/>
              </w:tabs>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电场强度</w:t>
            </w:r>
          </w:p>
        </w:tc>
        <w:tc>
          <w:tcPr>
            <w:tcW w:w="6025" w:type="dxa"/>
            <w:vAlign w:val="center"/>
          </w:tcPr>
          <w:p>
            <w:pPr>
              <w:tabs>
                <w:tab w:val="left" w:pos="1900"/>
              </w:tabs>
              <w:ind w:firstLine="32" w:firstLineChars="13"/>
              <w:jc w:val="center"/>
              <w:rPr>
                <w:rFonts w:ascii="宋体" w:hAnsi="宋体" w:eastAsia="宋体" w:cs="Times New Roman"/>
                <w:color w:val="auto"/>
                <w:spacing w:val="20"/>
                <w:highlight w:val="none"/>
              </w:rPr>
            </w:pPr>
            <w:r>
              <w:rPr>
                <w:rFonts w:ascii="宋体" w:hAnsi="宋体" w:eastAsia="宋体" w:cs="宋体"/>
                <w:color w:val="auto"/>
                <w:spacing w:val="20"/>
                <w:highlight w:val="none"/>
              </w:rPr>
              <w:t xml:space="preserve"> </w:t>
            </w:r>
            <w:r>
              <w:rPr>
                <w:rFonts w:hint="eastAsia" w:ascii="宋体" w:hAnsi="宋体" w:eastAsia="宋体" w:cs="宋体"/>
                <w:color w:val="auto"/>
                <w:spacing w:val="20"/>
                <w:highlight w:val="none"/>
              </w:rPr>
              <w:t>工频电场测量</w:t>
            </w:r>
            <w:r>
              <w:rPr>
                <w:rFonts w:ascii="宋体" w:hAnsi="宋体" w:eastAsia="宋体" w:cs="宋体"/>
                <w:color w:val="auto"/>
                <w:spacing w:val="20"/>
                <w:highlight w:val="none"/>
              </w:rPr>
              <w:t xml:space="preserve"> GB/T 12720-1991</w:t>
            </w:r>
            <w:r>
              <w:rPr>
                <w:rFonts w:hint="eastAsia" w:ascii="宋体" w:hAnsi="宋体" w:eastAsia="宋体" w:cs="宋体"/>
                <w:color w:val="auto"/>
                <w:spacing w:val="20"/>
                <w:highlight w:val="none"/>
              </w:rPr>
              <w:t>，</w:t>
            </w:r>
          </w:p>
          <w:p>
            <w:pPr>
              <w:tabs>
                <w:tab w:val="left" w:pos="1900"/>
              </w:tabs>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《交流输变电工程电磁环境监测方法</w:t>
            </w:r>
            <w:r>
              <w:rPr>
                <w:rFonts w:ascii="宋体" w:hAnsi="宋体" w:eastAsia="宋体" w:cs="宋体"/>
                <w:color w:val="auto"/>
                <w:spacing w:val="20"/>
                <w:highlight w:val="none"/>
              </w:rPr>
              <w:t>(</w:t>
            </w:r>
            <w:r>
              <w:rPr>
                <w:rFonts w:hint="eastAsia" w:ascii="宋体" w:hAnsi="宋体" w:eastAsia="宋体" w:cs="宋体"/>
                <w:color w:val="auto"/>
                <w:spacing w:val="20"/>
                <w:highlight w:val="none"/>
              </w:rPr>
              <w:t>试行</w:t>
            </w:r>
            <w:r>
              <w:rPr>
                <w:rFonts w:ascii="宋体" w:hAnsi="宋体" w:eastAsia="宋体" w:cs="宋体"/>
                <w:color w:val="auto"/>
                <w:spacing w:val="20"/>
                <w:highlight w:val="none"/>
              </w:rPr>
              <w:t>)</w:t>
            </w:r>
            <w:r>
              <w:rPr>
                <w:rFonts w:hint="eastAsia" w:ascii="宋体" w:hAnsi="宋体" w:eastAsia="宋体" w:cs="宋体"/>
                <w:color w:val="auto"/>
                <w:spacing w:val="20"/>
                <w:highlight w:val="none"/>
              </w:rPr>
              <w:t>》</w:t>
            </w:r>
            <w:r>
              <w:rPr>
                <w:rFonts w:ascii="宋体" w:hAnsi="宋体" w:eastAsia="宋体" w:cs="宋体"/>
                <w:color w:val="auto"/>
                <w:spacing w:val="20"/>
                <w:highlight w:val="none"/>
              </w:rPr>
              <w:t xml:space="preserve"> HJ 681-2013</w:t>
            </w:r>
            <w:r>
              <w:rPr>
                <w:rFonts w:hint="eastAsia" w:ascii="宋体" w:hAnsi="宋体" w:eastAsia="宋体" w:cs="宋体"/>
                <w:color w:val="auto"/>
                <w:spacing w:val="20"/>
                <w:highlight w:val="none"/>
              </w:rPr>
              <w:t>，</w:t>
            </w:r>
          </w:p>
          <w:p>
            <w:pPr>
              <w:tabs>
                <w:tab w:val="left" w:pos="1900"/>
              </w:tabs>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移动通信基站电磁辐射环境监测方法</w:t>
            </w:r>
            <w:r>
              <w:rPr>
                <w:rFonts w:ascii="宋体" w:hAnsi="宋体" w:eastAsia="宋体" w:cs="宋体"/>
                <w:color w:val="auto"/>
                <w:spacing w:val="20"/>
                <w:highlight w:val="none"/>
              </w:rPr>
              <w:t xml:space="preserve">  HJ972—2018</w:t>
            </w:r>
            <w:r>
              <w:rPr>
                <w:rFonts w:hint="eastAsia" w:ascii="宋体" w:hAnsi="宋体" w:eastAsia="宋体" w:cs="宋体"/>
                <w:color w:val="auto"/>
                <w:spacing w:val="20"/>
                <w:highlight w:val="none"/>
              </w:rPr>
              <w:t>，</w:t>
            </w:r>
          </w:p>
          <w:p>
            <w:pPr>
              <w:tabs>
                <w:tab w:val="left" w:pos="1900"/>
              </w:tabs>
              <w:ind w:firstLine="32" w:firstLineChars="13"/>
              <w:jc w:val="center"/>
              <w:rPr>
                <w:rFonts w:ascii="宋体" w:hAnsi="宋体" w:eastAsia="宋体" w:cs="Times New Roman"/>
                <w:color w:val="auto"/>
                <w:spacing w:val="20"/>
                <w:highlight w:val="none"/>
              </w:rPr>
            </w:pPr>
            <w:r>
              <w:rPr>
                <w:rFonts w:hint="eastAsia" w:ascii="宋体" w:hAnsi="宋体" w:eastAsia="宋体" w:cs="宋体"/>
                <w:color w:val="auto"/>
                <w:spacing w:val="20"/>
                <w:highlight w:val="none"/>
              </w:rPr>
              <w:t>《中波广播发射台电磁辐射环境》</w:t>
            </w:r>
            <w:r>
              <w:rPr>
                <w:rFonts w:ascii="宋体" w:hAnsi="宋体" w:eastAsia="宋体" w:cs="宋体"/>
                <w:color w:val="auto"/>
                <w:spacing w:val="20"/>
                <w:highlight w:val="none"/>
              </w:rPr>
              <w:t>HJ 1136-2020</w:t>
            </w:r>
            <w:r>
              <w:rPr>
                <w:rFonts w:hint="eastAsia" w:ascii="宋体" w:hAnsi="宋体" w:eastAsia="宋体" w:cs="宋体"/>
                <w:color w:val="auto"/>
                <w:spacing w:val="20"/>
                <w:highlight w:val="none"/>
              </w:rPr>
              <w:t>，</w:t>
            </w:r>
          </w:p>
          <w:p>
            <w:pPr>
              <w:tabs>
                <w:tab w:val="left" w:pos="1900"/>
              </w:tabs>
              <w:ind w:firstLine="32" w:firstLineChars="13"/>
              <w:jc w:val="center"/>
              <w:rPr>
                <w:rFonts w:ascii="宋体" w:hAnsi="宋体" w:eastAsia="宋体" w:cs="宋体"/>
                <w:color w:val="auto"/>
                <w:spacing w:val="20"/>
                <w:highlight w:val="none"/>
              </w:rPr>
            </w:pPr>
            <w:r>
              <w:rPr>
                <w:rFonts w:hint="eastAsia" w:ascii="宋体" w:hAnsi="宋体" w:eastAsia="宋体" w:cs="宋体"/>
                <w:color w:val="auto"/>
                <w:spacing w:val="20"/>
                <w:highlight w:val="none"/>
              </w:rPr>
              <w:t>直流输电工程合成电场限值及其监测方法</w:t>
            </w:r>
            <w:r>
              <w:rPr>
                <w:rFonts w:ascii="宋体" w:hAnsi="宋体" w:eastAsia="宋体" w:cs="宋体"/>
                <w:color w:val="auto"/>
                <w:spacing w:val="20"/>
                <w:highlight w:val="none"/>
              </w:rPr>
              <w:t xml:space="preserve"> GB 39220—2020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253"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17</w:t>
            </w:r>
          </w:p>
        </w:tc>
        <w:tc>
          <w:tcPr>
            <w:tcW w:w="739" w:type="dxa"/>
            <w:vMerge w:val="continue"/>
            <w:vAlign w:val="center"/>
          </w:tcPr>
          <w:p>
            <w:pPr>
              <w:tabs>
                <w:tab w:val="left" w:pos="1900"/>
              </w:tabs>
              <w:jc w:val="center"/>
              <w:rPr>
                <w:rFonts w:ascii="宋体" w:hAnsi="宋体" w:eastAsia="宋体" w:cs="Times New Roman"/>
                <w:color w:val="auto"/>
                <w:spacing w:val="20"/>
                <w:highlight w:val="none"/>
              </w:rPr>
            </w:pPr>
          </w:p>
        </w:tc>
        <w:tc>
          <w:tcPr>
            <w:tcW w:w="1782" w:type="dxa"/>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无线电干扰</w:t>
            </w:r>
          </w:p>
        </w:tc>
        <w:tc>
          <w:tcPr>
            <w:tcW w:w="6025" w:type="dxa"/>
            <w:vAlign w:val="center"/>
          </w:tcPr>
          <w:p>
            <w:pPr>
              <w:jc w:val="center"/>
              <w:rPr>
                <w:rFonts w:ascii="宋体" w:hAnsi="宋体" w:eastAsia="宋体" w:cs="宋体"/>
                <w:color w:val="auto"/>
                <w:highlight w:val="none"/>
              </w:rPr>
            </w:pPr>
            <w:r>
              <w:rPr>
                <w:rFonts w:hint="eastAsia" w:ascii="宋体" w:hAnsi="宋体" w:eastAsia="宋体" w:cs="宋体"/>
                <w:color w:val="auto"/>
                <w:highlight w:val="none"/>
              </w:rPr>
              <w:t>《高压架空送电线、变电站无线电干扰测量方法》</w:t>
            </w:r>
            <w:r>
              <w:rPr>
                <w:rFonts w:ascii="宋体" w:hAnsi="宋体" w:eastAsia="宋体" w:cs="宋体"/>
                <w:color w:val="auto"/>
                <w:highlight w:val="none"/>
              </w:rPr>
              <w:t>GB/T 7349-2002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82"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18</w:t>
            </w:r>
          </w:p>
        </w:tc>
        <w:tc>
          <w:tcPr>
            <w:tcW w:w="739" w:type="dxa"/>
            <w:vMerge w:val="restart"/>
            <w:vAlign w:val="center"/>
          </w:tcPr>
          <w:p>
            <w:pPr>
              <w:tabs>
                <w:tab w:val="left" w:pos="1900"/>
              </w:tabs>
              <w:jc w:val="center"/>
              <w:rPr>
                <w:rFonts w:ascii="宋体" w:hAnsi="宋体" w:eastAsia="宋体" w:cs="Times New Roman"/>
                <w:color w:val="auto"/>
                <w:highlight w:val="none"/>
              </w:rPr>
            </w:pPr>
            <w:r>
              <w:rPr>
                <w:rFonts w:hint="eastAsia" w:ascii="宋体" w:hAnsi="宋体" w:eastAsia="宋体" w:cs="宋体"/>
                <w:color w:val="auto"/>
                <w:highlight w:val="none"/>
              </w:rPr>
              <w:t>电离辐射</w:t>
            </w:r>
          </w:p>
        </w:tc>
        <w:tc>
          <w:tcPr>
            <w:tcW w:w="1782" w:type="dxa"/>
            <w:vAlign w:val="center"/>
          </w:tcPr>
          <w:p>
            <w:pPr>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γ辐射剂量率</w:t>
            </w:r>
          </w:p>
        </w:tc>
        <w:tc>
          <w:tcPr>
            <w:tcW w:w="6025"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 xml:space="preserve"> </w:t>
            </w:r>
            <w:r>
              <w:rPr>
                <w:rFonts w:hint="eastAsia" w:ascii="宋体" w:hAnsi="宋体" w:eastAsia="宋体" w:cs="宋体"/>
                <w:color w:val="auto"/>
                <w:highlight w:val="none"/>
              </w:rPr>
              <w:t>环境γ辐射剂量率测量技术规范</w:t>
            </w:r>
            <w:r>
              <w:rPr>
                <w:rFonts w:ascii="宋体" w:hAnsi="宋体" w:eastAsia="宋体" w:cs="宋体"/>
                <w:color w:val="auto"/>
                <w:highlight w:val="none"/>
              </w:rPr>
              <w:t xml:space="preserve">  HJ 1157—2021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384" w:hRule="atLeast"/>
          <w:jc w:val="center"/>
        </w:trPr>
        <w:tc>
          <w:tcPr>
            <w:tcW w:w="773" w:type="dxa"/>
            <w:vAlign w:val="center"/>
          </w:tcPr>
          <w:p>
            <w:pPr>
              <w:jc w:val="center"/>
              <w:rPr>
                <w:rFonts w:ascii="宋体" w:hAnsi="宋体" w:eastAsia="宋体" w:cs="宋体"/>
                <w:color w:val="auto"/>
                <w:highlight w:val="none"/>
              </w:rPr>
            </w:pPr>
            <w:r>
              <w:rPr>
                <w:rFonts w:ascii="宋体" w:hAnsi="宋体" w:eastAsia="宋体" w:cs="宋体"/>
                <w:color w:val="auto"/>
                <w:highlight w:val="none"/>
              </w:rPr>
              <w:t>19</w:t>
            </w:r>
          </w:p>
        </w:tc>
        <w:tc>
          <w:tcPr>
            <w:tcW w:w="739" w:type="dxa"/>
            <w:vMerge w:val="continue"/>
            <w:vAlign w:val="center"/>
          </w:tcPr>
          <w:p>
            <w:pPr>
              <w:ind w:firstLine="27" w:firstLineChars="13"/>
              <w:jc w:val="center"/>
              <w:rPr>
                <w:rFonts w:ascii="宋体" w:hAnsi="宋体" w:eastAsia="宋体" w:cs="Times New Roman"/>
                <w:color w:val="auto"/>
                <w:highlight w:val="none"/>
              </w:rPr>
            </w:pPr>
          </w:p>
        </w:tc>
        <w:tc>
          <w:tcPr>
            <w:tcW w:w="1782" w:type="dxa"/>
            <w:vAlign w:val="center"/>
          </w:tcPr>
          <w:p>
            <w:pPr>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α、β表面污染</w:t>
            </w:r>
          </w:p>
        </w:tc>
        <w:tc>
          <w:tcPr>
            <w:tcW w:w="6025" w:type="dxa"/>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rPr>
              <w:t>表面污染测定</w:t>
            </w:r>
          </w:p>
          <w:p>
            <w:pPr>
              <w:jc w:val="center"/>
              <w:rPr>
                <w:rFonts w:ascii="宋体" w:hAnsi="宋体" w:eastAsia="宋体" w:cs="Times New Roman"/>
                <w:color w:val="auto"/>
                <w:highlight w:val="none"/>
              </w:rPr>
            </w:pPr>
            <w:r>
              <w:rPr>
                <w:rFonts w:hint="eastAsia" w:ascii="宋体" w:hAnsi="宋体" w:eastAsia="宋体" w:cs="宋体"/>
                <w:color w:val="auto"/>
                <w:highlight w:val="none"/>
              </w:rPr>
              <w:t>第</w:t>
            </w:r>
            <w:r>
              <w:rPr>
                <w:rFonts w:ascii="宋体" w:hAnsi="宋体" w:eastAsia="宋体" w:cs="宋体"/>
                <w:color w:val="auto"/>
                <w:highlight w:val="none"/>
              </w:rPr>
              <w:t>1</w:t>
            </w:r>
            <w:r>
              <w:rPr>
                <w:rFonts w:hint="eastAsia" w:ascii="宋体" w:hAnsi="宋体" w:eastAsia="宋体" w:cs="宋体"/>
                <w:color w:val="auto"/>
                <w:highlight w:val="none"/>
              </w:rPr>
              <w:t>部分：β发射体</w:t>
            </w:r>
            <w:r>
              <w:rPr>
                <w:rFonts w:ascii="宋体" w:hAnsi="宋体" w:eastAsia="宋体" w:cs="宋体"/>
                <w:color w:val="auto"/>
                <w:highlight w:val="none"/>
              </w:rPr>
              <w:t>(E</w:t>
            </w:r>
            <w:r>
              <w:rPr>
                <w:rFonts w:hint="eastAsia" w:ascii="宋体" w:hAnsi="宋体" w:eastAsia="宋体" w:cs="宋体"/>
                <w:color w:val="auto"/>
                <w:highlight w:val="none"/>
                <w:vertAlign w:val="subscript"/>
              </w:rPr>
              <w:t>β</w:t>
            </w:r>
            <w:r>
              <w:rPr>
                <w:rFonts w:ascii="宋体" w:hAnsi="宋体" w:eastAsia="宋体" w:cs="宋体"/>
                <w:color w:val="auto"/>
                <w:highlight w:val="none"/>
                <w:vertAlign w:val="subscript"/>
              </w:rPr>
              <w:t>max</w:t>
            </w:r>
            <w:r>
              <w:rPr>
                <w:rFonts w:ascii="宋体" w:hAnsi="宋体" w:eastAsia="宋体" w:cs="宋体"/>
                <w:color w:val="auto"/>
                <w:highlight w:val="none"/>
              </w:rPr>
              <w:t>&gt;0.15MeV)</w:t>
            </w:r>
            <w:r>
              <w:rPr>
                <w:rFonts w:hint="eastAsia" w:ascii="宋体" w:hAnsi="宋体" w:eastAsia="宋体" w:cs="宋体"/>
                <w:color w:val="auto"/>
                <w:highlight w:val="none"/>
              </w:rPr>
              <w:t>和α发射体</w:t>
            </w:r>
          </w:p>
          <w:p>
            <w:pPr>
              <w:jc w:val="center"/>
              <w:rPr>
                <w:rFonts w:ascii="宋体" w:hAnsi="宋体" w:eastAsia="宋体" w:cs="宋体"/>
                <w:color w:val="auto"/>
                <w:highlight w:val="none"/>
              </w:rPr>
            </w:pPr>
            <w:r>
              <w:rPr>
                <w:rFonts w:ascii="宋体" w:hAnsi="宋体" w:eastAsia="宋体" w:cs="宋体"/>
                <w:color w:val="auto"/>
                <w:highlight w:val="none"/>
              </w:rPr>
              <w:t>GB/T 14056.1-2008</w:t>
            </w:r>
          </w:p>
        </w:tc>
      </w:tr>
    </w:tbl>
    <w:p>
      <w:pPr>
        <w:tabs>
          <w:tab w:val="left" w:pos="1900"/>
        </w:tabs>
        <w:spacing w:line="360" w:lineRule="auto"/>
        <w:ind w:firstLine="315" w:firstLineChars="150"/>
        <w:rPr>
          <w:rFonts w:ascii="宋体" w:hAnsi="宋体" w:eastAsia="宋体" w:cs="Times New Roman"/>
          <w:strike/>
          <w:color w:val="auto"/>
          <w:highlight w:val="none"/>
        </w:rPr>
      </w:pPr>
    </w:p>
    <w:p>
      <w:pPr>
        <w:snapToGrid w:val="0"/>
        <w:spacing w:line="360" w:lineRule="auto"/>
        <w:ind w:left="105" w:hanging="105"/>
        <w:jc w:val="left"/>
        <w:outlineLvl w:val="1"/>
        <w:rPr>
          <w:rFonts w:ascii="宋体" w:hAnsi="宋体" w:eastAsia="宋体" w:cs="Times New Roman"/>
          <w:color w:val="auto"/>
          <w:highlight w:val="none"/>
        </w:rPr>
      </w:pPr>
      <w:r>
        <w:rPr>
          <w:rFonts w:hint="eastAsia" w:ascii="宋体" w:hAnsi="宋体" w:eastAsia="宋体" w:cs="宋体"/>
          <w:color w:val="auto"/>
          <w:highlight w:val="none"/>
        </w:rPr>
        <w:t>（五）分析项目</w:t>
      </w:r>
    </w:p>
    <w:p>
      <w:pPr>
        <w:tabs>
          <w:tab w:val="left" w:pos="1900"/>
        </w:tabs>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、废水监测项目的选择要根据实际污染物排放来确定。分析项目有：</w:t>
      </w:r>
      <w:r>
        <w:rPr>
          <w:rFonts w:ascii="宋体" w:hAnsi="宋体" w:eastAsia="宋体" w:cs="宋体"/>
          <w:color w:val="auto"/>
          <w:highlight w:val="none"/>
        </w:rPr>
        <w:t>pH</w:t>
      </w:r>
      <w:r>
        <w:rPr>
          <w:rFonts w:hint="eastAsia" w:ascii="宋体" w:hAnsi="宋体" w:eastAsia="宋体" w:cs="宋体"/>
          <w:color w:val="auto"/>
          <w:highlight w:val="none"/>
        </w:rPr>
        <w:t>值、化学需氧量、悬浮物、五日生化需氧量、总磷、动植物油、阴离子表面活性剂、氨氮、总余氯、粪大肠菌群等。（其中：饮食业废水（</w:t>
      </w:r>
      <w:r>
        <w:rPr>
          <w:rFonts w:ascii="宋体" w:hAnsi="宋体" w:eastAsia="宋体" w:cs="宋体"/>
          <w:color w:val="auto"/>
          <w:highlight w:val="none"/>
        </w:rPr>
        <w:t>6</w:t>
      </w:r>
      <w:r>
        <w:rPr>
          <w:rFonts w:hint="eastAsia" w:ascii="宋体" w:hAnsi="宋体" w:eastAsia="宋体" w:cs="宋体"/>
          <w:color w:val="auto"/>
          <w:highlight w:val="none"/>
        </w:rPr>
        <w:t>项）：</w:t>
      </w:r>
      <w:r>
        <w:rPr>
          <w:rFonts w:ascii="宋体" w:hAnsi="宋体" w:eastAsia="宋体" w:cs="宋体"/>
          <w:color w:val="auto"/>
          <w:highlight w:val="none"/>
        </w:rPr>
        <w:t>pH</w:t>
      </w:r>
      <w:r>
        <w:rPr>
          <w:rFonts w:hint="eastAsia" w:ascii="宋体" w:hAnsi="宋体" w:eastAsia="宋体" w:cs="宋体"/>
          <w:color w:val="auto"/>
          <w:highlight w:val="none"/>
        </w:rPr>
        <w:t>值、化学需氧量、悬浮物、总磷、动植物油、氨氮；医疗污水（</w:t>
      </w:r>
      <w:r>
        <w:rPr>
          <w:rFonts w:ascii="宋体" w:hAnsi="宋体" w:eastAsia="宋体" w:cs="宋体"/>
          <w:color w:val="auto"/>
          <w:highlight w:val="none"/>
        </w:rPr>
        <w:t>10</w:t>
      </w:r>
      <w:r>
        <w:rPr>
          <w:rFonts w:hint="eastAsia" w:ascii="宋体" w:hAnsi="宋体" w:eastAsia="宋体" w:cs="宋体"/>
          <w:color w:val="auto"/>
          <w:highlight w:val="none"/>
        </w:rPr>
        <w:t>项）：</w:t>
      </w:r>
      <w:r>
        <w:rPr>
          <w:rFonts w:ascii="宋体" w:hAnsi="宋体" w:eastAsia="宋体" w:cs="宋体"/>
          <w:color w:val="auto"/>
          <w:highlight w:val="none"/>
        </w:rPr>
        <w:t>pH</w:t>
      </w:r>
      <w:r>
        <w:rPr>
          <w:rFonts w:hint="eastAsia" w:ascii="宋体" w:hAnsi="宋体" w:eastAsia="宋体" w:cs="宋体"/>
          <w:color w:val="auto"/>
          <w:highlight w:val="none"/>
        </w:rPr>
        <w:t>值、化学需氧量、悬浮物</w:t>
      </w:r>
      <w:r>
        <w:rPr>
          <w:rFonts w:hint="eastAsia" w:ascii="宋体" w:hAnsi="宋体" w:eastAsia="宋体" w:cs="宋体"/>
          <w:color w:val="auto"/>
          <w:highlight w:val="none"/>
        </w:rPr>
        <w:t>、阴离子表面活性剂、氨氮、总磷、总余氯、粪大肠菌群、动植物油、石油类）</w:t>
      </w:r>
    </w:p>
    <w:p>
      <w:pPr>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、废气监测项目：饮食业油烟、恶臭气体（臭气浓度）等。</w:t>
      </w:r>
    </w:p>
    <w:p>
      <w:pPr>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、噪声监测项目：厂界噪声、社会生活噪声、工地噪声、结构传播固定设备室内噪声等。</w:t>
      </w:r>
    </w:p>
    <w:p>
      <w:pPr>
        <w:spacing w:line="360" w:lineRule="auto"/>
        <w:ind w:firstLine="420" w:firstLineChars="200"/>
        <w:rPr>
          <w:rFonts w:ascii="宋体" w:hAnsi="宋体" w:eastAsia="宋体" w:cs="Times New Roman"/>
          <w:color w:val="auto"/>
          <w:highlight w:val="none"/>
        </w:rPr>
      </w:pPr>
      <w:r>
        <w:rPr>
          <w:rFonts w:ascii="宋体" w:hAnsi="宋体" w:eastAsia="宋体" w:cs="宋体"/>
          <w:color w:val="auto"/>
          <w:highlight w:val="none"/>
        </w:rPr>
        <w:t>4</w:t>
      </w:r>
      <w:r>
        <w:rPr>
          <w:rFonts w:hint="eastAsia" w:ascii="宋体" w:hAnsi="宋体" w:eastAsia="宋体" w:cs="宋体"/>
          <w:color w:val="auto"/>
          <w:highlight w:val="none"/>
        </w:rPr>
        <w:t>、辐射监测项目：功率密度、磁场强度、电场强度、无线电干扰；γ辐</w:t>
      </w:r>
      <w:r>
        <w:rPr>
          <w:rFonts w:hint="eastAsia" w:ascii="宋体" w:hAnsi="宋体" w:eastAsia="宋体" w:cs="宋体"/>
          <w:color w:val="auto"/>
          <w:highlight w:val="none"/>
        </w:rPr>
        <w:t>射剂量率；α、β表面污染等。</w:t>
      </w:r>
    </w:p>
    <w:p>
      <w:pPr>
        <w:snapToGrid w:val="0"/>
        <w:spacing w:before="120" w:beforeLines="50" w:line="360" w:lineRule="auto"/>
        <w:jc w:val="left"/>
        <w:outlineLvl w:val="1"/>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三、工作要求与时间要求</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（一）★成交供应商应按照采购人的任务清单规定的时间节点，完成监测任务并出具监测报告，具体监测任务为采购人提供的“监督性监测单位监测工作（含应急监测）任务清单表”。</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二）成交供应商应按照“先紧后松”和“各街道同步进行”的原则，在收到采购人每批次提供的“监督性监测单位监测工作（含应急监测）任务清单表”的三天内，向采购人提交初步监测计划方案；如收到中央生态环境保护督察交办案件相关应急监测任务，应优先安排监测。</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三）监测工作开展后，各街道辖内单位的监测工作同步进行，监测进度保持基本一致，成交供应商按照监测计划每周提交一次有效的监测报告。如因气象条件不符合监测规范要求等客观原因，导致成交供应商确无法按期完成监测工作，成交供应商需提前向采购人提出监测时间调整计划，经采购人同意后可延迟监测。</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（四）★成交供应商需在“监督性监测单位监测工作（含应急监测）任务清单表”要求的完成时间内完成该批次监测任务，并全部提交本批次有效的监测报告，采购人原则上按批次据实进行结算。</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（五）成交供应商无正当原因未按采购人提供的“监督性监测单位监测工作（含应急监测）任务清单表”所规定的时间内，完成该批次的监测任务，有权扣减成交供应商该批次全部监测工作量经费总额的</w:t>
      </w:r>
      <w:r>
        <w:rPr>
          <w:rFonts w:ascii="宋体" w:hAnsi="宋体" w:eastAsia="宋体" w:cs="宋体"/>
          <w:color w:val="auto"/>
          <w:highlight w:val="none"/>
        </w:rPr>
        <w:t>10%</w:t>
      </w:r>
      <w:r>
        <w:rPr>
          <w:rFonts w:hint="eastAsia" w:ascii="宋体" w:hAnsi="宋体" w:eastAsia="宋体" w:cs="宋体"/>
          <w:color w:val="auto"/>
          <w:highlight w:val="none"/>
        </w:rPr>
        <w:t>。</w:t>
      </w:r>
    </w:p>
    <w:p>
      <w:pPr>
        <w:snapToGrid w:val="0"/>
        <w:spacing w:line="360" w:lineRule="auto"/>
        <w:ind w:firstLine="118" w:firstLineChars="49"/>
        <w:jc w:val="left"/>
        <w:outlineLvl w:val="1"/>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四、监测报告要求</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一）★成交供应商开展监测工作后，原则上每周向采购人移交规定格式的纸质版有效的监测报告一式三份，对于中央生态环境保护督察交办案件相关应急监测任务应尽快提交监测报告，同时发送电子版监测报告（要求</w:t>
      </w:r>
      <w:r>
        <w:rPr>
          <w:rFonts w:ascii="宋体" w:hAnsi="宋体" w:eastAsia="宋体" w:cs="宋体"/>
          <w:color w:val="auto"/>
          <w:highlight w:val="none"/>
        </w:rPr>
        <w:t xml:space="preserve">WORD </w:t>
      </w:r>
      <w:r>
        <w:rPr>
          <w:rFonts w:hint="eastAsia" w:ascii="宋体" w:hAnsi="宋体" w:eastAsia="宋体" w:cs="宋体"/>
          <w:color w:val="auto"/>
          <w:highlight w:val="none"/>
        </w:rPr>
        <w:t>格式及加盖企业公章的</w:t>
      </w:r>
      <w:r>
        <w:rPr>
          <w:rFonts w:ascii="宋体" w:hAnsi="宋体" w:eastAsia="宋体" w:cs="宋体"/>
          <w:color w:val="auto"/>
          <w:highlight w:val="none"/>
        </w:rPr>
        <w:t>PDF</w:t>
      </w:r>
      <w:r>
        <w:rPr>
          <w:rFonts w:hint="eastAsia" w:ascii="宋体" w:hAnsi="宋体" w:eastAsia="宋体" w:cs="宋体"/>
          <w:color w:val="auto"/>
          <w:highlight w:val="none"/>
        </w:rPr>
        <w:t>格式）至采购人，电子版监测报告需与纸质版监测报告保持一致；</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二）成交供应商须同时随监测报告提交监测原始记录（包括单位代表签名的现场采样记录、样品前处理记录、分析原始记录、仪器打印记录）、超标情况统计表、监测异常情况一览表、质控记录复印件（加盖成交人公章）、受监测单位的有关信息（工商营业执照、排污许可证、现场采样照片等的电子版和纸质版）等采购人需要的相关信息，交采购人存档备查。</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（三）成交供应商对污染源单位采样、分析等过程和监测报告的真实性、规范性、有效性负责。</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（四）★成交供应商必须按照原广州市环境保护局</w:t>
      </w:r>
      <w:r>
        <w:rPr>
          <w:rFonts w:ascii="宋体" w:hAnsi="宋体" w:eastAsia="宋体" w:cs="宋体"/>
          <w:color w:val="auto"/>
          <w:highlight w:val="none"/>
        </w:rPr>
        <w:t>2018</w:t>
      </w:r>
      <w:r>
        <w:rPr>
          <w:rFonts w:hint="eastAsia" w:ascii="宋体" w:hAnsi="宋体" w:eastAsia="宋体" w:cs="宋体"/>
          <w:color w:val="auto"/>
          <w:highlight w:val="none"/>
        </w:rPr>
        <w:t>年</w:t>
      </w:r>
      <w:r>
        <w:rPr>
          <w:rFonts w:ascii="宋体" w:hAnsi="宋体" w:eastAsia="宋体" w:cs="宋体"/>
          <w:color w:val="auto"/>
          <w:highlight w:val="none"/>
        </w:rPr>
        <w:t>1</w:t>
      </w:r>
      <w:r>
        <w:rPr>
          <w:rFonts w:hint="eastAsia" w:ascii="宋体" w:hAnsi="宋体" w:eastAsia="宋体" w:cs="宋体"/>
          <w:color w:val="auto"/>
          <w:highlight w:val="none"/>
        </w:rPr>
        <w:t>月印发的《广州市环境保护局关于将我市环境监测社会化工作纳入常态管理的通知》要求，对所有完成的监督性监测服务项目的监测过程，及时自行在“广东省社会环境监测机构信息管理平台”上录入，并将录入情况每月</w:t>
      </w:r>
      <w:r>
        <w:rPr>
          <w:rFonts w:ascii="宋体" w:hAnsi="宋体" w:eastAsia="宋体" w:cs="宋体"/>
          <w:color w:val="auto"/>
          <w:highlight w:val="none"/>
        </w:rPr>
        <w:t>5</w:t>
      </w:r>
      <w:r>
        <w:rPr>
          <w:rFonts w:hint="eastAsia" w:ascii="宋体" w:hAnsi="宋体" w:eastAsia="宋体" w:cs="宋体"/>
          <w:color w:val="auto"/>
          <w:highlight w:val="none"/>
        </w:rPr>
        <w:t>日前书面报告给采购人。</w:t>
      </w:r>
    </w:p>
    <w:p>
      <w:pPr>
        <w:snapToGrid w:val="0"/>
        <w:spacing w:line="360" w:lineRule="auto"/>
        <w:jc w:val="left"/>
        <w:outlineLvl w:val="1"/>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五、质控要求</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（一）按照《关于印发</w:t>
      </w:r>
      <w:r>
        <w:rPr>
          <w:rFonts w:ascii="宋体" w:hAnsi="宋体" w:eastAsia="宋体" w:cs="宋体"/>
          <w:color w:val="auto"/>
          <w:highlight w:val="none"/>
        </w:rPr>
        <w:t>&lt;</w:t>
      </w:r>
      <w:r>
        <w:rPr>
          <w:rFonts w:hint="eastAsia" w:ascii="宋体" w:hAnsi="宋体" w:eastAsia="宋体" w:cs="宋体"/>
          <w:color w:val="auto"/>
          <w:highlight w:val="none"/>
        </w:rPr>
        <w:t>广东省污染源监督性监测质量保证和质量控制工作方案（试行）</w:t>
      </w:r>
      <w:r>
        <w:rPr>
          <w:rFonts w:ascii="宋体" w:hAnsi="宋体" w:eastAsia="宋体" w:cs="宋体"/>
          <w:color w:val="auto"/>
          <w:highlight w:val="none"/>
        </w:rPr>
        <w:t>&gt;</w:t>
      </w:r>
      <w:r>
        <w:rPr>
          <w:rFonts w:hint="eastAsia" w:ascii="宋体" w:hAnsi="宋体" w:eastAsia="宋体" w:cs="宋体"/>
          <w:color w:val="auto"/>
          <w:highlight w:val="none"/>
        </w:rPr>
        <w:t>的通知》（粤环〔</w:t>
      </w:r>
      <w:r>
        <w:rPr>
          <w:rFonts w:ascii="宋体" w:hAnsi="宋体" w:eastAsia="宋体" w:cs="宋体"/>
          <w:color w:val="auto"/>
          <w:highlight w:val="none"/>
        </w:rPr>
        <w:t>2008</w:t>
      </w:r>
      <w:r>
        <w:rPr>
          <w:rFonts w:hint="eastAsia" w:ascii="宋体" w:hAnsi="宋体" w:eastAsia="宋体" w:cs="宋体"/>
          <w:color w:val="auto"/>
          <w:highlight w:val="none"/>
        </w:rPr>
        <w:t>〕</w:t>
      </w:r>
      <w:r>
        <w:rPr>
          <w:rFonts w:ascii="宋体" w:hAnsi="宋体" w:eastAsia="宋体" w:cs="宋体"/>
          <w:color w:val="auto"/>
          <w:highlight w:val="none"/>
        </w:rPr>
        <w:t>61</w:t>
      </w:r>
      <w:r>
        <w:rPr>
          <w:rFonts w:hint="eastAsia" w:ascii="宋体" w:hAnsi="宋体" w:eastAsia="宋体" w:cs="宋体"/>
          <w:color w:val="auto"/>
          <w:highlight w:val="none"/>
        </w:rPr>
        <w:t>号）以及国家、省市颁布的监测质量管理文件的要求执行，提供本项目的质控方案和实施记录。</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（二）成交供应商在监测服务期限内应至少开展一次实验室间比对或能力验证活动。</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三）为保证成交供应商按规范开展监测工作，采购人在服务期限内可安排相关单位通过日常抽查方式对成交供应商开展质量监督，经抽查发现成交供应商存在违反质控要求情况，督促成交供应商立即改正。经调查核实，发现成交供应商采样前事先通知受测单位、弄虚作假、与受测单位串通出具假达标报告等违法违规行为的，将立即终止监测服务合同，有权扣减成交供应商已完成监测工作量据实计算经费总额的</w:t>
      </w:r>
      <w:r>
        <w:rPr>
          <w:rFonts w:ascii="宋体" w:hAnsi="宋体" w:eastAsia="宋体" w:cs="宋体"/>
          <w:color w:val="auto"/>
          <w:highlight w:val="none"/>
        </w:rPr>
        <w:t>10%</w:t>
      </w:r>
      <w:r>
        <w:rPr>
          <w:rFonts w:hint="eastAsia" w:ascii="宋体" w:hAnsi="宋体" w:eastAsia="宋体" w:cs="宋体"/>
          <w:color w:val="auto"/>
          <w:highlight w:val="none"/>
        </w:rPr>
        <w:t>，并按国家有关法律法规依法处理。</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四）服务期内，成交供应商监测活动的基本条件和技术能力不能持续符合检验检测机关资质认定条件和要求，因自身原因导致其检验检测资质认定能力被停用、资质认定证书被撤销或其他不具备监测能力等情况，从而无法继续合法完成监测任务的，采购人有权立即终止监测服务合同，并根据成交供应商监测工作开展情况和对采购人造成的影响程度，有权扣减成交供应商已完成监测工作量据实计算经费总额的</w:t>
      </w:r>
      <w:r>
        <w:rPr>
          <w:rFonts w:ascii="宋体" w:hAnsi="宋体" w:eastAsia="宋体" w:cs="宋体"/>
          <w:color w:val="auto"/>
          <w:highlight w:val="none"/>
        </w:rPr>
        <w:t>10%</w:t>
      </w:r>
      <w:r>
        <w:rPr>
          <w:rFonts w:hint="eastAsia" w:ascii="宋体" w:hAnsi="宋体" w:eastAsia="宋体" w:cs="宋体"/>
          <w:color w:val="auto"/>
          <w:highlight w:val="none"/>
        </w:rPr>
        <w:t>。</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（五）成交供应商应对监测采样、实验分析、监测数据和结果</w:t>
      </w:r>
      <w:r>
        <w:rPr>
          <w:rFonts w:hint="eastAsia" w:ascii="宋体" w:hAnsi="宋体" w:eastAsia="宋体" w:cs="宋体"/>
          <w:color w:val="auto"/>
          <w:highlight w:val="none"/>
        </w:rPr>
        <w:t>及监测报告</w:t>
      </w:r>
      <w:r>
        <w:rPr>
          <w:rFonts w:hint="eastAsia" w:ascii="宋体" w:hAnsi="宋体" w:eastAsia="宋体" w:cs="宋体"/>
          <w:color w:val="auto"/>
          <w:highlight w:val="none"/>
        </w:rPr>
        <w:t>负责，并承担相应的法律责任。成交供应商提供的服务严重不符合本项目相关规定的，采购人有权单方面解除合同，并且成交供应商须向采购人支付该批次监测经费</w:t>
      </w:r>
      <w:r>
        <w:rPr>
          <w:rFonts w:ascii="宋体" w:hAnsi="宋体" w:eastAsia="宋体" w:cs="宋体"/>
          <w:color w:val="auto"/>
          <w:highlight w:val="none"/>
        </w:rPr>
        <w:t>10%</w:t>
      </w:r>
      <w:r>
        <w:rPr>
          <w:rFonts w:hint="eastAsia" w:ascii="宋体" w:hAnsi="宋体" w:eastAsia="宋体" w:cs="宋体"/>
          <w:color w:val="auto"/>
          <w:highlight w:val="none"/>
        </w:rPr>
        <w:t>的违约金。同时，采购人可将成交供应商违约情况报送同级财政主管部门，由财政主管部门将成交供应商列入黑名单，记录在诚信档案内。</w:t>
      </w:r>
    </w:p>
    <w:p>
      <w:pPr>
        <w:snapToGrid w:val="0"/>
        <w:spacing w:line="360" w:lineRule="auto"/>
        <w:jc w:val="left"/>
        <w:outlineLvl w:val="1"/>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六、保密要求</w:t>
      </w:r>
    </w:p>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成交供应商对监测单位的情况、样品的分析数据有保密责任，不得以任何方式泄露给被监测单位等第三方，并且该保密责任不因合同的终止或解除而失效。采购人保留对成交供应商违反本保密要求导致任何损失的追究权利。（成交供应商在签订合同时提供一份保密承诺函给采购人）</w:t>
      </w:r>
    </w:p>
    <w:p>
      <w:pPr>
        <w:tabs>
          <w:tab w:val="left" w:pos="1080"/>
        </w:tabs>
        <w:snapToGrid w:val="0"/>
        <w:spacing w:line="360" w:lineRule="auto"/>
        <w:jc w:val="left"/>
        <w:outlineLvl w:val="1"/>
        <w:rPr>
          <w:rFonts w:ascii="宋体" w:hAnsi="宋体" w:eastAsia="宋体" w:cs="Times New Roman"/>
          <w:b/>
          <w:bCs/>
          <w:color w:val="auto"/>
          <w:sz w:val="24"/>
          <w:szCs w:val="24"/>
          <w:highlight w:val="none"/>
        </w:rPr>
      </w:pPr>
      <w:r>
        <w:rPr>
          <w:rFonts w:hint="eastAsia" w:ascii="宋体" w:hAnsi="宋体" w:eastAsia="宋体" w:cs="宋体"/>
          <w:b/>
          <w:bCs/>
          <w:color w:val="auto"/>
          <w:sz w:val="24"/>
          <w:szCs w:val="24"/>
          <w:highlight w:val="none"/>
        </w:rPr>
        <w:t>七、付款方式</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（一）分批次进行据实结算（按实际提交有效的监测报告中的监测项目和成交单价进行结算），若有扣减情况，则扣减后进行支付。</w:t>
      </w:r>
    </w:p>
    <w:p>
      <w:pPr>
        <w:autoSpaceDE w:val="0"/>
        <w:autoSpaceDN w:val="0"/>
        <w:adjustRightInd w:val="0"/>
        <w:snapToGrid w:val="0"/>
        <w:spacing w:before="120" w:beforeLines="50"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二）结算时，实际监测工作量需成交供应商与采购人双方核实确认，经双方确认后，成交供应商提交该批次结算申请书（含实际监测工作量清单）、等额发票、合同复印件、成交通知书复印件等申请财政资金所必需的所有资料。若逾期未提交齐备资料，采购人有权顺延办理财政资金支付手续，并不承担任何的违约责任。</w:t>
      </w:r>
    </w:p>
    <w:p>
      <w:pPr>
        <w:autoSpaceDE w:val="0"/>
        <w:autoSpaceDN w:val="0"/>
        <w:adjustRightInd w:val="0"/>
        <w:snapToGrid w:val="0"/>
        <w:spacing w:before="120" w:beforeLines="50" w:line="360" w:lineRule="auto"/>
        <w:ind w:firstLine="420" w:firstLineChars="200"/>
        <w:outlineLvl w:val="0"/>
        <w:rPr>
          <w:rFonts w:ascii="Times New Roman" w:hAnsi="Times New Roman" w:eastAsia="宋体" w:cs="Times New Roman"/>
          <w:color w:val="auto"/>
          <w:highlight w:val="none"/>
        </w:rPr>
      </w:pPr>
      <w:r>
        <w:rPr>
          <w:rFonts w:hint="eastAsia" w:ascii="宋体" w:hAnsi="宋体" w:eastAsia="宋体" w:cs="宋体"/>
          <w:color w:val="auto"/>
          <w:highlight w:val="none"/>
        </w:rPr>
        <w:t>（三）因采购人使用的是财政资金，采购人依时向政府采购支付部门提交财政支付申请手续后，即视为采购人已经按期支付。</w:t>
      </w:r>
      <w:r>
        <w:rPr>
          <w:rFonts w:ascii="宋体" w:hAnsi="宋体" w:eastAsia="宋体" w:cs="Times New Roman"/>
          <w:color w:val="auto"/>
          <w:highlight w:val="none"/>
        </w:rPr>
        <w:br w:type="page"/>
      </w:r>
    </w:p>
    <w:p>
      <w:pPr>
        <w:rPr>
          <w:rFonts w:ascii="Times New Roman" w:hAnsi="Times New Roman" w:eastAsia="宋体" w:cs="Times New Roman"/>
          <w:color w:val="auto"/>
          <w:highlight w:val="none"/>
        </w:rPr>
      </w:pPr>
    </w:p>
    <w:p>
      <w:pPr>
        <w:rPr>
          <w:rFonts w:ascii="Times New Roman" w:hAnsi="Times New Roman" w:eastAsia="宋体" w:cs="Times New Roman"/>
          <w:color w:val="auto"/>
          <w:highlight w:val="none"/>
        </w:rPr>
      </w:pPr>
    </w:p>
    <w:p>
      <w:pPr>
        <w:rPr>
          <w:rFonts w:ascii="Times New Roman" w:hAnsi="Times New Roman" w:eastAsia="宋体" w:cs="Times New Roman"/>
          <w:color w:val="auto"/>
          <w:highlight w:val="none"/>
        </w:rPr>
      </w:pPr>
    </w:p>
    <w:p>
      <w:pPr>
        <w:rPr>
          <w:rFonts w:ascii="Times New Roman" w:hAnsi="Times New Roman" w:eastAsia="宋体" w:cs="Times New Roman"/>
          <w:color w:val="auto"/>
          <w:highlight w:val="none"/>
        </w:rPr>
      </w:pPr>
    </w:p>
    <w:p>
      <w:pPr>
        <w:keepNext/>
        <w:autoSpaceDE w:val="0"/>
        <w:spacing w:line="360" w:lineRule="auto"/>
        <w:ind w:right="-441" w:rightChars="-210"/>
        <w:outlineLvl w:val="0"/>
        <w:rPr>
          <w:rFonts w:ascii="宋体" w:hAnsi="宋体" w:eastAsia="宋体" w:cs="Times New Roman"/>
          <w:b/>
          <w:bCs/>
          <w:color w:val="auto"/>
          <w:sz w:val="44"/>
          <w:szCs w:val="44"/>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r>
        <w:rPr>
          <w:rFonts w:hint="eastAsia" w:ascii="宋体" w:hAnsi="宋体" w:eastAsia="宋体" w:cs="宋体"/>
          <w:b/>
          <w:bCs/>
          <w:color w:val="auto"/>
          <w:sz w:val="44"/>
          <w:szCs w:val="44"/>
          <w:highlight w:val="none"/>
        </w:rPr>
        <w:t>第四章</w:t>
      </w:r>
      <w:r>
        <w:rPr>
          <w:rFonts w:ascii="宋体" w:hAnsi="宋体" w:eastAsia="宋体" w:cs="Times New Roman"/>
          <w:b/>
          <w:bCs/>
          <w:color w:val="auto"/>
          <w:sz w:val="44"/>
          <w:szCs w:val="44"/>
          <w:highlight w:val="none"/>
        </w:rPr>
        <w:tab/>
      </w:r>
      <w:r>
        <w:rPr>
          <w:rFonts w:hint="eastAsia" w:ascii="宋体" w:hAnsi="宋体" w:eastAsia="宋体" w:cs="宋体"/>
          <w:b/>
          <w:bCs/>
          <w:color w:val="auto"/>
          <w:sz w:val="44"/>
          <w:szCs w:val="44"/>
          <w:highlight w:val="none"/>
        </w:rPr>
        <w:t>合同（样本）</w:t>
      </w:r>
    </w:p>
    <w:p>
      <w:pPr>
        <w:spacing w:line="360" w:lineRule="auto"/>
        <w:jc w:val="center"/>
        <w:rPr>
          <w:rFonts w:ascii="Times New Roman" w:hAnsi="宋体" w:eastAsia="宋体" w:cs="Times New Roman"/>
          <w:color w:val="auto"/>
          <w:highlight w:val="none"/>
        </w:rPr>
      </w:pPr>
      <w:r>
        <w:rPr>
          <w:rFonts w:hint="eastAsia" w:ascii="Times New Roman" w:hAnsi="宋体" w:eastAsia="宋体" w:cs="宋体"/>
          <w:color w:val="auto"/>
          <w:kern w:val="44"/>
          <w:highlight w:val="none"/>
          <w:lang w:val="zh-CN"/>
        </w:rPr>
        <w:t>（仅供参考，最终以甲、乙双方签订的合同为准）</w:t>
      </w:r>
    </w:p>
    <w:p>
      <w:pPr>
        <w:adjustRightInd w:val="0"/>
        <w:snapToGrid w:val="0"/>
        <w:spacing w:line="360" w:lineRule="auto"/>
        <w:jc w:val="center"/>
        <w:rPr>
          <w:rFonts w:ascii="宋体" w:hAnsi="宋体" w:eastAsia="宋体" w:cs="Times New Roman"/>
          <w:b/>
          <w:bCs/>
          <w:color w:val="auto"/>
          <w:highlight w:val="none"/>
        </w:rPr>
      </w:pPr>
      <w:r>
        <w:rPr>
          <w:rFonts w:ascii="Times New Roman" w:hAnsi="Times New Roman" w:eastAsia="宋体" w:cs="Times New Roman"/>
          <w:b/>
          <w:bCs/>
          <w:color w:val="auto"/>
          <w:sz w:val="36"/>
          <w:szCs w:val="36"/>
          <w:highlight w:val="none"/>
        </w:rPr>
        <w:br w:type="page"/>
      </w:r>
    </w:p>
    <w:p>
      <w:pPr>
        <w:jc w:val="center"/>
        <w:rPr>
          <w:rFonts w:eastAsia="华康简标题宋" w:cs="Times New Roman"/>
          <w:color w:val="auto"/>
          <w:sz w:val="44"/>
          <w:szCs w:val="44"/>
          <w:highlight w:val="none"/>
        </w:rPr>
      </w:pPr>
      <w:r>
        <w:rPr>
          <w:color w:val="auto"/>
          <w:highlight w:val="none"/>
        </w:rPr>
        <mc:AlternateContent>
          <mc:Choice Requires="wps">
            <w:drawing>
              <wp:anchor distT="0" distB="0" distL="114300" distR="114300" simplePos="0" relativeHeight="251658240" behindDoc="0" locked="0" layoutInCell="1" allowOverlap="1">
                <wp:simplePos x="0" y="0"/>
                <wp:positionH relativeFrom="column">
                  <wp:posOffset>3517900</wp:posOffset>
                </wp:positionH>
                <wp:positionV relativeFrom="paragraph">
                  <wp:posOffset>230505</wp:posOffset>
                </wp:positionV>
                <wp:extent cx="2247900" cy="404495"/>
                <wp:effectExtent l="0" t="0" r="0" b="5080"/>
                <wp:wrapNone/>
                <wp:docPr id="1" name="文本框 8"/>
                <wp:cNvGraphicFramePr/>
                <a:graphic xmlns:a="http://schemas.openxmlformats.org/drawingml/2006/main">
                  <a:graphicData uri="http://schemas.microsoft.com/office/word/2010/wordprocessingShape">
                    <wps:wsp>
                      <wps:cNvSpPr txBox="1"/>
                      <wps:spPr>
                        <a:xfrm>
                          <a:off x="0" y="0"/>
                          <a:ext cx="2247900" cy="404495"/>
                        </a:xfrm>
                        <a:prstGeom prst="rect">
                          <a:avLst/>
                        </a:prstGeom>
                        <a:solidFill>
                          <a:srgbClr val="FFFFFF"/>
                        </a:solidFill>
                        <a:ln>
                          <a:noFill/>
                        </a:ln>
                      </wps:spPr>
                      <wps:txbx>
                        <w:txbxContent>
                          <w:p>
                            <w:pPr>
                              <w:jc w:val="left"/>
                              <w:rPr>
                                <w:rFonts w:eastAsia="仿宋_GB2312"/>
                                <w:kern w:val="0"/>
                                <w:sz w:val="32"/>
                                <w:szCs w:val="32"/>
                              </w:rPr>
                            </w:pPr>
                            <w:r>
                              <w:rPr>
                                <w:rFonts w:hint="eastAsia" w:ascii="仿宋_GB2312" w:hAnsi="宋体" w:eastAsia="仿宋_GB2312" w:cs="仿宋_GB2312"/>
                                <w:kern w:val="0"/>
                                <w:sz w:val="32"/>
                                <w:szCs w:val="32"/>
                              </w:rPr>
                              <w:t>合同编号</w:t>
                            </w:r>
                            <w:r>
                              <w:rPr>
                                <w:rFonts w:ascii="仿宋_GB2312" w:hAnsi="宋体" w:eastAsia="仿宋_GB2312" w:cs="仿宋_GB2312"/>
                                <w:kern w:val="0"/>
                                <w:sz w:val="32"/>
                                <w:szCs w:val="32"/>
                              </w:rPr>
                              <w:t>:</w:t>
                            </w:r>
                            <w:r>
                              <w:rPr>
                                <w:rFonts w:eastAsia="仿宋_GB2312"/>
                                <w:kern w:val="0"/>
                                <w:sz w:val="32"/>
                                <w:szCs w:val="32"/>
                              </w:rPr>
                              <w:t xml:space="preserve"> </w:t>
                            </w:r>
                          </w:p>
                          <w:p>
                            <w:pPr>
                              <w:rPr>
                                <w:rFonts w:cs="Times New Roman"/>
                              </w:rPr>
                            </w:pPr>
                          </w:p>
                        </w:txbxContent>
                      </wps:txbx>
                      <wps:bodyPr upright="1"/>
                    </wps:wsp>
                  </a:graphicData>
                </a:graphic>
              </wp:anchor>
            </w:drawing>
          </mc:Choice>
          <mc:Fallback>
            <w:pict>
              <v:shape id="文本框 8" o:spid="_x0000_s1026" o:spt="202" type="#_x0000_t202" style="position:absolute;left:0pt;margin-left:277pt;margin-top:18.15pt;height:31.85pt;width:177pt;z-index:251658240;mso-width-relative:page;mso-height-relative:page;" fillcolor="#FFFFFF" filled="t" stroked="f" coordsize="21600,21600" o:gfxdata="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">
                <v:fill on="t" focussize="0,0"/>
                <v:stroke on="f"/>
                <v:imagedata o:title=""/>
                <o:lock v:ext="edit" aspectratio="f"/>
                <v:textbox>
                  <w:txbxContent>
                    <w:p>
                      <w:pPr>
                        <w:jc w:val="left"/>
                        <w:rPr>
                          <w:rFonts w:eastAsia="仿宋_GB2312"/>
                          <w:kern w:val="0"/>
                          <w:sz w:val="32"/>
                          <w:szCs w:val="32"/>
                        </w:rPr>
                      </w:pPr>
                      <w:r>
                        <w:rPr>
                          <w:rFonts w:hint="eastAsia" w:ascii="仿宋_GB2312" w:hAnsi="宋体" w:eastAsia="仿宋_GB2312" w:cs="仿宋_GB2312"/>
                          <w:kern w:val="0"/>
                          <w:sz w:val="32"/>
                          <w:szCs w:val="32"/>
                        </w:rPr>
                        <w:t>合同编号</w:t>
                      </w:r>
                      <w:r>
                        <w:rPr>
                          <w:rFonts w:ascii="仿宋_GB2312" w:hAnsi="宋体" w:eastAsia="仿宋_GB2312" w:cs="仿宋_GB2312"/>
                          <w:kern w:val="0"/>
                          <w:sz w:val="32"/>
                          <w:szCs w:val="32"/>
                        </w:rPr>
                        <w:t>:</w:t>
                      </w:r>
                      <w:r>
                        <w:rPr>
                          <w:rFonts w:eastAsia="仿宋_GB2312"/>
                          <w:kern w:val="0"/>
                          <w:sz w:val="32"/>
                          <w:szCs w:val="32"/>
                        </w:rPr>
                        <w:t xml:space="preserve"> </w:t>
                      </w:r>
                    </w:p>
                    <w:p>
                      <w:pPr>
                        <w:rPr>
                          <w:rFonts w:cs="Times New Roman"/>
                        </w:rPr>
                      </w:pPr>
                    </w:p>
                  </w:txbxContent>
                </v:textbox>
              </v:shape>
            </w:pict>
          </mc:Fallback>
        </mc:AlternateContent>
      </w:r>
    </w:p>
    <w:p>
      <w:pPr>
        <w:jc w:val="center"/>
        <w:rPr>
          <w:rFonts w:eastAsia="华康简标题宋" w:cs="Times New Roman"/>
          <w:color w:val="auto"/>
          <w:sz w:val="44"/>
          <w:szCs w:val="44"/>
          <w:highlight w:val="none"/>
        </w:rPr>
      </w:pPr>
    </w:p>
    <w:p>
      <w:pPr>
        <w:jc w:val="center"/>
        <w:rPr>
          <w:rFonts w:eastAsia="华康简标题宋" w:cs="Times New Roman"/>
          <w:color w:val="auto"/>
          <w:sz w:val="44"/>
          <w:szCs w:val="44"/>
          <w:highlight w:val="none"/>
        </w:rPr>
      </w:pPr>
    </w:p>
    <w:p>
      <w:pPr>
        <w:jc w:val="center"/>
        <w:rPr>
          <w:rFonts w:eastAsia="华康简标题宋" w:cs="Times New Roman"/>
          <w:color w:val="auto"/>
          <w:sz w:val="44"/>
          <w:szCs w:val="44"/>
          <w:highlight w:val="none"/>
        </w:rPr>
      </w:pPr>
      <w:r>
        <w:rPr>
          <w:rFonts w:hint="eastAsia" w:eastAsia="华康简标题宋" w:cs="华康简标题宋"/>
          <w:color w:val="auto"/>
          <w:sz w:val="44"/>
          <w:szCs w:val="44"/>
          <w:highlight w:val="none"/>
          <w:lang w:eastAsia="zh-CN"/>
        </w:rPr>
        <w:t>广州市生态环境局越秀分局2021年污染源监督性监测服务项目</w:t>
      </w:r>
      <w:r>
        <w:rPr>
          <w:rFonts w:hint="eastAsia" w:eastAsia="华康简标题宋" w:cs="华康简标题宋"/>
          <w:color w:val="auto"/>
          <w:sz w:val="44"/>
          <w:szCs w:val="44"/>
          <w:highlight w:val="none"/>
        </w:rPr>
        <w:t>合同</w:t>
      </w:r>
    </w:p>
    <w:p>
      <w:pPr>
        <w:ind w:firstLine="643" w:firstLineChars="200"/>
        <w:jc w:val="center"/>
        <w:rPr>
          <w:rFonts w:eastAsia="仿宋_GB2312" w:cs="Times New Roman"/>
          <w:b/>
          <w:bCs/>
          <w:color w:val="auto"/>
          <w:sz w:val="32"/>
          <w:szCs w:val="32"/>
          <w:highlight w:val="none"/>
        </w:rPr>
      </w:pPr>
    </w:p>
    <w:p>
      <w:pPr>
        <w:ind w:firstLine="643" w:firstLineChars="200"/>
        <w:jc w:val="center"/>
        <w:rPr>
          <w:rFonts w:eastAsia="仿宋_GB2312" w:cs="Times New Roman"/>
          <w:b/>
          <w:bCs/>
          <w:color w:val="auto"/>
          <w:sz w:val="32"/>
          <w:szCs w:val="32"/>
          <w:highlight w:val="none"/>
        </w:rPr>
      </w:pPr>
    </w:p>
    <w:p>
      <w:pPr>
        <w:ind w:firstLine="643" w:firstLineChars="200"/>
        <w:jc w:val="center"/>
        <w:rPr>
          <w:rFonts w:eastAsia="仿宋_GB2312" w:cs="Times New Roman"/>
          <w:b/>
          <w:bCs/>
          <w:color w:val="auto"/>
          <w:sz w:val="32"/>
          <w:szCs w:val="32"/>
          <w:highlight w:val="none"/>
        </w:rPr>
      </w:pPr>
    </w:p>
    <w:p>
      <w:pPr>
        <w:ind w:firstLine="643" w:firstLineChars="200"/>
        <w:jc w:val="center"/>
        <w:rPr>
          <w:rFonts w:eastAsia="仿宋_GB2312" w:cs="Times New Roman"/>
          <w:b/>
          <w:bCs/>
          <w:color w:val="auto"/>
          <w:sz w:val="32"/>
          <w:szCs w:val="32"/>
          <w:highlight w:val="none"/>
        </w:rPr>
      </w:pPr>
    </w:p>
    <w:p>
      <w:pPr>
        <w:ind w:firstLine="643" w:firstLineChars="200"/>
        <w:jc w:val="center"/>
        <w:rPr>
          <w:rFonts w:eastAsia="仿宋_GB2312" w:cs="Times New Roman"/>
          <w:b/>
          <w:bCs/>
          <w:color w:val="auto"/>
          <w:sz w:val="32"/>
          <w:szCs w:val="32"/>
          <w:highlight w:val="none"/>
        </w:rPr>
      </w:pPr>
    </w:p>
    <w:p>
      <w:pPr>
        <w:rPr>
          <w:rFonts w:eastAsia="仿宋_GB2312" w:cs="Times New Roman"/>
          <w:b/>
          <w:bCs/>
          <w:color w:val="auto"/>
          <w:sz w:val="32"/>
          <w:szCs w:val="32"/>
          <w:highlight w:val="none"/>
        </w:rPr>
      </w:pPr>
    </w:p>
    <w:p>
      <w:pPr>
        <w:ind w:firstLine="643" w:firstLineChars="200"/>
        <w:jc w:val="center"/>
        <w:rPr>
          <w:rFonts w:eastAsia="仿宋_GB2312" w:cs="Times New Roman"/>
          <w:b/>
          <w:bCs/>
          <w:color w:val="auto"/>
          <w:sz w:val="32"/>
          <w:szCs w:val="32"/>
          <w:highlight w:val="none"/>
        </w:rPr>
      </w:pPr>
    </w:p>
    <w:p>
      <w:pPr>
        <w:ind w:firstLine="643" w:firstLineChars="200"/>
        <w:jc w:val="center"/>
        <w:rPr>
          <w:rFonts w:eastAsia="仿宋_GB2312" w:cs="Times New Roman"/>
          <w:b/>
          <w:bCs/>
          <w:color w:val="auto"/>
          <w:sz w:val="32"/>
          <w:szCs w:val="32"/>
          <w:highlight w:val="none"/>
        </w:rPr>
      </w:pPr>
    </w:p>
    <w:p>
      <w:pPr>
        <w:ind w:firstLine="643" w:firstLineChars="200"/>
        <w:jc w:val="center"/>
        <w:rPr>
          <w:rFonts w:eastAsia="仿宋_GB2312" w:cs="Times New Roman"/>
          <w:b/>
          <w:bCs/>
          <w:color w:val="auto"/>
          <w:sz w:val="32"/>
          <w:szCs w:val="32"/>
          <w:highlight w:val="none"/>
        </w:rPr>
      </w:pPr>
    </w:p>
    <w:p>
      <w:pPr>
        <w:rPr>
          <w:rFonts w:eastAsia="仿宋_GB2312" w:cs="Times New Roman"/>
          <w:b/>
          <w:bCs/>
          <w:color w:val="auto"/>
          <w:sz w:val="32"/>
          <w:szCs w:val="32"/>
          <w:highlight w:val="none"/>
        </w:rPr>
      </w:pPr>
    </w:p>
    <w:p>
      <w:pPr>
        <w:spacing w:line="600" w:lineRule="exact"/>
        <w:ind w:firstLine="560" w:firstLineChars="200"/>
        <w:rPr>
          <w:rFonts w:ascii="宋体" w:hAnsi="宋体" w:eastAsia="宋体" w:cs="Times New Roman"/>
          <w:color w:val="auto"/>
          <w:sz w:val="28"/>
          <w:szCs w:val="28"/>
          <w:highlight w:val="none"/>
          <w:u w:val="single"/>
        </w:rPr>
      </w:pPr>
      <w:r>
        <w:rPr>
          <w:rFonts w:hint="eastAsia" w:ascii="宋体" w:hAnsi="宋体" w:eastAsia="宋体" w:cs="宋体"/>
          <w:color w:val="auto"/>
          <w:sz w:val="28"/>
          <w:szCs w:val="28"/>
          <w:highlight w:val="none"/>
        </w:rPr>
        <w:t>委托方（甲方）：</w:t>
      </w:r>
      <w:r>
        <w:rPr>
          <w:rFonts w:hint="eastAsia" w:ascii="宋体" w:hAnsi="宋体" w:eastAsia="宋体" w:cs="宋体"/>
          <w:color w:val="auto"/>
          <w:sz w:val="28"/>
          <w:szCs w:val="28"/>
          <w:highlight w:val="none"/>
          <w:u w:val="single"/>
        </w:rPr>
        <w:t>广州市生态环境局越秀分局</w:t>
      </w:r>
    </w:p>
    <w:p>
      <w:pPr>
        <w:spacing w:line="600" w:lineRule="exact"/>
        <w:ind w:firstLine="560" w:firstLineChars="200"/>
        <w:rPr>
          <w:rFonts w:ascii="宋体" w:hAnsi="宋体" w:eastAsia="宋体" w:cs="Times New Roman"/>
          <w:color w:val="auto"/>
          <w:sz w:val="28"/>
          <w:szCs w:val="28"/>
          <w:highlight w:val="none"/>
        </w:rPr>
      </w:pPr>
      <w:r>
        <w:rPr>
          <w:rFonts w:hint="eastAsia" w:ascii="宋体" w:hAnsi="宋体" w:eastAsia="宋体" w:cs="宋体"/>
          <w:color w:val="auto"/>
          <w:sz w:val="28"/>
          <w:szCs w:val="28"/>
          <w:highlight w:val="none"/>
        </w:rPr>
        <w:t>项目联系人：</w:t>
      </w:r>
      <w:r>
        <w:rPr>
          <w:rFonts w:ascii="宋体" w:hAnsi="宋体" w:eastAsia="宋体" w:cs="宋体"/>
          <w:color w:val="auto"/>
          <w:sz w:val="28"/>
          <w:szCs w:val="28"/>
          <w:highlight w:val="none"/>
          <w:u w:val="single"/>
        </w:rPr>
        <w:t xml:space="preserve">                          </w:t>
      </w:r>
    </w:p>
    <w:p>
      <w:pPr>
        <w:spacing w:line="600" w:lineRule="exact"/>
        <w:ind w:firstLine="560" w:firstLineChars="200"/>
        <w:rPr>
          <w:rFonts w:ascii="宋体" w:hAnsi="宋体" w:eastAsia="宋体" w:cs="Times New Roman"/>
          <w:color w:val="auto"/>
          <w:sz w:val="28"/>
          <w:szCs w:val="28"/>
          <w:highlight w:val="none"/>
        </w:rPr>
      </w:pPr>
      <w:r>
        <w:rPr>
          <w:rFonts w:hint="eastAsia" w:ascii="宋体" w:hAnsi="宋体" w:eastAsia="宋体" w:cs="宋体"/>
          <w:color w:val="auto"/>
          <w:sz w:val="28"/>
          <w:szCs w:val="28"/>
          <w:highlight w:val="none"/>
        </w:rPr>
        <w:t>通讯地址：</w:t>
      </w:r>
      <w:r>
        <w:rPr>
          <w:rFonts w:hint="eastAsia" w:ascii="宋体" w:hAnsi="宋体" w:eastAsia="宋体" w:cs="宋体"/>
          <w:color w:val="auto"/>
          <w:sz w:val="28"/>
          <w:szCs w:val="28"/>
          <w:highlight w:val="none"/>
          <w:u w:val="single"/>
        </w:rPr>
        <w:t>广州市越秀区西华路第一津街</w:t>
      </w:r>
      <w:r>
        <w:rPr>
          <w:rFonts w:ascii="宋体" w:hAnsi="宋体" w:eastAsia="宋体" w:cs="宋体"/>
          <w:color w:val="auto"/>
          <w:sz w:val="28"/>
          <w:szCs w:val="28"/>
          <w:highlight w:val="none"/>
          <w:u w:val="single"/>
        </w:rPr>
        <w:t>50</w:t>
      </w:r>
      <w:r>
        <w:rPr>
          <w:rFonts w:hint="eastAsia" w:ascii="宋体" w:hAnsi="宋体" w:eastAsia="宋体" w:cs="宋体"/>
          <w:color w:val="auto"/>
          <w:sz w:val="28"/>
          <w:szCs w:val="28"/>
          <w:highlight w:val="none"/>
          <w:u w:val="single"/>
        </w:rPr>
        <w:t>、</w:t>
      </w:r>
      <w:r>
        <w:rPr>
          <w:rFonts w:ascii="宋体" w:hAnsi="宋体" w:eastAsia="宋体" w:cs="宋体"/>
          <w:color w:val="auto"/>
          <w:sz w:val="28"/>
          <w:szCs w:val="28"/>
          <w:highlight w:val="none"/>
          <w:u w:val="single"/>
        </w:rPr>
        <w:t>52</w:t>
      </w:r>
      <w:r>
        <w:rPr>
          <w:rFonts w:hint="eastAsia" w:ascii="宋体" w:hAnsi="宋体" w:eastAsia="宋体" w:cs="宋体"/>
          <w:color w:val="auto"/>
          <w:sz w:val="28"/>
          <w:szCs w:val="28"/>
          <w:highlight w:val="none"/>
          <w:u w:val="single"/>
        </w:rPr>
        <w:t>号首层</w:t>
      </w:r>
    </w:p>
    <w:p>
      <w:pPr>
        <w:tabs>
          <w:tab w:val="left" w:pos="5145"/>
        </w:tabs>
        <w:spacing w:line="600" w:lineRule="exact"/>
        <w:ind w:firstLine="560" w:firstLineChars="2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电话：</w:t>
      </w:r>
      <w:r>
        <w:rPr>
          <w:rFonts w:ascii="宋体" w:hAnsi="宋体" w:eastAsia="宋体" w:cs="宋体"/>
          <w:color w:val="auto"/>
          <w:sz w:val="28"/>
          <w:szCs w:val="28"/>
          <w:highlight w:val="none"/>
          <w:u w:val="single"/>
        </w:rPr>
        <w:t xml:space="preserve">   81304045   </w:t>
      </w:r>
      <w:r>
        <w:rPr>
          <w:rFonts w:hint="eastAsia" w:ascii="宋体" w:hAnsi="宋体" w:eastAsia="宋体" w:cs="宋体"/>
          <w:color w:val="auto"/>
          <w:sz w:val="28"/>
          <w:szCs w:val="28"/>
          <w:highlight w:val="none"/>
        </w:rPr>
        <w:t>传真：</w:t>
      </w:r>
      <w:r>
        <w:rPr>
          <w:rFonts w:ascii="宋体" w:hAnsi="宋体" w:eastAsia="宋体" w:cs="宋体"/>
          <w:color w:val="auto"/>
          <w:sz w:val="28"/>
          <w:szCs w:val="28"/>
          <w:highlight w:val="none"/>
          <w:u w:val="single"/>
        </w:rPr>
        <w:t xml:space="preserve">  81075450  </w:t>
      </w:r>
    </w:p>
    <w:p>
      <w:pPr>
        <w:tabs>
          <w:tab w:val="left" w:pos="5145"/>
        </w:tabs>
        <w:spacing w:line="600" w:lineRule="exact"/>
        <w:ind w:firstLine="560" w:firstLineChars="200"/>
        <w:rPr>
          <w:rFonts w:ascii="宋体" w:hAnsi="宋体" w:eastAsia="宋体" w:cs="Times New Roman"/>
          <w:color w:val="auto"/>
          <w:sz w:val="28"/>
          <w:szCs w:val="28"/>
          <w:highlight w:val="none"/>
        </w:rPr>
      </w:pPr>
      <w:r>
        <w:rPr>
          <w:rFonts w:hint="eastAsia" w:ascii="宋体" w:hAnsi="宋体" w:eastAsia="宋体" w:cs="宋体"/>
          <w:color w:val="auto"/>
          <w:sz w:val="28"/>
          <w:szCs w:val="28"/>
          <w:highlight w:val="none"/>
        </w:rPr>
        <w:t>电子邮箱：</w:t>
      </w:r>
      <w:r>
        <w:rPr>
          <w:rFonts w:ascii="宋体" w:hAnsi="宋体" w:eastAsia="宋体" w:cs="宋体"/>
          <w:color w:val="auto"/>
          <w:sz w:val="28"/>
          <w:szCs w:val="28"/>
          <w:highlight w:val="none"/>
          <w:u w:val="single"/>
        </w:rPr>
        <w:t xml:space="preserve">                             </w:t>
      </w:r>
    </w:p>
    <w:p>
      <w:pPr>
        <w:tabs>
          <w:tab w:val="left" w:pos="5145"/>
        </w:tabs>
        <w:spacing w:line="600" w:lineRule="exact"/>
        <w:ind w:firstLine="560" w:firstLineChars="200"/>
        <w:rPr>
          <w:rFonts w:ascii="宋体" w:hAnsi="宋体" w:eastAsia="宋体" w:cs="Times New Roman"/>
          <w:color w:val="auto"/>
          <w:sz w:val="28"/>
          <w:szCs w:val="28"/>
          <w:highlight w:val="none"/>
        </w:rPr>
      </w:pPr>
    </w:p>
    <w:p>
      <w:pPr>
        <w:tabs>
          <w:tab w:val="left" w:pos="5145"/>
        </w:tabs>
        <w:spacing w:line="600" w:lineRule="exact"/>
        <w:ind w:firstLine="560" w:firstLineChars="2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受托方（乙方）：</w:t>
      </w:r>
      <w:r>
        <w:rPr>
          <w:rFonts w:ascii="宋体" w:hAnsi="宋体" w:eastAsia="宋体" w:cs="宋体"/>
          <w:color w:val="auto"/>
          <w:sz w:val="28"/>
          <w:szCs w:val="28"/>
          <w:highlight w:val="none"/>
          <w:u w:val="single"/>
        </w:rPr>
        <w:t xml:space="preserve">                       </w:t>
      </w:r>
    </w:p>
    <w:p>
      <w:pPr>
        <w:tabs>
          <w:tab w:val="left" w:pos="5145"/>
        </w:tabs>
        <w:spacing w:line="600" w:lineRule="exact"/>
        <w:ind w:firstLine="560" w:firstLineChars="2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项目联系人：</w:t>
      </w:r>
      <w:r>
        <w:rPr>
          <w:rFonts w:ascii="宋体" w:hAnsi="宋体" w:eastAsia="宋体" w:cs="宋体"/>
          <w:color w:val="auto"/>
          <w:sz w:val="28"/>
          <w:szCs w:val="28"/>
          <w:highlight w:val="none"/>
          <w:u w:val="single"/>
        </w:rPr>
        <w:t xml:space="preserve">                          </w:t>
      </w:r>
    </w:p>
    <w:p>
      <w:pPr>
        <w:tabs>
          <w:tab w:val="left" w:pos="5145"/>
        </w:tabs>
        <w:spacing w:line="600" w:lineRule="exact"/>
        <w:ind w:firstLine="560" w:firstLineChars="2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通讯地址：</w:t>
      </w:r>
      <w:r>
        <w:rPr>
          <w:rFonts w:ascii="宋体" w:hAnsi="宋体" w:eastAsia="宋体" w:cs="宋体"/>
          <w:color w:val="auto"/>
          <w:sz w:val="28"/>
          <w:szCs w:val="28"/>
          <w:highlight w:val="none"/>
          <w:u w:val="single"/>
        </w:rPr>
        <w:t xml:space="preserve">                            </w:t>
      </w:r>
    </w:p>
    <w:p>
      <w:pPr>
        <w:tabs>
          <w:tab w:val="left" w:pos="5145"/>
        </w:tabs>
        <w:spacing w:line="600" w:lineRule="exact"/>
        <w:ind w:firstLine="560" w:firstLineChars="2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电话：</w:t>
      </w:r>
      <w:r>
        <w:rPr>
          <w:rFonts w:ascii="宋体" w:hAnsi="宋体" w:eastAsia="宋体" w:cs="宋体"/>
          <w:color w:val="auto"/>
          <w:sz w:val="28"/>
          <w:szCs w:val="28"/>
          <w:highlight w:val="none"/>
          <w:u w:val="single"/>
        </w:rPr>
        <w:t xml:space="preserve">                 </w:t>
      </w:r>
      <w:r>
        <w:rPr>
          <w:rFonts w:hint="eastAsia" w:ascii="宋体" w:hAnsi="宋体" w:eastAsia="宋体" w:cs="宋体"/>
          <w:color w:val="auto"/>
          <w:sz w:val="28"/>
          <w:szCs w:val="28"/>
          <w:highlight w:val="none"/>
        </w:rPr>
        <w:t>传真：</w:t>
      </w:r>
      <w:r>
        <w:rPr>
          <w:rFonts w:ascii="宋体" w:hAnsi="宋体" w:eastAsia="宋体" w:cs="宋体"/>
          <w:color w:val="auto"/>
          <w:sz w:val="28"/>
          <w:szCs w:val="28"/>
          <w:highlight w:val="none"/>
          <w:u w:val="single"/>
        </w:rPr>
        <w:t xml:space="preserve">                   </w:t>
      </w:r>
    </w:p>
    <w:p>
      <w:pPr>
        <w:tabs>
          <w:tab w:val="left" w:pos="5145"/>
        </w:tabs>
        <w:spacing w:line="600" w:lineRule="exact"/>
        <w:ind w:firstLine="560" w:firstLineChars="200"/>
        <w:rPr>
          <w:rFonts w:ascii="宋体" w:hAnsi="宋体" w:eastAsia="宋体" w:cs="宋体"/>
          <w:color w:val="auto"/>
          <w:sz w:val="28"/>
          <w:szCs w:val="28"/>
          <w:highlight w:val="none"/>
          <w:u w:val="single"/>
        </w:rPr>
      </w:pPr>
      <w:r>
        <w:rPr>
          <w:rFonts w:hint="eastAsia" w:ascii="宋体" w:hAnsi="宋体" w:eastAsia="宋体" w:cs="宋体"/>
          <w:color w:val="auto"/>
          <w:sz w:val="28"/>
          <w:szCs w:val="28"/>
          <w:highlight w:val="none"/>
        </w:rPr>
        <w:t>电子邮箱：</w:t>
      </w:r>
      <w:r>
        <w:rPr>
          <w:rFonts w:ascii="宋体" w:hAnsi="宋体" w:eastAsia="宋体" w:cs="宋体"/>
          <w:color w:val="auto"/>
          <w:sz w:val="28"/>
          <w:szCs w:val="28"/>
          <w:highlight w:val="none"/>
          <w:u w:val="single"/>
        </w:rPr>
        <w:t xml:space="preserve">                            </w:t>
      </w:r>
    </w:p>
    <w:p>
      <w:pPr>
        <w:autoSpaceDE w:val="0"/>
        <w:autoSpaceDN w:val="0"/>
        <w:ind w:firstLine="560" w:firstLineChars="200"/>
        <w:outlineLvl w:val="0"/>
        <w:rPr>
          <w:rFonts w:ascii="宋体" w:hAnsi="宋体" w:eastAsia="宋体" w:cs="Times New Roman"/>
          <w:color w:val="auto"/>
          <w:sz w:val="28"/>
          <w:szCs w:val="28"/>
          <w:highlight w:val="none"/>
          <w:u w:val="single"/>
        </w:rPr>
      </w:pPr>
      <w:r>
        <w:rPr>
          <w:rFonts w:ascii="宋体" w:hAnsi="宋体" w:eastAsia="宋体" w:cs="Times New Roman"/>
          <w:color w:val="auto"/>
          <w:sz w:val="28"/>
          <w:szCs w:val="28"/>
          <w:highlight w:val="none"/>
          <w:u w:val="single"/>
        </w:rPr>
        <w:br w:type="page"/>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根据</w:t>
      </w:r>
      <w:r>
        <w:rPr>
          <w:rFonts w:hint="eastAsia" w:ascii="宋体" w:hAnsi="宋体" w:eastAsia="宋体" w:cs="宋体"/>
          <w:color w:val="auto"/>
          <w:highlight w:val="none"/>
          <w:lang w:eastAsia="zh-CN"/>
        </w:rPr>
        <w:t>广州市生态环境局越秀分局2021年污染源监督性监测服务项目</w:t>
      </w:r>
      <w:r>
        <w:rPr>
          <w:rFonts w:hint="eastAsia" w:ascii="宋体" w:hAnsi="宋体" w:eastAsia="宋体" w:cs="宋体"/>
          <w:color w:val="auto"/>
          <w:highlight w:val="none"/>
        </w:rPr>
        <w:t>的自主采购结果，按照《中华人民共和国政府采购法》、《中华人民共和国民法典》的规定，经双方协商，本着平等互利和诚实信用的原则，一致同意签订本合同如下。</w:t>
      </w:r>
    </w:p>
    <w:p>
      <w:pPr>
        <w:tabs>
          <w:tab w:val="left" w:pos="2310"/>
        </w:tabs>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一、合同金额</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甲方根据工作需要编制每批次的监测工作任务清</w:t>
      </w:r>
      <w:r>
        <w:rPr>
          <w:rFonts w:hint="eastAsia" w:ascii="宋体" w:hAnsi="宋体" w:eastAsia="宋体" w:cs="宋体"/>
          <w:color w:val="auto"/>
          <w:highlight w:val="none"/>
        </w:rPr>
        <w:t>单，</w:t>
      </w:r>
      <w:r>
        <w:rPr>
          <w:rFonts w:hint="eastAsia" w:ascii="宋体" w:hAnsi="宋体" w:eastAsia="宋体" w:cs="宋体"/>
          <w:color w:val="auto"/>
          <w:highlight w:val="none"/>
        </w:rPr>
        <w:t>由</w:t>
      </w:r>
      <w:r>
        <w:rPr>
          <w:rFonts w:hint="eastAsia" w:ascii="宋体" w:hAnsi="宋体" w:eastAsia="宋体" w:cs="宋体"/>
          <w:color w:val="auto"/>
          <w:highlight w:val="none"/>
          <w:lang w:val="en-US" w:eastAsia="zh-CN"/>
        </w:rPr>
        <w:t>甲方</w:t>
      </w:r>
      <w:r>
        <w:rPr>
          <w:rFonts w:hint="eastAsia" w:ascii="宋体" w:hAnsi="宋体" w:eastAsia="宋体" w:cs="宋体"/>
          <w:color w:val="auto"/>
          <w:highlight w:val="none"/>
        </w:rPr>
        <w:t>通过适当的方式并根据检测项目的特殊情况</w:t>
      </w:r>
      <w:r>
        <w:rPr>
          <w:rFonts w:hint="eastAsia" w:ascii="宋体" w:hAnsi="宋体" w:eastAsia="宋体" w:cs="宋体"/>
          <w:color w:val="auto"/>
          <w:highlight w:val="none"/>
        </w:rPr>
        <w:t>确定每批次的监测服务机构。合同金额按乙方实际提交的</w:t>
      </w:r>
      <w:r>
        <w:rPr>
          <w:rFonts w:hint="eastAsia" w:ascii="宋体" w:hAnsi="宋体" w:eastAsia="宋体" w:cs="宋体"/>
          <w:color w:val="auto"/>
          <w:highlight w:val="none"/>
        </w:rPr>
        <w:t>所有批次的有效监测报告和成交监测项目单价进行核定和据实结算。</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按照乙方投标的成交单价下浮率为</w:t>
      </w:r>
      <w:r>
        <w:rPr>
          <w:rFonts w:ascii="宋体" w:hAnsi="宋体" w:eastAsia="宋体" w:cs="宋体"/>
          <w:color w:val="auto"/>
          <w:highlight w:val="none"/>
          <w:u w:val="single"/>
        </w:rPr>
        <w:t xml:space="preserve">     </w:t>
      </w:r>
      <w:r>
        <w:rPr>
          <w:rFonts w:ascii="宋体" w:hAnsi="宋体" w:eastAsia="宋体" w:cs="宋体"/>
          <w:color w:val="auto"/>
          <w:highlight w:val="none"/>
        </w:rPr>
        <w:t>%</w:t>
      </w:r>
      <w:r>
        <w:rPr>
          <w:rFonts w:hint="eastAsia" w:ascii="宋体" w:hAnsi="宋体" w:eastAsia="宋体" w:cs="宋体"/>
          <w:color w:val="auto"/>
          <w:highlight w:val="none"/>
        </w:rPr>
        <w:t>核算得到本合同相关监测项目的成交单价如下：</w:t>
      </w:r>
    </w:p>
    <w:tbl>
      <w:tblPr>
        <w:tblStyle w:val="90"/>
        <w:tblW w:w="9374" w:type="dxa"/>
        <w:jc w:val="center"/>
        <w:tblInd w:w="0" w:type="dxa"/>
        <w:tblLayout w:type="fixed"/>
        <w:tblCellMar>
          <w:top w:w="0" w:type="dxa"/>
          <w:left w:w="108" w:type="dxa"/>
          <w:bottom w:w="0" w:type="dxa"/>
          <w:right w:w="108" w:type="dxa"/>
        </w:tblCellMar>
      </w:tblPr>
      <w:tblGrid>
        <w:gridCol w:w="638"/>
        <w:gridCol w:w="1084"/>
        <w:gridCol w:w="1661"/>
        <w:gridCol w:w="1192"/>
        <w:gridCol w:w="775"/>
        <w:gridCol w:w="1387"/>
        <w:gridCol w:w="1113"/>
        <w:gridCol w:w="1524"/>
      </w:tblGrid>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序号</w:t>
            </w:r>
          </w:p>
        </w:tc>
        <w:tc>
          <w:tcPr>
            <w:tcW w:w="108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监测项目</w:t>
            </w:r>
          </w:p>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类型</w:t>
            </w: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监测项目</w:t>
            </w:r>
          </w:p>
        </w:tc>
        <w:tc>
          <w:tcPr>
            <w:tcW w:w="1192" w:type="dxa"/>
            <w:tcBorders>
              <w:top w:val="single" w:color="auto" w:sz="4" w:space="0"/>
              <w:left w:val="nil"/>
              <w:bottom w:val="single" w:color="auto" w:sz="4" w:space="0"/>
              <w:right w:val="single" w:color="auto" w:sz="4" w:space="0"/>
            </w:tcBorders>
            <w:shd w:val="clear" w:color="auto" w:fill="FFFFFF"/>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下浮率（</w:t>
            </w:r>
            <w:r>
              <w:rPr>
                <w:rFonts w:ascii="宋体" w:hAnsi="宋体" w:eastAsia="宋体" w:cs="宋体"/>
                <w:b/>
                <w:bCs/>
                <w:color w:val="auto"/>
                <w:highlight w:val="none"/>
              </w:rPr>
              <w:t>%</w:t>
            </w:r>
            <w:r>
              <w:rPr>
                <w:rFonts w:hint="eastAsia" w:ascii="宋体" w:hAnsi="宋体" w:eastAsia="宋体" w:cs="宋体"/>
                <w:b/>
                <w:bCs/>
                <w:color w:val="auto"/>
                <w:highlight w:val="none"/>
              </w:rPr>
              <w:t>）及大写</w:t>
            </w: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计费</w:t>
            </w:r>
          </w:p>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单位</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成交单价（元）</w:t>
            </w: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合计</w:t>
            </w: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1</w:t>
            </w:r>
          </w:p>
        </w:tc>
        <w:tc>
          <w:tcPr>
            <w:tcW w:w="1084" w:type="dxa"/>
            <w:vMerge w:val="restart"/>
            <w:tcBorders>
              <w:top w:val="single" w:color="auto" w:sz="4" w:space="0"/>
              <w:left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废气</w:t>
            </w: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饮食业油烟</w:t>
            </w:r>
          </w:p>
        </w:tc>
        <w:tc>
          <w:tcPr>
            <w:tcW w:w="1192" w:type="dxa"/>
            <w:vMerge w:val="restart"/>
            <w:tcBorders>
              <w:top w:val="single" w:color="auto" w:sz="4" w:space="0"/>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2</w:t>
            </w:r>
          </w:p>
        </w:tc>
        <w:tc>
          <w:tcPr>
            <w:tcW w:w="1084" w:type="dxa"/>
            <w:vMerge w:val="continue"/>
            <w:tcBorders>
              <w:left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恶臭气体（臭气浓度）</w:t>
            </w:r>
          </w:p>
        </w:tc>
        <w:tc>
          <w:tcPr>
            <w:tcW w:w="1192" w:type="dxa"/>
            <w:vMerge w:val="continue"/>
            <w:tcBorders>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3</w:t>
            </w:r>
          </w:p>
        </w:tc>
        <w:tc>
          <w:tcPr>
            <w:tcW w:w="1084" w:type="dxa"/>
            <w:vMerge w:val="continue"/>
            <w:tcBorders>
              <w:left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挥发性有机污染物</w:t>
            </w:r>
          </w:p>
        </w:tc>
        <w:tc>
          <w:tcPr>
            <w:tcW w:w="1192" w:type="dxa"/>
            <w:vMerge w:val="continue"/>
            <w:tcBorders>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4</w:t>
            </w:r>
          </w:p>
        </w:tc>
        <w:tc>
          <w:tcPr>
            <w:tcW w:w="1084" w:type="dxa"/>
            <w:vMerge w:val="continue"/>
            <w:tcBorders>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总挥发性有机物（</w:t>
            </w:r>
            <w:r>
              <w:rPr>
                <w:rFonts w:ascii="宋体" w:hAnsi="宋体" w:eastAsia="宋体" w:cs="宋体"/>
                <w:color w:val="auto"/>
                <w:highlight w:val="none"/>
              </w:rPr>
              <w:t>VOCS</w:t>
            </w:r>
            <w:r>
              <w:rPr>
                <w:rFonts w:hint="eastAsia" w:ascii="宋体" w:hAnsi="宋体" w:eastAsia="宋体" w:cs="宋体"/>
                <w:color w:val="auto"/>
                <w:highlight w:val="none"/>
              </w:rPr>
              <w:t>）</w:t>
            </w:r>
          </w:p>
        </w:tc>
        <w:tc>
          <w:tcPr>
            <w:tcW w:w="1192" w:type="dxa"/>
            <w:vMerge w:val="continue"/>
            <w:tcBorders>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5</w:t>
            </w:r>
          </w:p>
        </w:tc>
        <w:tc>
          <w:tcPr>
            <w:tcW w:w="1084" w:type="dxa"/>
            <w:vMerge w:val="restart"/>
            <w:tcBorders>
              <w:top w:val="single" w:color="auto" w:sz="4" w:space="0"/>
              <w:left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噪声</w:t>
            </w: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噪声（昼间）</w:t>
            </w:r>
          </w:p>
        </w:tc>
        <w:tc>
          <w:tcPr>
            <w:tcW w:w="1192" w:type="dxa"/>
            <w:vMerge w:val="continue"/>
            <w:tcBorders>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6</w:t>
            </w:r>
          </w:p>
        </w:tc>
        <w:tc>
          <w:tcPr>
            <w:tcW w:w="1084" w:type="dxa"/>
            <w:vMerge w:val="continue"/>
            <w:tcBorders>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噪声（夜间）</w:t>
            </w:r>
          </w:p>
        </w:tc>
        <w:tc>
          <w:tcPr>
            <w:tcW w:w="1192" w:type="dxa"/>
            <w:vMerge w:val="continue"/>
            <w:tcBorders>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5"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7</w:t>
            </w:r>
          </w:p>
        </w:tc>
        <w:tc>
          <w:tcPr>
            <w:tcW w:w="1084" w:type="dxa"/>
            <w:vMerge w:val="restart"/>
            <w:tcBorders>
              <w:top w:val="nil"/>
              <w:left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废水（污水）</w:t>
            </w:r>
          </w:p>
        </w:tc>
        <w:tc>
          <w:tcPr>
            <w:tcW w:w="1661" w:type="dxa"/>
            <w:vMerge w:val="restart"/>
            <w:tcBorders>
              <w:top w:val="nil"/>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r>
              <w:rPr>
                <w:rFonts w:hint="eastAsia" w:ascii="宋体" w:hAnsi="宋体" w:eastAsia="宋体" w:cs="宋体"/>
                <w:color w:val="auto"/>
                <w:highlight w:val="none"/>
              </w:rPr>
              <w:t>饮食业废水（</w:t>
            </w:r>
            <w:r>
              <w:rPr>
                <w:rFonts w:ascii="宋体" w:hAnsi="宋体" w:eastAsia="宋体" w:cs="宋体"/>
                <w:color w:val="auto"/>
                <w:highlight w:val="none"/>
              </w:rPr>
              <w:t>6</w:t>
            </w:r>
            <w:r>
              <w:rPr>
                <w:rFonts w:hint="eastAsia" w:ascii="宋体" w:hAnsi="宋体" w:eastAsia="宋体" w:cs="宋体"/>
                <w:color w:val="auto"/>
                <w:highlight w:val="none"/>
              </w:rPr>
              <w:t>项）</w:t>
            </w:r>
            <w:r>
              <w:rPr>
                <w:rFonts w:ascii="宋体" w:hAnsi="宋体" w:eastAsia="宋体" w:cs="宋体"/>
                <w:color w:val="auto"/>
                <w:highlight w:val="none"/>
              </w:rPr>
              <w:t xml:space="preserve"> </w:t>
            </w:r>
          </w:p>
        </w:tc>
        <w:tc>
          <w:tcPr>
            <w:tcW w:w="1192"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ascii="宋体" w:hAnsi="宋体" w:eastAsia="宋体" w:cs="宋体"/>
                <w:color w:val="auto"/>
                <w:highlight w:val="none"/>
              </w:rPr>
              <w:t>pH</w:t>
            </w:r>
            <w:r>
              <w:rPr>
                <w:rFonts w:hint="eastAsia" w:ascii="宋体" w:hAnsi="宋体" w:eastAsia="宋体" w:cs="宋体"/>
                <w:color w:val="auto"/>
                <w:highlight w:val="none"/>
              </w:rPr>
              <w:t>值</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restart"/>
            <w:tcBorders>
              <w:top w:val="single" w:color="auto" w:sz="4" w:space="0"/>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2"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8</w:t>
            </w:r>
          </w:p>
        </w:tc>
        <w:tc>
          <w:tcPr>
            <w:tcW w:w="1084" w:type="dxa"/>
            <w:vMerge w:val="continue"/>
            <w:tcBorders>
              <w:left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化学需氧量</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2"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9</w:t>
            </w:r>
          </w:p>
        </w:tc>
        <w:tc>
          <w:tcPr>
            <w:tcW w:w="1084" w:type="dxa"/>
            <w:vMerge w:val="continue"/>
            <w:tcBorders>
              <w:left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悬浮物</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2"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10</w:t>
            </w:r>
          </w:p>
        </w:tc>
        <w:tc>
          <w:tcPr>
            <w:tcW w:w="1084" w:type="dxa"/>
            <w:vMerge w:val="continue"/>
            <w:tcBorders>
              <w:left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总磷</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2"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11</w:t>
            </w:r>
          </w:p>
        </w:tc>
        <w:tc>
          <w:tcPr>
            <w:tcW w:w="1084" w:type="dxa"/>
            <w:vMerge w:val="continue"/>
            <w:tcBorders>
              <w:left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动植物油</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2"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12</w:t>
            </w:r>
          </w:p>
        </w:tc>
        <w:tc>
          <w:tcPr>
            <w:tcW w:w="1084" w:type="dxa"/>
            <w:vMerge w:val="continue"/>
            <w:tcBorders>
              <w:left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氨氮</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7"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13</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restart"/>
            <w:tcBorders>
              <w:top w:val="nil"/>
              <w:left w:val="nil"/>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医疗污水（</w:t>
            </w:r>
            <w:r>
              <w:rPr>
                <w:rFonts w:ascii="宋体" w:hAnsi="宋体" w:eastAsia="宋体" w:cs="宋体"/>
                <w:color w:val="auto"/>
                <w:highlight w:val="none"/>
              </w:rPr>
              <w:t>10</w:t>
            </w:r>
            <w:r>
              <w:rPr>
                <w:rFonts w:hint="eastAsia" w:ascii="宋体" w:hAnsi="宋体" w:eastAsia="宋体" w:cs="宋体"/>
                <w:color w:val="auto"/>
                <w:highlight w:val="none"/>
              </w:rPr>
              <w:t>项）</w:t>
            </w: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ascii="宋体" w:hAnsi="宋体" w:eastAsia="宋体" w:cs="宋体"/>
                <w:color w:val="auto"/>
                <w:highlight w:val="none"/>
              </w:rPr>
              <w:t>pH</w:t>
            </w:r>
            <w:r>
              <w:rPr>
                <w:rFonts w:hint="eastAsia" w:ascii="宋体" w:hAnsi="宋体" w:eastAsia="宋体" w:cs="宋体"/>
                <w:color w:val="auto"/>
                <w:highlight w:val="none"/>
              </w:rPr>
              <w:t>值</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restart"/>
            <w:tcBorders>
              <w:top w:val="single" w:color="auto" w:sz="4" w:space="0"/>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14</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化学需氧量</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15</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悬浮物</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16</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阴离子表面活性剂</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17</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氨氮</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18</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总磷</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19</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总余氯</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20</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粪大肠菌群</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21</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动植物油</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22</w:t>
            </w:r>
          </w:p>
        </w:tc>
        <w:tc>
          <w:tcPr>
            <w:tcW w:w="1084" w:type="dxa"/>
            <w:vMerge w:val="continue"/>
            <w:tcBorders>
              <w:left w:val="single" w:color="auto" w:sz="4" w:space="0"/>
              <w:bottom w:val="single" w:color="000000"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石油类</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23</w:t>
            </w:r>
          </w:p>
        </w:tc>
        <w:tc>
          <w:tcPr>
            <w:tcW w:w="1084" w:type="dxa"/>
            <w:vMerge w:val="restart"/>
            <w:tcBorders>
              <w:left w:val="single" w:color="auto" w:sz="4" w:space="0"/>
              <w:right w:val="single" w:color="auto" w:sz="4" w:space="0"/>
            </w:tcBorders>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电磁（电离）辐射</w:t>
            </w:r>
          </w:p>
        </w:tc>
        <w:tc>
          <w:tcPr>
            <w:tcW w:w="1661" w:type="dxa"/>
            <w:tcBorders>
              <w:left w:val="nil"/>
              <w:bottom w:val="single" w:color="auto" w:sz="4" w:space="0"/>
              <w:right w:val="single" w:color="auto" w:sz="4" w:space="0"/>
            </w:tcBorders>
            <w:vAlign w:val="center"/>
          </w:tcPr>
          <w:p>
            <w:pPr>
              <w:tabs>
                <w:tab w:val="left" w:pos="1900"/>
              </w:tabs>
              <w:ind w:firstLine="27" w:firstLineChars="13"/>
              <w:jc w:val="center"/>
              <w:rPr>
                <w:rFonts w:ascii="宋体" w:hAnsi="宋体" w:eastAsia="宋体" w:cs="Times New Roman"/>
                <w:color w:val="auto"/>
                <w:highlight w:val="none"/>
              </w:rPr>
            </w:pPr>
            <w:r>
              <w:rPr>
                <w:rFonts w:hint="eastAsia" w:ascii="Times New Roman" w:hAnsi="Times New Roman"/>
                <w:color w:val="auto"/>
                <w:highlight w:val="none"/>
              </w:rPr>
              <w:t>工频电场强度、工频磁场强度</w:t>
            </w: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Times New Roman" w:hAnsi="Times New Roman" w:cs="Times New Roman"/>
                <w:color w:val="auto"/>
                <w:highlight w:val="none"/>
              </w:rPr>
            </w:pPr>
            <w:r>
              <w:rPr>
                <w:rFonts w:hint="eastAsia" w:ascii="Times New Roman" w:hAnsi="Times New Roman"/>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24</w:t>
            </w:r>
          </w:p>
        </w:tc>
        <w:tc>
          <w:tcPr>
            <w:tcW w:w="1084" w:type="dxa"/>
            <w:vMerge w:val="continue"/>
            <w:tcBorders>
              <w:left w:val="single" w:color="auto" w:sz="4" w:space="0"/>
              <w:bottom w:val="single" w:color="000000" w:sz="4" w:space="0"/>
              <w:right w:val="single" w:color="auto" w:sz="4" w:space="0"/>
            </w:tcBorders>
            <w:vAlign w:val="center"/>
          </w:tcPr>
          <w:p>
            <w:pPr>
              <w:tabs>
                <w:tab w:val="left" w:pos="1900"/>
              </w:tabs>
              <w:jc w:val="center"/>
              <w:rPr>
                <w:rFonts w:ascii="宋体" w:hAnsi="宋体" w:eastAsia="宋体" w:cs="Times New Roman"/>
                <w:color w:val="auto"/>
                <w:highlight w:val="none"/>
              </w:rPr>
            </w:pPr>
          </w:p>
        </w:tc>
        <w:tc>
          <w:tcPr>
            <w:tcW w:w="1661" w:type="dxa"/>
            <w:tcBorders>
              <w:left w:val="nil"/>
              <w:bottom w:val="single" w:color="auto" w:sz="4" w:space="0"/>
              <w:right w:val="single" w:color="auto" w:sz="4" w:space="0"/>
            </w:tcBorders>
            <w:vAlign w:val="center"/>
          </w:tcPr>
          <w:p>
            <w:pPr>
              <w:tabs>
                <w:tab w:val="left" w:pos="1900"/>
              </w:tabs>
              <w:ind w:firstLine="27" w:firstLineChars="13"/>
              <w:jc w:val="center"/>
              <w:rPr>
                <w:rFonts w:ascii="宋体" w:hAnsi="宋体" w:eastAsia="宋体" w:cs="Times New Roman"/>
                <w:color w:val="auto"/>
                <w:highlight w:val="none"/>
              </w:rPr>
            </w:pPr>
            <w:r>
              <w:rPr>
                <w:rFonts w:hint="eastAsia" w:ascii="Times New Roman" w:hAnsi="Times New Roman"/>
                <w:color w:val="auto"/>
                <w:highlight w:val="none"/>
              </w:rPr>
              <w:t>工频电场强度</w:t>
            </w: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Times New Roman" w:hAnsi="Times New Roman" w:cs="Times New Roman"/>
                <w:color w:val="auto"/>
                <w:highlight w:val="none"/>
              </w:rPr>
            </w:pPr>
            <w:r>
              <w:rPr>
                <w:rFonts w:hint="eastAsia" w:ascii="Times New Roman" w:hAnsi="Times New Roman"/>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519" w:hRule="atLeast"/>
          <w:jc w:val="center"/>
        </w:trPr>
        <w:tc>
          <w:tcPr>
            <w:tcW w:w="638" w:type="dxa"/>
            <w:tcBorders>
              <w:top w:val="nil"/>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25</w:t>
            </w:r>
          </w:p>
        </w:tc>
        <w:tc>
          <w:tcPr>
            <w:tcW w:w="1084" w:type="dxa"/>
            <w:vMerge w:val="restart"/>
            <w:tcBorders>
              <w:top w:val="nil"/>
              <w:left w:val="single" w:color="auto" w:sz="4" w:space="0"/>
              <w:right w:val="single" w:color="auto" w:sz="4" w:space="0"/>
            </w:tcBorders>
            <w:noWrap/>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电磁（电离）辐射</w:t>
            </w:r>
          </w:p>
        </w:tc>
        <w:tc>
          <w:tcPr>
            <w:tcW w:w="1661" w:type="dxa"/>
            <w:tcBorders>
              <w:top w:val="nil"/>
              <w:left w:val="nil"/>
              <w:bottom w:val="single" w:color="auto" w:sz="4" w:space="0"/>
              <w:right w:val="single" w:color="auto" w:sz="4" w:space="0"/>
            </w:tcBorders>
            <w:vAlign w:val="center"/>
          </w:tcPr>
          <w:p>
            <w:pPr>
              <w:tabs>
                <w:tab w:val="left" w:pos="1900"/>
              </w:tabs>
              <w:ind w:firstLine="27" w:firstLineChars="13"/>
              <w:jc w:val="center"/>
              <w:rPr>
                <w:rFonts w:ascii="宋体" w:hAnsi="宋体" w:eastAsia="宋体" w:cs="Times New Roman"/>
                <w:color w:val="auto"/>
                <w:highlight w:val="none"/>
              </w:rPr>
            </w:pPr>
            <w:r>
              <w:rPr>
                <w:rFonts w:hint="eastAsia" w:ascii="Times New Roman" w:hAnsi="Times New Roman"/>
                <w:color w:val="auto"/>
                <w:highlight w:val="none"/>
              </w:rPr>
              <w:t>电场强度、磁场强度、功率密度</w:t>
            </w:r>
          </w:p>
        </w:tc>
        <w:tc>
          <w:tcPr>
            <w:tcW w:w="1192"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Times New Roman" w:hAnsi="Times New Roman"/>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519" w:hRule="atLeast"/>
          <w:jc w:val="center"/>
        </w:trPr>
        <w:tc>
          <w:tcPr>
            <w:tcW w:w="638" w:type="dxa"/>
            <w:tcBorders>
              <w:top w:val="nil"/>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26</w:t>
            </w:r>
          </w:p>
        </w:tc>
        <w:tc>
          <w:tcPr>
            <w:tcW w:w="1084" w:type="dxa"/>
            <w:vMerge w:val="continue"/>
            <w:tcBorders>
              <w:left w:val="single" w:color="auto" w:sz="4" w:space="0"/>
              <w:right w:val="single" w:color="auto" w:sz="4" w:space="0"/>
            </w:tcBorders>
            <w:noWrap/>
            <w:vAlign w:val="center"/>
          </w:tcPr>
          <w:p>
            <w:pPr>
              <w:tabs>
                <w:tab w:val="left" w:pos="1900"/>
              </w:tabs>
              <w:jc w:val="center"/>
              <w:rPr>
                <w:rFonts w:ascii="Times New Roman" w:hAnsi="Times New Roman" w:cs="Times New Roman"/>
                <w:color w:val="auto"/>
                <w:highlight w:val="none"/>
              </w:rPr>
            </w:pPr>
          </w:p>
        </w:tc>
        <w:tc>
          <w:tcPr>
            <w:tcW w:w="1661" w:type="dxa"/>
            <w:tcBorders>
              <w:top w:val="nil"/>
              <w:left w:val="nil"/>
              <w:bottom w:val="single" w:color="auto" w:sz="4" w:space="0"/>
              <w:right w:val="single" w:color="auto" w:sz="4" w:space="0"/>
            </w:tcBorders>
            <w:vAlign w:val="center"/>
          </w:tcPr>
          <w:p>
            <w:pPr>
              <w:tabs>
                <w:tab w:val="left" w:pos="1900"/>
              </w:tabs>
              <w:ind w:firstLine="27" w:firstLineChars="13"/>
              <w:jc w:val="center"/>
              <w:rPr>
                <w:rFonts w:ascii="宋体" w:hAnsi="宋体" w:eastAsia="宋体" w:cs="Times New Roman"/>
                <w:color w:val="auto"/>
                <w:highlight w:val="none"/>
              </w:rPr>
            </w:pPr>
            <w:r>
              <w:rPr>
                <w:rFonts w:hint="eastAsia" w:ascii="Times New Roman" w:hAnsi="Times New Roman"/>
                <w:color w:val="auto"/>
                <w:highlight w:val="none"/>
              </w:rPr>
              <w:t>无线电干扰场强</w:t>
            </w:r>
          </w:p>
        </w:tc>
        <w:tc>
          <w:tcPr>
            <w:tcW w:w="1192"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Times New Roman" w:hAnsi="Times New Roman"/>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519" w:hRule="atLeast"/>
          <w:jc w:val="center"/>
        </w:trPr>
        <w:tc>
          <w:tcPr>
            <w:tcW w:w="638" w:type="dxa"/>
            <w:tcBorders>
              <w:top w:val="nil"/>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27</w:t>
            </w:r>
          </w:p>
        </w:tc>
        <w:tc>
          <w:tcPr>
            <w:tcW w:w="1084" w:type="dxa"/>
            <w:vMerge w:val="continue"/>
            <w:tcBorders>
              <w:left w:val="single" w:color="auto" w:sz="4" w:space="0"/>
              <w:right w:val="single" w:color="auto" w:sz="4" w:space="0"/>
            </w:tcBorders>
            <w:noWrap/>
            <w:vAlign w:val="center"/>
          </w:tcPr>
          <w:p>
            <w:pPr>
              <w:tabs>
                <w:tab w:val="left" w:pos="1900"/>
              </w:tabs>
              <w:jc w:val="center"/>
              <w:rPr>
                <w:rFonts w:ascii="Times New Roman" w:hAnsi="Times New Roman" w:cs="Times New Roman"/>
                <w:color w:val="auto"/>
                <w:highlight w:val="none"/>
              </w:rPr>
            </w:pPr>
          </w:p>
        </w:tc>
        <w:tc>
          <w:tcPr>
            <w:tcW w:w="1661" w:type="dxa"/>
            <w:tcBorders>
              <w:top w:val="nil"/>
              <w:left w:val="nil"/>
              <w:bottom w:val="single" w:color="auto" w:sz="4" w:space="0"/>
              <w:right w:val="single" w:color="auto" w:sz="4" w:space="0"/>
            </w:tcBorders>
            <w:vAlign w:val="center"/>
          </w:tcPr>
          <w:p>
            <w:pPr>
              <w:tabs>
                <w:tab w:val="left" w:pos="1900"/>
              </w:tabs>
              <w:spacing w:line="300" w:lineRule="exact"/>
              <w:ind w:firstLine="27" w:firstLineChars="13"/>
              <w:jc w:val="center"/>
              <w:rPr>
                <w:rFonts w:ascii="宋体" w:hAnsi="宋体" w:eastAsia="宋体" w:cs="Times New Roman"/>
                <w:color w:val="auto"/>
                <w:highlight w:val="none"/>
              </w:rPr>
            </w:pPr>
            <w:r>
              <w:rPr>
                <w:rFonts w:ascii="宋体" w:hAnsi="宋体" w:eastAsia="宋体" w:cs="宋体"/>
                <w:color w:val="auto"/>
                <w:highlight w:val="none"/>
              </w:rPr>
              <w:t>X</w:t>
            </w:r>
            <w:r>
              <w:rPr>
                <w:rFonts w:hint="eastAsia" w:ascii="宋体" w:hAnsi="宋体" w:eastAsia="宋体" w:cs="宋体"/>
                <w:color w:val="auto"/>
                <w:highlight w:val="none"/>
              </w:rPr>
              <w:t>、γ辐射剂量率</w:t>
            </w:r>
          </w:p>
        </w:tc>
        <w:tc>
          <w:tcPr>
            <w:tcW w:w="1192"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56" w:hRule="atLeast"/>
          <w:jc w:val="center"/>
        </w:trPr>
        <w:tc>
          <w:tcPr>
            <w:tcW w:w="638" w:type="dxa"/>
            <w:tcBorders>
              <w:top w:val="nil"/>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28</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tcBorders>
              <w:top w:val="nil"/>
              <w:left w:val="nil"/>
              <w:bottom w:val="single" w:color="auto" w:sz="4" w:space="0"/>
              <w:right w:val="single" w:color="auto" w:sz="4" w:space="0"/>
            </w:tcBorders>
            <w:vAlign w:val="center"/>
          </w:tcPr>
          <w:p>
            <w:pPr>
              <w:tabs>
                <w:tab w:val="left" w:pos="1900"/>
              </w:tabs>
              <w:spacing w:line="300" w:lineRule="exact"/>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α、β表面污染</w:t>
            </w:r>
          </w:p>
        </w:tc>
        <w:tc>
          <w:tcPr>
            <w:tcW w:w="1192" w:type="dxa"/>
            <w:vMerge w:val="continue"/>
            <w:tcBorders>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539" w:hRule="atLeast"/>
          <w:jc w:val="center"/>
        </w:trPr>
        <w:tc>
          <w:tcPr>
            <w:tcW w:w="3383" w:type="dxa"/>
            <w:gridSpan w:val="3"/>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备注</w:t>
            </w:r>
          </w:p>
        </w:tc>
        <w:tc>
          <w:tcPr>
            <w:tcW w:w="5991" w:type="dxa"/>
            <w:gridSpan w:val="5"/>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上述成交单价已包括采样、检测、人员、交通、税费等全部费用</w:t>
            </w:r>
          </w:p>
        </w:tc>
      </w:tr>
    </w:tbl>
    <w:p>
      <w:pPr>
        <w:tabs>
          <w:tab w:val="left" w:pos="2310"/>
        </w:tabs>
        <w:ind w:firstLine="420" w:firstLineChars="200"/>
        <w:rPr>
          <w:rFonts w:ascii="宋体" w:hAnsi="宋体" w:eastAsia="宋体" w:cs="Times New Roman"/>
          <w:color w:val="auto"/>
          <w:highlight w:val="none"/>
        </w:rPr>
      </w:pPr>
    </w:p>
    <w:p>
      <w:pPr>
        <w:tabs>
          <w:tab w:val="left" w:pos="2310"/>
        </w:tabs>
        <w:ind w:firstLine="422" w:firstLineChars="200"/>
        <w:rPr>
          <w:rFonts w:ascii="宋体" w:hAnsi="宋体" w:eastAsia="宋体" w:cs="Times New Roman"/>
          <w:b/>
          <w:bCs/>
          <w:color w:val="auto"/>
          <w:highlight w:val="none"/>
        </w:rPr>
      </w:pPr>
    </w:p>
    <w:p>
      <w:pPr>
        <w:tabs>
          <w:tab w:val="left" w:pos="2310"/>
        </w:tabs>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二、服务范围</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一）甲方通过自主政府采购的方式，向乙方购买污染源监督性监测和有关环境应急监测服务，乙方仅能在服务范围内开展本合同约定的监测工作任务和监测项目，若超出本合同约定的监测工作任务和监测项目进行监测的，视为无效，因此产生的一切费用由乙方自行承担。</w:t>
      </w:r>
    </w:p>
    <w:p>
      <w:pPr>
        <w:autoSpaceDE w:val="0"/>
        <w:autoSpaceDN w:val="0"/>
        <w:adjustRightInd w:val="0"/>
        <w:snapToGrid w:val="0"/>
        <w:spacing w:line="580" w:lineRule="exact"/>
        <w:ind w:left="105" w:leftChars="50" w:firstLine="315" w:firstLineChars="150"/>
        <w:outlineLvl w:val="0"/>
        <w:rPr>
          <w:rFonts w:ascii="宋体" w:hAnsi="宋体" w:eastAsia="宋体" w:cs="Times New Roman"/>
          <w:color w:val="auto"/>
          <w:highlight w:val="none"/>
        </w:rPr>
      </w:pPr>
      <w:r>
        <w:rPr>
          <w:rFonts w:hint="eastAsia" w:ascii="宋体" w:hAnsi="宋体" w:eastAsia="宋体" w:cs="宋体"/>
          <w:color w:val="auto"/>
          <w:highlight w:val="none"/>
        </w:rPr>
        <w:t>（二）甲方安排的污染源单位监督性监测以及有关应急监测任务以“监督性监测单位监测工作（含应急监测）任务清单表”向乙方提供，乙方需在要求的完成时间内完成每批次监测任务，并全部提交每批次有效的监测报告，双方原则上根据每批次的完成情况，据实进行结算。</w:t>
      </w:r>
    </w:p>
    <w:p>
      <w:pPr>
        <w:tabs>
          <w:tab w:val="left" w:pos="2310"/>
        </w:tabs>
        <w:spacing w:line="580" w:lineRule="exact"/>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三、甲方乙方的权利和义务</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（一）甲方的权利和义务</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合同服务期限内可安排相关单位通过日常抽查方式对乙方开展质量监督。</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按照合同约定的付款方式向乙方支付合同款。</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向乙方提供进行监测的单位名单、监测项目及完成时间节点。</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4.</w:t>
      </w:r>
      <w:r>
        <w:rPr>
          <w:rFonts w:hint="eastAsia" w:ascii="宋体" w:hAnsi="宋体" w:eastAsia="宋体" w:cs="宋体"/>
          <w:color w:val="auto"/>
          <w:highlight w:val="none"/>
        </w:rPr>
        <w:t>为乙方有效开展监测工作提供其他必要协助。</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5.</w:t>
      </w:r>
      <w:r>
        <w:rPr>
          <w:rFonts w:hint="eastAsia" w:ascii="宋体" w:hAnsi="宋体" w:eastAsia="宋体" w:cs="宋体"/>
          <w:color w:val="auto"/>
          <w:highlight w:val="none"/>
        </w:rPr>
        <w:t>对乙方的技术和商业秘密有保密责任。</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6.</w:t>
      </w:r>
      <w:r>
        <w:rPr>
          <w:rFonts w:hint="eastAsia" w:ascii="宋体" w:hAnsi="宋体" w:eastAsia="宋体" w:cs="宋体"/>
          <w:color w:val="auto"/>
          <w:highlight w:val="none"/>
        </w:rPr>
        <w:t>保留对乙方违反保密要求导致任何损失的追究权利。</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（二）乙方的权利和义务</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根据有关法律、法规、政策、相关标准和规范及本合同的规定，执行本合同。</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按甲方的要求、乙方的承诺和招标文件的规定，履行服务职责。</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乙方应严格遵守《检验检测机构资质认定管理办法》的规定和要求，持续符合检验检测机关资质认定条件和要求。</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 xml:space="preserve">4. </w:t>
      </w:r>
      <w:r>
        <w:rPr>
          <w:rFonts w:hint="eastAsia" w:ascii="宋体" w:hAnsi="宋体" w:eastAsia="宋体" w:cs="宋体"/>
          <w:color w:val="auto"/>
          <w:highlight w:val="none"/>
        </w:rPr>
        <w:t>乙方应严格按照国家、省、市、区环保部门对社会环境监测机构的相关管理规定和要求，确保出具的监测数据全面、准确、客观、真实。</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5.</w:t>
      </w:r>
      <w:r>
        <w:rPr>
          <w:rFonts w:hint="eastAsia" w:ascii="宋体" w:hAnsi="宋体" w:eastAsia="宋体" w:cs="宋体"/>
          <w:color w:val="auto"/>
          <w:highlight w:val="none"/>
        </w:rPr>
        <w:t>乙方应按照有关污染源监测规范、并在污染源单位正常工况</w:t>
      </w:r>
      <w:r>
        <w:rPr>
          <w:rFonts w:hint="eastAsia" w:ascii="宋体" w:hAnsi="宋体" w:eastAsia="宋体" w:cs="宋体"/>
          <w:b/>
          <w:bCs/>
          <w:color w:val="auto"/>
          <w:highlight w:val="none"/>
        </w:rPr>
        <w:t>下</w:t>
      </w:r>
      <w:r>
        <w:rPr>
          <w:rFonts w:hint="eastAsia" w:ascii="宋体" w:hAnsi="宋体" w:eastAsia="宋体" w:cs="宋体"/>
          <w:color w:val="auto"/>
          <w:highlight w:val="none"/>
        </w:rPr>
        <w:t>开展采样监测活动。</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6.</w:t>
      </w:r>
      <w:r>
        <w:rPr>
          <w:rFonts w:hint="eastAsia" w:ascii="宋体" w:hAnsi="宋体" w:eastAsia="宋体" w:cs="宋体"/>
          <w:color w:val="auto"/>
          <w:highlight w:val="none"/>
        </w:rPr>
        <w:t>接受并积极配合甲方组织开展的质量监督，并按照甲方提出的意见及时进行整改。并对已完成的所有监测任务，按要求及时自行在“广东省社会环境监测机构信息管理平台”将监测项目的监测过程及时无误录入，并将录入情况每月</w:t>
      </w:r>
      <w:r>
        <w:rPr>
          <w:rFonts w:ascii="宋体" w:hAnsi="宋体" w:eastAsia="宋体" w:cs="宋体"/>
          <w:color w:val="auto"/>
          <w:highlight w:val="none"/>
        </w:rPr>
        <w:t>5</w:t>
      </w:r>
      <w:r>
        <w:rPr>
          <w:rFonts w:hint="eastAsia" w:ascii="宋体" w:hAnsi="宋体" w:eastAsia="宋体" w:cs="宋体"/>
          <w:color w:val="auto"/>
          <w:highlight w:val="none"/>
        </w:rPr>
        <w:t>日前书面报告给甲方。</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 xml:space="preserve">7. </w:t>
      </w:r>
      <w:r>
        <w:rPr>
          <w:rFonts w:hint="eastAsia" w:ascii="宋体" w:hAnsi="宋体" w:eastAsia="宋体" w:cs="宋体"/>
          <w:color w:val="auto"/>
          <w:highlight w:val="none"/>
        </w:rPr>
        <w:t>开展监测工作后，每周向甲方移交规定格式的纸质版监测报告一式三份，同时发送电子版监测报告（要求</w:t>
      </w:r>
      <w:r>
        <w:rPr>
          <w:rFonts w:ascii="宋体" w:hAnsi="宋体" w:eastAsia="宋体" w:cs="宋体"/>
          <w:color w:val="auto"/>
          <w:highlight w:val="none"/>
        </w:rPr>
        <w:t xml:space="preserve">WORD </w:t>
      </w:r>
      <w:r>
        <w:rPr>
          <w:rFonts w:hint="eastAsia" w:ascii="宋体" w:hAnsi="宋体" w:eastAsia="宋体" w:cs="宋体"/>
          <w:color w:val="auto"/>
          <w:highlight w:val="none"/>
        </w:rPr>
        <w:t>格式及加盖企业公章的</w:t>
      </w:r>
      <w:r>
        <w:rPr>
          <w:rFonts w:ascii="宋体" w:hAnsi="宋体" w:eastAsia="宋体" w:cs="宋体"/>
          <w:color w:val="auto"/>
          <w:highlight w:val="none"/>
        </w:rPr>
        <w:t>PDF</w:t>
      </w:r>
      <w:r>
        <w:rPr>
          <w:rFonts w:hint="eastAsia" w:ascii="宋体" w:hAnsi="宋体" w:eastAsia="宋体" w:cs="宋体"/>
          <w:color w:val="auto"/>
          <w:highlight w:val="none"/>
        </w:rPr>
        <w:t>格式）至甲方，电子版监测报告需与纸质版监测报告保持一致。</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8.</w:t>
      </w:r>
      <w:r>
        <w:rPr>
          <w:rFonts w:hint="eastAsia" w:ascii="宋体" w:hAnsi="宋体" w:eastAsia="宋体" w:cs="宋体"/>
          <w:color w:val="auto"/>
          <w:highlight w:val="none"/>
        </w:rPr>
        <w:t>乙方须同时随监测报告提交监测原始记录（包括单位代表签名的现场采样记录、样品前处理记录、分析原始记录、仪器打印记录）、超标情况统计表、监测异常情况一览表、质控记录复印件（加盖成交人公章）、受监测单位的有关信息（工商营业执照、排污许可证、现场采样照片等的电子版和纸质版）等甲方需要的相关信息，交甲方存档备查，上述材料按照甲方工作需求进行调整。</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9.</w:t>
      </w:r>
      <w:r>
        <w:rPr>
          <w:rFonts w:hint="eastAsia" w:ascii="宋体" w:hAnsi="宋体" w:eastAsia="宋体" w:cs="宋体"/>
          <w:color w:val="auto"/>
          <w:highlight w:val="none"/>
        </w:rPr>
        <w:t>本合同服务期满前，乙方必须完成所有监测工作，并向甲方移交全部有效的监测报告及相关资料。</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10.</w:t>
      </w:r>
      <w:r>
        <w:rPr>
          <w:rFonts w:hint="eastAsia" w:ascii="宋体" w:hAnsi="宋体" w:eastAsia="宋体" w:cs="宋体"/>
          <w:color w:val="auto"/>
          <w:highlight w:val="none"/>
        </w:rPr>
        <w:t>乙方有义务按照投标文件中的售后服务承诺提供良好的服务。</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11.</w:t>
      </w:r>
      <w:r>
        <w:rPr>
          <w:rFonts w:hint="eastAsia" w:ascii="宋体" w:hAnsi="宋体" w:eastAsia="宋体" w:cs="宋体"/>
          <w:color w:val="auto"/>
          <w:highlight w:val="none"/>
        </w:rPr>
        <w:t>对监测单位信息、相关监测数据信息等有保密责任，不得泄露给第三方，并且该保密责任不因合同的终止或解除而失效。</w:t>
      </w:r>
    </w:p>
    <w:p>
      <w:pPr>
        <w:tabs>
          <w:tab w:val="left" w:pos="2310"/>
        </w:tabs>
        <w:spacing w:line="580" w:lineRule="exact"/>
        <w:ind w:firstLine="420" w:firstLineChars="200"/>
        <w:rPr>
          <w:rFonts w:ascii="宋体" w:hAnsi="宋体" w:eastAsia="宋体" w:cs="Times New Roman"/>
          <w:color w:val="auto"/>
          <w:highlight w:val="none"/>
        </w:rPr>
      </w:pPr>
      <w:r>
        <w:rPr>
          <w:rFonts w:ascii="宋体" w:hAnsi="宋体" w:eastAsia="宋体" w:cs="宋体"/>
          <w:color w:val="auto"/>
          <w:highlight w:val="none"/>
        </w:rPr>
        <w:t>12.</w:t>
      </w:r>
      <w:r>
        <w:rPr>
          <w:rFonts w:hint="eastAsia" w:ascii="宋体" w:hAnsi="宋体" w:eastAsia="宋体" w:cs="宋体"/>
          <w:color w:val="auto"/>
          <w:highlight w:val="none"/>
        </w:rPr>
        <w:t>落实乙方在投标文件中提出的其他服务承诺。</w:t>
      </w:r>
    </w:p>
    <w:p>
      <w:pPr>
        <w:tabs>
          <w:tab w:val="left" w:pos="2310"/>
        </w:tabs>
        <w:spacing w:line="580" w:lineRule="exact"/>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四、服务期限（项目完成期限）</w:t>
      </w:r>
    </w:p>
    <w:p>
      <w:pPr>
        <w:autoSpaceDE w:val="0"/>
        <w:autoSpaceDN w:val="0"/>
        <w:spacing w:line="580" w:lineRule="exact"/>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委托服务期限自本合同生效之日起至</w:t>
      </w:r>
      <w:r>
        <w:rPr>
          <w:rFonts w:ascii="宋体" w:hAnsi="宋体" w:eastAsia="宋体" w:cs="宋体"/>
          <w:color w:val="auto"/>
          <w:highlight w:val="none"/>
        </w:rPr>
        <w:t xml:space="preserve"> </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年</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月</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日</w:t>
      </w:r>
      <w:r>
        <w:rPr>
          <w:rFonts w:hint="eastAsia" w:ascii="宋体" w:hAnsi="宋体" w:eastAsia="宋体" w:cs="宋体"/>
          <w:color w:val="auto"/>
          <w:highlight w:val="none"/>
        </w:rPr>
        <w:t>止。</w:t>
      </w:r>
    </w:p>
    <w:p>
      <w:pPr>
        <w:numPr>
          <w:ilvl w:val="0"/>
          <w:numId w:val="6"/>
        </w:numPr>
        <w:tabs>
          <w:tab w:val="left" w:pos="2310"/>
        </w:tabs>
        <w:spacing w:line="580" w:lineRule="exact"/>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付款方式（公开遴选文件第三章采购人需求书中另有规定从其规定）</w:t>
      </w:r>
    </w:p>
    <w:p>
      <w:pPr>
        <w:autoSpaceDE w:val="0"/>
        <w:autoSpaceDN w:val="0"/>
        <w:spacing w:line="580" w:lineRule="exact"/>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（一）分批次进行据实结算（按实际提交有效的监测报告中的监测项目和成交单价进行结算），若有扣减情况，则扣减后进行支付。</w:t>
      </w:r>
    </w:p>
    <w:p>
      <w:pPr>
        <w:autoSpaceDE w:val="0"/>
        <w:autoSpaceDN w:val="0"/>
        <w:spacing w:line="580" w:lineRule="exact"/>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二）结算时，实际监测工作量需乙方与甲方双方核实确认，经双方确认后，由乙方提交该批次结算申请书（含实际监测工作量清单）、等额发票、合同复印件、成交通知书复印件等申请财政资金所必需的所有资料。若逾期未提交齐备资料，甲方有权顺延办理财政资金支付手续，并不承担任何的违约责任。</w:t>
      </w:r>
    </w:p>
    <w:p>
      <w:pPr>
        <w:autoSpaceDE w:val="0"/>
        <w:autoSpaceDN w:val="0"/>
        <w:adjustRightInd w:val="0"/>
        <w:snapToGrid w:val="0"/>
        <w:spacing w:line="360" w:lineRule="auto"/>
        <w:ind w:firstLine="210" w:firstLineChars="100"/>
        <w:outlineLvl w:val="0"/>
        <w:rPr>
          <w:rFonts w:ascii="宋体" w:hAnsi="宋体" w:eastAsia="宋体" w:cs="Times New Roman"/>
          <w:color w:val="auto"/>
          <w:highlight w:val="none"/>
        </w:rPr>
      </w:pPr>
      <w:r>
        <w:rPr>
          <w:rFonts w:hint="eastAsia" w:ascii="宋体" w:hAnsi="宋体" w:eastAsia="宋体" w:cs="宋体"/>
          <w:color w:val="auto"/>
          <w:highlight w:val="none"/>
        </w:rPr>
        <w:t>（三）因甲方使用的是财政资金，甲方依时向政府采购支付部门提交财政支付申请手续后，即视为甲方已经按期支付。</w:t>
      </w:r>
    </w:p>
    <w:p>
      <w:pPr>
        <w:autoSpaceDE w:val="0"/>
        <w:autoSpaceDN w:val="0"/>
        <w:adjustRightInd w:val="0"/>
        <w:snapToGrid w:val="0"/>
        <w:spacing w:line="360" w:lineRule="auto"/>
        <w:ind w:firstLine="210" w:firstLineChars="100"/>
        <w:outlineLvl w:val="0"/>
        <w:rPr>
          <w:rFonts w:ascii="宋体" w:hAnsi="宋体" w:eastAsia="宋体" w:cs="Times New Roman"/>
          <w:color w:val="auto"/>
          <w:highlight w:val="none"/>
        </w:rPr>
      </w:pPr>
      <w:r>
        <w:rPr>
          <w:rFonts w:hint="eastAsia" w:ascii="宋体" w:hAnsi="宋体" w:eastAsia="宋体" w:cs="宋体"/>
          <w:color w:val="auto"/>
          <w:highlight w:val="none"/>
        </w:rPr>
        <w:t>（四）乙方的收款账户信息如下：</w:t>
      </w:r>
    </w:p>
    <w:p>
      <w:pPr>
        <w:autoSpaceDE w:val="0"/>
        <w:autoSpaceDN w:val="0"/>
        <w:spacing w:line="580" w:lineRule="exact"/>
        <w:ind w:firstLine="420" w:firstLineChars="200"/>
        <w:outlineLvl w:val="0"/>
        <w:rPr>
          <w:rFonts w:ascii="宋体" w:hAnsi="宋体" w:eastAsia="宋体" w:cs="宋体"/>
          <w:color w:val="auto"/>
          <w:highlight w:val="none"/>
        </w:rPr>
      </w:pPr>
      <w:r>
        <w:rPr>
          <w:rFonts w:hint="eastAsia" w:ascii="宋体" w:hAnsi="宋体" w:eastAsia="宋体" w:cs="宋体"/>
          <w:color w:val="auto"/>
          <w:highlight w:val="none"/>
        </w:rPr>
        <w:t>开户名：</w:t>
      </w:r>
      <w:r>
        <w:rPr>
          <w:rFonts w:ascii="宋体" w:hAnsi="宋体" w:eastAsia="宋体" w:cs="宋体"/>
          <w:color w:val="auto"/>
          <w:highlight w:val="none"/>
        </w:rPr>
        <w:t xml:space="preserve"> </w:t>
      </w:r>
    </w:p>
    <w:p>
      <w:pPr>
        <w:autoSpaceDE w:val="0"/>
        <w:autoSpaceDN w:val="0"/>
        <w:spacing w:line="580" w:lineRule="exact"/>
        <w:ind w:firstLine="420" w:firstLineChars="200"/>
        <w:outlineLvl w:val="0"/>
        <w:rPr>
          <w:rFonts w:ascii="宋体" w:hAnsi="宋体" w:eastAsia="宋体" w:cs="宋体"/>
          <w:color w:val="auto"/>
          <w:highlight w:val="none"/>
        </w:rPr>
      </w:pPr>
      <w:r>
        <w:rPr>
          <w:rFonts w:hint="eastAsia" w:ascii="宋体" w:hAnsi="宋体" w:eastAsia="宋体" w:cs="宋体"/>
          <w:color w:val="auto"/>
          <w:highlight w:val="none"/>
        </w:rPr>
        <w:t>开户行：</w:t>
      </w:r>
      <w:r>
        <w:rPr>
          <w:rFonts w:ascii="宋体" w:hAnsi="宋体" w:eastAsia="宋体" w:cs="宋体"/>
          <w:color w:val="auto"/>
          <w:highlight w:val="none"/>
        </w:rPr>
        <w:t xml:space="preserve"> </w:t>
      </w:r>
    </w:p>
    <w:p>
      <w:pPr>
        <w:autoSpaceDE w:val="0"/>
        <w:autoSpaceDN w:val="0"/>
        <w:spacing w:line="580" w:lineRule="exact"/>
        <w:ind w:firstLine="420" w:firstLineChars="200"/>
        <w:outlineLvl w:val="0"/>
        <w:rPr>
          <w:rFonts w:ascii="宋体" w:hAnsi="宋体" w:eastAsia="宋体" w:cs="宋体"/>
          <w:color w:val="auto"/>
          <w:highlight w:val="none"/>
        </w:rPr>
      </w:pPr>
      <w:r>
        <w:rPr>
          <w:rFonts w:hint="eastAsia" w:ascii="宋体" w:hAnsi="宋体" w:eastAsia="宋体" w:cs="宋体"/>
          <w:color w:val="auto"/>
          <w:highlight w:val="none"/>
        </w:rPr>
        <w:t>银行账号：</w:t>
      </w:r>
      <w:r>
        <w:rPr>
          <w:rFonts w:ascii="宋体" w:hAnsi="宋体" w:eastAsia="宋体" w:cs="宋体"/>
          <w:color w:val="auto"/>
          <w:highlight w:val="none"/>
        </w:rPr>
        <w:t xml:space="preserve"> </w:t>
      </w:r>
    </w:p>
    <w:p>
      <w:pPr>
        <w:autoSpaceDE w:val="0"/>
        <w:autoSpaceDN w:val="0"/>
        <w:spacing w:line="580" w:lineRule="exact"/>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若乙方需变更收款账户信息的，应在结算前提前</w:t>
      </w:r>
      <w:r>
        <w:rPr>
          <w:rFonts w:ascii="宋体" w:hAnsi="宋体" w:eastAsia="宋体" w:cs="宋体"/>
          <w:color w:val="auto"/>
          <w:highlight w:val="none"/>
        </w:rPr>
        <w:t>5</w:t>
      </w:r>
      <w:r>
        <w:rPr>
          <w:rFonts w:hint="eastAsia" w:ascii="宋体" w:hAnsi="宋体" w:eastAsia="宋体" w:cs="宋体"/>
          <w:color w:val="auto"/>
          <w:highlight w:val="none"/>
        </w:rPr>
        <w:t>个工作日书面告知甲方，若逾期未告知甲方的，因此产生的一切不利后果由乙方自行承担。</w:t>
      </w:r>
    </w:p>
    <w:p>
      <w:pPr>
        <w:tabs>
          <w:tab w:val="left" w:pos="2310"/>
        </w:tabs>
        <w:spacing w:line="580" w:lineRule="exact"/>
        <w:ind w:firstLine="422" w:firstLineChars="200"/>
        <w:rPr>
          <w:rFonts w:ascii="宋体" w:hAnsi="宋体" w:eastAsia="宋体" w:cs="宋体"/>
          <w:b/>
          <w:bCs/>
          <w:color w:val="auto"/>
          <w:highlight w:val="none"/>
        </w:rPr>
      </w:pPr>
      <w:r>
        <w:rPr>
          <w:rFonts w:hint="eastAsia" w:ascii="宋体" w:hAnsi="宋体" w:eastAsia="宋体" w:cs="宋体"/>
          <w:b/>
          <w:bCs/>
          <w:color w:val="auto"/>
          <w:highlight w:val="none"/>
        </w:rPr>
        <w:t>六、知识产权产权归属</w:t>
      </w:r>
      <w:r>
        <w:rPr>
          <w:rFonts w:ascii="宋体" w:hAnsi="宋体" w:eastAsia="宋体" w:cs="宋体"/>
          <w:b/>
          <w:bCs/>
          <w:color w:val="auto"/>
          <w:highlight w:val="none"/>
        </w:rPr>
        <w:t xml:space="preserve"> </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乙方应保证本项目的投标技术、服务或其任何一部分不会产生因第三方提出侵犯其专利权、商标权或其他知识产权而引起的法律和经济纠纷；如因第三方提出其专利权、商标权或其他知识产权的侵权之诉，则一切法律责任由乙方承担。若因此导致甲方经济损失的，由乙方承担赔偿责任，包括但不限于诉讼费、律师费、调查费等一切费用。</w:t>
      </w:r>
    </w:p>
    <w:p>
      <w:pPr>
        <w:tabs>
          <w:tab w:val="left" w:pos="2310"/>
        </w:tabs>
        <w:spacing w:line="580" w:lineRule="exact"/>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七、保密</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乙方必须采取措施对污染源单位相关信息、监测计划、监测结果数据等资料进行保密，不得泄露给包括受监测污染源单位等任何第三方。实施污染源监督性监测不得提前通知污染源单位。否则，由于乙方过错导致的上述数据、资料、信息等泄密的，乙方必须承担一切责任。项目完成后，甲、乙双方均有责任对本服务项目的数据、资料等信息的保密承担责任。</w:t>
      </w:r>
    </w:p>
    <w:p>
      <w:pPr>
        <w:tabs>
          <w:tab w:val="left" w:pos="2310"/>
        </w:tabs>
        <w:spacing w:line="580" w:lineRule="exact"/>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八、违约责任与赔偿损失</w:t>
      </w:r>
    </w:p>
    <w:p>
      <w:pPr>
        <w:autoSpaceDE w:val="0"/>
        <w:autoSpaceDN w:val="0"/>
        <w:adjustRightInd w:val="0"/>
        <w:snapToGrid w:val="0"/>
        <w:spacing w:line="580" w:lineRule="exact"/>
        <w:ind w:left="105" w:leftChars="50" w:firstLine="315" w:firstLineChars="150"/>
        <w:outlineLvl w:val="0"/>
        <w:rPr>
          <w:rFonts w:ascii="宋体" w:hAnsi="宋体" w:eastAsia="宋体" w:cs="Times New Roman"/>
          <w:color w:val="auto"/>
          <w:highlight w:val="none"/>
        </w:rPr>
      </w:pPr>
      <w:r>
        <w:rPr>
          <w:rFonts w:hint="eastAsia" w:ascii="宋体" w:hAnsi="宋体" w:eastAsia="宋体" w:cs="宋体"/>
          <w:color w:val="auto"/>
          <w:highlight w:val="none"/>
        </w:rPr>
        <w:t>（一）为保证乙方按规范开展监测工作，甲方在服务期限内可安排相关单位通过日常抽查方式对乙方开展质量监督，经抽查发现乙方存在违反质控要求情况，督促乙方立即改正。经调查核实，发现乙方采样前事先通知受测单位、弄虚作假、与受测单位串通出具假达标报告等违法违规行为的，将立即终止监测服务合同，有权扣减乙方已完成监测工作量据实计算经费总额的</w:t>
      </w:r>
      <w:r>
        <w:rPr>
          <w:rFonts w:ascii="宋体" w:hAnsi="宋体" w:eastAsia="宋体" w:cs="宋体"/>
          <w:color w:val="auto"/>
          <w:highlight w:val="none"/>
        </w:rPr>
        <w:t>10%</w:t>
      </w:r>
      <w:r>
        <w:rPr>
          <w:rFonts w:hint="eastAsia" w:ascii="宋体" w:hAnsi="宋体" w:eastAsia="宋体" w:cs="宋体"/>
          <w:color w:val="auto"/>
          <w:highlight w:val="none"/>
        </w:rPr>
        <w:t>，并按国家有关法律法规依法处理。</w:t>
      </w:r>
    </w:p>
    <w:p>
      <w:pPr>
        <w:autoSpaceDE w:val="0"/>
        <w:autoSpaceDN w:val="0"/>
        <w:adjustRightInd w:val="0"/>
        <w:snapToGrid w:val="0"/>
        <w:spacing w:line="580" w:lineRule="exact"/>
        <w:ind w:left="105" w:leftChars="50"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二）服务期内，乙方监测活动的基本条件和技术能力不能持续符合检验检测机关资质认定条件和要求，因自身原因导致其检验检测资质认定能力被停用、资质认定证书被撤销或其他不具备监测能力等情况，从而无法继续合法完成监测任务的，甲方有权立即终止监测服务合同，并根据乙方监测工作开展情况和对甲方造成的影响程度，有权扣减乙方已完成监测工作量据实计算经费总额的</w:t>
      </w:r>
      <w:r>
        <w:rPr>
          <w:rFonts w:ascii="宋体" w:hAnsi="宋体" w:eastAsia="宋体" w:cs="宋体"/>
          <w:color w:val="auto"/>
          <w:highlight w:val="none"/>
        </w:rPr>
        <w:t>10%</w:t>
      </w:r>
      <w:r>
        <w:rPr>
          <w:rFonts w:hint="eastAsia" w:ascii="宋体" w:hAnsi="宋体" w:eastAsia="宋体" w:cs="宋体"/>
          <w:color w:val="auto"/>
          <w:highlight w:val="none"/>
        </w:rPr>
        <w:t>。</w:t>
      </w:r>
    </w:p>
    <w:p>
      <w:pPr>
        <w:autoSpaceDE w:val="0"/>
        <w:autoSpaceDN w:val="0"/>
        <w:adjustRightInd w:val="0"/>
        <w:snapToGrid w:val="0"/>
        <w:spacing w:line="580" w:lineRule="exact"/>
        <w:ind w:left="105" w:leftChars="50" w:firstLine="315" w:firstLineChars="150"/>
        <w:outlineLvl w:val="0"/>
        <w:rPr>
          <w:rFonts w:ascii="宋体" w:hAnsi="宋体" w:eastAsia="宋体" w:cs="Times New Roman"/>
          <w:color w:val="auto"/>
          <w:highlight w:val="none"/>
        </w:rPr>
      </w:pPr>
      <w:r>
        <w:rPr>
          <w:rFonts w:hint="eastAsia" w:ascii="宋体" w:hAnsi="宋体" w:eastAsia="宋体" w:cs="宋体"/>
          <w:color w:val="auto"/>
          <w:highlight w:val="none"/>
        </w:rPr>
        <w:t>（三）乙方无正当原因未按甲方提供的“监督性监测单位监测工作（含应急监测）任务清单表”所规定的时间内，完成该批次的监测任务，有权扣减乙方该批次全部监测工作量经费总额的</w:t>
      </w:r>
      <w:r>
        <w:rPr>
          <w:rFonts w:ascii="宋体" w:hAnsi="宋体" w:eastAsia="宋体" w:cs="宋体"/>
          <w:color w:val="auto"/>
          <w:highlight w:val="none"/>
        </w:rPr>
        <w:t>10%</w:t>
      </w:r>
      <w:r>
        <w:rPr>
          <w:rFonts w:hint="eastAsia" w:ascii="宋体" w:hAnsi="宋体" w:eastAsia="宋体" w:cs="宋体"/>
          <w:color w:val="auto"/>
          <w:highlight w:val="none"/>
        </w:rPr>
        <w:t>。</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（四）乙方的监测活动不符合监测技术规范或采样要求，乙方应无条件进行重新监测，不符合监测技术规范或采样要求的监测服务不得向甲方提交有效的监测报告并不得收取任何监测服务费用。</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（五）乙方应对监测采样、实验分析、监测数据和结果及监测报告负责，并承担相应的法律责任。乙方提供的服务严重不符合本合同规定的，甲方有权单方面解除合同，并且乙方须向甲方支付该批次监测经费</w:t>
      </w:r>
      <w:r>
        <w:rPr>
          <w:rFonts w:ascii="宋体" w:hAnsi="宋体" w:eastAsia="宋体" w:cs="宋体"/>
          <w:color w:val="auto"/>
          <w:highlight w:val="none"/>
        </w:rPr>
        <w:t>10%</w:t>
      </w:r>
      <w:r>
        <w:rPr>
          <w:rFonts w:hint="eastAsia" w:ascii="宋体" w:hAnsi="宋体" w:eastAsia="宋体" w:cs="宋体"/>
          <w:color w:val="auto"/>
          <w:highlight w:val="none"/>
        </w:rPr>
        <w:t>的违约金。同时，甲方可将乙方违约情况报送同级财政主管部门，由财政主管部门将乙方列入黑名单，记录在诚信档案内。</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（六）甲方无正当理由未按期支付服务款项的，甲方向乙方偿付当批次应付款项的</w:t>
      </w:r>
      <w:r>
        <w:rPr>
          <w:rFonts w:ascii="宋体" w:hAnsi="宋体" w:eastAsia="宋体" w:cs="宋体"/>
          <w:color w:val="auto"/>
          <w:highlight w:val="none"/>
        </w:rPr>
        <w:t>10%</w:t>
      </w:r>
      <w:r>
        <w:rPr>
          <w:rFonts w:hint="eastAsia" w:ascii="宋体" w:hAnsi="宋体" w:eastAsia="宋体" w:cs="宋体"/>
          <w:color w:val="auto"/>
          <w:highlight w:val="none"/>
        </w:rPr>
        <w:t>的违约金。</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（七）其它违约责任按《中华人民共和国民法典》处理。</w:t>
      </w:r>
    </w:p>
    <w:p>
      <w:pPr>
        <w:tabs>
          <w:tab w:val="left" w:pos="2310"/>
        </w:tabs>
        <w:spacing w:line="580" w:lineRule="exact"/>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九、争端的解决</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合同执行过程中发生的任何争议，如双方不能通过友好协商解决，甲、乙双方一致同意向甲方所在地人民法院提起诉讼。</w:t>
      </w:r>
    </w:p>
    <w:p>
      <w:pPr>
        <w:tabs>
          <w:tab w:val="left" w:pos="2310"/>
        </w:tabs>
        <w:spacing w:line="580" w:lineRule="exact"/>
        <w:ind w:firstLine="422" w:firstLineChars="200"/>
        <w:rPr>
          <w:rFonts w:ascii="宋体" w:hAnsi="宋体" w:eastAsia="宋体" w:cs="Times New Roman"/>
          <w:b/>
          <w:bCs/>
          <w:color w:val="auto"/>
          <w:highlight w:val="none"/>
        </w:rPr>
      </w:pPr>
      <w:r>
        <w:rPr>
          <w:rFonts w:ascii="宋体" w:hAnsi="宋体" w:eastAsia="宋体" w:cs="宋体"/>
          <w:b/>
          <w:bCs/>
          <w:color w:val="auto"/>
          <w:highlight w:val="none"/>
        </w:rPr>
        <w:t xml:space="preserve"> </w:t>
      </w:r>
      <w:r>
        <w:rPr>
          <w:rFonts w:hint="eastAsia" w:ascii="宋体" w:hAnsi="宋体" w:eastAsia="宋体" w:cs="宋体"/>
          <w:b/>
          <w:bCs/>
          <w:color w:val="auto"/>
          <w:highlight w:val="none"/>
        </w:rPr>
        <w:t>十、不可抗力</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任何一方由于不可抗力原因不能履行合同时，应在不可抗力事件结束后</w:t>
      </w:r>
      <w:r>
        <w:rPr>
          <w:rFonts w:ascii="宋体" w:hAnsi="宋体" w:eastAsia="宋体" w:cs="宋体"/>
          <w:color w:val="auto"/>
          <w:highlight w:val="none"/>
        </w:rPr>
        <w:t>1</w:t>
      </w:r>
      <w:r>
        <w:rPr>
          <w:rFonts w:hint="eastAsia" w:ascii="宋体" w:hAnsi="宋体" w:eastAsia="宋体" w:cs="宋体"/>
          <w:color w:val="auto"/>
          <w:highlight w:val="none"/>
        </w:rPr>
        <w:t>日内向对方通报，以减轻可能给对方造成的损失，在取得有关机构的不可抗力证明或双方谅解确认后，允许延期履行或修订合同，并根据情况可部分或全部免于承担违约责任。</w:t>
      </w:r>
    </w:p>
    <w:p>
      <w:pPr>
        <w:tabs>
          <w:tab w:val="left" w:pos="2310"/>
        </w:tabs>
        <w:spacing w:line="580" w:lineRule="exact"/>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十一、税费</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在中国境内、外发生的与本合同执行有关的一切税费均由乙方负担。</w:t>
      </w:r>
    </w:p>
    <w:p>
      <w:pPr>
        <w:tabs>
          <w:tab w:val="left" w:pos="2310"/>
        </w:tabs>
        <w:spacing w:line="580" w:lineRule="exact"/>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十二、其它</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（一）本合同所有附件、公开遴选文件、投标文件、成交通知书均为合同的有效组成部分，与本合同具有同等法律效力。</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（二）在执行本合同的过程中，所有经双方签署确认的文件（包括会议纪要、补充协议、往来信函）即成为本合同的有效组成部分。</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（三）如一方地址、联系人、电话、传真号码有变更，应在变更当日内书面通知对方，否则，应承担相应责任。</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（四）除甲方事先书面同意外，乙方不得部分或全部转让其应履行的合同项下的义务。</w:t>
      </w:r>
    </w:p>
    <w:p>
      <w:pPr>
        <w:tabs>
          <w:tab w:val="left" w:pos="2310"/>
        </w:tabs>
        <w:spacing w:line="580" w:lineRule="exact"/>
        <w:ind w:firstLine="422" w:firstLineChars="200"/>
        <w:rPr>
          <w:rFonts w:ascii="宋体" w:hAnsi="宋体" w:eastAsia="宋体" w:cs="Times New Roman"/>
          <w:b/>
          <w:bCs/>
          <w:color w:val="auto"/>
          <w:highlight w:val="none"/>
        </w:rPr>
      </w:pPr>
      <w:r>
        <w:rPr>
          <w:rFonts w:hint="eastAsia" w:ascii="宋体" w:hAnsi="宋体" w:eastAsia="宋体" w:cs="宋体"/>
          <w:b/>
          <w:bCs/>
          <w:color w:val="auto"/>
          <w:highlight w:val="none"/>
        </w:rPr>
        <w:t>十三、合同生效</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（一）本合同在甲乙双方法人代表或其授权代表签字盖章后生效。</w:t>
      </w:r>
    </w:p>
    <w:p>
      <w:pPr>
        <w:tabs>
          <w:tab w:val="left" w:pos="1655"/>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（二）合同壹式</w:t>
      </w:r>
      <w:r>
        <w:rPr>
          <w:rFonts w:hint="eastAsia" w:ascii="宋体" w:hAnsi="宋体" w:eastAsia="宋体" w:cs="宋体"/>
          <w:color w:val="auto"/>
          <w:highlight w:val="none"/>
          <w:u w:val="single"/>
        </w:rPr>
        <w:t>陆</w:t>
      </w:r>
      <w:r>
        <w:rPr>
          <w:rFonts w:hint="eastAsia" w:ascii="宋体" w:hAnsi="宋体" w:eastAsia="宋体" w:cs="宋体"/>
          <w:color w:val="auto"/>
          <w:highlight w:val="none"/>
        </w:rPr>
        <w:t>份，其中甲方执</w:t>
      </w:r>
      <w:r>
        <w:rPr>
          <w:rFonts w:hint="eastAsia" w:ascii="宋体" w:hAnsi="宋体" w:eastAsia="宋体" w:cs="宋体"/>
          <w:color w:val="auto"/>
          <w:highlight w:val="none"/>
          <w:u w:val="single"/>
        </w:rPr>
        <w:t>叁</w:t>
      </w:r>
      <w:r>
        <w:rPr>
          <w:rFonts w:hint="eastAsia" w:ascii="宋体" w:hAnsi="宋体" w:eastAsia="宋体" w:cs="宋体"/>
          <w:color w:val="auto"/>
          <w:highlight w:val="none"/>
        </w:rPr>
        <w:t>份，乙方执</w:t>
      </w:r>
      <w:r>
        <w:rPr>
          <w:rFonts w:hint="eastAsia" w:ascii="宋体" w:hAnsi="宋体" w:eastAsia="宋体" w:cs="宋体"/>
          <w:color w:val="auto"/>
          <w:highlight w:val="none"/>
          <w:u w:val="single"/>
        </w:rPr>
        <w:t>贰</w:t>
      </w:r>
      <w:r>
        <w:rPr>
          <w:rFonts w:hint="eastAsia" w:ascii="宋体" w:hAnsi="宋体" w:eastAsia="宋体" w:cs="宋体"/>
          <w:color w:val="auto"/>
          <w:highlight w:val="none"/>
        </w:rPr>
        <w:t>份，招标代理</w:t>
      </w:r>
      <w:r>
        <w:rPr>
          <w:rFonts w:hint="eastAsia" w:ascii="宋体" w:hAnsi="宋体" w:eastAsia="宋体" w:cs="宋体"/>
          <w:color w:val="auto"/>
          <w:highlight w:val="none"/>
          <w:u w:val="single"/>
        </w:rPr>
        <w:t>壹</w:t>
      </w:r>
      <w:r>
        <w:rPr>
          <w:rFonts w:hint="eastAsia" w:ascii="宋体" w:hAnsi="宋体" w:eastAsia="宋体" w:cs="宋体"/>
          <w:color w:val="auto"/>
          <w:highlight w:val="none"/>
        </w:rPr>
        <w:t>份。</w:t>
      </w:r>
    </w:p>
    <w:p>
      <w:pPr>
        <w:tabs>
          <w:tab w:val="left" w:pos="496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甲方（盖章）：</w:t>
      </w:r>
      <w:r>
        <w:rPr>
          <w:rFonts w:ascii="宋体" w:hAnsi="宋体" w:eastAsia="宋体" w:cs="Times New Roman"/>
          <w:color w:val="auto"/>
          <w:highlight w:val="none"/>
        </w:rPr>
        <w:tab/>
      </w:r>
      <w:r>
        <w:rPr>
          <w:rFonts w:hint="eastAsia" w:ascii="宋体" w:hAnsi="宋体" w:eastAsia="宋体" w:cs="宋体"/>
          <w:color w:val="auto"/>
          <w:highlight w:val="none"/>
        </w:rPr>
        <w:t>乙方（盖章）：</w:t>
      </w:r>
    </w:p>
    <w:p>
      <w:pPr>
        <w:tabs>
          <w:tab w:val="left" w:pos="496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代表：</w:t>
      </w:r>
      <w:r>
        <w:rPr>
          <w:rFonts w:ascii="宋体" w:hAnsi="宋体" w:eastAsia="宋体" w:cs="Times New Roman"/>
          <w:color w:val="auto"/>
          <w:highlight w:val="none"/>
        </w:rPr>
        <w:tab/>
      </w:r>
      <w:r>
        <w:rPr>
          <w:rFonts w:hint="eastAsia" w:ascii="宋体" w:hAnsi="宋体" w:eastAsia="宋体" w:cs="宋体"/>
          <w:color w:val="auto"/>
          <w:highlight w:val="none"/>
        </w:rPr>
        <w:t>代表：</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签订地点：</w:t>
      </w:r>
    </w:p>
    <w:p>
      <w:pPr>
        <w:tabs>
          <w:tab w:val="left" w:pos="2310"/>
        </w:tabs>
        <w:spacing w:line="580" w:lineRule="exact"/>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签订日期：</w:t>
      </w:r>
      <w:r>
        <w:rPr>
          <w:rFonts w:ascii="宋体" w:hAnsi="宋体" w:eastAsia="宋体" w:cs="宋体"/>
          <w:color w:val="auto"/>
          <w:highlight w:val="none"/>
        </w:rPr>
        <w:t xml:space="preserve"> </w:t>
      </w:r>
      <w:r>
        <w:rPr>
          <w:rFonts w:ascii="宋体" w:hAnsi="宋体" w:eastAsia="宋体" w:cs="宋体"/>
          <w:color w:val="auto"/>
          <w:highlight w:val="none"/>
        </w:rPr>
        <w:tab/>
      </w:r>
      <w:r>
        <w:rPr>
          <w:rFonts w:hint="eastAsia" w:ascii="宋体" w:hAnsi="宋体" w:eastAsia="宋体" w:cs="宋体"/>
          <w:color w:val="auto"/>
          <w:highlight w:val="none"/>
        </w:rPr>
        <w:t>年</w:t>
      </w:r>
      <w:r>
        <w:rPr>
          <w:rFonts w:ascii="宋体" w:hAnsi="宋体" w:eastAsia="宋体" w:cs="Times New Roman"/>
          <w:color w:val="auto"/>
          <w:highlight w:val="none"/>
        </w:rPr>
        <w:tab/>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Times New Roman"/>
          <w:color w:val="auto"/>
          <w:highlight w:val="none"/>
        </w:rPr>
        <w:tab/>
      </w:r>
      <w:r>
        <w:rPr>
          <w:rFonts w:ascii="宋体" w:hAnsi="宋体" w:eastAsia="宋体" w:cs="宋体"/>
          <w:color w:val="auto"/>
          <w:highlight w:val="none"/>
        </w:rPr>
        <w:t xml:space="preserve"> </w:t>
      </w:r>
      <w:r>
        <w:rPr>
          <w:rFonts w:hint="eastAsia" w:ascii="宋体" w:hAnsi="宋体" w:eastAsia="宋体" w:cs="宋体"/>
          <w:color w:val="auto"/>
          <w:highlight w:val="none"/>
        </w:rPr>
        <w:t>日</w:t>
      </w:r>
      <w:r>
        <w:rPr>
          <w:rFonts w:ascii="宋体" w:hAnsi="宋体" w:eastAsia="宋体" w:cs="Times New Roman"/>
          <w:color w:val="auto"/>
          <w:highlight w:val="none"/>
        </w:rPr>
        <w:tab/>
      </w:r>
      <w:r>
        <w:rPr>
          <w:rFonts w:ascii="宋体" w:hAnsi="宋体" w:eastAsia="宋体" w:cs="宋体"/>
          <w:color w:val="auto"/>
          <w:highlight w:val="none"/>
        </w:rPr>
        <w:t xml:space="preserve">       </w:t>
      </w:r>
      <w:r>
        <w:rPr>
          <w:rFonts w:hint="eastAsia" w:ascii="宋体" w:hAnsi="宋体" w:eastAsia="宋体" w:cs="宋体"/>
          <w:color w:val="auto"/>
          <w:highlight w:val="none"/>
        </w:rPr>
        <w:t>签订日期：</w:t>
      </w:r>
      <w:r>
        <w:rPr>
          <w:rFonts w:ascii="宋体" w:hAnsi="宋体" w:eastAsia="宋体" w:cs="宋体"/>
          <w:color w:val="auto"/>
          <w:highlight w:val="none"/>
        </w:rPr>
        <w:t xml:space="preserve">    </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Times New Roman"/>
          <w:color w:val="auto"/>
          <w:highlight w:val="none"/>
        </w:rPr>
        <w:tab/>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keepNext/>
        <w:keepLines/>
        <w:spacing w:line="360" w:lineRule="auto"/>
        <w:jc w:val="center"/>
        <w:outlineLvl w:val="3"/>
        <w:rPr>
          <w:rFonts w:ascii="宋体" w:hAnsi="宋体" w:eastAsia="宋体" w:cs="Times New Roman"/>
          <w:color w:val="auto"/>
          <w:sz w:val="32"/>
          <w:szCs w:val="32"/>
          <w:highlight w:val="none"/>
        </w:rPr>
      </w:pPr>
    </w:p>
    <w:p>
      <w:pPr>
        <w:rPr>
          <w:rFonts w:ascii="宋体" w:hAnsi="宋体" w:eastAsia="宋体" w:cs="Times New Roman"/>
          <w:color w:val="auto"/>
          <w:kern w:val="0"/>
          <w:highlight w:val="none"/>
        </w:rPr>
      </w:pPr>
      <w:r>
        <w:rPr>
          <w:rFonts w:ascii="宋体" w:hAnsi="宋体" w:eastAsia="宋体" w:cs="Times New Roman"/>
          <w:color w:val="auto"/>
          <w:kern w:val="0"/>
          <w:highlight w:val="none"/>
        </w:rPr>
        <w:br w:type="page"/>
      </w:r>
    </w:p>
    <w:p>
      <w:pPr>
        <w:pStyle w:val="2"/>
        <w:rPr>
          <w:rFonts w:cs="Times New Roman"/>
          <w:color w:val="auto"/>
          <w:highlight w:val="none"/>
        </w:rPr>
      </w:pPr>
    </w:p>
    <w:p>
      <w:pPr>
        <w:pStyle w:val="2"/>
        <w:rPr>
          <w:rFonts w:cs="Times New Roman"/>
          <w:color w:val="auto"/>
          <w:kern w:val="0"/>
          <w:highlight w:val="none"/>
        </w:rPr>
      </w:pPr>
    </w:p>
    <w:p>
      <w:pPr>
        <w:pStyle w:val="2"/>
        <w:rPr>
          <w:rFonts w:cs="Times New Roman"/>
          <w:color w:val="auto"/>
          <w:kern w:val="0"/>
          <w:highlight w:val="none"/>
        </w:rPr>
      </w:pPr>
    </w:p>
    <w:p>
      <w:pPr>
        <w:pStyle w:val="2"/>
        <w:rPr>
          <w:rFonts w:cs="Times New Roman"/>
          <w:color w:val="auto"/>
          <w:kern w:val="0"/>
          <w:highlight w:val="none"/>
        </w:rPr>
      </w:pPr>
    </w:p>
    <w:p>
      <w:pPr>
        <w:pStyle w:val="2"/>
        <w:rPr>
          <w:rFonts w:cs="Times New Roman"/>
          <w:color w:val="auto"/>
          <w:kern w:val="0"/>
          <w:highlight w:val="none"/>
        </w:rPr>
      </w:pPr>
    </w:p>
    <w:p>
      <w:pPr>
        <w:spacing w:line="360" w:lineRule="auto"/>
        <w:rPr>
          <w:rFonts w:ascii="宋体" w:hAnsi="宋体" w:eastAsia="宋体" w:cs="Times New Roman"/>
          <w:color w:val="auto"/>
          <w:kern w:val="0"/>
          <w:highlight w:val="none"/>
        </w:rPr>
      </w:pPr>
    </w:p>
    <w:p>
      <w:pPr>
        <w:rPr>
          <w:rFonts w:ascii="宋体" w:hAnsi="宋体" w:eastAsia="宋体" w:cs="Times New Roman"/>
          <w:color w:val="auto"/>
          <w:highlight w:val="none"/>
        </w:rPr>
      </w:pPr>
      <w:bookmarkStart w:id="261" w:name="OLE_LINK4"/>
    </w:p>
    <w:p>
      <w:pPr>
        <w:rPr>
          <w:rFonts w:ascii="宋体" w:hAnsi="宋体" w:eastAsia="宋体" w:cs="Times New Roman"/>
          <w:color w:val="auto"/>
          <w:highlight w:val="none"/>
        </w:rPr>
      </w:pPr>
    </w:p>
    <w:p>
      <w:pPr>
        <w:rPr>
          <w:rFonts w:ascii="宋体" w:hAnsi="宋体" w:eastAsia="宋体" w:cs="Times New Roman"/>
          <w:color w:val="auto"/>
          <w:highlight w:val="none"/>
        </w:rPr>
      </w:pPr>
    </w:p>
    <w:p>
      <w:pPr>
        <w:rPr>
          <w:rFonts w:ascii="宋体" w:hAnsi="宋体" w:eastAsia="宋体" w:cs="Times New Roman"/>
          <w:color w:val="auto"/>
          <w:highlight w:val="none"/>
        </w:rPr>
      </w:pPr>
    </w:p>
    <w:p>
      <w:pPr>
        <w:rPr>
          <w:rFonts w:ascii="宋体" w:hAnsi="宋体" w:eastAsia="宋体" w:cs="Times New Roman"/>
          <w:color w:val="auto"/>
          <w:highlight w:val="none"/>
        </w:rPr>
      </w:pPr>
    </w:p>
    <w:p>
      <w:pPr>
        <w:rPr>
          <w:rFonts w:ascii="宋体" w:hAnsi="宋体" w:eastAsia="宋体" w:cs="Times New Roman"/>
          <w:color w:val="auto"/>
          <w:highlight w:val="none"/>
        </w:rPr>
      </w:pPr>
    </w:p>
    <w:p>
      <w:pPr>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bookmarkStart w:id="262" w:name="_Toc475104528"/>
      <w:r>
        <w:rPr>
          <w:rFonts w:hint="eastAsia" w:ascii="宋体" w:hAnsi="宋体" w:eastAsia="宋体" w:cs="宋体"/>
          <w:b/>
          <w:bCs/>
          <w:color w:val="auto"/>
          <w:sz w:val="44"/>
          <w:szCs w:val="44"/>
          <w:highlight w:val="none"/>
        </w:rPr>
        <w:t>第五章</w:t>
      </w:r>
      <w:r>
        <w:rPr>
          <w:rFonts w:ascii="宋体" w:hAnsi="宋体" w:eastAsia="宋体" w:cs="宋体"/>
          <w:b/>
          <w:bCs/>
          <w:color w:val="auto"/>
          <w:sz w:val="44"/>
          <w:szCs w:val="44"/>
          <w:highlight w:val="none"/>
        </w:rPr>
        <w:t xml:space="preserve"> </w:t>
      </w:r>
      <w:r>
        <w:rPr>
          <w:rFonts w:hint="eastAsia" w:ascii="宋体" w:hAnsi="宋体" w:eastAsia="宋体" w:cs="宋体"/>
          <w:b/>
          <w:bCs/>
          <w:color w:val="auto"/>
          <w:sz w:val="44"/>
          <w:szCs w:val="44"/>
          <w:highlight w:val="none"/>
        </w:rPr>
        <w:t>评分体系与标准</w:t>
      </w:r>
      <w:bookmarkEnd w:id="262"/>
    </w:p>
    <w:p>
      <w:pPr>
        <w:numPr>
          <w:ilvl w:val="0"/>
          <w:numId w:val="7"/>
        </w:numPr>
        <w:autoSpaceDE w:val="0"/>
        <w:autoSpaceDN w:val="0"/>
        <w:adjustRightInd w:val="0"/>
        <w:snapToGrid w:val="0"/>
        <w:spacing w:line="360" w:lineRule="auto"/>
        <w:outlineLvl w:val="0"/>
        <w:rPr>
          <w:rFonts w:ascii="宋体" w:hAnsi="宋体" w:eastAsia="宋体" w:cs="Times New Roman"/>
          <w:b/>
          <w:bCs/>
          <w:color w:val="auto"/>
          <w:sz w:val="24"/>
          <w:szCs w:val="24"/>
          <w:highlight w:val="none"/>
        </w:rPr>
      </w:pPr>
      <w:r>
        <w:rPr>
          <w:rFonts w:ascii="Times New Roman" w:hAnsi="Times New Roman" w:eastAsia="宋体" w:cs="Times New Roman"/>
          <w:color w:val="auto"/>
          <w:sz w:val="44"/>
          <w:szCs w:val="44"/>
          <w:highlight w:val="none"/>
        </w:rPr>
        <w:br w:type="page"/>
      </w:r>
      <w:bookmarkStart w:id="263" w:name="_Toc333236674"/>
      <w:bookmarkStart w:id="264" w:name="_Toc475104529"/>
      <w:bookmarkStart w:id="265" w:name="_Toc98579065"/>
      <w:bookmarkStart w:id="266" w:name="_Toc264203535"/>
      <w:bookmarkStart w:id="267" w:name="_Toc42394513"/>
      <w:bookmarkStart w:id="268" w:name="_Toc98579007"/>
      <w:bookmarkStart w:id="269" w:name="_Toc101951266"/>
      <w:bookmarkStart w:id="270" w:name="_Toc101771375"/>
      <w:bookmarkStart w:id="271" w:name="_Toc101843128"/>
      <w:bookmarkStart w:id="272" w:name="_Toc42394669"/>
      <w:bookmarkStart w:id="273" w:name="_Toc98580289"/>
      <w:bookmarkStart w:id="274" w:name="_Toc50276153"/>
      <w:bookmarkStart w:id="275" w:name="_Toc98579606"/>
      <w:bookmarkStart w:id="276" w:name="_Toc101775128"/>
      <w:bookmarkStart w:id="277" w:name="_Toc41723931"/>
      <w:bookmarkStart w:id="278" w:name="_Toc41884701"/>
      <w:bookmarkStart w:id="279" w:name="_Toc42313167"/>
      <w:bookmarkStart w:id="280" w:name="_Toc138506092"/>
      <w:bookmarkStart w:id="281" w:name="_Toc104902929"/>
      <w:bookmarkStart w:id="282" w:name="_Toc108001800"/>
      <w:bookmarkStart w:id="283" w:name="_Toc124646434"/>
      <w:bookmarkStart w:id="284" w:name="_Toc169334816"/>
      <w:bookmarkStart w:id="285" w:name="_Toc101553661"/>
      <w:bookmarkStart w:id="286" w:name="_Toc131922503"/>
      <w:bookmarkStart w:id="287" w:name="_Toc66722112"/>
      <w:bookmarkStart w:id="288" w:name="_Toc104874465"/>
      <w:bookmarkStart w:id="289" w:name="_Toc28142601"/>
      <w:bookmarkStart w:id="290" w:name="_Toc124401382"/>
      <w:bookmarkStart w:id="291" w:name="_Toc35834934"/>
      <w:bookmarkStart w:id="292" w:name="_Toc102211724"/>
      <w:bookmarkStart w:id="293" w:name="_Toc148420070"/>
      <w:bookmarkStart w:id="294" w:name="_Toc68620012"/>
      <w:bookmarkStart w:id="295" w:name="_Toc124570687"/>
      <w:bookmarkStart w:id="296" w:name="_Toc34535380"/>
      <w:bookmarkStart w:id="297" w:name="_Toc148060906"/>
      <w:bookmarkStart w:id="298" w:name="_Toc101553556"/>
      <w:bookmarkStart w:id="299" w:name="_Toc67911942"/>
      <w:bookmarkStart w:id="300" w:name="_Toc125770208"/>
      <w:bookmarkStart w:id="301" w:name="_Toc131904930"/>
      <w:bookmarkStart w:id="302" w:name="_Toc28489533"/>
      <w:bookmarkStart w:id="303" w:name="_Toc108243616"/>
      <w:bookmarkStart w:id="304" w:name="_Toc138568672"/>
      <w:bookmarkStart w:id="305" w:name="_Toc95304223"/>
      <w:bookmarkStart w:id="306" w:name="_Toc113277292"/>
      <w:bookmarkStart w:id="307" w:name="_Toc150050902"/>
      <w:bookmarkStart w:id="308" w:name="_Toc95249607"/>
      <w:r>
        <w:rPr>
          <w:rFonts w:hint="eastAsia" w:ascii="宋体" w:hAnsi="宋体" w:eastAsia="宋体" w:cs="宋体"/>
          <w:color w:val="auto"/>
          <w:highlight w:val="none"/>
        </w:rPr>
        <w:t>开标</w:t>
      </w:r>
      <w:bookmarkEnd w:id="263"/>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开标在</w:t>
      </w: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确定的</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递交截止时间的同一时间公开进行，开标地点为</w:t>
      </w: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预先确定的地点。</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开标由</w:t>
      </w:r>
      <w:r>
        <w:rPr>
          <w:rFonts w:hint="eastAsia" w:ascii="宋体" w:hAnsi="宋体" w:eastAsia="宋体" w:cs="宋体"/>
          <w:color w:val="auto"/>
          <w:highlight w:val="none"/>
        </w:rPr>
        <w:t>采购人或</w:t>
      </w:r>
      <w:r>
        <w:rPr>
          <w:rFonts w:hint="eastAsia" w:ascii="宋体" w:hAnsi="宋体" w:eastAsia="宋体" w:cs="宋体"/>
          <w:color w:val="auto"/>
          <w:highlight w:val="none"/>
          <w:lang w:eastAsia="zh-TW"/>
        </w:rPr>
        <w:t>采购代理机构主持，邀请所有</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lang w:eastAsia="zh-TW"/>
        </w:rPr>
        <w:t>代表持本人身份证原件</w:t>
      </w:r>
      <w:r>
        <w:rPr>
          <w:rFonts w:hint="eastAsia" w:ascii="宋体" w:hAnsi="宋体" w:eastAsia="宋体" w:cs="宋体"/>
          <w:color w:val="auto"/>
          <w:highlight w:val="none"/>
        </w:rPr>
        <w:t>、法定代表人证明书、法定代表人授权书（如适用）参加。</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不足</w:t>
      </w:r>
      <w:r>
        <w:rPr>
          <w:rFonts w:ascii="宋体" w:hAnsi="宋体" w:eastAsia="宋体" w:cs="宋体"/>
          <w:color w:val="auto"/>
          <w:highlight w:val="none"/>
        </w:rPr>
        <w:t>3</w:t>
      </w:r>
      <w:r>
        <w:rPr>
          <w:rFonts w:hint="eastAsia" w:ascii="宋体" w:hAnsi="宋体" w:eastAsia="宋体" w:cs="宋体"/>
          <w:color w:val="auto"/>
          <w:highlight w:val="none"/>
        </w:rPr>
        <w:t>家的，不得开标。采购代理机构应在投标截止时间后当场退还遴选响应文件，并与</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办理退还手续。</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在公开遴选文件规定的投标截止时间到点时，主持人应当宣布投标截止时间已到，以后递交的遴选响应文件一律不予接受。</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主持人宣读开标大会会场纪律。</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在</w:t>
      </w:r>
      <w:r>
        <w:rPr>
          <w:rFonts w:hint="eastAsia" w:ascii="宋体" w:hAnsi="宋体" w:eastAsia="宋体" w:cs="宋体"/>
          <w:color w:val="auto"/>
          <w:highlight w:val="none"/>
        </w:rPr>
        <w:t>公开遴选文件</w:t>
      </w:r>
      <w:r>
        <w:rPr>
          <w:rFonts w:hint="eastAsia" w:ascii="宋体" w:hAnsi="宋体" w:eastAsia="宋体" w:cs="宋体"/>
          <w:color w:val="auto"/>
          <w:highlight w:val="none"/>
          <w:lang w:eastAsia="zh-TW"/>
        </w:rPr>
        <w:t>要求提交</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的截止时间前收到的所有经检查合格的</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，开标时，</w:t>
      </w:r>
      <w:r>
        <w:rPr>
          <w:rFonts w:hint="eastAsia" w:ascii="宋体" w:hAnsi="宋体" w:eastAsia="宋体" w:cs="宋体"/>
          <w:color w:val="auto"/>
          <w:highlight w:val="none"/>
        </w:rPr>
        <w:t>由递交遴选响应文件的前三名</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授权代表作为全体</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推选的代表就全部遴选响应文件的密封情况进行检查，也可以由招标人委托的公证机构检查并公证；经确认无误后，由招标工作人员当众拆封，宣读</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名称、价格、公开遴选文件允许提供的备选投标方案和遴选响应文件的其他主要内容</w:t>
      </w:r>
      <w:r>
        <w:rPr>
          <w:rFonts w:hint="eastAsia" w:ascii="宋体" w:hAnsi="宋体" w:eastAsia="宋体" w:cs="宋体"/>
          <w:color w:val="auto"/>
          <w:highlight w:val="none"/>
          <w:lang w:eastAsia="zh-TW"/>
        </w:rPr>
        <w:t>。</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开标会记录人应在开标记录表上记录唱标内容，并当场公示。</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lang w:eastAsia="zh-TW"/>
        </w:rPr>
        <w:t>如开标记录表上内容与</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不一致时，</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lang w:eastAsia="zh-TW"/>
        </w:rPr>
        <w:t>代表须当场提出。开标记录表由记录人、唱标人、</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lang w:eastAsia="zh-TW"/>
        </w:rPr>
        <w:t>代表和有关人员签字确认。</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lang w:eastAsia="zh-TW"/>
        </w:rPr>
        <w:t>代表对开标过程和开标记录有疑义，以及认为采购人、采购代理机构相关工作人员有需要回避的情形的，应当场提出询问或者回避申请。采购人、采购代理机构对</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lang w:eastAsia="zh-TW"/>
        </w:rPr>
        <w:t>代表提出的询问或者回避申请应当及时处理。</w:t>
      </w:r>
    </w:p>
    <w:p>
      <w:pPr>
        <w:numPr>
          <w:ilvl w:val="0"/>
          <w:numId w:val="7"/>
        </w:numPr>
        <w:autoSpaceDE w:val="0"/>
        <w:autoSpaceDN w:val="0"/>
        <w:adjustRightInd w:val="0"/>
        <w:snapToGrid w:val="0"/>
        <w:spacing w:line="360" w:lineRule="auto"/>
        <w:outlineLvl w:val="0"/>
        <w:rPr>
          <w:rFonts w:ascii="宋体" w:hAnsi="宋体" w:eastAsia="宋体" w:cs="Times New Roman"/>
          <w:color w:val="auto"/>
          <w:highlight w:val="none"/>
        </w:rPr>
      </w:pPr>
      <w:r>
        <w:rPr>
          <w:rFonts w:hint="eastAsia" w:ascii="宋体" w:hAnsi="宋体" w:eastAsia="宋体" w:cs="宋体"/>
          <w:color w:val="auto"/>
          <w:highlight w:val="none"/>
        </w:rPr>
        <w:t>本评审办法采用综合评分法。</w:t>
      </w:r>
      <w:bookmarkEnd w:id="264"/>
    </w:p>
    <w:p>
      <w:pPr>
        <w:numPr>
          <w:ilvl w:val="0"/>
          <w:numId w:val="7"/>
        </w:numPr>
        <w:autoSpaceDE w:val="0"/>
        <w:autoSpaceDN w:val="0"/>
        <w:adjustRightInd w:val="0"/>
        <w:snapToGrid w:val="0"/>
        <w:spacing w:line="360" w:lineRule="auto"/>
        <w:outlineLvl w:val="0"/>
        <w:rPr>
          <w:rFonts w:ascii="宋体" w:hAnsi="Times New Roman" w:eastAsia="宋体" w:cs="Times New Roman"/>
          <w:color w:val="auto"/>
          <w:highlight w:val="none"/>
        </w:rPr>
      </w:pPr>
      <w:bookmarkStart w:id="309" w:name="_Toc475104530"/>
      <w:bookmarkStart w:id="310" w:name="_Toc475104531"/>
      <w:r>
        <w:rPr>
          <w:rFonts w:hint="eastAsia" w:ascii="宋体" w:hAnsi="Times New Roman" w:eastAsia="宋体" w:cs="宋体"/>
          <w:color w:val="auto"/>
          <w:highlight w:val="none"/>
        </w:rPr>
        <w:t>通过资格性和符合性检查的有效供应商方有资格提交最后报价及进行技术、商务及价格的详细评审，最后评审小组出具公开遴选报告。</w:t>
      </w:r>
      <w:bookmarkEnd w:id="309"/>
    </w:p>
    <w:bookmarkEnd w:id="265"/>
    <w:bookmarkEnd w:id="266"/>
    <w:bookmarkEnd w:id="267"/>
    <w:bookmarkEnd w:id="268"/>
    <w:bookmarkEnd w:id="269"/>
    <w:bookmarkEnd w:id="270"/>
    <w:bookmarkEnd w:id="271"/>
    <w:bookmarkEnd w:id="272"/>
    <w:bookmarkEnd w:id="273"/>
    <w:bookmarkEnd w:id="274"/>
    <w:bookmarkEnd w:id="275"/>
    <w:bookmarkEnd w:id="276"/>
    <w:bookmarkEnd w:id="310"/>
    <w:p>
      <w:pPr>
        <w:numPr>
          <w:ilvl w:val="0"/>
          <w:numId w:val="7"/>
        </w:numPr>
        <w:autoSpaceDE w:val="0"/>
        <w:autoSpaceDN w:val="0"/>
        <w:adjustRightInd w:val="0"/>
        <w:snapToGrid w:val="0"/>
        <w:spacing w:line="360" w:lineRule="auto"/>
        <w:outlineLvl w:val="0"/>
        <w:rPr>
          <w:rFonts w:ascii="宋体" w:hAnsi="宋体" w:eastAsia="宋体" w:cs="Times New Roman"/>
          <w:color w:val="auto"/>
          <w:highlight w:val="none"/>
        </w:rPr>
      </w:pPr>
      <w:bookmarkStart w:id="311" w:name="_Toc475104532"/>
      <w:r>
        <w:rPr>
          <w:rFonts w:hint="eastAsia" w:ascii="宋体" w:hAnsi="Times New Roman" w:eastAsia="宋体" w:cs="宋体"/>
          <w:color w:val="auto"/>
          <w:highlight w:val="none"/>
        </w:rPr>
        <w:t>按照评审程序、评分标准以及权重分配的规定，评审小组各成员分别就各个</w:t>
      </w:r>
      <w:r>
        <w:rPr>
          <w:rFonts w:hint="eastAsia" w:ascii="宋体" w:hAnsi="宋体" w:eastAsia="宋体" w:cs="宋体"/>
          <w:color w:val="auto"/>
          <w:highlight w:val="none"/>
        </w:rPr>
        <w:t>供应商</w:t>
      </w:r>
      <w:r>
        <w:rPr>
          <w:rFonts w:hint="eastAsia" w:ascii="宋体" w:hAnsi="Times New Roman" w:eastAsia="宋体" w:cs="宋体"/>
          <w:color w:val="auto"/>
          <w:highlight w:val="none"/>
        </w:rPr>
        <w:t>的技术状况、商务状况及其对公开遴选文件要求的响应情况进行评议和比较，评出其</w:t>
      </w:r>
      <w:r>
        <w:rPr>
          <w:rFonts w:hint="eastAsia" w:ascii="宋体" w:hAnsi="宋体" w:eastAsia="宋体" w:cs="宋体"/>
          <w:color w:val="auto"/>
          <w:highlight w:val="none"/>
        </w:rPr>
        <w:t>商务技术</w:t>
      </w:r>
      <w:r>
        <w:rPr>
          <w:rFonts w:hint="eastAsia" w:ascii="宋体" w:hAnsi="Times New Roman" w:eastAsia="宋体" w:cs="宋体"/>
          <w:color w:val="auto"/>
          <w:highlight w:val="none"/>
        </w:rPr>
        <w:t>评分、价格评分相加得出其综合得分。</w:t>
      </w:r>
    </w:p>
    <w:p>
      <w:pPr>
        <w:numPr>
          <w:ilvl w:val="0"/>
          <w:numId w:val="7"/>
        </w:numPr>
        <w:autoSpaceDE w:val="0"/>
        <w:autoSpaceDN w:val="0"/>
        <w:adjustRightInd w:val="0"/>
        <w:snapToGrid w:val="0"/>
        <w:spacing w:line="360" w:lineRule="auto"/>
        <w:outlineLvl w:val="0"/>
        <w:rPr>
          <w:rFonts w:ascii="宋体" w:hAnsi="宋体" w:eastAsia="宋体" w:cs="Times New Roman"/>
          <w:color w:val="auto"/>
          <w:highlight w:val="none"/>
        </w:rPr>
      </w:pPr>
      <w:r>
        <w:rPr>
          <w:rFonts w:hint="eastAsia" w:ascii="宋体" w:hAnsi="宋体" w:eastAsia="宋体" w:cs="宋体"/>
          <w:color w:val="auto"/>
          <w:highlight w:val="none"/>
        </w:rPr>
        <w:t>评审以公开遴选文件规定的条件为依据。评分比重如下：</w:t>
      </w:r>
      <w:bookmarkEnd w:id="311"/>
    </w:p>
    <w:tbl>
      <w:tblPr>
        <w:tblStyle w:val="90"/>
        <w:tblpPr w:leftFromText="180" w:rightFromText="180" w:vertAnchor="text" w:tblpX="318" w:tblpY="2"/>
        <w:tblW w:w="89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0"/>
        <w:gridCol w:w="1823"/>
        <w:gridCol w:w="1890"/>
        <w:gridCol w:w="1890"/>
        <w:gridCol w:w="17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评分项目</w:t>
            </w:r>
          </w:p>
        </w:tc>
        <w:tc>
          <w:tcPr>
            <w:tcW w:w="1823"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商务部分</w:t>
            </w:r>
          </w:p>
        </w:tc>
        <w:tc>
          <w:tcPr>
            <w:tcW w:w="1890"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技术部分</w:t>
            </w:r>
          </w:p>
        </w:tc>
        <w:tc>
          <w:tcPr>
            <w:tcW w:w="1890"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价格部分</w:t>
            </w:r>
          </w:p>
        </w:tc>
        <w:tc>
          <w:tcPr>
            <w:tcW w:w="1785"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trPr>
        <w:tc>
          <w:tcPr>
            <w:tcW w:w="1540"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权重</w:t>
            </w:r>
          </w:p>
        </w:tc>
        <w:tc>
          <w:tcPr>
            <w:tcW w:w="1823"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35%</w:t>
            </w:r>
          </w:p>
        </w:tc>
        <w:tc>
          <w:tcPr>
            <w:tcW w:w="1890"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40%</w:t>
            </w:r>
          </w:p>
        </w:tc>
        <w:tc>
          <w:tcPr>
            <w:tcW w:w="1890"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25%</w:t>
            </w:r>
          </w:p>
        </w:tc>
        <w:tc>
          <w:tcPr>
            <w:tcW w:w="178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100%</w:t>
            </w:r>
          </w:p>
        </w:tc>
      </w:tr>
    </w:tbl>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bookmarkStart w:id="312" w:name="_Toc333236680"/>
      <w:bookmarkStart w:id="313" w:name="_Toc475104534"/>
      <w:r>
        <w:rPr>
          <w:rFonts w:hint="eastAsia" w:ascii="宋体" w:hAnsi="宋体" w:eastAsia="宋体" w:cs="宋体"/>
          <w:color w:val="auto"/>
          <w:highlight w:val="none"/>
        </w:rPr>
        <w:t>（</w:t>
      </w:r>
      <w:r>
        <w:rPr>
          <w:rFonts w:ascii="宋体" w:hAnsi="宋体" w:eastAsia="宋体" w:cs="宋体"/>
          <w:color w:val="auto"/>
          <w:highlight w:val="none"/>
        </w:rPr>
        <w:t>1</w:t>
      </w:r>
      <w:r>
        <w:rPr>
          <w:rFonts w:hint="eastAsia" w:ascii="宋体" w:hAnsi="宋体" w:eastAsia="宋体" w:cs="宋体"/>
          <w:color w:val="auto"/>
          <w:highlight w:val="none"/>
        </w:rPr>
        <w:t>）遴选响应文件中报价一览表（报价表）内容与遴选响应文件中相应内容不一致的，以报价一览表（报价表）为准；</w:t>
      </w:r>
    </w:p>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）大写金额和小写金额不一致的，以大写金额为准；</w:t>
      </w:r>
    </w:p>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3</w:t>
      </w:r>
      <w:r>
        <w:rPr>
          <w:rFonts w:hint="eastAsia" w:ascii="宋体" w:hAnsi="宋体" w:eastAsia="宋体" w:cs="宋体"/>
          <w:color w:val="auto"/>
          <w:highlight w:val="none"/>
        </w:rPr>
        <w:t>）单价金额小数点或者百分比有明显错位的，以报价一览表的总价为准，并修改单价；</w:t>
      </w:r>
    </w:p>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4</w:t>
      </w:r>
      <w:r>
        <w:rPr>
          <w:rFonts w:hint="eastAsia" w:ascii="宋体" w:hAnsi="宋体" w:eastAsia="宋体" w:cs="宋体"/>
          <w:color w:val="auto"/>
          <w:highlight w:val="none"/>
        </w:rPr>
        <w:t>）总价金额与按单价汇总金额不一致的，以单价金额计算结果为准。</w:t>
      </w:r>
    </w:p>
    <w:p>
      <w:pPr>
        <w:autoSpaceDE w:val="0"/>
        <w:autoSpaceDN w:val="0"/>
        <w:adjustRightInd w:val="0"/>
        <w:snapToGrid w:val="0"/>
        <w:spacing w:line="360" w:lineRule="auto"/>
        <w:ind w:firstLine="420" w:firstLineChars="200"/>
        <w:outlineLvl w:val="0"/>
        <w:rPr>
          <w:rFonts w:ascii="宋体" w:hAnsi="宋体" w:eastAsia="宋体" w:cs="Times New Roman"/>
          <w:color w:val="auto"/>
          <w:highlight w:val="none"/>
        </w:rPr>
      </w:pPr>
      <w:r>
        <w:rPr>
          <w:rFonts w:hint="eastAsia" w:ascii="宋体" w:hAnsi="宋体" w:eastAsia="宋体" w:cs="宋体"/>
          <w:color w:val="auto"/>
          <w:highlight w:val="none"/>
        </w:rPr>
        <w:t>同时出现两种以上不一致的，按照前款规定的顺序修正。</w:t>
      </w:r>
    </w:p>
    <w:p>
      <w:pPr>
        <w:numPr>
          <w:ilvl w:val="0"/>
          <w:numId w:val="7"/>
        </w:numPr>
        <w:autoSpaceDE w:val="0"/>
        <w:autoSpaceDN w:val="0"/>
        <w:adjustRightInd w:val="0"/>
        <w:snapToGrid w:val="0"/>
        <w:spacing w:line="360" w:lineRule="auto"/>
        <w:outlineLvl w:val="0"/>
        <w:rPr>
          <w:rFonts w:ascii="宋体" w:hAnsi="宋体" w:eastAsia="宋体" w:cs="Times New Roman"/>
          <w:color w:val="auto"/>
          <w:highlight w:val="none"/>
        </w:rPr>
      </w:pPr>
      <w:r>
        <w:rPr>
          <w:rFonts w:hint="eastAsia" w:ascii="宋体" w:hAnsi="宋体" w:eastAsia="宋体" w:cs="宋体"/>
          <w:color w:val="auto"/>
          <w:highlight w:val="none"/>
        </w:rPr>
        <w:t>商务技术评定</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由评审小组对所有有效遴选响应文件的商务技术响应方案进行审核和分析，填写《商务响应评分表》和《技术响应评分表》。评审内容见附表。</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评审小组各成员应当独立对每个有效响应的文件进行评价、打分，然后汇总每个供应商每项评分因素的得分。（四舍五入后，</w:t>
      </w:r>
      <w:r>
        <w:rPr>
          <w:rFonts w:hint="eastAsia" w:ascii="Arial" w:hAnsi="Arial" w:eastAsia="宋体" w:cs="宋体"/>
          <w:color w:val="auto"/>
          <w:highlight w:val="none"/>
        </w:rPr>
        <w:t>小数点后保留两位有效数</w:t>
      </w:r>
      <w:r>
        <w:rPr>
          <w:rFonts w:hint="eastAsia" w:ascii="宋体" w:hAnsi="宋体" w:eastAsia="宋体" w:cs="宋体"/>
          <w:color w:val="auto"/>
          <w:highlight w:val="none"/>
        </w:rPr>
        <w:t>）。</w:t>
      </w:r>
    </w:p>
    <w:bookmarkEnd w:id="277"/>
    <w:bookmarkEnd w:id="278"/>
    <w:bookmarkEnd w:id="279"/>
    <w:bookmarkEnd w:id="312"/>
    <w:bookmarkEnd w:id="313"/>
    <w:p>
      <w:pPr>
        <w:numPr>
          <w:ilvl w:val="0"/>
          <w:numId w:val="7"/>
        </w:numPr>
        <w:autoSpaceDE w:val="0"/>
        <w:autoSpaceDN w:val="0"/>
        <w:adjustRightInd w:val="0"/>
        <w:snapToGrid w:val="0"/>
        <w:spacing w:line="360" w:lineRule="auto"/>
        <w:outlineLvl w:val="0"/>
        <w:rPr>
          <w:rFonts w:ascii="宋体" w:hAnsi="宋体" w:eastAsia="宋体" w:cs="Times New Roman"/>
          <w:color w:val="auto"/>
          <w:highlight w:val="none"/>
        </w:rPr>
      </w:pPr>
      <w:bookmarkStart w:id="314" w:name="_Toc333236685"/>
      <w:bookmarkStart w:id="315" w:name="_Toc475104535"/>
      <w:r>
        <w:rPr>
          <w:rFonts w:hint="eastAsia" w:ascii="宋体" w:hAnsi="宋体" w:eastAsia="宋体" w:cs="宋体"/>
          <w:color w:val="auto"/>
          <w:highlight w:val="none"/>
        </w:rPr>
        <w:t>价格评定</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价格核准：评审小组对有效供应商的详细报价进行复核，看其是否有计算错误或供货范围上的错误，修正错误的原则参见第二章的</w:t>
      </w:r>
      <w:r>
        <w:rPr>
          <w:rFonts w:ascii="宋体" w:hAnsi="宋体" w:eastAsia="宋体" w:cs="宋体"/>
          <w:color w:val="auto"/>
          <w:highlight w:val="none"/>
        </w:rPr>
        <w:t>25.3</w:t>
      </w:r>
      <w:r>
        <w:rPr>
          <w:rFonts w:hint="eastAsia" w:ascii="宋体" w:hAnsi="宋体" w:eastAsia="宋体" w:cs="宋体"/>
          <w:color w:val="auto"/>
          <w:highlight w:val="none"/>
        </w:rPr>
        <w:t>条。</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价格评分：综合评分法中的价格分统一采用低价优先法计算，即满足遴选文件要求且最后报价最低的供应商的价格为遴选基准价，其价格分为满分。其他供应商的价格分统一按照下列公式计算：</w:t>
      </w:r>
    </w:p>
    <w:p>
      <w:pPr>
        <w:tabs>
          <w:tab w:val="left" w:pos="720"/>
        </w:tabs>
        <w:spacing w:line="360" w:lineRule="auto"/>
        <w:ind w:firstLine="630" w:firstLineChars="300"/>
        <w:rPr>
          <w:rFonts w:ascii="Times New Roman" w:hAnsi="Times New Roman" w:eastAsia="宋体" w:cs="Times New Roman"/>
          <w:color w:val="auto"/>
          <w:highlight w:val="none"/>
        </w:rPr>
      </w:pPr>
      <w:r>
        <w:rPr>
          <w:rFonts w:hint="eastAsia" w:ascii="宋体" w:hAnsi="宋体" w:eastAsia="宋体" w:cs="宋体"/>
          <w:color w:val="auto"/>
          <w:highlight w:val="none"/>
        </w:rPr>
        <w:t>　　遴选报价得分</w:t>
      </w:r>
      <w:r>
        <w:rPr>
          <w:rFonts w:ascii="宋体" w:hAnsi="宋体" w:eastAsia="宋体" w:cs="宋体"/>
          <w:color w:val="auto"/>
          <w:highlight w:val="none"/>
        </w:rPr>
        <w:t>=</w:t>
      </w:r>
      <w:r>
        <w:rPr>
          <w:rFonts w:hint="eastAsia" w:ascii="宋体" w:hAnsi="宋体" w:eastAsia="宋体" w:cs="宋体"/>
          <w:color w:val="auto"/>
          <w:highlight w:val="none"/>
        </w:rPr>
        <w:t>（遴选基准价</w:t>
      </w:r>
      <w:r>
        <w:rPr>
          <w:rFonts w:ascii="宋体" w:hAnsi="宋体" w:eastAsia="宋体" w:cs="宋体"/>
          <w:color w:val="auto"/>
          <w:highlight w:val="none"/>
        </w:rPr>
        <w:t>/</w:t>
      </w:r>
      <w:r>
        <w:rPr>
          <w:rFonts w:hint="eastAsia" w:ascii="宋体" w:hAnsi="宋体" w:eastAsia="宋体" w:cs="宋体"/>
          <w:color w:val="auto"/>
          <w:highlight w:val="none"/>
        </w:rPr>
        <w:t>最后遴选报价）×价格权值×</w:t>
      </w:r>
      <w:r>
        <w:rPr>
          <w:rFonts w:ascii="宋体" w:hAnsi="宋体" w:eastAsia="宋体" w:cs="宋体"/>
          <w:color w:val="auto"/>
          <w:highlight w:val="none"/>
        </w:rPr>
        <w:t>100</w:t>
      </w:r>
    </w:p>
    <w:p>
      <w:pPr>
        <w:autoSpaceDE w:val="0"/>
        <w:autoSpaceDN w:val="0"/>
        <w:adjustRightInd w:val="0"/>
        <w:snapToGrid w:val="0"/>
        <w:spacing w:line="360" w:lineRule="auto"/>
        <w:ind w:firstLine="630" w:firstLineChars="300"/>
        <w:jc w:val="left"/>
        <w:rPr>
          <w:rFonts w:ascii="Times New Roman" w:hAnsi="Times New Roman" w:eastAsia="宋体" w:cs="Times New Roman"/>
          <w:color w:val="auto"/>
          <w:highlight w:val="none"/>
        </w:rPr>
      </w:pPr>
      <w:r>
        <w:rPr>
          <w:rFonts w:hint="eastAsia" w:ascii="Times New Roman" w:hAnsi="Times New Roman" w:eastAsia="宋体" w:cs="宋体"/>
          <w:color w:val="auto"/>
          <w:highlight w:val="none"/>
        </w:rPr>
        <w:t>遴选报价得分四舍五入后，小数点后保留两位有效数。</w:t>
      </w:r>
    </w:p>
    <w:p>
      <w:pPr>
        <w:widowControl/>
        <w:spacing w:line="360" w:lineRule="auto"/>
        <w:ind w:firstLine="420" w:firstLineChars="200"/>
        <w:jc w:val="left"/>
        <w:rPr>
          <w:rFonts w:ascii="Times New Roman" w:hAnsi="Times New Roman" w:eastAsia="宋体" w:cs="Times New Roman"/>
          <w:color w:val="auto"/>
          <w:highlight w:val="none"/>
        </w:rPr>
      </w:pPr>
      <w:r>
        <w:rPr>
          <w:rFonts w:hint="eastAsia" w:ascii="Times New Roman" w:hAnsi="Times New Roman" w:eastAsia="宋体" w:cs="宋体"/>
          <w:color w:val="auto"/>
          <w:highlight w:val="none"/>
        </w:rPr>
        <w:t>争性遴选中第二次报价作为</w:t>
      </w:r>
      <w:r>
        <w:rPr>
          <w:rFonts w:hint="eastAsia" w:ascii="宋体" w:hAnsi="宋体" w:eastAsia="宋体" w:cs="宋体"/>
          <w:color w:val="auto"/>
          <w:kern w:val="0"/>
          <w:highlight w:val="none"/>
        </w:rPr>
        <w:t>最终响应</w:t>
      </w:r>
      <w:r>
        <w:rPr>
          <w:rFonts w:hint="eastAsia" w:ascii="Times New Roman" w:hAnsi="Times New Roman" w:eastAsia="宋体" w:cs="宋体"/>
          <w:color w:val="auto"/>
          <w:highlight w:val="none"/>
        </w:rPr>
        <w:t>，以供应商第二次报价作为基准，计算价格扣减作为供应商的价格评分，评审价只作为分值的计算，最终成交价格按照供应商第二次响应报价为准。</w:t>
      </w:r>
    </w:p>
    <w:p>
      <w:pPr>
        <w:widowControl/>
        <w:spacing w:line="360" w:lineRule="auto"/>
        <w:ind w:firstLine="420" w:firstLineChars="200"/>
        <w:jc w:val="left"/>
        <w:rPr>
          <w:rFonts w:ascii="宋体" w:hAnsi="宋体" w:eastAsia="宋体" w:cs="Times New Roman"/>
          <w:color w:val="auto"/>
          <w:highlight w:val="none"/>
          <w:lang w:eastAsia="zh-TW"/>
        </w:rPr>
      </w:pPr>
      <w:r>
        <w:rPr>
          <w:rFonts w:hint="eastAsia" w:ascii="宋体" w:hAnsi="宋体" w:eastAsia="宋体" w:cs="宋体"/>
          <w:color w:val="auto"/>
          <w:highlight w:val="none"/>
        </w:rPr>
        <w:t>评审过程中，不得去掉报价中的最高报价和最低报价。因落实政府采购政策进行价格调整的，以调整后的价格计算评审基准价和投标报价。</w:t>
      </w:r>
    </w:p>
    <w:p>
      <w:pPr>
        <w:widowControl/>
        <w:numPr>
          <w:ilvl w:val="2"/>
          <w:numId w:val="7"/>
        </w:numPr>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小型和微型企业产品价格扣除</w:t>
      </w:r>
    </w:p>
    <w:p>
      <w:pPr>
        <w:autoSpaceDE w:val="0"/>
        <w:autoSpaceDN w:val="0"/>
        <w:adjustRightInd w:val="0"/>
        <w:snapToGrid w:val="0"/>
        <w:spacing w:line="360" w:lineRule="auto"/>
        <w:ind w:firstLine="420" w:firstLineChars="20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1</w:t>
      </w:r>
      <w:r>
        <w:rPr>
          <w:rFonts w:hint="eastAsia" w:ascii="宋体" w:hAnsi="宋体" w:eastAsia="宋体" w:cs="宋体"/>
          <w:color w:val="auto"/>
          <w:highlight w:val="none"/>
        </w:rPr>
        <w:t>）根据财政部、工业和信息化部印发的《政府采购促进中小企业发展管理办法》（财库〔</w:t>
      </w:r>
      <w:r>
        <w:rPr>
          <w:rFonts w:ascii="宋体" w:hAnsi="宋体" w:eastAsia="宋体" w:cs="宋体"/>
          <w:color w:val="auto"/>
          <w:highlight w:val="none"/>
        </w:rPr>
        <w:t>2020</w:t>
      </w:r>
      <w:r>
        <w:rPr>
          <w:rFonts w:hint="eastAsia" w:ascii="宋体" w:hAnsi="宋体" w:eastAsia="宋体" w:cs="宋体"/>
          <w:color w:val="auto"/>
          <w:highlight w:val="none"/>
        </w:rPr>
        <w:t>〕</w:t>
      </w:r>
      <w:r>
        <w:rPr>
          <w:rFonts w:ascii="宋体" w:hAnsi="宋体" w:eastAsia="宋体" w:cs="宋体"/>
          <w:color w:val="auto"/>
          <w:highlight w:val="none"/>
        </w:rPr>
        <w:t>46</w:t>
      </w:r>
      <w:r>
        <w:rPr>
          <w:rFonts w:hint="eastAsia" w:ascii="宋体" w:hAnsi="宋体" w:eastAsia="宋体" w:cs="宋体"/>
          <w:color w:val="auto"/>
          <w:highlight w:val="none"/>
        </w:rPr>
        <w:t>号）的规定，对小型和微型企业产品的价格给予</w:t>
      </w:r>
      <w:r>
        <w:rPr>
          <w:rFonts w:ascii="宋体" w:hAnsi="宋体" w:eastAsia="宋体" w:cs="宋体"/>
          <w:color w:val="auto"/>
          <w:highlight w:val="none"/>
        </w:rPr>
        <w:t>8%</w:t>
      </w:r>
      <w:r>
        <w:rPr>
          <w:rFonts w:hint="eastAsia" w:ascii="宋体" w:hAnsi="宋体" w:eastAsia="宋体" w:cs="宋体"/>
          <w:color w:val="auto"/>
          <w:highlight w:val="none"/>
        </w:rPr>
        <w:t>的扣除，用扣除后的价格参与评审；投标产品中仅有部分小型和微型企业产品的，则按所投小型和微型企业产品的价格予以扣除。</w:t>
      </w:r>
    </w:p>
    <w:p>
      <w:pPr>
        <w:autoSpaceDE w:val="0"/>
        <w:autoSpaceDN w:val="0"/>
        <w:adjustRightInd w:val="0"/>
        <w:snapToGrid w:val="0"/>
        <w:spacing w:line="360" w:lineRule="auto"/>
        <w:ind w:left="525" w:leftChars="200" w:hanging="105" w:hangingChars="5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）《政府采购促进中小企业发展管理办法》所称中小企业（含中型、小型、微型企业，下同）应当同时符合以下条件：</w:t>
      </w:r>
    </w:p>
    <w:p>
      <w:pPr>
        <w:autoSpaceDE w:val="0"/>
        <w:autoSpaceDN w:val="0"/>
        <w:adjustRightInd w:val="0"/>
        <w:snapToGrid w:val="0"/>
        <w:spacing w:line="360" w:lineRule="auto"/>
        <w:ind w:left="525" w:leftChars="200" w:hanging="105" w:hangingChars="5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3</w:t>
      </w:r>
      <w:r>
        <w:rPr>
          <w:rFonts w:hint="eastAsia" w:ascii="宋体" w:hAnsi="宋体" w:eastAsia="宋体" w:cs="宋体"/>
          <w:color w:val="auto"/>
          <w:highlight w:val="none"/>
        </w:rPr>
        <w:t>）提供本企业制造的货物、承担的工程或者服务，或者提供其他中小企业制造的货物。本项所称货物不包括使用大型企业注册商标的货物。</w:t>
      </w:r>
    </w:p>
    <w:p>
      <w:pPr>
        <w:autoSpaceDE w:val="0"/>
        <w:autoSpaceDN w:val="0"/>
        <w:adjustRightInd w:val="0"/>
        <w:snapToGrid w:val="0"/>
        <w:spacing w:line="360" w:lineRule="auto"/>
        <w:ind w:left="525" w:leftChars="200" w:hanging="105" w:hangingChars="5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4</w:t>
      </w:r>
      <w:r>
        <w:rPr>
          <w:rFonts w:hint="eastAsia" w:ascii="宋体" w:hAnsi="宋体" w:eastAsia="宋体" w:cs="宋体"/>
          <w:color w:val="auto"/>
          <w:highlight w:val="none"/>
        </w:rPr>
        <w:t>）中小企业划分标准以《工业和信息化部、国家统计局、国家发展和改革委员会、财政部关于印发中小企业划型标准规定的通知》（工信部联企业</w:t>
      </w:r>
      <w:r>
        <w:rPr>
          <w:rFonts w:ascii="宋体" w:hAnsi="宋体" w:eastAsia="宋体" w:cs="宋体"/>
          <w:color w:val="auto"/>
          <w:highlight w:val="none"/>
        </w:rPr>
        <w:t>[2011]300</w:t>
      </w:r>
      <w:r>
        <w:rPr>
          <w:rFonts w:hint="eastAsia" w:ascii="宋体" w:hAnsi="宋体" w:eastAsia="宋体" w:cs="宋体"/>
          <w:color w:val="auto"/>
          <w:highlight w:val="none"/>
        </w:rPr>
        <w:t>号）规定的划分标准为准。</w:t>
      </w:r>
    </w:p>
    <w:p>
      <w:pPr>
        <w:autoSpaceDE w:val="0"/>
        <w:autoSpaceDN w:val="0"/>
        <w:adjustRightInd w:val="0"/>
        <w:snapToGrid w:val="0"/>
        <w:spacing w:line="360" w:lineRule="auto"/>
        <w:ind w:left="525" w:leftChars="200" w:hanging="105" w:hangingChars="5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5</w:t>
      </w:r>
      <w:r>
        <w:rPr>
          <w:rFonts w:hint="eastAsia" w:ascii="宋体" w:hAnsi="宋体" w:eastAsia="宋体" w:cs="宋体"/>
          <w:color w:val="auto"/>
          <w:highlight w:val="none"/>
        </w:rPr>
        <w:t>）小型、微型企业提供中型企业制造的货物的，视同为中型企业。</w:t>
      </w:r>
    </w:p>
    <w:p>
      <w:pPr>
        <w:autoSpaceDE w:val="0"/>
        <w:autoSpaceDN w:val="0"/>
        <w:adjustRightInd w:val="0"/>
        <w:snapToGrid w:val="0"/>
        <w:spacing w:line="360" w:lineRule="auto"/>
        <w:ind w:left="525" w:leftChars="250"/>
        <w:jc w:val="left"/>
        <w:rPr>
          <w:rFonts w:ascii="宋体" w:hAnsi="宋体" w:eastAsia="宋体" w:cs="Times New Roman"/>
          <w:color w:val="auto"/>
          <w:highlight w:val="none"/>
        </w:rPr>
      </w:pPr>
      <w:r>
        <w:rPr>
          <w:rFonts w:hint="eastAsia" w:ascii="宋体" w:hAnsi="宋体" w:eastAsia="宋体" w:cs="宋体"/>
          <w:color w:val="auto"/>
          <w:highlight w:val="none"/>
        </w:rPr>
        <w:t>如</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为非制造商，其代理产品的制造商也应同时提交《中小企业声明函》，否则评审时不能享受相应的价格扣除。</w:t>
      </w:r>
    </w:p>
    <w:p>
      <w:pPr>
        <w:widowControl/>
        <w:numPr>
          <w:ilvl w:val="2"/>
          <w:numId w:val="7"/>
        </w:numPr>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监狱企业产品价格扣除</w:t>
      </w:r>
    </w:p>
    <w:p>
      <w:pPr>
        <w:autoSpaceDE w:val="0"/>
        <w:autoSpaceDN w:val="0"/>
        <w:adjustRightInd w:val="0"/>
        <w:snapToGrid w:val="0"/>
        <w:spacing w:line="360" w:lineRule="auto"/>
        <w:ind w:left="525" w:leftChars="200" w:hanging="105" w:hangingChars="5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1</w:t>
      </w:r>
      <w:r>
        <w:rPr>
          <w:rFonts w:hint="eastAsia" w:ascii="宋体" w:hAnsi="宋体" w:eastAsia="宋体" w:cs="宋体"/>
          <w:color w:val="auto"/>
          <w:highlight w:val="none"/>
        </w:rPr>
        <w:t>）监狱企业视同小型、微型企业，按上述小型微型条款享受评审中价格扣除。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autoSpaceDE w:val="0"/>
        <w:autoSpaceDN w:val="0"/>
        <w:adjustRightInd w:val="0"/>
        <w:snapToGrid w:val="0"/>
        <w:spacing w:line="360" w:lineRule="auto"/>
        <w:ind w:left="525" w:leftChars="200" w:hanging="105" w:hangingChars="5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3</w:t>
      </w:r>
      <w:r>
        <w:rPr>
          <w:rFonts w:hint="eastAsia" w:ascii="宋体" w:hAnsi="宋体" w:eastAsia="宋体" w:cs="宋体"/>
          <w:color w:val="auto"/>
          <w:highlight w:val="none"/>
        </w:rPr>
        <w:t>）监狱企业参加政府采购活动时，应当提供由省级以上监狱管理局、戒毒管理局（含新疆生产建设兵团）出具的属于监狱企业的证明文件，否则不予认可。</w:t>
      </w:r>
    </w:p>
    <w:p>
      <w:pPr>
        <w:widowControl/>
        <w:numPr>
          <w:ilvl w:val="2"/>
          <w:numId w:val="7"/>
        </w:numPr>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残疾人福利性单位产品价格扣除</w:t>
      </w:r>
    </w:p>
    <w:p>
      <w:pPr>
        <w:autoSpaceDE w:val="0"/>
        <w:autoSpaceDN w:val="0"/>
        <w:adjustRightInd w:val="0"/>
        <w:snapToGrid w:val="0"/>
        <w:spacing w:line="360" w:lineRule="auto"/>
        <w:ind w:left="525" w:leftChars="200" w:hanging="105" w:hangingChars="5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1</w:t>
      </w:r>
      <w:r>
        <w:rPr>
          <w:rFonts w:hint="eastAsia" w:ascii="宋体" w:hAnsi="宋体" w:eastAsia="宋体" w:cs="宋体"/>
          <w:color w:val="auto"/>
          <w:highlight w:val="none"/>
        </w:rPr>
        <w:t>）残疾人福利性单位视同小型、微型企业，按上述小型微型条款享受评审中价格扣除。</w:t>
      </w:r>
    </w:p>
    <w:p>
      <w:pPr>
        <w:autoSpaceDE w:val="0"/>
        <w:autoSpaceDN w:val="0"/>
        <w:adjustRightInd w:val="0"/>
        <w:snapToGrid w:val="0"/>
        <w:spacing w:line="360" w:lineRule="auto"/>
        <w:ind w:left="525" w:leftChars="200" w:hanging="105" w:hangingChars="50"/>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）根据财政部、民政部、中国残疾人联合会印发的《关于促进残疾人就业政府采购政策的通知》（财库〔</w:t>
      </w:r>
      <w:r>
        <w:rPr>
          <w:rFonts w:ascii="宋体" w:hAnsi="宋体" w:eastAsia="宋体" w:cs="宋体"/>
          <w:color w:val="auto"/>
          <w:highlight w:val="none"/>
        </w:rPr>
        <w:t>2017</w:t>
      </w:r>
      <w:r>
        <w:rPr>
          <w:rFonts w:hint="eastAsia" w:ascii="宋体" w:hAnsi="宋体" w:eastAsia="宋体" w:cs="宋体"/>
          <w:color w:val="auto"/>
          <w:highlight w:val="none"/>
        </w:rPr>
        <w:t>〕</w:t>
      </w:r>
      <w:r>
        <w:rPr>
          <w:rFonts w:ascii="宋体" w:hAnsi="宋体" w:eastAsia="宋体" w:cs="宋体"/>
          <w:color w:val="auto"/>
          <w:highlight w:val="none"/>
        </w:rPr>
        <w:t>141</w:t>
      </w:r>
      <w:r>
        <w:rPr>
          <w:rFonts w:hint="eastAsia" w:ascii="宋体" w:hAnsi="宋体" w:eastAsia="宋体" w:cs="宋体"/>
          <w:color w:val="auto"/>
          <w:highlight w:val="none"/>
        </w:rPr>
        <w:t>号）的规定，符合条件的残疾人福利性单位在参加政府采购活动时，应当提供该通知规定的《残疾人福利性单位声明函》（格式见第六章遴选响应文件格式），并对声明的真实性负责。一旦中标将在中标公告中公告其声明函，接受社会监督。</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提供的《残疾人福利性单位声明函》与事实不符的，依照《政府采购法》第七十七条第一款的规定追究法律责任。</w:t>
      </w:r>
    </w:p>
    <w:p>
      <w:pPr>
        <w:widowControl/>
        <w:numPr>
          <w:ilvl w:val="2"/>
          <w:numId w:val="7"/>
        </w:numPr>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节能产品、环境标志产品价格扣除。</w:t>
      </w:r>
    </w:p>
    <w:p>
      <w:pPr>
        <w:autoSpaceDE w:val="0"/>
        <w:autoSpaceDN w:val="0"/>
        <w:adjustRightInd w:val="0"/>
        <w:snapToGrid w:val="0"/>
        <w:spacing w:line="360" w:lineRule="auto"/>
        <w:ind w:left="630" w:leftChars="300" w:firstLine="105" w:firstLineChars="50"/>
        <w:jc w:val="left"/>
        <w:rPr>
          <w:rFonts w:ascii="宋体" w:hAnsi="宋体" w:eastAsia="宋体" w:cs="Times New Roman"/>
          <w:color w:val="auto"/>
          <w:highlight w:val="none"/>
        </w:rPr>
      </w:pPr>
      <w:r>
        <w:rPr>
          <w:rFonts w:hint="eastAsia" w:ascii="宋体" w:hAnsi="宋体" w:eastAsia="宋体" w:cs="宋体"/>
          <w:color w:val="auto"/>
          <w:highlight w:val="none"/>
        </w:rPr>
        <w:t>投标产品依据国家确定的认证机构出具的、处于有效期之内的节能产品、环境标志产品，对获得节能产品认证证书或环境标志产品认证证书的产品价格给予</w:t>
      </w:r>
      <w:r>
        <w:rPr>
          <w:rFonts w:ascii="宋体" w:hAnsi="宋体" w:eastAsia="宋体" w:cs="宋体"/>
          <w:color w:val="auto"/>
          <w:highlight w:val="none"/>
        </w:rPr>
        <w:t>5%</w:t>
      </w:r>
      <w:r>
        <w:rPr>
          <w:rFonts w:hint="eastAsia" w:ascii="宋体" w:hAnsi="宋体" w:eastAsia="宋体" w:cs="宋体"/>
          <w:color w:val="auto"/>
          <w:highlight w:val="none"/>
        </w:rPr>
        <w:t>的扣除，用扣除后的价格参与评审。（提供投标产品所获证书加盖</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公章）。</w:t>
      </w:r>
    </w:p>
    <w:p>
      <w:pPr>
        <w:widowControl/>
        <w:numPr>
          <w:ilvl w:val="2"/>
          <w:numId w:val="7"/>
        </w:numPr>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lang w:eastAsia="zh-TW"/>
        </w:rPr>
        <w:t>同时为小型、微型企业、监狱企业、残疾人福利性单位任两种或以上情况的，评审中只享受一次价格扣除，不重复进行价格扣除。</w:t>
      </w:r>
    </w:p>
    <w:p>
      <w:pPr>
        <w:widowControl/>
        <w:numPr>
          <w:ilvl w:val="2"/>
          <w:numId w:val="7"/>
        </w:numPr>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val="en-GB" w:eastAsia="zh-CN"/>
        </w:rPr>
        <w:t>供应商</w:t>
      </w:r>
      <w:r>
        <w:rPr>
          <w:rFonts w:hint="eastAsia" w:ascii="宋体" w:hAnsi="宋体" w:eastAsia="宋体" w:cs="宋体"/>
          <w:color w:val="auto"/>
          <w:highlight w:val="none"/>
          <w:lang w:eastAsia="zh-TW"/>
        </w:rPr>
        <w:t>应当提供《</w:t>
      </w:r>
      <w:r>
        <w:rPr>
          <w:rFonts w:hint="eastAsia" w:ascii="宋体" w:hAnsi="宋体" w:eastAsia="宋体" w:cs="宋体"/>
          <w:color w:val="auto"/>
          <w:highlight w:val="none"/>
          <w:lang w:val="en-GB" w:eastAsia="zh-TW"/>
        </w:rPr>
        <w:t>产品适用政府采购政策情况表</w:t>
      </w:r>
      <w:r>
        <w:rPr>
          <w:rFonts w:hint="eastAsia" w:ascii="宋体" w:hAnsi="宋体" w:eastAsia="宋体" w:cs="宋体"/>
          <w:color w:val="auto"/>
          <w:highlight w:val="none"/>
          <w:lang w:eastAsia="zh-TW"/>
        </w:rPr>
        <w:t>》（格式见第七章</w:t>
      </w:r>
      <w:r>
        <w:rPr>
          <w:rFonts w:hint="eastAsia" w:ascii="宋体" w:hAnsi="宋体" w:eastAsia="宋体" w:cs="宋体"/>
          <w:color w:val="auto"/>
          <w:highlight w:val="none"/>
        </w:rPr>
        <w:t>遴选响应文件</w:t>
      </w:r>
      <w:r>
        <w:rPr>
          <w:rFonts w:hint="eastAsia" w:ascii="宋体" w:hAnsi="宋体" w:eastAsia="宋体" w:cs="宋体"/>
          <w:color w:val="auto"/>
          <w:highlight w:val="none"/>
          <w:lang w:eastAsia="zh-TW"/>
        </w:rPr>
        <w:t>格式）。</w:t>
      </w:r>
    </w:p>
    <w:p>
      <w:pPr>
        <w:numPr>
          <w:ilvl w:val="1"/>
          <w:numId w:val="7"/>
        </w:numPr>
        <w:autoSpaceDE w:val="0"/>
        <w:autoSpaceDN w:val="0"/>
        <w:adjustRightInd w:val="0"/>
        <w:snapToGrid w:val="0"/>
        <w:spacing w:before="120" w:beforeLines="50"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评审结果汇总完成后，除下列情形外，任何人不得修改评审结果：</w:t>
      </w:r>
    </w:p>
    <w:p>
      <w:pPr>
        <w:widowControl/>
        <w:numPr>
          <w:ilvl w:val="2"/>
          <w:numId w:val="7"/>
        </w:numPr>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分值汇总计算错误的；</w:t>
      </w:r>
    </w:p>
    <w:p>
      <w:pPr>
        <w:widowControl/>
        <w:numPr>
          <w:ilvl w:val="2"/>
          <w:numId w:val="7"/>
        </w:numPr>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分项评分超出评分标准范围的；</w:t>
      </w:r>
    </w:p>
    <w:p>
      <w:pPr>
        <w:widowControl/>
        <w:numPr>
          <w:ilvl w:val="2"/>
          <w:numId w:val="7"/>
        </w:numPr>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rPr>
        <w:t>评审</w:t>
      </w:r>
      <w:r>
        <w:rPr>
          <w:rFonts w:hint="eastAsia" w:ascii="宋体" w:hAnsi="宋体" w:eastAsia="宋体" w:cs="宋体"/>
          <w:color w:val="auto"/>
          <w:highlight w:val="none"/>
          <w:lang w:eastAsia="zh-TW"/>
        </w:rPr>
        <w:t>委员会成员对客观评审因素评分不一致的；</w:t>
      </w:r>
    </w:p>
    <w:p>
      <w:pPr>
        <w:widowControl/>
        <w:numPr>
          <w:ilvl w:val="2"/>
          <w:numId w:val="7"/>
        </w:numPr>
        <w:spacing w:line="360" w:lineRule="auto"/>
        <w:jc w:val="left"/>
        <w:rPr>
          <w:rFonts w:ascii="宋体" w:hAnsi="宋体" w:eastAsia="宋体" w:cs="Times New Roman"/>
          <w:color w:val="auto"/>
          <w:highlight w:val="none"/>
          <w:lang w:eastAsia="zh-TW"/>
        </w:rPr>
      </w:pPr>
      <w:r>
        <w:rPr>
          <w:rFonts w:hint="eastAsia" w:ascii="宋体" w:hAnsi="宋体" w:eastAsia="宋体" w:cs="宋体"/>
          <w:color w:val="auto"/>
          <w:highlight w:val="none"/>
          <w:lang w:eastAsia="zh-TW"/>
        </w:rPr>
        <w:t>经</w:t>
      </w:r>
      <w:r>
        <w:rPr>
          <w:rFonts w:hint="eastAsia" w:ascii="宋体" w:hAnsi="宋体" w:eastAsia="宋体" w:cs="宋体"/>
          <w:color w:val="auto"/>
          <w:highlight w:val="none"/>
        </w:rPr>
        <w:t>评审</w:t>
      </w:r>
      <w:r>
        <w:rPr>
          <w:rFonts w:hint="eastAsia" w:ascii="宋体" w:hAnsi="宋体" w:eastAsia="宋体" w:cs="宋体"/>
          <w:color w:val="auto"/>
          <w:highlight w:val="none"/>
          <w:lang w:eastAsia="zh-TW"/>
        </w:rPr>
        <w:t>委员会认定评分畸高、畸低的。</w:t>
      </w:r>
    </w:p>
    <w:p>
      <w:pPr>
        <w:autoSpaceDE w:val="0"/>
        <w:autoSpaceDN w:val="0"/>
        <w:adjustRightInd w:val="0"/>
        <w:snapToGrid w:val="0"/>
        <w:spacing w:line="360" w:lineRule="auto"/>
        <w:outlineLvl w:val="0"/>
        <w:rPr>
          <w:rFonts w:ascii="宋体" w:hAnsi="宋体" w:eastAsia="宋体" w:cs="Times New Roman"/>
          <w:color w:val="auto"/>
          <w:highlight w:val="none"/>
          <w:lang w:eastAsia="zh-TW"/>
        </w:rPr>
      </w:pPr>
      <w:r>
        <w:rPr>
          <w:rFonts w:hint="eastAsia" w:ascii="宋体" w:hAnsi="宋体" w:eastAsia="宋体" w:cs="宋体"/>
          <w:color w:val="auto"/>
          <w:highlight w:val="none"/>
        </w:rPr>
        <w:t>评审</w:t>
      </w:r>
      <w:r>
        <w:rPr>
          <w:rFonts w:hint="eastAsia" w:ascii="宋体" w:hAnsi="宋体" w:eastAsia="宋体" w:cs="宋体"/>
          <w:color w:val="auto"/>
          <w:highlight w:val="none"/>
          <w:lang w:eastAsia="zh-TW"/>
        </w:rPr>
        <w:t>报告签署前</w:t>
      </w:r>
      <w:r>
        <w:rPr>
          <w:rFonts w:hint="eastAsia" w:ascii="宋体" w:hAnsi="宋体" w:eastAsia="宋体" w:cs="宋体"/>
          <w:color w:val="auto"/>
          <w:highlight w:val="none"/>
        </w:rPr>
        <w:t>，经复核发现存在以上情形之一的，评审委员会应当当场修改评审结果，并在评审报告中记载。</w:t>
      </w:r>
    </w:p>
    <w:p>
      <w:pPr>
        <w:numPr>
          <w:ilvl w:val="1"/>
          <w:numId w:val="7"/>
        </w:numPr>
        <w:autoSpaceDE w:val="0"/>
        <w:autoSpaceDN w:val="0"/>
        <w:adjustRightInd w:val="0"/>
        <w:snapToGrid w:val="0"/>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综合评分的计算</w:t>
      </w:r>
    </w:p>
    <w:p>
      <w:pPr>
        <w:numPr>
          <w:ilvl w:val="1"/>
          <w:numId w:val="7"/>
        </w:numPr>
        <w:autoSpaceDE w:val="0"/>
        <w:autoSpaceDN w:val="0"/>
        <w:adjustRightInd w:val="0"/>
        <w:snapToGrid w:val="0"/>
        <w:spacing w:line="360" w:lineRule="auto"/>
        <w:jc w:val="left"/>
        <w:rPr>
          <w:rFonts w:ascii="Times New Roman" w:hAnsi="Times New Roman" w:eastAsia="宋体" w:cs="Times New Roman"/>
          <w:color w:val="auto"/>
          <w:highlight w:val="none"/>
        </w:rPr>
      </w:pPr>
      <w:r>
        <w:rPr>
          <w:rFonts w:hint="eastAsia" w:ascii="宋体" w:hAnsi="宋体" w:eastAsia="宋体" w:cs="宋体"/>
          <w:color w:val="auto"/>
          <w:highlight w:val="none"/>
        </w:rPr>
        <w:t>综合评分</w:t>
      </w:r>
      <w:r>
        <w:rPr>
          <w:rFonts w:ascii="宋体" w:hAnsi="宋体" w:eastAsia="宋体" w:cs="宋体"/>
          <w:color w:val="auto"/>
          <w:highlight w:val="none"/>
        </w:rPr>
        <w:t>=</w:t>
      </w:r>
      <w:r>
        <w:rPr>
          <w:rFonts w:hint="eastAsia" w:ascii="宋体" w:hAnsi="宋体" w:eastAsia="宋体" w:cs="宋体"/>
          <w:color w:val="auto"/>
          <w:highlight w:val="none"/>
        </w:rPr>
        <w:t>商务得分</w:t>
      </w:r>
      <w:r>
        <w:rPr>
          <w:rFonts w:ascii="宋体" w:hAnsi="宋体" w:eastAsia="宋体" w:cs="宋体"/>
          <w:color w:val="auto"/>
          <w:highlight w:val="none"/>
        </w:rPr>
        <w:t>+</w:t>
      </w:r>
      <w:r>
        <w:rPr>
          <w:rFonts w:hint="eastAsia" w:ascii="宋体" w:hAnsi="宋体" w:eastAsia="宋体" w:cs="宋体"/>
          <w:color w:val="auto"/>
          <w:highlight w:val="none"/>
        </w:rPr>
        <w:t>技术得分</w:t>
      </w:r>
      <w:r>
        <w:rPr>
          <w:rFonts w:ascii="宋体" w:hAnsi="宋体" w:eastAsia="宋体" w:cs="宋体"/>
          <w:color w:val="auto"/>
          <w:highlight w:val="none"/>
        </w:rPr>
        <w:t>+</w:t>
      </w:r>
      <w:r>
        <w:rPr>
          <w:rFonts w:hint="eastAsia" w:ascii="宋体" w:hAnsi="宋体" w:eastAsia="宋体" w:cs="宋体"/>
          <w:color w:val="auto"/>
          <w:highlight w:val="none"/>
        </w:rPr>
        <w:t>价格得分。各项得分按四舍五入原则精确到小数点后两位。</w:t>
      </w:r>
    </w:p>
    <w:p>
      <w:pPr>
        <w:numPr>
          <w:ilvl w:val="0"/>
          <w:numId w:val="7"/>
        </w:numPr>
        <w:autoSpaceDE w:val="0"/>
        <w:autoSpaceDN w:val="0"/>
        <w:adjustRightInd w:val="0"/>
        <w:snapToGrid w:val="0"/>
        <w:spacing w:line="360" w:lineRule="auto"/>
        <w:outlineLvl w:val="0"/>
        <w:rPr>
          <w:rFonts w:ascii="宋体" w:hAnsi="宋体" w:eastAsia="宋体" w:cs="Times New Roman"/>
          <w:color w:val="auto"/>
          <w:highlight w:val="none"/>
        </w:rPr>
      </w:pPr>
      <w:r>
        <w:rPr>
          <w:rFonts w:hint="eastAsia" w:ascii="宋体" w:hAnsi="宋体" w:eastAsia="宋体" w:cs="宋体"/>
          <w:color w:val="auto"/>
          <w:highlight w:val="none"/>
        </w:rPr>
        <w:t>附件</w:t>
      </w:r>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14"/>
      <w:bookmarkEnd w:id="315"/>
    </w:p>
    <w:p>
      <w:pPr>
        <w:spacing w:line="360" w:lineRule="auto"/>
        <w:ind w:firstLine="403" w:firstLineChars="192"/>
        <w:rPr>
          <w:rFonts w:ascii="宋体" w:hAnsi="宋体" w:eastAsia="宋体" w:cs="Times New Roman"/>
          <w:color w:val="auto"/>
          <w:kern w:val="0"/>
          <w:highlight w:val="none"/>
        </w:rPr>
      </w:pPr>
      <w:r>
        <w:rPr>
          <w:rFonts w:hint="eastAsia" w:ascii="宋体" w:hAnsi="宋体" w:eastAsia="宋体" w:cs="宋体"/>
          <w:color w:val="auto"/>
          <w:kern w:val="0"/>
          <w:highlight w:val="none"/>
        </w:rPr>
        <w:t>本评审文件包括以下评审过程中所需文件附件：</w:t>
      </w:r>
    </w:p>
    <w:p>
      <w:pPr>
        <w:spacing w:line="360" w:lineRule="auto"/>
        <w:ind w:left="720" w:leftChars="343"/>
        <w:rPr>
          <w:rFonts w:ascii="宋体" w:hAnsi="宋体" w:eastAsia="宋体" w:cs="Times New Roman"/>
          <w:color w:val="auto"/>
          <w:kern w:val="0"/>
          <w:highlight w:val="none"/>
        </w:rPr>
      </w:pPr>
      <w:r>
        <w:rPr>
          <w:rFonts w:hint="eastAsia" w:ascii="宋体" w:hAnsi="宋体" w:eastAsia="宋体" w:cs="宋体"/>
          <w:color w:val="auto"/>
          <w:kern w:val="0"/>
          <w:highlight w:val="none"/>
        </w:rPr>
        <w:t>附件</w:t>
      </w:r>
      <w:r>
        <w:rPr>
          <w:rFonts w:ascii="宋体" w:hAnsi="宋体" w:eastAsia="宋体" w:cs="宋体"/>
          <w:color w:val="auto"/>
          <w:kern w:val="0"/>
          <w:highlight w:val="none"/>
        </w:rPr>
        <w:t xml:space="preserve">1  </w:t>
      </w:r>
      <w:r>
        <w:rPr>
          <w:rFonts w:hint="eastAsia" w:ascii="宋体" w:hAnsi="宋体" w:eastAsia="宋体" w:cs="宋体"/>
          <w:color w:val="auto"/>
          <w:kern w:val="0"/>
          <w:highlight w:val="none"/>
        </w:rPr>
        <w:t>资格性审查及符合性检查表</w:t>
      </w:r>
    </w:p>
    <w:p>
      <w:pPr>
        <w:spacing w:line="360" w:lineRule="auto"/>
        <w:ind w:left="720" w:leftChars="343"/>
        <w:rPr>
          <w:rFonts w:ascii="宋体" w:hAnsi="宋体" w:eastAsia="宋体" w:cs="Times New Roman"/>
          <w:color w:val="auto"/>
          <w:kern w:val="0"/>
          <w:highlight w:val="none"/>
        </w:rPr>
      </w:pPr>
      <w:r>
        <w:rPr>
          <w:rFonts w:hint="eastAsia" w:ascii="宋体" w:hAnsi="宋体" w:eastAsia="宋体" w:cs="宋体"/>
          <w:color w:val="auto"/>
          <w:kern w:val="0"/>
          <w:highlight w:val="none"/>
        </w:rPr>
        <w:t>附件</w:t>
      </w:r>
      <w:r>
        <w:rPr>
          <w:rFonts w:ascii="宋体" w:hAnsi="宋体" w:eastAsia="宋体" w:cs="宋体"/>
          <w:color w:val="auto"/>
          <w:kern w:val="0"/>
          <w:highlight w:val="none"/>
        </w:rPr>
        <w:t xml:space="preserve">2  </w:t>
      </w:r>
      <w:r>
        <w:rPr>
          <w:rFonts w:hint="eastAsia" w:ascii="宋体" w:hAnsi="宋体" w:eastAsia="宋体" w:cs="宋体"/>
          <w:color w:val="auto"/>
          <w:kern w:val="0"/>
          <w:highlight w:val="none"/>
        </w:rPr>
        <w:t>商务响应评分标准</w:t>
      </w:r>
    </w:p>
    <w:p>
      <w:pPr>
        <w:spacing w:line="360" w:lineRule="auto"/>
        <w:ind w:left="720" w:leftChars="343"/>
        <w:rPr>
          <w:rFonts w:ascii="宋体" w:hAnsi="宋体" w:eastAsia="宋体" w:cs="Times New Roman"/>
          <w:color w:val="auto"/>
          <w:kern w:val="0"/>
          <w:highlight w:val="none"/>
        </w:rPr>
      </w:pPr>
      <w:r>
        <w:rPr>
          <w:rFonts w:hint="eastAsia" w:ascii="宋体" w:hAnsi="宋体" w:eastAsia="宋体" w:cs="宋体"/>
          <w:color w:val="auto"/>
          <w:kern w:val="0"/>
          <w:highlight w:val="none"/>
        </w:rPr>
        <w:t>附件</w:t>
      </w:r>
      <w:r>
        <w:rPr>
          <w:rFonts w:ascii="宋体" w:hAnsi="宋体" w:eastAsia="宋体" w:cs="宋体"/>
          <w:color w:val="auto"/>
          <w:kern w:val="0"/>
          <w:highlight w:val="none"/>
        </w:rPr>
        <w:t xml:space="preserve">3  </w:t>
      </w:r>
      <w:r>
        <w:rPr>
          <w:rFonts w:hint="eastAsia" w:ascii="宋体" w:hAnsi="宋体" w:eastAsia="宋体" w:cs="宋体"/>
          <w:color w:val="auto"/>
          <w:kern w:val="0"/>
          <w:highlight w:val="none"/>
        </w:rPr>
        <w:t>技术响应评分标准</w:t>
      </w:r>
    </w:p>
    <w:p>
      <w:pPr>
        <w:spacing w:line="360" w:lineRule="auto"/>
        <w:ind w:left="720" w:leftChars="343"/>
        <w:rPr>
          <w:rFonts w:ascii="宋体" w:hAnsi="宋体" w:eastAsia="宋体" w:cs="Times New Roman"/>
          <w:color w:val="auto"/>
          <w:kern w:val="0"/>
          <w:highlight w:val="none"/>
        </w:rPr>
      </w:pPr>
      <w:r>
        <w:rPr>
          <w:rFonts w:hint="eastAsia" w:ascii="宋体" w:hAnsi="宋体" w:eastAsia="宋体" w:cs="宋体"/>
          <w:color w:val="auto"/>
          <w:kern w:val="0"/>
          <w:highlight w:val="none"/>
        </w:rPr>
        <w:t>附件</w:t>
      </w:r>
      <w:r>
        <w:rPr>
          <w:rFonts w:ascii="宋体" w:hAnsi="宋体" w:eastAsia="宋体" w:cs="宋体"/>
          <w:color w:val="auto"/>
          <w:kern w:val="0"/>
          <w:highlight w:val="none"/>
        </w:rPr>
        <w:t xml:space="preserve">4  </w:t>
      </w:r>
      <w:r>
        <w:rPr>
          <w:rFonts w:hint="eastAsia" w:ascii="宋体" w:hAnsi="宋体" w:eastAsia="宋体" w:cs="宋体"/>
          <w:color w:val="auto"/>
          <w:kern w:val="0"/>
          <w:highlight w:val="none"/>
        </w:rPr>
        <w:t>价格评审表</w:t>
      </w:r>
    </w:p>
    <w:p>
      <w:pPr>
        <w:spacing w:line="360" w:lineRule="auto"/>
        <w:rPr>
          <w:rFonts w:ascii="宋体" w:hAnsi="宋体" w:eastAsia="宋体" w:cs="Times New Roman"/>
          <w:color w:val="auto"/>
          <w:sz w:val="24"/>
          <w:szCs w:val="24"/>
          <w:highlight w:val="none"/>
        </w:rPr>
      </w:pPr>
      <w:r>
        <w:rPr>
          <w:rFonts w:ascii="宋体" w:hAnsi="宋体" w:eastAsia="宋体" w:cs="Times New Roman"/>
          <w:b/>
          <w:bCs/>
          <w:color w:val="auto"/>
          <w:sz w:val="24"/>
          <w:szCs w:val="24"/>
          <w:highlight w:val="none"/>
        </w:rPr>
        <w:br w:type="page"/>
      </w:r>
      <w:r>
        <w:rPr>
          <w:rFonts w:hint="eastAsia" w:ascii="宋体" w:hAnsi="宋体" w:eastAsia="宋体" w:cs="宋体"/>
          <w:b/>
          <w:bCs/>
          <w:color w:val="auto"/>
          <w:sz w:val="24"/>
          <w:szCs w:val="24"/>
          <w:highlight w:val="none"/>
        </w:rPr>
        <w:t>附件</w:t>
      </w:r>
      <w:r>
        <w:rPr>
          <w:rFonts w:ascii="宋体" w:hAnsi="宋体" w:eastAsia="宋体" w:cs="宋体"/>
          <w:b/>
          <w:bCs/>
          <w:color w:val="auto"/>
          <w:sz w:val="24"/>
          <w:szCs w:val="24"/>
          <w:highlight w:val="none"/>
        </w:rPr>
        <w:t>1</w:t>
      </w:r>
    </w:p>
    <w:p>
      <w:pPr>
        <w:keepNext/>
        <w:spacing w:line="360" w:lineRule="auto"/>
        <w:ind w:right="-441" w:rightChars="-210"/>
        <w:jc w:val="center"/>
        <w:outlineLvl w:val="0"/>
        <w:rPr>
          <w:rFonts w:ascii="宋体" w:hAnsi="宋体" w:eastAsia="宋体" w:cs="Times New Roman"/>
          <w:b/>
          <w:bCs/>
          <w:color w:val="auto"/>
          <w:sz w:val="24"/>
          <w:szCs w:val="24"/>
          <w:highlight w:val="none"/>
        </w:rPr>
      </w:pPr>
      <w:bookmarkStart w:id="316" w:name="_Toc475104536"/>
      <w:r>
        <w:rPr>
          <w:rFonts w:hint="eastAsia" w:ascii="宋体" w:hAnsi="宋体" w:eastAsia="宋体" w:cs="宋体"/>
          <w:b/>
          <w:bCs/>
          <w:color w:val="auto"/>
          <w:sz w:val="24"/>
          <w:szCs w:val="24"/>
          <w:highlight w:val="none"/>
        </w:rPr>
        <w:t>资格性审查及符合性检查表</w:t>
      </w:r>
      <w:bookmarkEnd w:id="316"/>
    </w:p>
    <w:p>
      <w:pPr>
        <w:tabs>
          <w:tab w:val="left" w:pos="735"/>
        </w:tabs>
        <w:snapToGrid w:val="0"/>
        <w:spacing w:line="360" w:lineRule="auto"/>
        <w:ind w:firstLine="360"/>
        <w:rPr>
          <w:rFonts w:ascii="宋体" w:hAnsi="Arial" w:eastAsia="宋体" w:cs="Times New Roman"/>
          <w:color w:val="auto"/>
          <w:highlight w:val="none"/>
        </w:rPr>
      </w:pPr>
      <w:r>
        <w:rPr>
          <w:rFonts w:hint="eastAsia" w:ascii="宋体" w:hAnsi="宋体" w:eastAsia="宋体" w:cs="宋体"/>
          <w:color w:val="auto"/>
          <w:highlight w:val="none"/>
        </w:rPr>
        <w:t>　　　　　　　</w:t>
      </w:r>
    </w:p>
    <w:p>
      <w:pPr>
        <w:tabs>
          <w:tab w:val="left" w:pos="735"/>
        </w:tabs>
        <w:snapToGrid w:val="0"/>
        <w:spacing w:line="360" w:lineRule="auto"/>
        <w:ind w:firstLine="360"/>
        <w:rPr>
          <w:rFonts w:ascii="宋体" w:hAnsi="宋体" w:eastAsia="宋体" w:cs="Times New Roman"/>
          <w:color w:val="auto"/>
          <w:highlight w:val="none"/>
        </w:rPr>
      </w:pPr>
      <w:r>
        <w:rPr>
          <w:rFonts w:hint="eastAsia" w:ascii="宋体" w:hAnsi="Arial" w:eastAsia="宋体" w:cs="宋体"/>
          <w:color w:val="auto"/>
          <w:highlight w:val="none"/>
        </w:rPr>
        <w:t>项目名称：</w:t>
      </w:r>
    </w:p>
    <w:p>
      <w:pPr>
        <w:tabs>
          <w:tab w:val="left" w:pos="735"/>
        </w:tabs>
        <w:snapToGrid w:val="0"/>
        <w:spacing w:line="360" w:lineRule="auto"/>
        <w:ind w:firstLine="360"/>
        <w:rPr>
          <w:rFonts w:ascii="Arial" w:hAnsi="Arial" w:eastAsia="宋体" w:cs="Times New Roman"/>
          <w:color w:val="auto"/>
          <w:highlight w:val="none"/>
        </w:rPr>
      </w:pPr>
      <w:r>
        <w:rPr>
          <w:rFonts w:hint="eastAsia" w:ascii="宋体" w:hAnsi="Arial" w:eastAsia="宋体" w:cs="宋体"/>
          <w:color w:val="auto"/>
          <w:highlight w:val="none"/>
        </w:rPr>
        <w:t>项目编号：</w:t>
      </w:r>
    </w:p>
    <w:tbl>
      <w:tblPr>
        <w:tblStyle w:val="90"/>
        <w:tblW w:w="9420"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51"/>
        <w:gridCol w:w="3364"/>
        <w:gridCol w:w="853"/>
        <w:gridCol w:w="995"/>
        <w:gridCol w:w="854"/>
        <w:gridCol w:w="1138"/>
        <w:gridCol w:w="166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10" w:hRule="atLeast"/>
          <w:jc w:val="center"/>
        </w:trPr>
        <w:tc>
          <w:tcPr>
            <w:tcW w:w="551"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序号</w:t>
            </w:r>
          </w:p>
        </w:tc>
        <w:tc>
          <w:tcPr>
            <w:tcW w:w="3364" w:type="dxa"/>
            <w:tcBorders>
              <w:tl2br w:val="single" w:color="auto" w:sz="4" w:space="0"/>
            </w:tcBorders>
            <w:vAlign w:val="bottom"/>
          </w:tcPr>
          <w:p>
            <w:pPr>
              <w:widowControl/>
              <w:jc w:val="left"/>
              <w:rPr>
                <w:rFonts w:ascii="Times New Roman" w:hAnsi="Times New Roman" w:eastAsia="宋体" w:cs="Times New Roman"/>
                <w:color w:val="auto"/>
                <w:kern w:val="0"/>
                <w:sz w:val="22"/>
                <w:highlight w:val="none"/>
              </w:rPr>
            </w:pPr>
          </w:p>
          <w:p>
            <w:pPr>
              <w:widowControl/>
              <w:ind w:firstLine="1760" w:firstLineChars="800"/>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供应商名称</w:t>
            </w:r>
          </w:p>
          <w:p>
            <w:pPr>
              <w:widowControl/>
              <w:jc w:val="left"/>
              <w:rPr>
                <w:rFonts w:ascii="Times New Roman" w:hAnsi="Times New Roman" w:eastAsia="宋体" w:cs="Times New Roman"/>
                <w:color w:val="auto"/>
                <w:kern w:val="0"/>
                <w:sz w:val="22"/>
                <w:highlight w:val="none"/>
              </w:rPr>
            </w:pPr>
          </w:p>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资格性审查及符合性内容</w:t>
            </w:r>
          </w:p>
        </w:tc>
        <w:tc>
          <w:tcPr>
            <w:tcW w:w="853" w:type="dxa"/>
            <w:vAlign w:val="center"/>
          </w:tcPr>
          <w:p>
            <w:pPr>
              <w:widowControl/>
              <w:jc w:val="left"/>
              <w:rPr>
                <w:rFonts w:ascii="Times New Roman" w:hAnsi="Times New Roman" w:eastAsia="宋体" w:cs="Times New Roman"/>
                <w:color w:val="auto"/>
                <w:kern w:val="0"/>
                <w:sz w:val="22"/>
                <w:highlight w:val="none"/>
              </w:rPr>
            </w:pPr>
            <w:r>
              <w:rPr>
                <w:rFonts w:ascii="Times New Roman" w:hAnsi="Times New Roman" w:eastAsia="宋体" w:cs="Times New Roman"/>
                <w:color w:val="auto"/>
                <w:kern w:val="0"/>
                <w:sz w:val="22"/>
                <w:szCs w:val="22"/>
                <w:highlight w:val="none"/>
              </w:rPr>
              <w:t>A</w:t>
            </w:r>
          </w:p>
        </w:tc>
        <w:tc>
          <w:tcPr>
            <w:tcW w:w="995" w:type="dxa"/>
            <w:vAlign w:val="center"/>
          </w:tcPr>
          <w:p>
            <w:pPr>
              <w:widowControl/>
              <w:jc w:val="left"/>
              <w:rPr>
                <w:rFonts w:ascii="Times New Roman" w:hAnsi="Times New Roman" w:eastAsia="宋体" w:cs="Times New Roman"/>
                <w:color w:val="auto"/>
                <w:kern w:val="0"/>
                <w:sz w:val="22"/>
                <w:highlight w:val="none"/>
              </w:rPr>
            </w:pPr>
            <w:r>
              <w:rPr>
                <w:rFonts w:ascii="Times New Roman" w:hAnsi="Times New Roman" w:eastAsia="宋体" w:cs="Times New Roman"/>
                <w:color w:val="auto"/>
                <w:kern w:val="0"/>
                <w:sz w:val="22"/>
                <w:szCs w:val="22"/>
                <w:highlight w:val="none"/>
              </w:rPr>
              <w:t>B</w:t>
            </w:r>
          </w:p>
        </w:tc>
        <w:tc>
          <w:tcPr>
            <w:tcW w:w="854"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w:t>
            </w:r>
          </w:p>
        </w:tc>
        <w:tc>
          <w:tcPr>
            <w:tcW w:w="1138"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结论</w:t>
            </w:r>
          </w:p>
        </w:tc>
        <w:tc>
          <w:tcPr>
            <w:tcW w:w="1665"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不通过的理由</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6" w:hRule="atLeast"/>
          <w:jc w:val="center"/>
        </w:trPr>
        <w:tc>
          <w:tcPr>
            <w:tcW w:w="551" w:type="dxa"/>
            <w:vAlign w:val="center"/>
          </w:tcPr>
          <w:p>
            <w:pPr>
              <w:widowControl/>
              <w:jc w:val="left"/>
              <w:rPr>
                <w:rFonts w:ascii="Times New Roman" w:hAnsi="Times New Roman" w:eastAsia="宋体" w:cs="Times New Roman"/>
                <w:color w:val="auto"/>
                <w:kern w:val="0"/>
                <w:sz w:val="22"/>
                <w:highlight w:val="none"/>
              </w:rPr>
            </w:pPr>
            <w:r>
              <w:rPr>
                <w:rFonts w:ascii="Times New Roman" w:hAnsi="Times New Roman" w:eastAsia="宋体" w:cs="Times New Roman"/>
                <w:color w:val="auto"/>
                <w:kern w:val="0"/>
                <w:sz w:val="22"/>
                <w:szCs w:val="22"/>
                <w:highlight w:val="none"/>
              </w:rPr>
              <w:t>1</w:t>
            </w:r>
          </w:p>
        </w:tc>
        <w:tc>
          <w:tcPr>
            <w:tcW w:w="3364"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满足供应商资格要求</w:t>
            </w:r>
          </w:p>
        </w:tc>
        <w:tc>
          <w:tcPr>
            <w:tcW w:w="853" w:type="dxa"/>
          </w:tcPr>
          <w:p>
            <w:pPr>
              <w:widowControl/>
              <w:jc w:val="left"/>
              <w:rPr>
                <w:rFonts w:ascii="Times New Roman" w:hAnsi="Times New Roman" w:eastAsia="宋体" w:cs="Times New Roman"/>
                <w:color w:val="auto"/>
                <w:kern w:val="0"/>
                <w:sz w:val="22"/>
                <w:highlight w:val="none"/>
              </w:rPr>
            </w:pPr>
          </w:p>
        </w:tc>
        <w:tc>
          <w:tcPr>
            <w:tcW w:w="995" w:type="dxa"/>
          </w:tcPr>
          <w:p>
            <w:pPr>
              <w:widowControl/>
              <w:jc w:val="left"/>
              <w:rPr>
                <w:rFonts w:ascii="Times New Roman" w:hAnsi="Times New Roman" w:eastAsia="宋体" w:cs="Times New Roman"/>
                <w:color w:val="auto"/>
                <w:kern w:val="0"/>
                <w:sz w:val="22"/>
                <w:highlight w:val="none"/>
              </w:rPr>
            </w:pPr>
          </w:p>
        </w:tc>
        <w:tc>
          <w:tcPr>
            <w:tcW w:w="854" w:type="dxa"/>
          </w:tcPr>
          <w:p>
            <w:pPr>
              <w:widowControl/>
              <w:jc w:val="left"/>
              <w:rPr>
                <w:rFonts w:ascii="Times New Roman" w:hAnsi="Times New Roman" w:eastAsia="宋体" w:cs="Times New Roman"/>
                <w:color w:val="auto"/>
                <w:kern w:val="0"/>
                <w:sz w:val="22"/>
                <w:highlight w:val="none"/>
              </w:rPr>
            </w:pPr>
          </w:p>
        </w:tc>
        <w:tc>
          <w:tcPr>
            <w:tcW w:w="1138" w:type="dxa"/>
          </w:tcPr>
          <w:p>
            <w:pPr>
              <w:widowControl/>
              <w:jc w:val="left"/>
              <w:rPr>
                <w:rFonts w:ascii="Times New Roman" w:hAnsi="Times New Roman" w:eastAsia="宋体" w:cs="Times New Roman"/>
                <w:color w:val="auto"/>
                <w:kern w:val="0"/>
                <w:sz w:val="22"/>
                <w:highlight w:val="none"/>
              </w:rPr>
            </w:pPr>
          </w:p>
        </w:tc>
        <w:tc>
          <w:tcPr>
            <w:tcW w:w="1665" w:type="dxa"/>
          </w:tcPr>
          <w:p>
            <w:pPr>
              <w:widowControl/>
              <w:jc w:val="left"/>
              <w:rPr>
                <w:rFonts w:ascii="Times New Roman" w:hAnsi="Times New Roman" w:eastAsia="宋体" w:cs="Times New Roman"/>
                <w:color w:val="auto"/>
                <w:kern w:val="0"/>
                <w:sz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6" w:hRule="atLeast"/>
          <w:jc w:val="center"/>
        </w:trPr>
        <w:tc>
          <w:tcPr>
            <w:tcW w:w="551" w:type="dxa"/>
            <w:vAlign w:val="center"/>
          </w:tcPr>
          <w:p>
            <w:pPr>
              <w:widowControl/>
              <w:jc w:val="left"/>
              <w:rPr>
                <w:rFonts w:ascii="Times New Roman" w:hAnsi="Times New Roman" w:eastAsia="宋体" w:cs="Times New Roman"/>
                <w:color w:val="auto"/>
                <w:kern w:val="0"/>
                <w:sz w:val="22"/>
                <w:highlight w:val="none"/>
              </w:rPr>
            </w:pPr>
            <w:r>
              <w:rPr>
                <w:rFonts w:ascii="Times New Roman" w:hAnsi="Times New Roman" w:eastAsia="宋体" w:cs="Times New Roman"/>
                <w:color w:val="auto"/>
                <w:kern w:val="0"/>
                <w:sz w:val="22"/>
                <w:szCs w:val="22"/>
                <w:highlight w:val="none"/>
              </w:rPr>
              <w:t>2</w:t>
            </w:r>
          </w:p>
        </w:tc>
        <w:tc>
          <w:tcPr>
            <w:tcW w:w="3364"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遴选响应文件齐全，盖章、签字有效</w:t>
            </w:r>
          </w:p>
        </w:tc>
        <w:tc>
          <w:tcPr>
            <w:tcW w:w="853" w:type="dxa"/>
          </w:tcPr>
          <w:p>
            <w:pPr>
              <w:widowControl/>
              <w:jc w:val="left"/>
              <w:rPr>
                <w:rFonts w:ascii="Times New Roman" w:hAnsi="Times New Roman" w:eastAsia="宋体" w:cs="Times New Roman"/>
                <w:color w:val="auto"/>
                <w:kern w:val="0"/>
                <w:sz w:val="22"/>
                <w:highlight w:val="none"/>
              </w:rPr>
            </w:pPr>
          </w:p>
        </w:tc>
        <w:tc>
          <w:tcPr>
            <w:tcW w:w="995" w:type="dxa"/>
          </w:tcPr>
          <w:p>
            <w:pPr>
              <w:widowControl/>
              <w:jc w:val="left"/>
              <w:rPr>
                <w:rFonts w:ascii="Times New Roman" w:hAnsi="Times New Roman" w:eastAsia="宋体" w:cs="Times New Roman"/>
                <w:color w:val="auto"/>
                <w:kern w:val="0"/>
                <w:sz w:val="22"/>
                <w:highlight w:val="none"/>
              </w:rPr>
            </w:pPr>
          </w:p>
        </w:tc>
        <w:tc>
          <w:tcPr>
            <w:tcW w:w="854" w:type="dxa"/>
          </w:tcPr>
          <w:p>
            <w:pPr>
              <w:widowControl/>
              <w:jc w:val="left"/>
              <w:rPr>
                <w:rFonts w:ascii="Times New Roman" w:hAnsi="Times New Roman" w:eastAsia="宋体" w:cs="Times New Roman"/>
                <w:color w:val="auto"/>
                <w:kern w:val="0"/>
                <w:sz w:val="22"/>
                <w:highlight w:val="none"/>
              </w:rPr>
            </w:pPr>
          </w:p>
        </w:tc>
        <w:tc>
          <w:tcPr>
            <w:tcW w:w="1138" w:type="dxa"/>
          </w:tcPr>
          <w:p>
            <w:pPr>
              <w:widowControl/>
              <w:jc w:val="left"/>
              <w:rPr>
                <w:rFonts w:ascii="Times New Roman" w:hAnsi="Times New Roman" w:eastAsia="宋体" w:cs="Times New Roman"/>
                <w:color w:val="auto"/>
                <w:kern w:val="0"/>
                <w:sz w:val="22"/>
                <w:highlight w:val="none"/>
              </w:rPr>
            </w:pPr>
          </w:p>
        </w:tc>
        <w:tc>
          <w:tcPr>
            <w:tcW w:w="1665" w:type="dxa"/>
          </w:tcPr>
          <w:p>
            <w:pPr>
              <w:widowControl/>
              <w:jc w:val="left"/>
              <w:rPr>
                <w:rFonts w:ascii="Times New Roman" w:hAnsi="Times New Roman" w:eastAsia="宋体" w:cs="Times New Roman"/>
                <w:color w:val="auto"/>
                <w:kern w:val="0"/>
                <w:sz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3" w:hRule="atLeast"/>
          <w:jc w:val="center"/>
        </w:trPr>
        <w:tc>
          <w:tcPr>
            <w:tcW w:w="551" w:type="dxa"/>
            <w:vAlign w:val="center"/>
          </w:tcPr>
          <w:p>
            <w:pPr>
              <w:widowControl/>
              <w:jc w:val="left"/>
              <w:rPr>
                <w:rFonts w:ascii="Times New Roman" w:hAnsi="Times New Roman" w:eastAsia="宋体" w:cs="Times New Roman"/>
                <w:color w:val="auto"/>
                <w:kern w:val="0"/>
                <w:sz w:val="22"/>
                <w:highlight w:val="none"/>
              </w:rPr>
            </w:pPr>
            <w:r>
              <w:rPr>
                <w:rFonts w:ascii="Times New Roman" w:hAnsi="Times New Roman" w:eastAsia="宋体" w:cs="Times New Roman"/>
                <w:color w:val="auto"/>
                <w:kern w:val="0"/>
                <w:sz w:val="22"/>
                <w:szCs w:val="22"/>
                <w:highlight w:val="none"/>
              </w:rPr>
              <w:t>3</w:t>
            </w:r>
          </w:p>
        </w:tc>
        <w:tc>
          <w:tcPr>
            <w:tcW w:w="3364"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报价商务技术没有实质性不响应或重大偏离</w:t>
            </w:r>
          </w:p>
        </w:tc>
        <w:tc>
          <w:tcPr>
            <w:tcW w:w="853" w:type="dxa"/>
          </w:tcPr>
          <w:p>
            <w:pPr>
              <w:widowControl/>
              <w:jc w:val="left"/>
              <w:rPr>
                <w:rFonts w:ascii="Times New Roman" w:hAnsi="Times New Roman" w:eastAsia="宋体" w:cs="Times New Roman"/>
                <w:color w:val="auto"/>
                <w:kern w:val="0"/>
                <w:sz w:val="22"/>
                <w:highlight w:val="none"/>
              </w:rPr>
            </w:pPr>
          </w:p>
        </w:tc>
        <w:tc>
          <w:tcPr>
            <w:tcW w:w="995" w:type="dxa"/>
          </w:tcPr>
          <w:p>
            <w:pPr>
              <w:widowControl/>
              <w:jc w:val="left"/>
              <w:rPr>
                <w:rFonts w:ascii="Times New Roman" w:hAnsi="Times New Roman" w:eastAsia="宋体" w:cs="Times New Roman"/>
                <w:color w:val="auto"/>
                <w:kern w:val="0"/>
                <w:sz w:val="22"/>
                <w:highlight w:val="none"/>
              </w:rPr>
            </w:pPr>
          </w:p>
        </w:tc>
        <w:tc>
          <w:tcPr>
            <w:tcW w:w="854" w:type="dxa"/>
          </w:tcPr>
          <w:p>
            <w:pPr>
              <w:widowControl/>
              <w:jc w:val="left"/>
              <w:rPr>
                <w:rFonts w:ascii="Times New Roman" w:hAnsi="Times New Roman" w:eastAsia="宋体" w:cs="Times New Roman"/>
                <w:color w:val="auto"/>
                <w:kern w:val="0"/>
                <w:sz w:val="22"/>
                <w:highlight w:val="none"/>
              </w:rPr>
            </w:pPr>
          </w:p>
        </w:tc>
        <w:tc>
          <w:tcPr>
            <w:tcW w:w="1138" w:type="dxa"/>
          </w:tcPr>
          <w:p>
            <w:pPr>
              <w:widowControl/>
              <w:jc w:val="left"/>
              <w:rPr>
                <w:rFonts w:ascii="Times New Roman" w:hAnsi="Times New Roman" w:eastAsia="宋体" w:cs="Times New Roman"/>
                <w:color w:val="auto"/>
                <w:kern w:val="0"/>
                <w:sz w:val="22"/>
                <w:highlight w:val="none"/>
              </w:rPr>
            </w:pPr>
          </w:p>
        </w:tc>
        <w:tc>
          <w:tcPr>
            <w:tcW w:w="1665" w:type="dxa"/>
          </w:tcPr>
          <w:p>
            <w:pPr>
              <w:widowControl/>
              <w:jc w:val="left"/>
              <w:rPr>
                <w:rFonts w:ascii="Times New Roman" w:hAnsi="Times New Roman" w:eastAsia="宋体" w:cs="Times New Roman"/>
                <w:color w:val="auto"/>
                <w:kern w:val="0"/>
                <w:sz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3" w:hRule="atLeast"/>
          <w:jc w:val="center"/>
        </w:trPr>
        <w:tc>
          <w:tcPr>
            <w:tcW w:w="551" w:type="dxa"/>
            <w:vAlign w:val="center"/>
          </w:tcPr>
          <w:p>
            <w:pPr>
              <w:widowControl/>
              <w:jc w:val="left"/>
              <w:rPr>
                <w:rFonts w:ascii="Times New Roman" w:hAnsi="Times New Roman" w:eastAsia="宋体" w:cs="Times New Roman"/>
                <w:color w:val="auto"/>
                <w:kern w:val="0"/>
                <w:sz w:val="22"/>
                <w:highlight w:val="none"/>
              </w:rPr>
            </w:pPr>
            <w:r>
              <w:rPr>
                <w:rFonts w:ascii="Times New Roman" w:hAnsi="Times New Roman" w:eastAsia="宋体" w:cs="Times New Roman"/>
                <w:color w:val="auto"/>
                <w:kern w:val="0"/>
                <w:sz w:val="22"/>
                <w:szCs w:val="22"/>
                <w:highlight w:val="none"/>
              </w:rPr>
              <w:t>4</w:t>
            </w:r>
          </w:p>
        </w:tc>
        <w:tc>
          <w:tcPr>
            <w:tcW w:w="3364"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没有选择性报价及备选方案。首次报价固定唯一，且没有超采购项目预算金额</w:t>
            </w:r>
          </w:p>
        </w:tc>
        <w:tc>
          <w:tcPr>
            <w:tcW w:w="853" w:type="dxa"/>
          </w:tcPr>
          <w:p>
            <w:pPr>
              <w:widowControl/>
              <w:jc w:val="left"/>
              <w:rPr>
                <w:rFonts w:ascii="Times New Roman" w:hAnsi="Times New Roman" w:eastAsia="宋体" w:cs="Times New Roman"/>
                <w:color w:val="auto"/>
                <w:kern w:val="0"/>
                <w:sz w:val="22"/>
                <w:highlight w:val="none"/>
              </w:rPr>
            </w:pPr>
          </w:p>
        </w:tc>
        <w:tc>
          <w:tcPr>
            <w:tcW w:w="995" w:type="dxa"/>
          </w:tcPr>
          <w:p>
            <w:pPr>
              <w:widowControl/>
              <w:jc w:val="left"/>
              <w:rPr>
                <w:rFonts w:ascii="Times New Roman" w:hAnsi="Times New Roman" w:eastAsia="宋体" w:cs="Times New Roman"/>
                <w:color w:val="auto"/>
                <w:kern w:val="0"/>
                <w:sz w:val="22"/>
                <w:highlight w:val="none"/>
              </w:rPr>
            </w:pPr>
          </w:p>
        </w:tc>
        <w:tc>
          <w:tcPr>
            <w:tcW w:w="854" w:type="dxa"/>
          </w:tcPr>
          <w:p>
            <w:pPr>
              <w:widowControl/>
              <w:jc w:val="left"/>
              <w:rPr>
                <w:rFonts w:ascii="Times New Roman" w:hAnsi="Times New Roman" w:eastAsia="宋体" w:cs="Times New Roman"/>
                <w:color w:val="auto"/>
                <w:kern w:val="0"/>
                <w:sz w:val="22"/>
                <w:highlight w:val="none"/>
              </w:rPr>
            </w:pPr>
          </w:p>
        </w:tc>
        <w:tc>
          <w:tcPr>
            <w:tcW w:w="1138" w:type="dxa"/>
          </w:tcPr>
          <w:p>
            <w:pPr>
              <w:widowControl/>
              <w:jc w:val="left"/>
              <w:rPr>
                <w:rFonts w:ascii="Times New Roman" w:hAnsi="Times New Roman" w:eastAsia="宋体" w:cs="Times New Roman"/>
                <w:color w:val="auto"/>
                <w:kern w:val="0"/>
                <w:sz w:val="22"/>
                <w:highlight w:val="none"/>
              </w:rPr>
            </w:pPr>
          </w:p>
        </w:tc>
        <w:tc>
          <w:tcPr>
            <w:tcW w:w="1665" w:type="dxa"/>
          </w:tcPr>
          <w:p>
            <w:pPr>
              <w:widowControl/>
              <w:jc w:val="left"/>
              <w:rPr>
                <w:rFonts w:ascii="Times New Roman" w:hAnsi="Times New Roman" w:eastAsia="宋体" w:cs="Times New Roman"/>
                <w:color w:val="auto"/>
                <w:kern w:val="0"/>
                <w:sz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3" w:hRule="atLeast"/>
          <w:jc w:val="center"/>
        </w:trPr>
        <w:tc>
          <w:tcPr>
            <w:tcW w:w="551" w:type="dxa"/>
            <w:vAlign w:val="center"/>
          </w:tcPr>
          <w:p>
            <w:pPr>
              <w:widowControl/>
              <w:jc w:val="left"/>
              <w:rPr>
                <w:rFonts w:ascii="Times New Roman" w:hAnsi="Times New Roman" w:eastAsia="宋体" w:cs="Times New Roman"/>
                <w:color w:val="auto"/>
                <w:kern w:val="0"/>
                <w:sz w:val="22"/>
                <w:highlight w:val="none"/>
              </w:rPr>
            </w:pPr>
            <w:r>
              <w:rPr>
                <w:rFonts w:ascii="Times New Roman" w:hAnsi="Times New Roman" w:eastAsia="宋体" w:cs="Times New Roman"/>
                <w:color w:val="auto"/>
                <w:kern w:val="0"/>
                <w:sz w:val="22"/>
                <w:szCs w:val="22"/>
                <w:highlight w:val="none"/>
              </w:rPr>
              <w:t>5</w:t>
            </w:r>
          </w:p>
        </w:tc>
        <w:tc>
          <w:tcPr>
            <w:tcW w:w="3364"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没有被评审小组认定供应商低于成本进行遴选响应</w:t>
            </w:r>
          </w:p>
        </w:tc>
        <w:tc>
          <w:tcPr>
            <w:tcW w:w="853" w:type="dxa"/>
          </w:tcPr>
          <w:p>
            <w:pPr>
              <w:widowControl/>
              <w:jc w:val="left"/>
              <w:rPr>
                <w:rFonts w:ascii="Times New Roman" w:hAnsi="Times New Roman" w:eastAsia="宋体" w:cs="Times New Roman"/>
                <w:color w:val="auto"/>
                <w:kern w:val="0"/>
                <w:sz w:val="22"/>
                <w:highlight w:val="none"/>
              </w:rPr>
            </w:pPr>
          </w:p>
        </w:tc>
        <w:tc>
          <w:tcPr>
            <w:tcW w:w="995" w:type="dxa"/>
          </w:tcPr>
          <w:p>
            <w:pPr>
              <w:widowControl/>
              <w:jc w:val="left"/>
              <w:rPr>
                <w:rFonts w:ascii="Times New Roman" w:hAnsi="Times New Roman" w:eastAsia="宋体" w:cs="Times New Roman"/>
                <w:color w:val="auto"/>
                <w:kern w:val="0"/>
                <w:sz w:val="22"/>
                <w:highlight w:val="none"/>
              </w:rPr>
            </w:pPr>
          </w:p>
        </w:tc>
        <w:tc>
          <w:tcPr>
            <w:tcW w:w="854" w:type="dxa"/>
          </w:tcPr>
          <w:p>
            <w:pPr>
              <w:widowControl/>
              <w:jc w:val="left"/>
              <w:rPr>
                <w:rFonts w:ascii="Times New Roman" w:hAnsi="Times New Roman" w:eastAsia="宋体" w:cs="Times New Roman"/>
                <w:color w:val="auto"/>
                <w:kern w:val="0"/>
                <w:sz w:val="22"/>
                <w:highlight w:val="none"/>
              </w:rPr>
            </w:pPr>
          </w:p>
        </w:tc>
        <w:tc>
          <w:tcPr>
            <w:tcW w:w="1138" w:type="dxa"/>
          </w:tcPr>
          <w:p>
            <w:pPr>
              <w:widowControl/>
              <w:jc w:val="left"/>
              <w:rPr>
                <w:rFonts w:ascii="Times New Roman" w:hAnsi="Times New Roman" w:eastAsia="宋体" w:cs="Times New Roman"/>
                <w:color w:val="auto"/>
                <w:kern w:val="0"/>
                <w:sz w:val="22"/>
                <w:highlight w:val="none"/>
              </w:rPr>
            </w:pPr>
          </w:p>
        </w:tc>
        <w:tc>
          <w:tcPr>
            <w:tcW w:w="1665" w:type="dxa"/>
          </w:tcPr>
          <w:p>
            <w:pPr>
              <w:widowControl/>
              <w:jc w:val="left"/>
              <w:rPr>
                <w:rFonts w:ascii="Times New Roman" w:hAnsi="Times New Roman" w:eastAsia="宋体" w:cs="Times New Roman"/>
                <w:color w:val="auto"/>
                <w:kern w:val="0"/>
                <w:sz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3" w:hRule="atLeast"/>
          <w:jc w:val="center"/>
        </w:trPr>
        <w:tc>
          <w:tcPr>
            <w:tcW w:w="551" w:type="dxa"/>
            <w:vAlign w:val="center"/>
          </w:tcPr>
          <w:p>
            <w:pPr>
              <w:widowControl/>
              <w:jc w:val="left"/>
              <w:rPr>
                <w:rFonts w:ascii="Times New Roman" w:hAnsi="Times New Roman" w:eastAsia="宋体" w:cs="Times New Roman"/>
                <w:color w:val="auto"/>
                <w:kern w:val="0"/>
                <w:sz w:val="22"/>
                <w:highlight w:val="none"/>
              </w:rPr>
            </w:pPr>
            <w:r>
              <w:rPr>
                <w:rFonts w:ascii="Times New Roman" w:hAnsi="Times New Roman" w:eastAsia="宋体" w:cs="Times New Roman"/>
                <w:color w:val="auto"/>
                <w:kern w:val="0"/>
                <w:sz w:val="22"/>
                <w:szCs w:val="22"/>
                <w:highlight w:val="none"/>
              </w:rPr>
              <w:t>6</w:t>
            </w:r>
          </w:p>
        </w:tc>
        <w:tc>
          <w:tcPr>
            <w:tcW w:w="3364"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报价有效期满足要求</w:t>
            </w:r>
          </w:p>
        </w:tc>
        <w:tc>
          <w:tcPr>
            <w:tcW w:w="853" w:type="dxa"/>
          </w:tcPr>
          <w:p>
            <w:pPr>
              <w:widowControl/>
              <w:jc w:val="left"/>
              <w:rPr>
                <w:rFonts w:ascii="Times New Roman" w:hAnsi="Times New Roman" w:eastAsia="宋体" w:cs="Times New Roman"/>
                <w:color w:val="auto"/>
                <w:kern w:val="0"/>
                <w:sz w:val="22"/>
                <w:highlight w:val="none"/>
              </w:rPr>
            </w:pPr>
          </w:p>
        </w:tc>
        <w:tc>
          <w:tcPr>
            <w:tcW w:w="995" w:type="dxa"/>
          </w:tcPr>
          <w:p>
            <w:pPr>
              <w:widowControl/>
              <w:jc w:val="left"/>
              <w:rPr>
                <w:rFonts w:ascii="Times New Roman" w:hAnsi="Times New Roman" w:eastAsia="宋体" w:cs="Times New Roman"/>
                <w:color w:val="auto"/>
                <w:kern w:val="0"/>
                <w:sz w:val="22"/>
                <w:highlight w:val="none"/>
              </w:rPr>
            </w:pPr>
          </w:p>
        </w:tc>
        <w:tc>
          <w:tcPr>
            <w:tcW w:w="854" w:type="dxa"/>
          </w:tcPr>
          <w:p>
            <w:pPr>
              <w:widowControl/>
              <w:jc w:val="left"/>
              <w:rPr>
                <w:rFonts w:ascii="Times New Roman" w:hAnsi="Times New Roman" w:eastAsia="宋体" w:cs="Times New Roman"/>
                <w:color w:val="auto"/>
                <w:kern w:val="0"/>
                <w:sz w:val="22"/>
                <w:highlight w:val="none"/>
              </w:rPr>
            </w:pPr>
          </w:p>
        </w:tc>
        <w:tc>
          <w:tcPr>
            <w:tcW w:w="1138" w:type="dxa"/>
          </w:tcPr>
          <w:p>
            <w:pPr>
              <w:widowControl/>
              <w:jc w:val="left"/>
              <w:rPr>
                <w:rFonts w:ascii="Times New Roman" w:hAnsi="Times New Roman" w:eastAsia="宋体" w:cs="Times New Roman"/>
                <w:color w:val="auto"/>
                <w:kern w:val="0"/>
                <w:sz w:val="22"/>
                <w:highlight w:val="none"/>
              </w:rPr>
            </w:pPr>
          </w:p>
        </w:tc>
        <w:tc>
          <w:tcPr>
            <w:tcW w:w="1665" w:type="dxa"/>
          </w:tcPr>
          <w:p>
            <w:pPr>
              <w:widowControl/>
              <w:jc w:val="left"/>
              <w:rPr>
                <w:rFonts w:ascii="Times New Roman" w:hAnsi="Times New Roman" w:eastAsia="宋体" w:cs="Times New Roman"/>
                <w:color w:val="auto"/>
                <w:kern w:val="0"/>
                <w:sz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43" w:hRule="atLeast"/>
          <w:jc w:val="center"/>
        </w:trPr>
        <w:tc>
          <w:tcPr>
            <w:tcW w:w="551" w:type="dxa"/>
            <w:vAlign w:val="center"/>
          </w:tcPr>
          <w:p>
            <w:pPr>
              <w:widowControl/>
              <w:jc w:val="left"/>
              <w:rPr>
                <w:rFonts w:ascii="Times New Roman" w:hAnsi="Times New Roman" w:eastAsia="宋体" w:cs="Times New Roman"/>
                <w:color w:val="auto"/>
                <w:kern w:val="0"/>
                <w:sz w:val="22"/>
                <w:highlight w:val="none"/>
              </w:rPr>
            </w:pPr>
            <w:r>
              <w:rPr>
                <w:rFonts w:ascii="Times New Roman" w:hAnsi="Times New Roman" w:eastAsia="宋体" w:cs="Times New Roman"/>
                <w:color w:val="auto"/>
                <w:kern w:val="0"/>
                <w:sz w:val="22"/>
                <w:szCs w:val="22"/>
                <w:highlight w:val="none"/>
              </w:rPr>
              <w:t>7</w:t>
            </w:r>
          </w:p>
        </w:tc>
        <w:tc>
          <w:tcPr>
            <w:tcW w:w="3364" w:type="dxa"/>
            <w:vAlign w:val="center"/>
          </w:tcPr>
          <w:p>
            <w:pPr>
              <w:widowControl/>
              <w:jc w:val="left"/>
              <w:rPr>
                <w:rFonts w:ascii="Times New Roman" w:hAnsi="Times New Roman" w:eastAsia="宋体" w:cs="Times New Roman"/>
                <w:color w:val="auto"/>
                <w:kern w:val="0"/>
                <w:sz w:val="22"/>
                <w:highlight w:val="none"/>
              </w:rPr>
            </w:pPr>
            <w:r>
              <w:rPr>
                <w:rFonts w:hint="eastAsia" w:ascii="Times New Roman" w:hAnsi="Times New Roman" w:eastAsia="宋体" w:cs="宋体"/>
                <w:color w:val="auto"/>
                <w:kern w:val="0"/>
                <w:sz w:val="22"/>
                <w:szCs w:val="22"/>
                <w:highlight w:val="none"/>
              </w:rPr>
              <w:t>满足公开遴选文件中带★号的条款和指标，且符合公开遴选文件的其他要求，没有重大偏离的</w:t>
            </w:r>
          </w:p>
        </w:tc>
        <w:tc>
          <w:tcPr>
            <w:tcW w:w="853" w:type="dxa"/>
          </w:tcPr>
          <w:p>
            <w:pPr>
              <w:widowControl/>
              <w:jc w:val="left"/>
              <w:rPr>
                <w:rFonts w:ascii="Times New Roman" w:hAnsi="Times New Roman" w:eastAsia="宋体" w:cs="Times New Roman"/>
                <w:color w:val="auto"/>
                <w:kern w:val="0"/>
                <w:sz w:val="22"/>
                <w:highlight w:val="none"/>
              </w:rPr>
            </w:pPr>
          </w:p>
        </w:tc>
        <w:tc>
          <w:tcPr>
            <w:tcW w:w="995" w:type="dxa"/>
          </w:tcPr>
          <w:p>
            <w:pPr>
              <w:widowControl/>
              <w:jc w:val="left"/>
              <w:rPr>
                <w:rFonts w:ascii="Times New Roman" w:hAnsi="Times New Roman" w:eastAsia="宋体" w:cs="Times New Roman"/>
                <w:color w:val="auto"/>
                <w:kern w:val="0"/>
                <w:sz w:val="22"/>
                <w:highlight w:val="none"/>
              </w:rPr>
            </w:pPr>
          </w:p>
        </w:tc>
        <w:tc>
          <w:tcPr>
            <w:tcW w:w="854" w:type="dxa"/>
          </w:tcPr>
          <w:p>
            <w:pPr>
              <w:widowControl/>
              <w:jc w:val="left"/>
              <w:rPr>
                <w:rFonts w:ascii="Times New Roman" w:hAnsi="Times New Roman" w:eastAsia="宋体" w:cs="Times New Roman"/>
                <w:color w:val="auto"/>
                <w:kern w:val="0"/>
                <w:sz w:val="22"/>
                <w:highlight w:val="none"/>
              </w:rPr>
            </w:pPr>
          </w:p>
        </w:tc>
        <w:tc>
          <w:tcPr>
            <w:tcW w:w="1138" w:type="dxa"/>
          </w:tcPr>
          <w:p>
            <w:pPr>
              <w:widowControl/>
              <w:jc w:val="left"/>
              <w:rPr>
                <w:rFonts w:ascii="Times New Roman" w:hAnsi="Times New Roman" w:eastAsia="宋体" w:cs="Times New Roman"/>
                <w:color w:val="auto"/>
                <w:kern w:val="0"/>
                <w:sz w:val="22"/>
                <w:highlight w:val="none"/>
              </w:rPr>
            </w:pPr>
          </w:p>
        </w:tc>
        <w:tc>
          <w:tcPr>
            <w:tcW w:w="1665" w:type="dxa"/>
          </w:tcPr>
          <w:p>
            <w:pPr>
              <w:widowControl/>
              <w:jc w:val="left"/>
              <w:rPr>
                <w:rFonts w:ascii="Times New Roman" w:hAnsi="Times New Roman" w:eastAsia="宋体" w:cs="Times New Roman"/>
                <w:color w:val="auto"/>
                <w:kern w:val="0"/>
                <w:sz w:val="22"/>
                <w:highlight w:val="none"/>
              </w:rPr>
            </w:pPr>
          </w:p>
        </w:tc>
      </w:tr>
    </w:tbl>
    <w:p>
      <w:pPr>
        <w:adjustRightInd w:val="0"/>
        <w:snapToGrid w:val="0"/>
        <w:spacing w:line="360" w:lineRule="auto"/>
        <w:rPr>
          <w:rFonts w:ascii="宋体" w:hAnsi="宋体" w:eastAsia="宋体" w:cs="Times New Roman"/>
          <w:b/>
          <w:bCs/>
          <w:color w:val="auto"/>
          <w:highlight w:val="none"/>
        </w:rPr>
      </w:pPr>
      <w:r>
        <w:rPr>
          <w:rFonts w:hint="eastAsia" w:ascii="宋体" w:hAnsi="宋体" w:eastAsia="宋体" w:cs="宋体"/>
          <w:b/>
          <w:bCs/>
          <w:color w:val="auto"/>
          <w:highlight w:val="none"/>
        </w:rPr>
        <w:t>备注：</w:t>
      </w:r>
    </w:p>
    <w:p>
      <w:pPr>
        <w:adjustRightInd w:val="0"/>
        <w:snapToGrid w:val="0"/>
        <w:spacing w:line="360" w:lineRule="auto"/>
        <w:rPr>
          <w:rFonts w:ascii="宋体" w:hAnsi="Times New Roman" w:eastAsia="宋体" w:cs="Times New Roman"/>
          <w:b/>
          <w:bCs/>
          <w:color w:val="auto"/>
          <w:highlight w:val="none"/>
        </w:rPr>
      </w:pPr>
      <w:r>
        <w:rPr>
          <w:rFonts w:ascii="宋体" w:hAnsi="宋体" w:eastAsia="宋体" w:cs="宋体"/>
          <w:b/>
          <w:bCs/>
          <w:color w:val="auto"/>
          <w:highlight w:val="none"/>
        </w:rPr>
        <w:t>1</w:t>
      </w:r>
      <w:r>
        <w:rPr>
          <w:rFonts w:hint="eastAsia" w:ascii="宋体" w:hAnsi="宋体" w:eastAsia="宋体" w:cs="宋体"/>
          <w:b/>
          <w:bCs/>
          <w:color w:val="auto"/>
          <w:highlight w:val="none"/>
        </w:rPr>
        <w:t>．表中填写“○”表示该项符合公开遴选文件要求，“×”表示该项不符合公开遴选文件要求。</w:t>
      </w:r>
    </w:p>
    <w:p>
      <w:pPr>
        <w:adjustRightInd w:val="0"/>
        <w:snapToGrid w:val="0"/>
        <w:spacing w:line="360" w:lineRule="auto"/>
        <w:rPr>
          <w:rFonts w:ascii="宋体" w:hAnsi="宋体" w:eastAsia="宋体" w:cs="Times New Roman"/>
          <w:b/>
          <w:bCs/>
          <w:color w:val="auto"/>
          <w:highlight w:val="none"/>
        </w:rPr>
      </w:pPr>
      <w:r>
        <w:rPr>
          <w:rFonts w:ascii="宋体" w:hAnsi="宋体" w:eastAsia="宋体" w:cs="宋体"/>
          <w:b/>
          <w:bCs/>
          <w:color w:val="auto"/>
          <w:highlight w:val="none"/>
        </w:rPr>
        <w:t>2</w:t>
      </w:r>
      <w:r>
        <w:rPr>
          <w:rFonts w:hint="eastAsia" w:ascii="宋体" w:hAnsi="宋体" w:eastAsia="宋体" w:cs="宋体"/>
          <w:b/>
          <w:bCs/>
          <w:color w:val="auto"/>
          <w:highlight w:val="none"/>
        </w:rPr>
        <w:t>．在结论栏中填写“通过”或“不通过”。</w:t>
      </w:r>
    </w:p>
    <w:p>
      <w:pPr>
        <w:adjustRightInd w:val="0"/>
        <w:snapToGrid w:val="0"/>
        <w:spacing w:line="360" w:lineRule="auto"/>
        <w:rPr>
          <w:rFonts w:ascii="宋体" w:hAnsi="宋体" w:eastAsia="宋体" w:cs="Times New Roman"/>
          <w:b/>
          <w:bCs/>
          <w:color w:val="auto"/>
          <w:highlight w:val="none"/>
        </w:rPr>
      </w:pPr>
      <w:r>
        <w:rPr>
          <w:rFonts w:ascii="宋体" w:hAnsi="宋体" w:eastAsia="宋体" w:cs="宋体"/>
          <w:b/>
          <w:bCs/>
          <w:color w:val="auto"/>
          <w:highlight w:val="none"/>
        </w:rPr>
        <w:t>3.</w:t>
      </w:r>
      <w:r>
        <w:rPr>
          <w:rFonts w:hint="eastAsia" w:ascii="宋体" w:hAnsi="宋体" w:eastAsia="宋体" w:cs="宋体"/>
          <w:b/>
          <w:bCs/>
          <w:color w:val="auto"/>
          <w:highlight w:val="none"/>
        </w:rPr>
        <w:t>供应商的所有评审项均填写“○”才被视为“通过”，其中一项为“×”则被视为不通过。</w:t>
      </w:r>
    </w:p>
    <w:p>
      <w:pPr>
        <w:adjustRightInd w:val="0"/>
        <w:snapToGrid w:val="0"/>
        <w:spacing w:line="360" w:lineRule="auto"/>
        <w:rPr>
          <w:rFonts w:ascii="宋体" w:hAnsi="宋体" w:eastAsia="宋体" w:cs="Times New Roman"/>
          <w:b/>
          <w:bCs/>
          <w:color w:val="auto"/>
          <w:highlight w:val="none"/>
        </w:rPr>
      </w:pPr>
      <w:r>
        <w:rPr>
          <w:rFonts w:ascii="宋体" w:hAnsi="宋体" w:eastAsia="宋体" w:cs="宋体"/>
          <w:b/>
          <w:bCs/>
          <w:color w:val="auto"/>
          <w:highlight w:val="none"/>
        </w:rPr>
        <w:t xml:space="preserve">4. </w:t>
      </w:r>
      <w:r>
        <w:rPr>
          <w:rFonts w:hint="eastAsia" w:ascii="宋体" w:hAnsi="宋体" w:eastAsia="宋体" w:cs="宋体"/>
          <w:b/>
          <w:bCs/>
          <w:color w:val="auto"/>
          <w:highlight w:val="none"/>
        </w:rPr>
        <w:t>如对本表中某种情形的评审意见不一致时，以少数服从多数的原则作为评审小组对该情形的认定结论。</w:t>
      </w:r>
    </w:p>
    <w:p>
      <w:pPr>
        <w:spacing w:line="360" w:lineRule="auto"/>
        <w:rPr>
          <w:rFonts w:ascii="宋体" w:hAnsi="宋体" w:eastAsia="宋体" w:cs="Times New Roman"/>
          <w:color w:val="auto"/>
          <w:highlight w:val="none"/>
        </w:rPr>
      </w:pPr>
      <w:r>
        <w:rPr>
          <w:rFonts w:hint="eastAsia" w:ascii="Times New Roman" w:hAnsi="Times New Roman" w:eastAsia="宋体" w:cs="宋体"/>
          <w:color w:val="auto"/>
          <w:highlight w:val="none"/>
        </w:rPr>
        <w:t>评委签名：</w:t>
      </w:r>
      <w:r>
        <w:rPr>
          <w:rFonts w:ascii="宋体" w:hAnsi="宋体" w:eastAsia="宋体" w:cs="宋体"/>
          <w:color w:val="auto"/>
          <w:highlight w:val="none"/>
        </w:rPr>
        <w:t xml:space="preserve">                                            </w:t>
      </w:r>
      <w:r>
        <w:rPr>
          <w:rFonts w:hint="eastAsia" w:ascii="宋体" w:hAnsi="宋体" w:eastAsia="宋体" w:cs="宋体"/>
          <w:color w:val="auto"/>
          <w:highlight w:val="none"/>
        </w:rPr>
        <w:t>日期：</w:t>
      </w:r>
      <w:r>
        <w:rPr>
          <w:rFonts w:ascii="宋体" w:hAnsi="宋体" w:eastAsia="宋体" w:cs="宋体"/>
          <w:color w:val="auto"/>
          <w:highlight w:val="none"/>
        </w:rPr>
        <w:t xml:space="preserve">   </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宋体" w:hAnsi="宋体" w:eastAsia="宋体" w:cs="Times New Roman"/>
          <w:b/>
          <w:bCs/>
          <w:color w:val="auto"/>
          <w:sz w:val="24"/>
          <w:szCs w:val="24"/>
          <w:highlight w:val="none"/>
        </w:rPr>
      </w:pPr>
      <w:r>
        <w:rPr>
          <w:rFonts w:ascii="宋体" w:hAnsi="宋体" w:eastAsia="宋体" w:cs="Times New Roman"/>
          <w:b/>
          <w:bCs/>
          <w:color w:val="auto"/>
          <w:sz w:val="24"/>
          <w:szCs w:val="24"/>
          <w:highlight w:val="none"/>
        </w:rPr>
        <w:br w:type="page"/>
      </w:r>
      <w:r>
        <w:rPr>
          <w:rFonts w:hint="eastAsia" w:ascii="宋体" w:hAnsi="宋体" w:eastAsia="宋体" w:cs="宋体"/>
          <w:b/>
          <w:bCs/>
          <w:color w:val="auto"/>
          <w:sz w:val="24"/>
          <w:szCs w:val="24"/>
          <w:highlight w:val="none"/>
        </w:rPr>
        <w:t>附件</w:t>
      </w:r>
      <w:r>
        <w:rPr>
          <w:rFonts w:ascii="宋体" w:hAnsi="宋体" w:eastAsia="宋体" w:cs="宋体"/>
          <w:b/>
          <w:bCs/>
          <w:color w:val="auto"/>
          <w:sz w:val="24"/>
          <w:szCs w:val="24"/>
          <w:highlight w:val="none"/>
        </w:rPr>
        <w:t>2</w:t>
      </w:r>
      <w:bookmarkStart w:id="317" w:name="_Toc462307146"/>
      <w:bookmarkEnd w:id="317"/>
      <w:r>
        <w:rPr>
          <w:rFonts w:hint="eastAsia" w:ascii="宋体" w:hAnsi="宋体" w:eastAsia="宋体" w:cs="宋体"/>
          <w:b/>
          <w:bCs/>
          <w:color w:val="auto"/>
          <w:sz w:val="24"/>
          <w:szCs w:val="24"/>
          <w:highlight w:val="none"/>
        </w:rPr>
        <w:t>商务部分评分标准（</w:t>
      </w:r>
      <w:r>
        <w:rPr>
          <w:rFonts w:ascii="宋体" w:hAnsi="宋体" w:eastAsia="宋体" w:cs="宋体"/>
          <w:b/>
          <w:bCs/>
          <w:color w:val="auto"/>
          <w:sz w:val="24"/>
          <w:szCs w:val="24"/>
          <w:highlight w:val="none"/>
        </w:rPr>
        <w:t>35</w:t>
      </w:r>
      <w:r>
        <w:rPr>
          <w:rFonts w:hint="eastAsia" w:ascii="宋体" w:hAnsi="宋体" w:eastAsia="宋体" w:cs="宋体"/>
          <w:b/>
          <w:bCs/>
          <w:color w:val="auto"/>
          <w:sz w:val="24"/>
          <w:szCs w:val="24"/>
          <w:highlight w:val="none"/>
        </w:rPr>
        <w:t>分）</w:t>
      </w:r>
    </w:p>
    <w:p>
      <w:pPr>
        <w:spacing w:line="360" w:lineRule="auto"/>
        <w:rPr>
          <w:rFonts w:ascii="宋体" w:hAnsi="宋体" w:eastAsia="宋体" w:cs="宋体"/>
          <w:color w:val="auto"/>
          <w:highlight w:val="none"/>
        </w:rPr>
      </w:pPr>
      <w:r>
        <w:rPr>
          <w:rFonts w:hint="eastAsia" w:ascii="宋体" w:hAnsi="宋体" w:eastAsia="宋体" w:cs="宋体"/>
          <w:color w:val="auto"/>
          <w:highlight w:val="none"/>
        </w:rPr>
        <w:t>项目编号：</w:t>
      </w:r>
      <w:r>
        <w:rPr>
          <w:rFonts w:ascii="宋体" w:hAnsi="宋体" w:eastAsia="宋体" w:cs="宋体"/>
          <w:color w:val="auto"/>
          <w:highlight w:val="none"/>
        </w:rPr>
        <w:t xml:space="preserve">                                       </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项目名称：</w:t>
      </w:r>
    </w:p>
    <w:tbl>
      <w:tblPr>
        <w:tblStyle w:val="90"/>
        <w:tblW w:w="1003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35"/>
        <w:gridCol w:w="874"/>
        <w:gridCol w:w="71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9" w:hRule="atLeast"/>
          <w:jc w:val="center"/>
        </w:trPr>
        <w:tc>
          <w:tcPr>
            <w:tcW w:w="2035" w:type="dxa"/>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内容</w:t>
            </w:r>
          </w:p>
        </w:tc>
        <w:tc>
          <w:tcPr>
            <w:tcW w:w="874" w:type="dxa"/>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分值</w:t>
            </w:r>
          </w:p>
        </w:tc>
        <w:tc>
          <w:tcPr>
            <w:tcW w:w="7124" w:type="dxa"/>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4" w:hRule="atLeast"/>
          <w:jc w:val="center"/>
        </w:trPr>
        <w:tc>
          <w:tcPr>
            <w:tcW w:w="2035" w:type="dxa"/>
            <w:vAlign w:val="center"/>
          </w:tcPr>
          <w:p>
            <w:pPr>
              <w:tabs>
                <w:tab w:val="left" w:pos="1302"/>
              </w:tabs>
              <w:snapToGrid w:val="0"/>
              <w:ind w:right="420"/>
              <w:rPr>
                <w:rFonts w:ascii="宋体" w:hAnsi="宋体" w:eastAsia="宋体" w:cs="Times New Roman"/>
                <w:b/>
                <w:bCs/>
                <w:color w:val="auto"/>
                <w:highlight w:val="none"/>
              </w:rPr>
            </w:pPr>
            <w:r>
              <w:rPr>
                <w:rFonts w:hint="eastAsia" w:ascii="宋体" w:hAnsi="宋体" w:eastAsia="宋体" w:cs="宋体"/>
                <w:color w:val="auto"/>
                <w:highlight w:val="none"/>
              </w:rPr>
              <w:t>商务响应程度</w:t>
            </w:r>
          </w:p>
        </w:tc>
        <w:tc>
          <w:tcPr>
            <w:tcW w:w="874" w:type="dxa"/>
            <w:vAlign w:val="center"/>
          </w:tcPr>
          <w:p>
            <w:pPr>
              <w:jc w:val="center"/>
              <w:rPr>
                <w:rFonts w:ascii="宋体" w:hAnsi="宋体" w:eastAsia="宋体" w:cs="Times New Roman"/>
                <w:color w:val="auto"/>
                <w:highlight w:val="none"/>
              </w:rPr>
            </w:pP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分</w:t>
            </w:r>
          </w:p>
        </w:tc>
        <w:tc>
          <w:tcPr>
            <w:tcW w:w="7124" w:type="dxa"/>
            <w:vAlign w:val="center"/>
          </w:tcPr>
          <w:p>
            <w:pPr>
              <w:pStyle w:val="202"/>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完全满足并优于公开遴选文件要求的得</w:t>
            </w:r>
            <w:r>
              <w:rPr>
                <w:rFonts w:hint="eastAsia"/>
                <w:color w:val="auto"/>
                <w:highlight w:val="none"/>
                <w:lang w:val="en-US" w:eastAsia="zh-CN"/>
              </w:rPr>
              <w:t>3</w:t>
            </w:r>
            <w:r>
              <w:rPr>
                <w:rFonts w:hint="eastAsia"/>
                <w:color w:val="auto"/>
                <w:highlight w:val="none"/>
              </w:rPr>
              <w:t>分</w:t>
            </w:r>
            <w:r>
              <w:rPr>
                <w:rFonts w:hint="eastAsia"/>
                <w:color w:val="auto"/>
                <w:highlight w:val="none"/>
              </w:rPr>
              <w:t>；</w:t>
            </w:r>
          </w:p>
          <w:p>
            <w:pPr>
              <w:pStyle w:val="202"/>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完全满足公开遴选文件要求的得</w:t>
            </w:r>
            <w:r>
              <w:rPr>
                <w:rFonts w:hint="eastAsia"/>
                <w:color w:val="auto"/>
                <w:highlight w:val="none"/>
                <w:lang w:val="en-US" w:eastAsia="zh-CN"/>
              </w:rPr>
              <w:t>2</w:t>
            </w:r>
            <w:r>
              <w:rPr>
                <w:rFonts w:hint="eastAsia"/>
                <w:color w:val="auto"/>
                <w:highlight w:val="none"/>
              </w:rPr>
              <w:t>分；</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rPr>
              <w:t>偏离公开遴选文件的得</w:t>
            </w:r>
            <w:r>
              <w:rPr>
                <w:color w:val="auto"/>
                <w:highlight w:val="none"/>
              </w:rPr>
              <w:t>1</w:t>
            </w:r>
            <w:r>
              <w:rPr>
                <w:rFonts w:hint="eastAsia"/>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00" w:hRule="atLeast"/>
          <w:jc w:val="center"/>
        </w:trPr>
        <w:tc>
          <w:tcPr>
            <w:tcW w:w="2035" w:type="dxa"/>
            <w:vAlign w:val="center"/>
          </w:tcPr>
          <w:p>
            <w:pPr>
              <w:tabs>
                <w:tab w:val="left" w:pos="1302"/>
              </w:tabs>
              <w:snapToGrid w:val="0"/>
              <w:ind w:right="420"/>
              <w:rPr>
                <w:rFonts w:ascii="宋体" w:hAnsi="宋体" w:eastAsia="宋体" w:cs="Times New Roman"/>
                <w:color w:val="auto"/>
                <w:highlight w:val="none"/>
              </w:rPr>
            </w:pPr>
            <w:r>
              <w:rPr>
                <w:rFonts w:hint="eastAsia" w:ascii="宋体" w:hAnsi="宋体" w:eastAsia="宋体" w:cs="宋体"/>
                <w:color w:val="auto"/>
                <w:highlight w:val="none"/>
              </w:rPr>
              <w:t>同类项目业绩</w:t>
            </w:r>
          </w:p>
        </w:tc>
        <w:tc>
          <w:tcPr>
            <w:tcW w:w="874" w:type="dxa"/>
            <w:vAlign w:val="center"/>
          </w:tcPr>
          <w:p>
            <w:pPr>
              <w:widowControl/>
              <w:tabs>
                <w:tab w:val="left" w:pos="720"/>
                <w:tab w:val="left" w:pos="1080"/>
              </w:tabs>
              <w:jc w:val="center"/>
              <w:rPr>
                <w:rFonts w:ascii="宋体" w:hAnsi="宋体" w:eastAsia="宋体" w:cs="Times New Roman"/>
                <w:color w:val="auto"/>
                <w:highlight w:val="none"/>
              </w:rPr>
            </w:pPr>
            <w:r>
              <w:rPr>
                <w:rFonts w:ascii="宋体" w:hAnsi="宋体" w:eastAsia="宋体" w:cs="宋体"/>
                <w:color w:val="auto"/>
                <w:highlight w:val="none"/>
              </w:rPr>
              <w:t>10</w:t>
            </w:r>
            <w:r>
              <w:rPr>
                <w:rFonts w:hint="eastAsia" w:ascii="宋体" w:hAnsi="宋体" w:eastAsia="宋体" w:cs="宋体"/>
                <w:color w:val="auto"/>
                <w:highlight w:val="none"/>
              </w:rPr>
              <w:t>分</w:t>
            </w:r>
          </w:p>
        </w:tc>
        <w:tc>
          <w:tcPr>
            <w:tcW w:w="7124" w:type="dxa"/>
            <w:vAlign w:val="center"/>
          </w:tcPr>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color w:val="auto"/>
                <w:highlight w:val="none"/>
              </w:rPr>
              <w:t>2018</w:t>
            </w:r>
            <w:r>
              <w:rPr>
                <w:rFonts w:hint="eastAsia"/>
                <w:color w:val="auto"/>
                <w:highlight w:val="none"/>
              </w:rPr>
              <w:t>年</w:t>
            </w:r>
            <w:r>
              <w:rPr>
                <w:color w:val="auto"/>
                <w:highlight w:val="none"/>
              </w:rPr>
              <w:t>1</w:t>
            </w:r>
            <w:r>
              <w:rPr>
                <w:rFonts w:hint="eastAsia"/>
                <w:color w:val="auto"/>
                <w:highlight w:val="none"/>
              </w:rPr>
              <w:t>月</w:t>
            </w:r>
            <w:r>
              <w:rPr>
                <w:color w:val="auto"/>
                <w:highlight w:val="none"/>
              </w:rPr>
              <w:t>1</w:t>
            </w:r>
            <w:r>
              <w:rPr>
                <w:rFonts w:hint="eastAsia"/>
                <w:color w:val="auto"/>
                <w:highlight w:val="none"/>
              </w:rPr>
              <w:t>日至今曾独立承担同类监测项目业绩，</w:t>
            </w:r>
            <w:r>
              <w:rPr>
                <w:color w:val="auto"/>
                <w:highlight w:val="none"/>
              </w:rPr>
              <w:t>1</w:t>
            </w:r>
            <w:r>
              <w:rPr>
                <w:rFonts w:hint="eastAsia"/>
                <w:color w:val="auto"/>
                <w:highlight w:val="none"/>
              </w:rPr>
              <w:t>个合同或协议或委托书及其对应的至少一份用户满意度反馈表的（加盖公章的复印件），得</w:t>
            </w:r>
            <w:r>
              <w:rPr>
                <w:color w:val="auto"/>
                <w:highlight w:val="none"/>
              </w:rPr>
              <w:t>2</w:t>
            </w:r>
            <w:r>
              <w:rPr>
                <w:rFonts w:hint="eastAsia"/>
                <w:color w:val="auto"/>
                <w:highlight w:val="none"/>
              </w:rPr>
              <w:t>分，最高</w:t>
            </w:r>
            <w:r>
              <w:rPr>
                <w:color w:val="auto"/>
                <w:highlight w:val="none"/>
              </w:rPr>
              <w:t>10</w:t>
            </w:r>
            <w:r>
              <w:rPr>
                <w:rFonts w:hint="eastAsia"/>
                <w:color w:val="auto"/>
                <w:highlight w:val="none"/>
              </w:rPr>
              <w:t>分。需同时具有合同或协议或委托书以及满意度反馈表才得分，否则不计分。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70" w:hRule="atLeast"/>
          <w:jc w:val="center"/>
        </w:trPr>
        <w:tc>
          <w:tcPr>
            <w:tcW w:w="2035" w:type="dxa"/>
            <w:vAlign w:val="center"/>
          </w:tcPr>
          <w:p>
            <w:pPr>
              <w:tabs>
                <w:tab w:val="left" w:pos="1302"/>
              </w:tabs>
              <w:snapToGrid w:val="0"/>
              <w:ind w:right="420"/>
              <w:rPr>
                <w:rFonts w:ascii="宋体" w:hAnsi="宋体" w:eastAsia="宋体" w:cs="Times New Roman"/>
                <w:color w:val="auto"/>
                <w:highlight w:val="none"/>
              </w:rPr>
            </w:pPr>
            <w:r>
              <w:rPr>
                <w:rFonts w:hint="eastAsia" w:ascii="宋体" w:hAnsi="宋体" w:eastAsia="宋体" w:cs="宋体"/>
                <w:color w:val="auto"/>
                <w:highlight w:val="none"/>
              </w:rPr>
              <w:t>履约能力</w:t>
            </w:r>
          </w:p>
        </w:tc>
        <w:tc>
          <w:tcPr>
            <w:tcW w:w="874" w:type="dxa"/>
            <w:vAlign w:val="center"/>
          </w:tcPr>
          <w:p>
            <w:pPr>
              <w:tabs>
                <w:tab w:val="left" w:pos="1302"/>
              </w:tabs>
              <w:snapToGrid w:val="0"/>
              <w:jc w:val="center"/>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lang w:val="en-US" w:eastAsia="zh-CN"/>
              </w:rPr>
              <w:t>2</w:t>
            </w:r>
            <w:r>
              <w:rPr>
                <w:rFonts w:hint="eastAsia" w:ascii="宋体" w:hAnsi="宋体" w:eastAsia="宋体" w:cs="宋体"/>
                <w:color w:val="auto"/>
                <w:highlight w:val="none"/>
              </w:rPr>
              <w:t>分</w:t>
            </w:r>
          </w:p>
        </w:tc>
        <w:tc>
          <w:tcPr>
            <w:tcW w:w="7124" w:type="dxa"/>
            <w:vAlign w:val="center"/>
          </w:tcPr>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color w:val="auto"/>
                <w:highlight w:val="none"/>
                <w:lang w:eastAsia="zh-CN"/>
              </w:rPr>
              <w:t>供应商</w:t>
            </w:r>
            <w:r>
              <w:rPr>
                <w:rFonts w:hint="eastAsia"/>
                <w:color w:val="auto"/>
                <w:highlight w:val="none"/>
              </w:rPr>
              <w:t>投入的实验室仪器设备：</w:t>
            </w:r>
          </w:p>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color w:val="auto"/>
                <w:highlight w:val="none"/>
              </w:rPr>
              <w:t>1</w:t>
            </w:r>
            <w:r>
              <w:rPr>
                <w:rFonts w:hint="eastAsia"/>
                <w:color w:val="auto"/>
                <w:highlight w:val="none"/>
              </w:rPr>
              <w:t>）气相色谱仪</w:t>
            </w:r>
          </w:p>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color w:val="auto"/>
                <w:highlight w:val="none"/>
              </w:rPr>
              <w:t>2</w:t>
            </w:r>
            <w:r>
              <w:rPr>
                <w:rFonts w:hint="eastAsia"/>
                <w:color w:val="auto"/>
                <w:highlight w:val="none"/>
              </w:rPr>
              <w:t>）原子吸收分光光度计</w:t>
            </w:r>
          </w:p>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color w:val="auto"/>
                <w:highlight w:val="none"/>
              </w:rPr>
              <w:t>3</w:t>
            </w:r>
            <w:r>
              <w:rPr>
                <w:rFonts w:hint="eastAsia"/>
                <w:color w:val="auto"/>
                <w:highlight w:val="none"/>
              </w:rPr>
              <w:t>）原子荧光分光光度计</w:t>
            </w:r>
          </w:p>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color w:val="auto"/>
                <w:highlight w:val="none"/>
                <w:lang w:val="en-US" w:eastAsia="zh-CN"/>
              </w:rPr>
              <w:t>4</w:t>
            </w:r>
            <w:r>
              <w:rPr>
                <w:rFonts w:hint="eastAsia"/>
                <w:color w:val="auto"/>
                <w:highlight w:val="none"/>
              </w:rPr>
              <w:t>）紫外</w:t>
            </w:r>
            <w:r>
              <w:rPr>
                <w:color w:val="auto"/>
                <w:highlight w:val="none"/>
              </w:rPr>
              <w:t>-</w:t>
            </w:r>
            <w:r>
              <w:rPr>
                <w:rFonts w:hint="eastAsia"/>
                <w:color w:val="auto"/>
                <w:highlight w:val="none"/>
              </w:rPr>
              <w:t>可见分光光度计</w:t>
            </w:r>
          </w:p>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color w:val="auto"/>
                <w:highlight w:val="none"/>
                <w:lang w:val="en-US" w:eastAsia="zh-CN"/>
              </w:rPr>
              <w:t>5</w:t>
            </w:r>
            <w:r>
              <w:rPr>
                <w:rFonts w:hint="eastAsia"/>
                <w:color w:val="auto"/>
                <w:highlight w:val="none"/>
              </w:rPr>
              <w:t>）红外光谱仪</w:t>
            </w:r>
          </w:p>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color w:val="auto"/>
                <w:highlight w:val="none"/>
                <w:lang w:val="en-US" w:eastAsia="zh-CN"/>
              </w:rPr>
              <w:t>6</w:t>
            </w:r>
            <w:r>
              <w:rPr>
                <w:rFonts w:hint="eastAsia"/>
                <w:color w:val="auto"/>
                <w:highlight w:val="none"/>
              </w:rPr>
              <w:t>）烟气采样器或油烟采样器</w:t>
            </w:r>
          </w:p>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color w:val="auto"/>
                <w:highlight w:val="none"/>
                <w:lang w:val="en-US" w:eastAsia="zh-CN"/>
              </w:rPr>
              <w:t>7</w:t>
            </w:r>
            <w:r>
              <w:rPr>
                <w:rFonts w:hint="eastAsia"/>
                <w:color w:val="auto"/>
                <w:highlight w:val="none"/>
              </w:rPr>
              <w:t>）空气采样器</w:t>
            </w:r>
          </w:p>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color w:val="auto"/>
                <w:highlight w:val="none"/>
                <w:lang w:val="en-US" w:eastAsia="zh-CN"/>
              </w:rPr>
              <w:t>8</w:t>
            </w:r>
            <w:r>
              <w:rPr>
                <w:rFonts w:hint="eastAsia"/>
                <w:color w:val="auto"/>
                <w:highlight w:val="none"/>
              </w:rPr>
              <w:t>）声级计</w:t>
            </w:r>
          </w:p>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color w:val="auto"/>
                <w:highlight w:val="none"/>
                <w:lang w:val="en-US" w:eastAsia="zh-CN"/>
              </w:rPr>
              <w:t>9</w:t>
            </w:r>
            <w:r>
              <w:rPr>
                <w:rFonts w:hint="eastAsia"/>
                <w:color w:val="auto"/>
                <w:highlight w:val="none"/>
              </w:rPr>
              <w:t>）电磁辐射选频分析仪</w:t>
            </w:r>
          </w:p>
          <w:p>
            <w:pPr>
              <w:pStyle w:val="202"/>
              <w:widowControl w:val="0"/>
              <w:pBdr>
                <w:bottom w:val="none" w:color="auto" w:sz="0" w:space="0"/>
                <w:right w:val="none" w:color="auto" w:sz="0" w:space="0"/>
              </w:pBdr>
              <w:spacing w:before="0" w:beforeAutospacing="0" w:after="0" w:afterAutospacing="0" w:line="360" w:lineRule="auto"/>
              <w:jc w:val="both"/>
              <w:rPr>
                <w:rFonts w:hint="eastAsia"/>
                <w:color w:val="auto"/>
                <w:highlight w:val="none"/>
              </w:rPr>
            </w:pPr>
            <w:r>
              <w:rPr>
                <w:rFonts w:hint="eastAsia"/>
                <w:color w:val="auto"/>
                <w:highlight w:val="none"/>
                <w:lang w:val="en-US" w:eastAsia="zh-CN"/>
              </w:rPr>
              <w:t>10</w:t>
            </w:r>
            <w:r>
              <w:rPr>
                <w:rFonts w:hint="eastAsia"/>
                <w:color w:val="auto"/>
                <w:highlight w:val="none"/>
              </w:rPr>
              <w:t>）便携式xγ剂量率仪</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lang w:val="en-US" w:eastAsia="zh-CN"/>
              </w:rPr>
              <w:t>11</w:t>
            </w:r>
            <w:r>
              <w:rPr>
                <w:rFonts w:hint="eastAsia"/>
                <w:color w:val="auto"/>
                <w:highlight w:val="none"/>
              </w:rPr>
              <w:t>）便携式α、β表面污染仪。</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lang w:eastAsia="zh-CN"/>
              </w:rPr>
              <w:t>供应商</w:t>
            </w:r>
            <w:r>
              <w:rPr>
                <w:rFonts w:hint="eastAsia"/>
                <w:color w:val="auto"/>
                <w:highlight w:val="none"/>
              </w:rPr>
              <w:t>每具有一种仪器设备得</w:t>
            </w:r>
            <w:r>
              <w:rPr>
                <w:rFonts w:hint="eastAsia"/>
                <w:color w:val="auto"/>
                <w:highlight w:val="none"/>
                <w:lang w:val="en-US" w:eastAsia="zh-CN"/>
              </w:rPr>
              <w:t>2</w:t>
            </w:r>
            <w:r>
              <w:rPr>
                <w:rFonts w:hint="eastAsia"/>
                <w:color w:val="auto"/>
                <w:highlight w:val="none"/>
              </w:rPr>
              <w:t>分，本项满分为</w:t>
            </w:r>
            <w:r>
              <w:rPr>
                <w:rFonts w:hint="eastAsia"/>
                <w:color w:val="auto"/>
                <w:highlight w:val="none"/>
                <w:lang w:val="en-US" w:eastAsia="zh-CN"/>
              </w:rPr>
              <w:t>22</w:t>
            </w:r>
            <w:r>
              <w:rPr>
                <w:rFonts w:hint="eastAsia"/>
                <w:color w:val="auto"/>
                <w:highlight w:val="none"/>
              </w:rPr>
              <w:t>分</w:t>
            </w:r>
            <w:r>
              <w:rPr>
                <w:rFonts w:hint="eastAsia"/>
                <w:color w:val="auto"/>
                <w:highlight w:val="none"/>
              </w:rPr>
              <w:t>。</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rPr>
              <w:t>注：须提供相应设备的发票及有效期内的检定</w:t>
            </w:r>
            <w:r>
              <w:rPr>
                <w:color w:val="auto"/>
                <w:highlight w:val="none"/>
              </w:rPr>
              <w:t>/</w:t>
            </w:r>
            <w:r>
              <w:rPr>
                <w:rFonts w:hint="eastAsia"/>
                <w:color w:val="auto"/>
                <w:highlight w:val="none"/>
              </w:rPr>
              <w:t>校准证书（加盖公章的复印件），否则不得分。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8" w:hRule="atLeast"/>
          <w:jc w:val="center"/>
        </w:trPr>
        <w:tc>
          <w:tcPr>
            <w:tcW w:w="2035" w:type="dxa"/>
            <w:vAlign w:val="center"/>
          </w:tcPr>
          <w:p>
            <w:pPr>
              <w:snapToGrid w:val="0"/>
              <w:jc w:val="center"/>
              <w:rPr>
                <w:rFonts w:ascii="宋体" w:hAnsi="宋体" w:eastAsia="宋体" w:cs="Times New Roman"/>
                <w:color w:val="auto"/>
                <w:highlight w:val="none"/>
              </w:rPr>
            </w:pPr>
            <w:r>
              <w:rPr>
                <w:rFonts w:hint="eastAsia" w:ascii="宋体" w:hAnsi="宋体" w:eastAsia="宋体" w:cs="宋体"/>
                <w:color w:val="auto"/>
                <w:highlight w:val="none"/>
              </w:rPr>
              <w:t>总计</w:t>
            </w:r>
          </w:p>
        </w:tc>
        <w:tc>
          <w:tcPr>
            <w:tcW w:w="7998" w:type="dxa"/>
            <w:gridSpan w:val="2"/>
            <w:vAlign w:val="center"/>
          </w:tcPr>
          <w:p>
            <w:pPr>
              <w:snapToGrid w:val="0"/>
              <w:jc w:val="center"/>
              <w:rPr>
                <w:rFonts w:ascii="宋体" w:hAnsi="宋体" w:eastAsia="宋体" w:cs="Times New Roman"/>
                <w:color w:val="auto"/>
                <w:highlight w:val="none"/>
              </w:rPr>
            </w:pPr>
            <w:r>
              <w:rPr>
                <w:rFonts w:ascii="宋体" w:hAnsi="宋体" w:eastAsia="宋体" w:cs="宋体"/>
                <w:color w:val="auto"/>
                <w:highlight w:val="none"/>
              </w:rPr>
              <w:t>35</w:t>
            </w:r>
            <w:r>
              <w:rPr>
                <w:rFonts w:hint="eastAsia" w:ascii="宋体" w:hAnsi="宋体" w:eastAsia="宋体" w:cs="宋体"/>
                <w:color w:val="auto"/>
                <w:highlight w:val="none"/>
              </w:rPr>
              <w:t>分</w:t>
            </w:r>
          </w:p>
        </w:tc>
      </w:tr>
    </w:tbl>
    <w:p>
      <w:pPr>
        <w:spacing w:line="360" w:lineRule="auto"/>
        <w:rPr>
          <w:rFonts w:ascii="宋体" w:hAnsi="宋体" w:eastAsia="宋体" w:cs="Times New Roman"/>
          <w:color w:val="auto"/>
          <w:highlight w:val="none"/>
        </w:rPr>
      </w:pPr>
      <w:r>
        <w:rPr>
          <w:rFonts w:hint="eastAsia" w:ascii="宋体" w:hAnsi="宋体" w:eastAsia="宋体" w:cs="宋体"/>
          <w:snapToGrid w:val="0"/>
          <w:color w:val="auto"/>
          <w:highlight w:val="none"/>
        </w:rPr>
        <w:t>备注：</w:t>
      </w:r>
      <w:r>
        <w:rPr>
          <w:rFonts w:hint="eastAsia" w:ascii="宋体" w:hAnsi="宋体" w:eastAsia="宋体" w:cs="宋体"/>
          <w:color w:val="auto"/>
          <w:highlight w:val="none"/>
        </w:rPr>
        <w:t>公开遴选文件要求提交的与评价指标体系相关的各类有效资料，供应商如未按要求提交的，该项评分为零分。</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评委签名：</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日期：</w:t>
      </w:r>
      <w:r>
        <w:rPr>
          <w:rFonts w:ascii="宋体" w:hAnsi="宋体" w:eastAsia="宋体" w:cs="宋体"/>
          <w:color w:val="auto"/>
          <w:highlight w:val="none"/>
        </w:rPr>
        <w:t xml:space="preserve">   </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宋体" w:hAnsi="宋体" w:eastAsia="宋体" w:cs="Times New Roman"/>
          <w:b/>
          <w:bCs/>
          <w:color w:val="auto"/>
          <w:sz w:val="24"/>
          <w:szCs w:val="24"/>
          <w:highlight w:val="none"/>
        </w:rPr>
      </w:pPr>
      <w:r>
        <w:rPr>
          <w:rFonts w:ascii="宋体" w:hAnsi="宋体" w:eastAsia="宋体" w:cs="Times New Roman"/>
          <w:b/>
          <w:bCs/>
          <w:color w:val="auto"/>
          <w:sz w:val="24"/>
          <w:szCs w:val="24"/>
          <w:highlight w:val="none"/>
        </w:rPr>
        <w:br w:type="page"/>
      </w:r>
      <w:r>
        <w:rPr>
          <w:rFonts w:hint="eastAsia" w:ascii="宋体" w:hAnsi="宋体" w:eastAsia="宋体" w:cs="宋体"/>
          <w:b/>
          <w:bCs/>
          <w:color w:val="auto"/>
          <w:sz w:val="24"/>
          <w:szCs w:val="24"/>
          <w:highlight w:val="none"/>
        </w:rPr>
        <w:t>附件</w:t>
      </w:r>
      <w:r>
        <w:rPr>
          <w:rFonts w:ascii="宋体" w:hAnsi="宋体" w:eastAsia="宋体" w:cs="宋体"/>
          <w:b/>
          <w:bCs/>
          <w:color w:val="auto"/>
          <w:sz w:val="24"/>
          <w:szCs w:val="24"/>
          <w:highlight w:val="none"/>
        </w:rPr>
        <w:t xml:space="preserve">3    </w:t>
      </w:r>
      <w:r>
        <w:rPr>
          <w:rFonts w:hint="eastAsia" w:ascii="宋体" w:hAnsi="宋体" w:eastAsia="宋体" w:cs="宋体"/>
          <w:b/>
          <w:bCs/>
          <w:color w:val="auto"/>
          <w:sz w:val="24"/>
          <w:szCs w:val="24"/>
          <w:highlight w:val="none"/>
        </w:rPr>
        <w:t>技术部分评分标准（</w:t>
      </w:r>
      <w:r>
        <w:rPr>
          <w:rFonts w:ascii="宋体" w:hAnsi="宋体" w:eastAsia="宋体" w:cs="宋体"/>
          <w:b/>
          <w:bCs/>
          <w:color w:val="auto"/>
          <w:sz w:val="24"/>
          <w:szCs w:val="24"/>
          <w:highlight w:val="none"/>
        </w:rPr>
        <w:t>40</w:t>
      </w:r>
      <w:r>
        <w:rPr>
          <w:rFonts w:hint="eastAsia" w:ascii="宋体" w:hAnsi="宋体" w:eastAsia="宋体" w:cs="宋体"/>
          <w:b/>
          <w:bCs/>
          <w:color w:val="auto"/>
          <w:sz w:val="24"/>
          <w:szCs w:val="24"/>
          <w:highlight w:val="none"/>
        </w:rPr>
        <w:t>分）</w:t>
      </w:r>
    </w:p>
    <w:p>
      <w:pPr>
        <w:spacing w:line="360" w:lineRule="auto"/>
        <w:rPr>
          <w:rFonts w:ascii="宋体" w:hAnsi="宋体" w:eastAsia="宋体" w:cs="宋体"/>
          <w:color w:val="auto"/>
          <w:highlight w:val="none"/>
        </w:rPr>
      </w:pPr>
      <w:r>
        <w:rPr>
          <w:rFonts w:hint="eastAsia" w:ascii="宋体" w:hAnsi="宋体" w:eastAsia="宋体" w:cs="宋体"/>
          <w:color w:val="auto"/>
          <w:highlight w:val="none"/>
        </w:rPr>
        <w:t>项目编号：</w:t>
      </w:r>
      <w:r>
        <w:rPr>
          <w:rFonts w:ascii="宋体" w:hAnsi="宋体" w:eastAsia="宋体" w:cs="宋体"/>
          <w:color w:val="auto"/>
          <w:highlight w:val="none"/>
        </w:rPr>
        <w:t xml:space="preserve">   </w:t>
      </w:r>
    </w:p>
    <w:p>
      <w:pPr>
        <w:spacing w:line="360" w:lineRule="auto"/>
        <w:rPr>
          <w:rFonts w:ascii="宋体" w:hAnsi="宋体" w:eastAsia="宋体" w:cs="宋体"/>
          <w:color w:val="auto"/>
          <w:highlight w:val="none"/>
        </w:rPr>
      </w:pPr>
      <w:r>
        <w:rPr>
          <w:rFonts w:hint="eastAsia" w:ascii="宋体" w:hAnsi="宋体" w:eastAsia="宋体" w:cs="宋体"/>
          <w:color w:val="auto"/>
          <w:highlight w:val="none"/>
        </w:rPr>
        <w:t>项目名称：</w:t>
      </w:r>
      <w:r>
        <w:rPr>
          <w:rFonts w:ascii="宋体" w:hAnsi="宋体" w:eastAsia="宋体" w:cs="宋体"/>
          <w:color w:val="auto"/>
          <w:highlight w:val="none"/>
        </w:rPr>
        <w:t xml:space="preserve">                                    </w:t>
      </w:r>
    </w:p>
    <w:tbl>
      <w:tblPr>
        <w:tblStyle w:val="90"/>
        <w:tblpPr w:leftFromText="180" w:rightFromText="180" w:vertAnchor="text" w:horzAnchor="page" w:tblpX="1300" w:tblpY="399"/>
        <w:tblOverlap w:val="never"/>
        <w:tblW w:w="95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0"/>
        <w:gridCol w:w="684"/>
        <w:gridCol w:w="73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1450" w:type="dxa"/>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评审内容</w:t>
            </w:r>
          </w:p>
        </w:tc>
        <w:tc>
          <w:tcPr>
            <w:tcW w:w="684" w:type="dxa"/>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分值</w:t>
            </w:r>
          </w:p>
        </w:tc>
        <w:tc>
          <w:tcPr>
            <w:tcW w:w="7380" w:type="dxa"/>
            <w:vAlign w:val="center"/>
          </w:tcPr>
          <w:p>
            <w:pPr>
              <w:jc w:val="center"/>
              <w:rPr>
                <w:rFonts w:ascii="宋体" w:hAnsi="宋体" w:eastAsia="宋体" w:cs="Times New Roman"/>
                <w:b/>
                <w:bCs/>
                <w:color w:val="auto"/>
                <w:highlight w:val="none"/>
              </w:rPr>
            </w:pPr>
            <w:r>
              <w:rPr>
                <w:rFonts w:hint="eastAsia" w:ascii="宋体" w:hAnsi="宋体" w:eastAsia="宋体" w:cs="宋体"/>
                <w:b/>
                <w:bCs/>
                <w:color w:val="auto"/>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58" w:hRule="atLeast"/>
        </w:trPr>
        <w:tc>
          <w:tcPr>
            <w:tcW w:w="1450" w:type="dxa"/>
            <w:vAlign w:val="center"/>
          </w:tcPr>
          <w:p>
            <w:pPr>
              <w:tabs>
                <w:tab w:val="left" w:pos="2880"/>
              </w:tabs>
              <w:adjustRightInd w:val="0"/>
              <w:snapToGrid w:val="0"/>
              <w:rPr>
                <w:rFonts w:ascii="宋体" w:hAnsi="宋体" w:eastAsia="宋体" w:cs="Times New Roman"/>
                <w:color w:val="auto"/>
                <w:highlight w:val="none"/>
              </w:rPr>
            </w:pPr>
            <w:r>
              <w:rPr>
                <w:rFonts w:hint="eastAsia" w:ascii="宋体" w:hAnsi="宋体" w:eastAsia="宋体" w:cs="宋体"/>
                <w:b/>
                <w:bCs/>
                <w:color w:val="auto"/>
                <w:highlight w:val="none"/>
              </w:rPr>
              <w:t>技术服务方案评价</w:t>
            </w:r>
          </w:p>
        </w:tc>
        <w:tc>
          <w:tcPr>
            <w:tcW w:w="684"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10</w:t>
            </w:r>
            <w:r>
              <w:rPr>
                <w:rFonts w:hint="eastAsia" w:ascii="宋体" w:hAnsi="宋体" w:eastAsia="宋体" w:cs="宋体"/>
                <w:color w:val="auto"/>
                <w:highlight w:val="none"/>
              </w:rPr>
              <w:t>分</w:t>
            </w:r>
          </w:p>
        </w:tc>
        <w:tc>
          <w:tcPr>
            <w:tcW w:w="7380" w:type="dxa"/>
            <w:vAlign w:val="center"/>
          </w:tcPr>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rPr>
              <w:t>根据</w:t>
            </w:r>
            <w:r>
              <w:rPr>
                <w:rFonts w:hint="eastAsia"/>
                <w:color w:val="auto"/>
                <w:highlight w:val="none"/>
                <w:lang w:eastAsia="zh-CN"/>
              </w:rPr>
              <w:t>供应商</w:t>
            </w:r>
            <w:r>
              <w:rPr>
                <w:rFonts w:hint="eastAsia"/>
                <w:color w:val="auto"/>
                <w:highlight w:val="none"/>
              </w:rPr>
              <w:t>提供的针对本项目制定服务方案（包括应急监测方案）的内容、保障措施、服务承诺、对项目辖区污染源分布熟悉程度或任务开展熟悉程度进行综合评价：</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color w:val="auto"/>
                <w:highlight w:val="none"/>
              </w:rPr>
              <w:t>1</w:t>
            </w:r>
            <w:r>
              <w:rPr>
                <w:rFonts w:hint="eastAsia"/>
                <w:color w:val="auto"/>
                <w:highlight w:val="none"/>
              </w:rPr>
              <w:t>、服务方案完善，保障措施好、服务承诺可行，对项目辖区污染源分布非常熟悉或任务开展非常熟悉，并有详细相关事例说明，得</w:t>
            </w:r>
            <w:r>
              <w:rPr>
                <w:color w:val="auto"/>
                <w:highlight w:val="none"/>
              </w:rPr>
              <w:t>10</w:t>
            </w:r>
            <w:r>
              <w:rPr>
                <w:rFonts w:hint="eastAsia"/>
                <w:color w:val="auto"/>
                <w:highlight w:val="none"/>
              </w:rPr>
              <w:t>分；</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color w:val="auto"/>
                <w:highlight w:val="none"/>
              </w:rPr>
              <w:t>2</w:t>
            </w:r>
            <w:r>
              <w:rPr>
                <w:rFonts w:hint="eastAsia"/>
                <w:color w:val="auto"/>
                <w:highlight w:val="none"/>
              </w:rPr>
              <w:t>、服务方案较完善，保障措施较好、服务承诺较可行，对项目辖区污染源分布比较熟悉程度或任务开展熟悉程度，并有相关事例说明，得</w:t>
            </w:r>
            <w:r>
              <w:rPr>
                <w:color w:val="auto"/>
                <w:highlight w:val="none"/>
              </w:rPr>
              <w:t>6</w:t>
            </w:r>
            <w:r>
              <w:rPr>
                <w:rFonts w:hint="eastAsia"/>
                <w:color w:val="auto"/>
                <w:highlight w:val="none"/>
              </w:rPr>
              <w:t>分；</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color w:val="auto"/>
                <w:highlight w:val="none"/>
              </w:rPr>
              <w:t>3</w:t>
            </w:r>
            <w:r>
              <w:rPr>
                <w:rFonts w:hint="eastAsia"/>
                <w:color w:val="auto"/>
                <w:highlight w:val="none"/>
              </w:rPr>
              <w:t>、服务方案相对完善，保障措施一般、服务承诺具有一定可行性，对项目辖区污染源分布较熟悉或任务开展较熟悉，事例说明欠缺，得</w:t>
            </w:r>
            <w:r>
              <w:rPr>
                <w:color w:val="auto"/>
                <w:highlight w:val="none"/>
              </w:rPr>
              <w:t>3</w:t>
            </w:r>
            <w:r>
              <w:rPr>
                <w:rFonts w:hint="eastAsia"/>
                <w:color w:val="auto"/>
                <w:highlight w:val="none"/>
              </w:rPr>
              <w:t>分；</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color w:val="auto"/>
                <w:highlight w:val="none"/>
              </w:rPr>
              <w:t>4</w:t>
            </w:r>
            <w:r>
              <w:rPr>
                <w:rFonts w:hint="eastAsia"/>
                <w:color w:val="auto"/>
                <w:highlight w:val="none"/>
              </w:rPr>
              <w:t>、服务方案不够完善，服务承诺可行性较低，对项目辖区污染源分布不清晰或任务开展不熟悉，无事例说明，得</w:t>
            </w:r>
            <w:r>
              <w:rPr>
                <w:color w:val="auto"/>
                <w:highlight w:val="none"/>
              </w:rPr>
              <w:t>1</w:t>
            </w:r>
            <w:r>
              <w:rPr>
                <w:rFonts w:hint="eastAsia"/>
                <w:color w:val="auto"/>
                <w:highlight w:val="none"/>
              </w:rPr>
              <w:t>分；</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color w:val="auto"/>
                <w:highlight w:val="none"/>
              </w:rPr>
              <w:t>5</w:t>
            </w:r>
            <w:r>
              <w:rPr>
                <w:rFonts w:hint="eastAsia"/>
                <w:color w:val="auto"/>
                <w:highlight w:val="none"/>
              </w:rPr>
              <w:t>、未提供，得</w:t>
            </w:r>
            <w:r>
              <w:rPr>
                <w:color w:val="auto"/>
                <w:highlight w:val="none"/>
              </w:rPr>
              <w:t>0</w:t>
            </w:r>
            <w:r>
              <w:rPr>
                <w:rFonts w:hint="eastAsia"/>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18" w:hRule="atLeast"/>
        </w:trPr>
        <w:tc>
          <w:tcPr>
            <w:tcW w:w="1450" w:type="dxa"/>
            <w:vAlign w:val="center"/>
          </w:tcPr>
          <w:p>
            <w:pPr>
              <w:tabs>
                <w:tab w:val="left" w:pos="2880"/>
              </w:tabs>
              <w:adjustRightInd w:val="0"/>
              <w:snapToGrid w:val="0"/>
              <w:rPr>
                <w:rFonts w:ascii="宋体" w:hAnsi="宋体" w:eastAsia="宋体" w:cs="Times New Roman"/>
                <w:color w:val="auto"/>
                <w:highlight w:val="none"/>
              </w:rPr>
            </w:pPr>
            <w:r>
              <w:rPr>
                <w:rFonts w:hint="eastAsia" w:ascii="宋体" w:hAnsi="宋体" w:eastAsia="宋体" w:cs="宋体"/>
                <w:b/>
                <w:bCs/>
                <w:color w:val="auto"/>
                <w:highlight w:val="none"/>
              </w:rPr>
              <w:t>质控要求</w:t>
            </w:r>
          </w:p>
        </w:tc>
        <w:tc>
          <w:tcPr>
            <w:tcW w:w="684"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6</w:t>
            </w:r>
            <w:r>
              <w:rPr>
                <w:rFonts w:hint="eastAsia" w:ascii="宋体" w:hAnsi="宋体" w:eastAsia="宋体" w:cs="宋体"/>
                <w:color w:val="auto"/>
                <w:highlight w:val="none"/>
              </w:rPr>
              <w:t>分</w:t>
            </w:r>
          </w:p>
        </w:tc>
        <w:tc>
          <w:tcPr>
            <w:tcW w:w="7380" w:type="dxa"/>
            <w:vAlign w:val="center"/>
          </w:tcPr>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rPr>
              <w:t>根据</w:t>
            </w:r>
            <w:r>
              <w:rPr>
                <w:rFonts w:hint="eastAsia"/>
                <w:color w:val="auto"/>
                <w:highlight w:val="none"/>
                <w:lang w:eastAsia="zh-CN"/>
              </w:rPr>
              <w:t>供应商</w:t>
            </w:r>
            <w:r>
              <w:rPr>
                <w:rFonts w:hint="eastAsia"/>
                <w:color w:val="auto"/>
                <w:highlight w:val="none"/>
              </w:rPr>
              <w:t>提供的针对本项目设计质量保证措施和质量管理制度进行综合评价，根据监测后样品运输和保存条件、分析及时性、空白试验、平行样分析、质控记录规范性等进行综合评价：</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color w:val="auto"/>
                <w:highlight w:val="none"/>
              </w:rPr>
              <w:t>1</w:t>
            </w:r>
            <w:r>
              <w:rPr>
                <w:rFonts w:hint="eastAsia"/>
                <w:color w:val="auto"/>
                <w:highlight w:val="none"/>
              </w:rPr>
              <w:t>、质量保证措施和质量管理制度完善可行</w:t>
            </w:r>
            <w:r>
              <w:rPr>
                <w:rFonts w:hint="eastAsia"/>
                <w:color w:val="auto"/>
                <w:highlight w:val="none"/>
                <w:lang w:val="en-US" w:eastAsia="zh-CN"/>
              </w:rPr>
              <w:t>的</w:t>
            </w:r>
            <w:r>
              <w:rPr>
                <w:rFonts w:hint="eastAsia"/>
                <w:color w:val="auto"/>
                <w:highlight w:val="none"/>
              </w:rPr>
              <w:t>，得</w:t>
            </w:r>
            <w:r>
              <w:rPr>
                <w:color w:val="auto"/>
                <w:highlight w:val="none"/>
              </w:rPr>
              <w:t>6</w:t>
            </w:r>
            <w:r>
              <w:rPr>
                <w:rFonts w:hint="eastAsia"/>
                <w:color w:val="auto"/>
                <w:highlight w:val="none"/>
              </w:rPr>
              <w:t>分；</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color w:val="auto"/>
                <w:highlight w:val="none"/>
              </w:rPr>
              <w:t>2</w:t>
            </w:r>
            <w:r>
              <w:rPr>
                <w:rFonts w:hint="eastAsia"/>
                <w:color w:val="auto"/>
                <w:highlight w:val="none"/>
              </w:rPr>
              <w:t>、质量保证措施和质量管理制度</w:t>
            </w:r>
            <w:r>
              <w:rPr>
                <w:rFonts w:hint="eastAsia"/>
                <w:color w:val="auto"/>
                <w:highlight w:val="none"/>
                <w:lang w:val="en-US" w:eastAsia="zh-CN"/>
              </w:rPr>
              <w:t>比较</w:t>
            </w:r>
            <w:r>
              <w:rPr>
                <w:rFonts w:hint="eastAsia"/>
                <w:color w:val="auto"/>
                <w:highlight w:val="none"/>
              </w:rPr>
              <w:t>完善可行</w:t>
            </w:r>
            <w:r>
              <w:rPr>
                <w:rFonts w:hint="eastAsia"/>
                <w:color w:val="auto"/>
                <w:highlight w:val="none"/>
                <w:lang w:val="en-US" w:eastAsia="zh-CN"/>
              </w:rPr>
              <w:t>的</w:t>
            </w:r>
            <w:r>
              <w:rPr>
                <w:rFonts w:hint="eastAsia"/>
                <w:color w:val="auto"/>
                <w:highlight w:val="none"/>
              </w:rPr>
              <w:t>，得</w:t>
            </w:r>
            <w:r>
              <w:rPr>
                <w:rFonts w:hint="eastAsia"/>
                <w:color w:val="auto"/>
                <w:highlight w:val="none"/>
                <w:lang w:val="en-US" w:eastAsia="zh-CN"/>
              </w:rPr>
              <w:t>3</w:t>
            </w:r>
            <w:r>
              <w:rPr>
                <w:rFonts w:hint="eastAsia"/>
                <w:color w:val="auto"/>
                <w:highlight w:val="none"/>
              </w:rPr>
              <w:t>分；</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lang w:val="en-US" w:eastAsia="zh-CN"/>
              </w:rPr>
              <w:t>2</w:t>
            </w:r>
            <w:r>
              <w:rPr>
                <w:rFonts w:hint="eastAsia"/>
                <w:color w:val="auto"/>
                <w:highlight w:val="none"/>
              </w:rPr>
              <w:t>、质量保证措施和质量管理制度不够完善可行，得</w:t>
            </w:r>
            <w:r>
              <w:rPr>
                <w:color w:val="auto"/>
                <w:highlight w:val="none"/>
              </w:rPr>
              <w:t>1</w:t>
            </w:r>
            <w:r>
              <w:rPr>
                <w:rFonts w:hint="eastAsia"/>
                <w:color w:val="auto"/>
                <w:highlight w:val="none"/>
              </w:rPr>
              <w:t>分；</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lang w:val="en-US" w:eastAsia="zh-CN"/>
              </w:rPr>
              <w:t>3</w:t>
            </w:r>
            <w:r>
              <w:rPr>
                <w:rFonts w:hint="eastAsia"/>
                <w:color w:val="auto"/>
                <w:highlight w:val="none"/>
              </w:rPr>
              <w:t>、未提供，得</w:t>
            </w:r>
            <w:r>
              <w:rPr>
                <w:color w:val="auto"/>
                <w:highlight w:val="none"/>
              </w:rPr>
              <w:t>0</w:t>
            </w:r>
            <w:r>
              <w:rPr>
                <w:rFonts w:hint="eastAsia"/>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6" w:hRule="atLeast"/>
        </w:trPr>
        <w:tc>
          <w:tcPr>
            <w:tcW w:w="1450" w:type="dxa"/>
            <w:vAlign w:val="center"/>
          </w:tcPr>
          <w:p>
            <w:pPr>
              <w:tabs>
                <w:tab w:val="left" w:pos="2880"/>
              </w:tabs>
              <w:adjustRightInd w:val="0"/>
              <w:snapToGrid w:val="0"/>
              <w:rPr>
                <w:rFonts w:ascii="宋体" w:hAnsi="宋体" w:eastAsia="宋体" w:cs="Times New Roman"/>
                <w:b/>
                <w:bCs/>
                <w:color w:val="auto"/>
                <w:highlight w:val="none"/>
              </w:rPr>
            </w:pPr>
            <w:r>
              <w:rPr>
                <w:rFonts w:hint="eastAsia" w:ascii="宋体" w:hAnsi="宋体" w:eastAsia="宋体" w:cs="宋体"/>
                <w:b/>
                <w:bCs/>
                <w:color w:val="auto"/>
                <w:highlight w:val="none"/>
              </w:rPr>
              <w:t>项目负责人资历和经验</w:t>
            </w:r>
          </w:p>
        </w:tc>
        <w:tc>
          <w:tcPr>
            <w:tcW w:w="684"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分</w:t>
            </w:r>
          </w:p>
        </w:tc>
        <w:tc>
          <w:tcPr>
            <w:tcW w:w="7380" w:type="dxa"/>
            <w:vAlign w:val="center"/>
          </w:tcPr>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rPr>
              <w:t>项目负责人具有高级工程师职称得</w:t>
            </w:r>
            <w:r>
              <w:rPr>
                <w:color w:val="auto"/>
                <w:highlight w:val="none"/>
              </w:rPr>
              <w:t>3</w:t>
            </w:r>
            <w:r>
              <w:rPr>
                <w:rFonts w:hint="eastAsia"/>
                <w:color w:val="auto"/>
                <w:highlight w:val="none"/>
              </w:rPr>
              <w:t>分；具有中级职称得</w:t>
            </w:r>
            <w:r>
              <w:rPr>
                <w:color w:val="auto"/>
                <w:highlight w:val="none"/>
              </w:rPr>
              <w:t>2</w:t>
            </w:r>
            <w:r>
              <w:rPr>
                <w:rFonts w:hint="eastAsia"/>
                <w:color w:val="auto"/>
                <w:highlight w:val="none"/>
              </w:rPr>
              <w:t>分；具有初级（助理）职称得</w:t>
            </w:r>
            <w:r>
              <w:rPr>
                <w:color w:val="auto"/>
                <w:highlight w:val="none"/>
              </w:rPr>
              <w:t>1</w:t>
            </w:r>
            <w:r>
              <w:rPr>
                <w:rFonts w:hint="eastAsia"/>
                <w:color w:val="auto"/>
                <w:highlight w:val="none"/>
              </w:rPr>
              <w:t>分（不重复计算，按得分较高评审），需同时具有第三方培训机构颁发的环境检测上岗合格证或培训证的才得分；</w:t>
            </w:r>
          </w:p>
          <w:p>
            <w:pPr>
              <w:pStyle w:val="202"/>
              <w:widowControl w:val="0"/>
              <w:pBdr>
                <w:bottom w:val="none" w:color="auto" w:sz="0" w:space="0"/>
                <w:right w:val="none" w:color="auto" w:sz="0" w:space="0"/>
              </w:pBdr>
              <w:spacing w:before="0" w:beforeAutospacing="0" w:after="0" w:afterAutospacing="0" w:line="360" w:lineRule="auto"/>
              <w:jc w:val="both"/>
              <w:rPr>
                <w:color w:val="auto"/>
                <w:highlight w:val="none"/>
              </w:rPr>
            </w:pPr>
            <w:r>
              <w:rPr>
                <w:rFonts w:hint="eastAsia"/>
                <w:color w:val="auto"/>
                <w:highlight w:val="none"/>
              </w:rPr>
              <w:t>投标文件中需附项目负责人的职称或资格证书，及</w:t>
            </w:r>
            <w:r>
              <w:rPr>
                <w:rFonts w:hint="eastAsia"/>
                <w:color w:val="auto"/>
                <w:highlight w:val="none"/>
              </w:rPr>
              <w:t>由</w:t>
            </w:r>
            <w:r>
              <w:rPr>
                <w:rFonts w:hint="eastAsia"/>
                <w:color w:val="auto"/>
                <w:highlight w:val="none"/>
                <w:lang w:eastAsia="zh-CN"/>
              </w:rPr>
              <w:t>供应商</w:t>
            </w:r>
            <w:r>
              <w:rPr>
                <w:rFonts w:hint="eastAsia"/>
                <w:color w:val="auto"/>
                <w:highlight w:val="none"/>
              </w:rPr>
              <w:t>为</w:t>
            </w:r>
            <w:r>
              <w:rPr>
                <w:rFonts w:hint="eastAsia"/>
                <w:color w:val="auto"/>
                <w:highlight w:val="none"/>
              </w:rPr>
              <w:t>其购买社保证明文件或退休证明文件</w:t>
            </w:r>
            <w:r>
              <w:rPr>
                <w:color w:val="auto"/>
                <w:highlight w:val="none"/>
              </w:rPr>
              <w:t>(</w:t>
            </w:r>
            <w:r>
              <w:rPr>
                <w:rFonts w:hint="eastAsia"/>
                <w:color w:val="auto"/>
                <w:highlight w:val="none"/>
              </w:rPr>
              <w:t>如是退休证明文件的需同时提供与</w:t>
            </w:r>
            <w:r>
              <w:rPr>
                <w:rFonts w:hint="eastAsia"/>
                <w:color w:val="auto"/>
                <w:highlight w:val="none"/>
                <w:lang w:eastAsia="zh-CN"/>
              </w:rPr>
              <w:t>供应商</w:t>
            </w:r>
            <w:r>
              <w:rPr>
                <w:rFonts w:hint="eastAsia"/>
                <w:color w:val="auto"/>
                <w:highlight w:val="none"/>
              </w:rPr>
              <w:t>签订的劳动合同），加盖公章的复印件，否则不得分。</w:t>
            </w:r>
            <w:r>
              <w:rPr>
                <w:color w:val="auto"/>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1" w:hRule="atLeast"/>
        </w:trPr>
        <w:tc>
          <w:tcPr>
            <w:tcW w:w="1450" w:type="dxa"/>
            <w:vAlign w:val="center"/>
          </w:tcPr>
          <w:p>
            <w:pPr>
              <w:tabs>
                <w:tab w:val="left" w:pos="2880"/>
              </w:tabs>
              <w:adjustRightInd w:val="0"/>
              <w:snapToGrid w:val="0"/>
              <w:jc w:val="left"/>
              <w:rPr>
                <w:rFonts w:ascii="宋体" w:hAnsi="宋体" w:eastAsia="宋体" w:cs="Times New Roman"/>
                <w:b/>
                <w:bCs/>
                <w:color w:val="auto"/>
                <w:highlight w:val="none"/>
              </w:rPr>
            </w:pPr>
            <w:r>
              <w:rPr>
                <w:rFonts w:hint="eastAsia" w:ascii="宋体" w:hAnsi="宋体" w:eastAsia="宋体" w:cs="宋体"/>
                <w:b/>
                <w:bCs/>
                <w:color w:val="auto"/>
                <w:highlight w:val="none"/>
              </w:rPr>
              <w:t>人员技术水平（不含项目负责人）</w:t>
            </w:r>
          </w:p>
        </w:tc>
        <w:tc>
          <w:tcPr>
            <w:tcW w:w="684" w:type="dxa"/>
            <w:vAlign w:val="center"/>
          </w:tcPr>
          <w:p>
            <w:pPr>
              <w:jc w:val="center"/>
              <w:rPr>
                <w:rFonts w:ascii="宋体" w:hAnsi="宋体" w:eastAsia="宋体" w:cs="Times New Roman"/>
                <w:color w:val="auto"/>
                <w:highlight w:val="none"/>
              </w:rPr>
            </w:pPr>
            <w:r>
              <w:rPr>
                <w:rFonts w:ascii="宋体" w:hAnsi="宋体" w:eastAsia="宋体" w:cs="宋体"/>
                <w:color w:val="auto"/>
                <w:highlight w:val="none"/>
              </w:rPr>
              <w:t>12</w:t>
            </w:r>
            <w:r>
              <w:rPr>
                <w:rFonts w:hint="eastAsia" w:ascii="宋体" w:hAnsi="宋体" w:eastAsia="宋体" w:cs="宋体"/>
                <w:color w:val="auto"/>
                <w:highlight w:val="none"/>
              </w:rPr>
              <w:t>分</w:t>
            </w:r>
          </w:p>
        </w:tc>
        <w:tc>
          <w:tcPr>
            <w:tcW w:w="7380" w:type="dxa"/>
            <w:vAlign w:val="center"/>
          </w:tcPr>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rPr>
              <w:t>本项目投入专业技术人员中，具有一个高级工程师职称得</w:t>
            </w:r>
            <w:r>
              <w:rPr>
                <w:color w:val="auto"/>
                <w:highlight w:val="none"/>
              </w:rPr>
              <w:t>2</w:t>
            </w:r>
            <w:r>
              <w:rPr>
                <w:rFonts w:hint="eastAsia"/>
                <w:color w:val="auto"/>
                <w:highlight w:val="none"/>
              </w:rPr>
              <w:t>分；具有一个中级工程师职称得</w:t>
            </w:r>
            <w:r>
              <w:rPr>
                <w:color w:val="auto"/>
                <w:highlight w:val="none"/>
              </w:rPr>
              <w:t>1.5</w:t>
            </w:r>
            <w:r>
              <w:rPr>
                <w:rFonts w:hint="eastAsia"/>
                <w:color w:val="auto"/>
                <w:highlight w:val="none"/>
              </w:rPr>
              <w:t>分；具有初级（助理）职称得</w:t>
            </w:r>
            <w:r>
              <w:rPr>
                <w:color w:val="auto"/>
                <w:highlight w:val="none"/>
              </w:rPr>
              <w:t>1</w:t>
            </w:r>
            <w:r>
              <w:rPr>
                <w:rFonts w:hint="eastAsia"/>
                <w:color w:val="auto"/>
                <w:highlight w:val="none"/>
              </w:rPr>
              <w:t>分；其他得</w:t>
            </w:r>
            <w:r>
              <w:rPr>
                <w:color w:val="auto"/>
                <w:highlight w:val="none"/>
              </w:rPr>
              <w:t>0.5</w:t>
            </w:r>
            <w:r>
              <w:rPr>
                <w:rFonts w:hint="eastAsia"/>
                <w:color w:val="auto"/>
                <w:highlight w:val="none"/>
              </w:rPr>
              <w:t>分。以上人员需同时具有第三方培训机构颁发的环境检测上岗合格证或培训证书才得分（最高得</w:t>
            </w:r>
            <w:r>
              <w:rPr>
                <w:color w:val="auto"/>
                <w:highlight w:val="none"/>
              </w:rPr>
              <w:t xml:space="preserve"> 12</w:t>
            </w:r>
            <w:r>
              <w:rPr>
                <w:rFonts w:hint="eastAsia"/>
                <w:color w:val="auto"/>
                <w:highlight w:val="none"/>
              </w:rPr>
              <w:t>分）；</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rPr>
              <w:t>投标文件中需附人员的职称或资格证书复印件，及由</w:t>
            </w:r>
            <w:r>
              <w:rPr>
                <w:rFonts w:hint="eastAsia"/>
                <w:color w:val="auto"/>
                <w:highlight w:val="none"/>
                <w:lang w:eastAsia="zh-CN"/>
              </w:rPr>
              <w:t>供应商</w:t>
            </w:r>
            <w:r>
              <w:rPr>
                <w:rFonts w:hint="eastAsia"/>
                <w:color w:val="auto"/>
                <w:highlight w:val="none"/>
              </w:rPr>
              <w:t>为其购买社保证明文件或退休证明文件</w:t>
            </w:r>
            <w:r>
              <w:rPr>
                <w:color w:val="auto"/>
                <w:highlight w:val="none"/>
              </w:rPr>
              <w:t>(</w:t>
            </w:r>
            <w:r>
              <w:rPr>
                <w:rFonts w:hint="eastAsia"/>
                <w:color w:val="auto"/>
                <w:highlight w:val="none"/>
              </w:rPr>
              <w:t>如是退休证明文件的需同时提供与</w:t>
            </w:r>
            <w:r>
              <w:rPr>
                <w:rFonts w:hint="eastAsia"/>
                <w:color w:val="auto"/>
                <w:highlight w:val="none"/>
                <w:lang w:eastAsia="zh-CN"/>
              </w:rPr>
              <w:t>供应商</w:t>
            </w:r>
            <w:r>
              <w:rPr>
                <w:rFonts w:hint="eastAsia"/>
                <w:color w:val="auto"/>
                <w:highlight w:val="none"/>
              </w:rPr>
              <w:t>签订的劳动合同</w:t>
            </w:r>
            <w:r>
              <w:rPr>
                <w:color w:val="auto"/>
                <w:highlight w:val="none"/>
              </w:rPr>
              <w:t>)</w:t>
            </w:r>
            <w:r>
              <w:rPr>
                <w:rFonts w:hint="eastAsia"/>
                <w:color w:val="auto"/>
                <w:highlight w:val="none"/>
              </w:rPr>
              <w:t>，加盖公章的复印件，否则不得分。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57" w:hRule="atLeast"/>
        </w:trPr>
        <w:tc>
          <w:tcPr>
            <w:tcW w:w="1450" w:type="dxa"/>
            <w:vAlign w:val="center"/>
          </w:tcPr>
          <w:p>
            <w:pPr>
              <w:tabs>
                <w:tab w:val="left" w:pos="2880"/>
              </w:tabs>
              <w:adjustRightInd w:val="0"/>
              <w:snapToGrid w:val="0"/>
              <w:rPr>
                <w:rFonts w:ascii="宋体" w:hAnsi="宋体" w:eastAsia="宋体" w:cs="Times New Roman"/>
                <w:b/>
                <w:bCs/>
                <w:color w:val="auto"/>
                <w:highlight w:val="none"/>
              </w:rPr>
            </w:pPr>
            <w:r>
              <w:rPr>
                <w:rFonts w:hint="eastAsia" w:ascii="宋体" w:hAnsi="宋体" w:eastAsia="宋体" w:cs="宋体"/>
                <w:b/>
                <w:bCs/>
                <w:color w:val="auto"/>
                <w:highlight w:val="none"/>
              </w:rPr>
              <w:t>实验室能力考核</w:t>
            </w:r>
          </w:p>
        </w:tc>
        <w:tc>
          <w:tcPr>
            <w:tcW w:w="684" w:type="dxa"/>
            <w:vAlign w:val="center"/>
          </w:tcPr>
          <w:p>
            <w:pPr>
              <w:jc w:val="center"/>
              <w:rPr>
                <w:rFonts w:ascii="宋体" w:hAnsi="宋体" w:eastAsia="宋体" w:cs="Times New Roman"/>
                <w:color w:val="auto"/>
                <w:highlight w:val="none"/>
              </w:rPr>
            </w:pPr>
            <w:r>
              <w:rPr>
                <w:rFonts w:ascii="宋体" w:hAnsi="宋体" w:eastAsia="宋体" w:cs="宋体"/>
                <w:color w:val="auto"/>
                <w:kern w:val="0"/>
                <w:highlight w:val="none"/>
              </w:rPr>
              <w:t>9</w:t>
            </w:r>
            <w:r>
              <w:rPr>
                <w:rFonts w:hint="eastAsia" w:ascii="宋体" w:hAnsi="宋体" w:eastAsia="宋体" w:cs="宋体"/>
                <w:color w:val="auto"/>
                <w:kern w:val="0"/>
                <w:highlight w:val="none"/>
              </w:rPr>
              <w:t>分</w:t>
            </w:r>
          </w:p>
        </w:tc>
        <w:tc>
          <w:tcPr>
            <w:tcW w:w="7380" w:type="dxa"/>
            <w:vAlign w:val="center"/>
          </w:tcPr>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rPr>
              <w:t>提供</w:t>
            </w:r>
            <w:r>
              <w:rPr>
                <w:color w:val="auto"/>
                <w:highlight w:val="none"/>
              </w:rPr>
              <w:t>2018</w:t>
            </w:r>
            <w:r>
              <w:rPr>
                <w:rFonts w:hint="eastAsia"/>
                <w:color w:val="auto"/>
                <w:highlight w:val="none"/>
              </w:rPr>
              <w:t>年</w:t>
            </w:r>
            <w:r>
              <w:rPr>
                <w:color w:val="auto"/>
                <w:highlight w:val="none"/>
              </w:rPr>
              <w:t>1</w:t>
            </w:r>
            <w:r>
              <w:rPr>
                <w:rFonts w:hint="eastAsia"/>
                <w:color w:val="auto"/>
                <w:highlight w:val="none"/>
              </w:rPr>
              <w:t>月</w:t>
            </w:r>
            <w:r>
              <w:rPr>
                <w:color w:val="auto"/>
                <w:highlight w:val="none"/>
              </w:rPr>
              <w:t>1</w:t>
            </w:r>
            <w:r>
              <w:rPr>
                <w:rFonts w:hint="eastAsia"/>
                <w:color w:val="auto"/>
                <w:highlight w:val="none"/>
              </w:rPr>
              <w:t>日至今</w:t>
            </w:r>
            <w:r>
              <w:rPr>
                <w:rFonts w:hint="eastAsia"/>
                <w:color w:val="auto"/>
                <w:highlight w:val="none"/>
                <w:lang w:eastAsia="zh-CN"/>
              </w:rPr>
              <w:t>供应商</w:t>
            </w:r>
            <w:r>
              <w:rPr>
                <w:rFonts w:hint="eastAsia"/>
                <w:color w:val="auto"/>
                <w:highlight w:val="none"/>
              </w:rPr>
              <w:t>通过国家、市级或以上环境监测类项目能力验证的证明（加盖公章的复印件）。</w:t>
            </w:r>
          </w:p>
          <w:p>
            <w:pPr>
              <w:pStyle w:val="202"/>
              <w:widowControl w:val="0"/>
              <w:pBdr>
                <w:bottom w:val="none" w:color="auto" w:sz="0" w:space="0"/>
                <w:right w:val="none" w:color="auto" w:sz="0" w:space="0"/>
              </w:pBdr>
              <w:spacing w:before="0" w:beforeAutospacing="0" w:after="0" w:afterAutospacing="0" w:line="360" w:lineRule="auto"/>
              <w:jc w:val="both"/>
              <w:rPr>
                <w:rFonts w:cs="Times New Roman"/>
                <w:color w:val="auto"/>
                <w:highlight w:val="none"/>
              </w:rPr>
            </w:pPr>
            <w:r>
              <w:rPr>
                <w:rFonts w:hint="eastAsia"/>
                <w:color w:val="auto"/>
                <w:highlight w:val="none"/>
              </w:rPr>
              <w:t>每提供一份得</w:t>
            </w:r>
            <w:r>
              <w:rPr>
                <w:color w:val="auto"/>
                <w:highlight w:val="none"/>
              </w:rPr>
              <w:t>1</w:t>
            </w:r>
            <w:r>
              <w:rPr>
                <w:rFonts w:hint="eastAsia"/>
                <w:color w:val="auto"/>
                <w:highlight w:val="none"/>
              </w:rPr>
              <w:t>分，无提供不得分，最高可得</w:t>
            </w:r>
            <w:r>
              <w:rPr>
                <w:color w:val="auto"/>
                <w:highlight w:val="none"/>
              </w:rPr>
              <w:t>9</w:t>
            </w:r>
            <w:r>
              <w:rPr>
                <w:rFonts w:hint="eastAsia"/>
                <w:color w:val="auto"/>
                <w:highlight w:val="none"/>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6" w:hRule="atLeast"/>
        </w:trPr>
        <w:tc>
          <w:tcPr>
            <w:tcW w:w="1450" w:type="dxa"/>
            <w:vAlign w:val="center"/>
          </w:tcPr>
          <w:p>
            <w:pPr>
              <w:snapToGrid w:val="0"/>
              <w:rPr>
                <w:rFonts w:ascii="宋体" w:hAnsi="宋体" w:eastAsia="宋体" w:cs="Times New Roman"/>
                <w:color w:val="auto"/>
                <w:highlight w:val="none"/>
              </w:rPr>
            </w:pPr>
            <w:r>
              <w:rPr>
                <w:rFonts w:hint="eastAsia" w:ascii="宋体" w:hAnsi="宋体" w:eastAsia="宋体" w:cs="宋体"/>
                <w:color w:val="auto"/>
                <w:highlight w:val="none"/>
              </w:rPr>
              <w:t>总计</w:t>
            </w:r>
          </w:p>
        </w:tc>
        <w:tc>
          <w:tcPr>
            <w:tcW w:w="8064" w:type="dxa"/>
            <w:gridSpan w:val="2"/>
            <w:vAlign w:val="center"/>
          </w:tcPr>
          <w:p>
            <w:pPr>
              <w:snapToGrid w:val="0"/>
              <w:jc w:val="center"/>
              <w:rPr>
                <w:rFonts w:ascii="宋体" w:hAnsi="宋体" w:eastAsia="宋体" w:cs="Times New Roman"/>
                <w:color w:val="auto"/>
                <w:highlight w:val="none"/>
              </w:rPr>
            </w:pPr>
            <w:r>
              <w:rPr>
                <w:rFonts w:ascii="宋体" w:hAnsi="宋体" w:eastAsia="宋体" w:cs="宋体"/>
                <w:color w:val="auto"/>
                <w:highlight w:val="none"/>
              </w:rPr>
              <w:t>40</w:t>
            </w:r>
            <w:r>
              <w:rPr>
                <w:rFonts w:hint="eastAsia" w:ascii="宋体" w:hAnsi="宋体" w:eastAsia="宋体" w:cs="宋体"/>
                <w:color w:val="auto"/>
                <w:highlight w:val="none"/>
              </w:rPr>
              <w:t>分</w:t>
            </w:r>
          </w:p>
        </w:tc>
      </w:tr>
    </w:tbl>
    <w:p>
      <w:pPr>
        <w:spacing w:line="360" w:lineRule="auto"/>
        <w:rPr>
          <w:rFonts w:ascii="宋体" w:hAnsi="宋体" w:eastAsia="宋体" w:cs="Times New Roman"/>
          <w:snapToGrid w:val="0"/>
          <w:color w:val="auto"/>
          <w:highlight w:val="none"/>
        </w:rPr>
      </w:pPr>
    </w:p>
    <w:p>
      <w:pPr>
        <w:spacing w:line="360" w:lineRule="auto"/>
        <w:rPr>
          <w:rFonts w:ascii="宋体" w:hAnsi="宋体" w:eastAsia="宋体" w:cs="Times New Roman"/>
          <w:color w:val="auto"/>
          <w:highlight w:val="none"/>
        </w:rPr>
      </w:pPr>
      <w:r>
        <w:rPr>
          <w:rFonts w:hint="eastAsia" w:ascii="宋体" w:hAnsi="宋体" w:eastAsia="宋体" w:cs="宋体"/>
          <w:snapToGrid w:val="0"/>
          <w:color w:val="auto"/>
          <w:highlight w:val="none"/>
        </w:rPr>
        <w:t>备注：</w:t>
      </w:r>
      <w:r>
        <w:rPr>
          <w:rFonts w:hint="eastAsia" w:ascii="宋体" w:hAnsi="宋体" w:eastAsia="宋体" w:cs="宋体"/>
          <w:color w:val="auto"/>
          <w:highlight w:val="none"/>
        </w:rPr>
        <w:t>公开遴选文件要求提交的与评价指标体系相关的各类有效资料，供应商如未按要求提交的，该项评分为零分。</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评委签名：</w:t>
      </w:r>
    </w:p>
    <w:p>
      <w:pPr>
        <w:spacing w:line="360" w:lineRule="auto"/>
        <w:rPr>
          <w:rFonts w:ascii="宋体" w:hAnsi="宋体" w:eastAsia="宋体" w:cs="Times New Roman"/>
          <w:color w:val="auto"/>
          <w:highlight w:val="none"/>
        </w:rPr>
        <w:sectPr>
          <w:headerReference r:id="rId12" w:type="default"/>
          <w:pgSz w:w="11906" w:h="16838"/>
          <w:pgMar w:top="1134" w:right="1417" w:bottom="1134" w:left="1417" w:header="567" w:footer="737" w:gutter="0"/>
          <w:cols w:space="720" w:num="1"/>
          <w:docGrid w:linePitch="312" w:charSpace="0"/>
        </w:sectPr>
      </w:pPr>
      <w:r>
        <w:rPr>
          <w:rFonts w:hint="eastAsia" w:ascii="宋体" w:hAnsi="宋体" w:eastAsia="宋体" w:cs="宋体"/>
          <w:color w:val="auto"/>
          <w:highlight w:val="none"/>
        </w:rPr>
        <w:t>日期：</w:t>
      </w:r>
      <w:r>
        <w:rPr>
          <w:rFonts w:ascii="宋体" w:hAnsi="宋体" w:eastAsia="宋体" w:cs="宋体"/>
          <w:color w:val="auto"/>
          <w:highlight w:val="none"/>
        </w:rPr>
        <w:t xml:space="preserve">   </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jc w:val="left"/>
        <w:rPr>
          <w:rFonts w:ascii="宋体" w:hAnsi="宋体" w:eastAsia="宋体" w:cs="Times New Roman"/>
          <w:color w:val="auto"/>
          <w:sz w:val="24"/>
          <w:szCs w:val="24"/>
          <w:highlight w:val="none"/>
        </w:rPr>
      </w:pPr>
      <w:r>
        <w:rPr>
          <w:rFonts w:hint="eastAsia" w:ascii="宋体" w:hAnsi="宋体" w:eastAsia="宋体" w:cs="宋体"/>
          <w:b/>
          <w:bCs/>
          <w:color w:val="auto"/>
          <w:sz w:val="24"/>
          <w:szCs w:val="24"/>
          <w:highlight w:val="none"/>
        </w:rPr>
        <w:t>附件</w:t>
      </w:r>
      <w:r>
        <w:rPr>
          <w:rFonts w:ascii="宋体" w:hAnsi="宋体" w:eastAsia="宋体" w:cs="宋体"/>
          <w:b/>
          <w:bCs/>
          <w:color w:val="auto"/>
          <w:sz w:val="24"/>
          <w:szCs w:val="24"/>
          <w:highlight w:val="none"/>
        </w:rPr>
        <w:t xml:space="preserve">4  </w:t>
      </w:r>
      <w:r>
        <w:rPr>
          <w:rFonts w:hint="eastAsia" w:ascii="宋体" w:hAnsi="宋体" w:eastAsia="宋体" w:cs="宋体"/>
          <w:b/>
          <w:bCs/>
          <w:color w:val="auto"/>
          <w:sz w:val="24"/>
          <w:szCs w:val="24"/>
          <w:highlight w:val="none"/>
        </w:rPr>
        <w:t>价格评审表</w:t>
      </w:r>
    </w:p>
    <w:p>
      <w:pPr>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项目编号：</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项目名称：</w:t>
      </w:r>
    </w:p>
    <w:tbl>
      <w:tblPr>
        <w:tblStyle w:val="90"/>
        <w:tblW w:w="9478"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615"/>
        <w:gridCol w:w="1336"/>
        <w:gridCol w:w="4759"/>
        <w:gridCol w:w="176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89" w:hRule="atLeast"/>
          <w:jc w:val="center"/>
        </w:trPr>
        <w:tc>
          <w:tcPr>
            <w:tcW w:w="1615" w:type="dxa"/>
            <w:vMerge w:val="restart"/>
            <w:tcBorders>
              <w:top w:val="single" w:color="auto" w:sz="4" w:space="0"/>
              <w:right w:val="single" w:color="auto" w:sz="4" w:space="0"/>
            </w:tcBorders>
            <w:vAlign w:val="center"/>
          </w:tcPr>
          <w:p>
            <w:pPr>
              <w:widowControl/>
              <w:snapToGrid w:val="0"/>
              <w:spacing w:line="360" w:lineRule="auto"/>
              <w:jc w:val="center"/>
              <w:rPr>
                <w:rFonts w:ascii="宋体" w:hAnsi="宋体" w:eastAsia="宋体" w:cs="Times New Roman"/>
                <w:color w:val="auto"/>
                <w:kern w:val="0"/>
                <w:highlight w:val="none"/>
              </w:rPr>
            </w:pPr>
            <w:r>
              <w:rPr>
                <w:rFonts w:hint="eastAsia" w:ascii="宋体" w:hAnsi="宋体" w:eastAsia="宋体" w:cs="宋体"/>
                <w:color w:val="auto"/>
                <w:kern w:val="0"/>
                <w:highlight w:val="none"/>
              </w:rPr>
              <w:t>有效供应商</w:t>
            </w:r>
          </w:p>
          <w:p>
            <w:pPr>
              <w:widowControl/>
              <w:snapToGrid w:val="0"/>
              <w:spacing w:line="360" w:lineRule="auto"/>
              <w:jc w:val="center"/>
              <w:rPr>
                <w:rFonts w:ascii="宋体" w:hAnsi="宋体" w:eastAsia="宋体" w:cs="Times New Roman"/>
                <w:color w:val="auto"/>
                <w:kern w:val="0"/>
                <w:highlight w:val="none"/>
              </w:rPr>
            </w:pPr>
            <w:r>
              <w:rPr>
                <w:rFonts w:hint="eastAsia" w:ascii="宋体" w:hAnsi="宋体" w:eastAsia="宋体" w:cs="宋体"/>
                <w:color w:val="auto"/>
                <w:kern w:val="0"/>
                <w:highlight w:val="none"/>
              </w:rPr>
              <w:t>序号及简称</w:t>
            </w:r>
          </w:p>
        </w:tc>
        <w:tc>
          <w:tcPr>
            <w:tcW w:w="6095"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eastAsia="宋体" w:cs="Times New Roman"/>
                <w:color w:val="auto"/>
                <w:kern w:val="0"/>
                <w:highlight w:val="none"/>
              </w:rPr>
            </w:pPr>
            <w:r>
              <w:rPr>
                <w:rFonts w:hint="eastAsia" w:ascii="宋体" w:hAnsi="宋体" w:eastAsia="宋体" w:cs="宋体"/>
                <w:color w:val="auto"/>
                <w:kern w:val="0"/>
                <w:highlight w:val="none"/>
              </w:rPr>
              <w:t>评审分项</w:t>
            </w:r>
          </w:p>
        </w:tc>
        <w:tc>
          <w:tcPr>
            <w:tcW w:w="1768" w:type="dxa"/>
            <w:vMerge w:val="restart"/>
            <w:tcBorders>
              <w:top w:val="single" w:color="auto" w:sz="4" w:space="0"/>
              <w:left w:val="single" w:color="auto" w:sz="4" w:space="0"/>
            </w:tcBorders>
            <w:vAlign w:val="center"/>
          </w:tcPr>
          <w:p>
            <w:pPr>
              <w:widowControl/>
              <w:snapToGrid w:val="0"/>
              <w:spacing w:line="360" w:lineRule="auto"/>
              <w:jc w:val="center"/>
              <w:rPr>
                <w:rFonts w:ascii="宋体" w:hAnsi="宋体" w:eastAsia="宋体" w:cs="Times New Roman"/>
                <w:color w:val="auto"/>
                <w:kern w:val="0"/>
                <w:highlight w:val="none"/>
              </w:rPr>
            </w:pPr>
            <w:r>
              <w:rPr>
                <w:rFonts w:hint="eastAsia" w:ascii="宋体" w:hAnsi="宋体" w:eastAsia="宋体" w:cs="宋体"/>
                <w:color w:val="auto"/>
                <w:kern w:val="0"/>
                <w:highlight w:val="none"/>
              </w:rPr>
              <w:t>价格得分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82" w:hRule="atLeast"/>
          <w:jc w:val="center"/>
        </w:trPr>
        <w:tc>
          <w:tcPr>
            <w:tcW w:w="1615" w:type="dxa"/>
            <w:vMerge w:val="continue"/>
            <w:tcBorders>
              <w:right w:val="single" w:color="auto" w:sz="4" w:space="0"/>
            </w:tcBorders>
            <w:vAlign w:val="center"/>
          </w:tcPr>
          <w:p>
            <w:pPr>
              <w:widowControl/>
              <w:snapToGrid w:val="0"/>
              <w:spacing w:line="360" w:lineRule="auto"/>
              <w:jc w:val="left"/>
              <w:rPr>
                <w:rFonts w:ascii="宋体" w:hAnsi="宋体" w:eastAsia="宋体" w:cs="Times New Roman"/>
                <w:color w:val="auto"/>
                <w:kern w:val="0"/>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eastAsia="宋体" w:cs="Times New Roman"/>
                <w:color w:val="auto"/>
                <w:kern w:val="0"/>
                <w:highlight w:val="none"/>
              </w:rPr>
            </w:pPr>
            <w:r>
              <w:rPr>
                <w:rFonts w:hint="eastAsia" w:ascii="宋体" w:hAnsi="宋体" w:eastAsia="宋体" w:cs="宋体"/>
                <w:color w:val="auto"/>
                <w:kern w:val="0"/>
                <w:highlight w:val="none"/>
              </w:rPr>
              <w:t>经评审的最终响应报价</w:t>
            </w: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eastAsia="宋体" w:cs="Times New Roman"/>
                <w:color w:val="auto"/>
                <w:kern w:val="0"/>
                <w:highlight w:val="none"/>
              </w:rPr>
            </w:pPr>
            <w:r>
              <w:rPr>
                <w:rFonts w:hint="eastAsia" w:ascii="宋体" w:hAnsi="宋体" w:eastAsia="宋体" w:cs="宋体"/>
                <w:color w:val="auto"/>
                <w:kern w:val="0"/>
                <w:highlight w:val="none"/>
              </w:rPr>
              <w:t>评审基准价</w:t>
            </w:r>
          </w:p>
        </w:tc>
        <w:tc>
          <w:tcPr>
            <w:tcW w:w="1768" w:type="dxa"/>
            <w:vMerge w:val="continue"/>
            <w:tcBorders>
              <w:left w:val="single" w:color="auto" w:sz="4" w:space="0"/>
              <w:bottom w:val="single" w:color="auto" w:sz="4" w:space="0"/>
            </w:tcBorders>
            <w:vAlign w:val="center"/>
          </w:tcPr>
          <w:p>
            <w:pPr>
              <w:widowControl/>
              <w:snapToGrid w:val="0"/>
              <w:spacing w:line="360" w:lineRule="auto"/>
              <w:jc w:val="left"/>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bottom w:val="single" w:color="auto" w:sz="4" w:space="0"/>
              <w:right w:val="single" w:color="auto" w:sz="4" w:space="0"/>
            </w:tcBorders>
            <w:vAlign w:val="center"/>
          </w:tcPr>
          <w:p>
            <w:pPr>
              <w:widowControl/>
              <w:snapToGrid w:val="0"/>
              <w:spacing w:line="360" w:lineRule="auto"/>
              <w:jc w:val="center"/>
              <w:rPr>
                <w:rFonts w:ascii="宋体" w:hAnsi="宋体" w:eastAsia="宋体" w:cs="Times New Roman"/>
                <w:color w:val="auto"/>
                <w:kern w:val="0"/>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eastAsia="宋体" w:cs="Times New Roman"/>
                <w:color w:val="auto"/>
                <w:kern w:val="0"/>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napToGrid w:val="0"/>
              <w:spacing w:line="360" w:lineRule="auto"/>
              <w:ind w:left="-42" w:right="-61"/>
              <w:jc w:val="center"/>
              <w:rPr>
                <w:rFonts w:ascii="宋体" w:hAnsi="宋体" w:eastAsia="宋体" w:cs="Times New Roman"/>
                <w:color w:val="auto"/>
                <w:kern w:val="0"/>
                <w:highlight w:val="none"/>
              </w:rPr>
            </w:pPr>
          </w:p>
        </w:tc>
        <w:tc>
          <w:tcPr>
            <w:tcW w:w="1768" w:type="dxa"/>
            <w:tcBorders>
              <w:top w:val="single" w:color="auto" w:sz="4" w:space="0"/>
              <w:left w:val="single" w:color="auto" w:sz="4" w:space="0"/>
              <w:bottom w:val="single" w:color="auto" w:sz="4" w:space="0"/>
            </w:tcBorders>
            <w:vAlign w:val="center"/>
          </w:tcPr>
          <w:p>
            <w:pPr>
              <w:widowControl/>
              <w:snapToGrid w:val="0"/>
              <w:spacing w:line="360" w:lineRule="auto"/>
              <w:ind w:left="-42" w:right="-61"/>
              <w:jc w:val="center"/>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imes New Roman"/>
                <w:color w:val="auto"/>
                <w:kern w:val="0"/>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c>
          <w:tcPr>
            <w:tcW w:w="1768" w:type="dxa"/>
            <w:tcBorders>
              <w:top w:val="single" w:color="auto" w:sz="4" w:space="0"/>
              <w:left w:val="single" w:color="auto" w:sz="4" w:space="0"/>
              <w:bottom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imes New Roman"/>
                <w:color w:val="auto"/>
                <w:kern w:val="0"/>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c>
          <w:tcPr>
            <w:tcW w:w="1768" w:type="dxa"/>
            <w:tcBorders>
              <w:top w:val="single" w:color="auto" w:sz="4" w:space="0"/>
              <w:left w:val="single" w:color="auto" w:sz="4" w:space="0"/>
              <w:bottom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imes New Roman"/>
                <w:color w:val="auto"/>
                <w:kern w:val="0"/>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c>
          <w:tcPr>
            <w:tcW w:w="1768" w:type="dxa"/>
            <w:tcBorders>
              <w:top w:val="single" w:color="auto" w:sz="4" w:space="0"/>
              <w:left w:val="single" w:color="auto" w:sz="4" w:space="0"/>
              <w:bottom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imes New Roman"/>
                <w:color w:val="auto"/>
                <w:kern w:val="0"/>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c>
          <w:tcPr>
            <w:tcW w:w="1768" w:type="dxa"/>
            <w:tcBorders>
              <w:top w:val="single" w:color="auto" w:sz="4" w:space="0"/>
              <w:left w:val="single" w:color="auto" w:sz="4" w:space="0"/>
              <w:bottom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54" w:hRule="atLeast"/>
          <w:jc w:val="center"/>
        </w:trPr>
        <w:tc>
          <w:tcPr>
            <w:tcW w:w="1615" w:type="dxa"/>
            <w:tcBorders>
              <w:top w:val="single" w:color="auto" w:sz="4" w:space="0"/>
              <w:bottom w:val="single" w:color="auto" w:sz="4" w:space="0"/>
              <w:right w:val="single" w:color="auto" w:sz="4" w:space="0"/>
            </w:tcBorders>
            <w:vAlign w:val="center"/>
          </w:tcPr>
          <w:p>
            <w:pPr>
              <w:widowControl/>
              <w:spacing w:line="360" w:lineRule="auto"/>
              <w:jc w:val="center"/>
              <w:rPr>
                <w:rFonts w:ascii="宋体" w:hAnsi="宋体" w:eastAsia="宋体" w:cs="Times New Roman"/>
                <w:color w:val="auto"/>
                <w:kern w:val="0"/>
                <w:highlight w:val="none"/>
              </w:rPr>
            </w:pPr>
          </w:p>
        </w:tc>
        <w:tc>
          <w:tcPr>
            <w:tcW w:w="1336"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c>
          <w:tcPr>
            <w:tcW w:w="4759" w:type="dxa"/>
            <w:tcBorders>
              <w:top w:val="single" w:color="auto" w:sz="4" w:space="0"/>
              <w:left w:val="single" w:color="auto" w:sz="4" w:space="0"/>
              <w:bottom w:val="single" w:color="auto" w:sz="4" w:space="0"/>
              <w:right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c>
          <w:tcPr>
            <w:tcW w:w="1768" w:type="dxa"/>
            <w:tcBorders>
              <w:top w:val="single" w:color="auto" w:sz="4" w:space="0"/>
              <w:left w:val="single" w:color="auto" w:sz="4" w:space="0"/>
              <w:bottom w:val="single" w:color="auto" w:sz="4" w:space="0"/>
            </w:tcBorders>
            <w:vAlign w:val="center"/>
          </w:tcPr>
          <w:p>
            <w:pPr>
              <w:widowControl/>
              <w:spacing w:line="360" w:lineRule="auto"/>
              <w:ind w:left="-42" w:right="-61"/>
              <w:jc w:val="center"/>
              <w:rPr>
                <w:rFonts w:ascii="宋体" w:hAnsi="宋体" w:eastAsia="宋体" w:cs="Times New Roman"/>
                <w:color w:val="auto"/>
                <w:kern w:val="0"/>
                <w:highlight w:val="none"/>
              </w:rPr>
            </w:pPr>
          </w:p>
        </w:tc>
      </w:tr>
    </w:tbl>
    <w:p>
      <w:pPr>
        <w:spacing w:line="360" w:lineRule="auto"/>
        <w:rPr>
          <w:rFonts w:ascii="宋体" w:hAnsi="宋体" w:eastAsia="宋体" w:cs="Times New Roman"/>
          <w:color w:val="auto"/>
          <w:highlight w:val="none"/>
        </w:rPr>
      </w:pPr>
    </w:p>
    <w:p>
      <w:pPr>
        <w:spacing w:line="360" w:lineRule="auto"/>
        <w:rPr>
          <w:rFonts w:ascii="宋体" w:hAnsi="宋体" w:eastAsia="宋体" w:cs="Times New Roman"/>
          <w:b/>
          <w:bCs/>
          <w:color w:val="auto"/>
          <w:kern w:val="0"/>
          <w:highlight w:val="none"/>
        </w:rPr>
      </w:pPr>
    </w:p>
    <w:p>
      <w:pPr>
        <w:spacing w:line="360" w:lineRule="auto"/>
        <w:rPr>
          <w:rFonts w:ascii="宋体" w:hAnsi="宋体" w:eastAsia="宋体" w:cs="Times New Roman"/>
          <w:b/>
          <w:bCs/>
          <w:color w:val="auto"/>
          <w:kern w:val="0"/>
          <w:highlight w:val="none"/>
        </w:rPr>
      </w:pPr>
      <w:r>
        <w:rPr>
          <w:rFonts w:hint="eastAsia" w:ascii="宋体" w:hAnsi="宋体" w:eastAsia="宋体" w:cs="宋体"/>
          <w:b/>
          <w:bCs/>
          <w:color w:val="auto"/>
          <w:kern w:val="0"/>
          <w:highlight w:val="none"/>
        </w:rPr>
        <w:t>注：</w:t>
      </w:r>
    </w:p>
    <w:p>
      <w:pPr>
        <w:adjustRightInd w:val="0"/>
        <w:snapToGrid w:val="0"/>
        <w:spacing w:line="360" w:lineRule="auto"/>
        <w:ind w:left="420"/>
        <w:jc w:val="left"/>
        <w:rPr>
          <w:rFonts w:ascii="宋体" w:hAnsi="宋体" w:eastAsia="宋体" w:cs="Times New Roman"/>
          <w:b/>
          <w:bCs/>
          <w:color w:val="auto"/>
          <w:kern w:val="0"/>
          <w:highlight w:val="none"/>
        </w:rPr>
      </w:pPr>
      <w:r>
        <w:rPr>
          <w:rFonts w:ascii="宋体" w:hAnsi="宋体" w:eastAsia="宋体" w:cs="宋体"/>
          <w:b/>
          <w:bCs/>
          <w:color w:val="auto"/>
          <w:kern w:val="0"/>
          <w:highlight w:val="none"/>
        </w:rPr>
        <w:t>1</w:t>
      </w:r>
      <w:r>
        <w:rPr>
          <w:rFonts w:hint="eastAsia" w:ascii="宋体" w:hAnsi="宋体" w:eastAsia="宋体" w:cs="宋体"/>
          <w:b/>
          <w:bCs/>
          <w:color w:val="auto"/>
          <w:kern w:val="0"/>
          <w:highlight w:val="none"/>
        </w:rPr>
        <w:t>、价格核准：评审小组对有效供应商的详细报价进行复核，看其是否有计算错误或供货范围上的错误，修正错误的原则详见招标相关条款。</w:t>
      </w:r>
    </w:p>
    <w:p>
      <w:pPr>
        <w:adjustRightInd w:val="0"/>
        <w:snapToGrid w:val="0"/>
        <w:spacing w:line="360" w:lineRule="auto"/>
        <w:ind w:left="420"/>
        <w:jc w:val="left"/>
        <w:rPr>
          <w:rFonts w:ascii="宋体" w:hAnsi="宋体" w:eastAsia="宋体" w:cs="Times New Roman"/>
          <w:b/>
          <w:bCs/>
          <w:color w:val="auto"/>
          <w:kern w:val="0"/>
          <w:highlight w:val="none"/>
        </w:rPr>
      </w:pPr>
      <w:r>
        <w:rPr>
          <w:rFonts w:ascii="宋体" w:hAnsi="宋体" w:eastAsia="宋体" w:cs="宋体"/>
          <w:b/>
          <w:bCs/>
          <w:color w:val="auto"/>
          <w:highlight w:val="none"/>
        </w:rPr>
        <w:t>2</w:t>
      </w:r>
      <w:r>
        <w:rPr>
          <w:rFonts w:hint="eastAsia" w:ascii="宋体" w:hAnsi="宋体" w:eastAsia="宋体" w:cs="宋体"/>
          <w:b/>
          <w:bCs/>
          <w:color w:val="auto"/>
          <w:highlight w:val="none"/>
        </w:rPr>
        <w:t>、价格评分：</w:t>
      </w:r>
      <w:r>
        <w:rPr>
          <w:rFonts w:hint="eastAsia" w:ascii="宋体" w:hAnsi="宋体" w:eastAsia="宋体" w:cs="宋体"/>
          <w:b/>
          <w:bCs/>
          <w:color w:val="auto"/>
          <w:kern w:val="0"/>
          <w:highlight w:val="none"/>
        </w:rPr>
        <w:t>综合评分法中的价格分统一采用低价优先法计算，即满足遴选文件要求且最后报价最低的供应商的价格为遴选基准价，其价格分为满分。其他供应商的价格分统一按照下列公式计算：</w:t>
      </w:r>
    </w:p>
    <w:p>
      <w:pPr>
        <w:adjustRightInd w:val="0"/>
        <w:snapToGrid w:val="0"/>
        <w:spacing w:line="360" w:lineRule="auto"/>
        <w:ind w:left="420"/>
        <w:jc w:val="left"/>
        <w:rPr>
          <w:rFonts w:ascii="宋体" w:hAnsi="宋体" w:eastAsia="宋体" w:cs="宋体"/>
          <w:b/>
          <w:bCs/>
          <w:color w:val="auto"/>
          <w:kern w:val="0"/>
          <w:highlight w:val="none"/>
        </w:rPr>
      </w:pPr>
      <w:r>
        <w:rPr>
          <w:rFonts w:hint="eastAsia" w:ascii="宋体" w:hAnsi="宋体" w:eastAsia="宋体" w:cs="宋体"/>
          <w:b/>
          <w:bCs/>
          <w:color w:val="auto"/>
          <w:kern w:val="0"/>
          <w:highlight w:val="none"/>
        </w:rPr>
        <w:t>遴选报价得分</w:t>
      </w:r>
      <w:r>
        <w:rPr>
          <w:rFonts w:ascii="宋体" w:hAnsi="宋体" w:eastAsia="宋体" w:cs="宋体"/>
          <w:b/>
          <w:bCs/>
          <w:color w:val="auto"/>
          <w:kern w:val="0"/>
          <w:highlight w:val="none"/>
        </w:rPr>
        <w:t>=</w:t>
      </w:r>
      <w:r>
        <w:rPr>
          <w:rFonts w:hint="eastAsia" w:ascii="宋体" w:hAnsi="宋体" w:eastAsia="宋体" w:cs="宋体"/>
          <w:b/>
          <w:bCs/>
          <w:color w:val="auto"/>
          <w:kern w:val="0"/>
          <w:highlight w:val="none"/>
        </w:rPr>
        <w:t>（遴选基准价</w:t>
      </w:r>
      <w:r>
        <w:rPr>
          <w:rFonts w:ascii="宋体" w:hAnsi="宋体" w:eastAsia="宋体" w:cs="宋体"/>
          <w:b/>
          <w:bCs/>
          <w:color w:val="auto"/>
          <w:kern w:val="0"/>
          <w:highlight w:val="none"/>
        </w:rPr>
        <w:t>/</w:t>
      </w:r>
      <w:r>
        <w:rPr>
          <w:rFonts w:hint="eastAsia" w:ascii="宋体" w:hAnsi="宋体" w:eastAsia="宋体" w:cs="宋体"/>
          <w:b/>
          <w:bCs/>
          <w:color w:val="auto"/>
          <w:kern w:val="0"/>
          <w:highlight w:val="none"/>
        </w:rPr>
        <w:t>最后遴选报价）×价格权值×</w:t>
      </w:r>
      <w:r>
        <w:rPr>
          <w:rFonts w:ascii="宋体" w:hAnsi="宋体" w:eastAsia="宋体" w:cs="宋体"/>
          <w:b/>
          <w:bCs/>
          <w:color w:val="auto"/>
          <w:kern w:val="0"/>
          <w:highlight w:val="none"/>
        </w:rPr>
        <w:t>100</w:t>
      </w:r>
    </w:p>
    <w:p>
      <w:pPr>
        <w:adjustRightInd w:val="0"/>
        <w:snapToGrid w:val="0"/>
        <w:spacing w:line="360" w:lineRule="auto"/>
        <w:ind w:left="420"/>
        <w:jc w:val="left"/>
        <w:rPr>
          <w:rFonts w:ascii="宋体" w:hAnsi="宋体" w:eastAsia="宋体" w:cs="Times New Roman"/>
          <w:b/>
          <w:bCs/>
          <w:color w:val="auto"/>
          <w:kern w:val="0"/>
          <w:highlight w:val="none"/>
        </w:rPr>
      </w:pPr>
      <w:r>
        <w:rPr>
          <w:rFonts w:ascii="宋体" w:hAnsi="宋体" w:eastAsia="宋体" w:cs="宋体"/>
          <w:b/>
          <w:bCs/>
          <w:color w:val="auto"/>
          <w:kern w:val="0"/>
          <w:highlight w:val="none"/>
        </w:rPr>
        <w:t>3</w:t>
      </w:r>
      <w:r>
        <w:rPr>
          <w:rFonts w:hint="eastAsia" w:ascii="宋体" w:hAnsi="宋体" w:eastAsia="宋体" w:cs="宋体"/>
          <w:b/>
          <w:bCs/>
          <w:color w:val="auto"/>
          <w:kern w:val="0"/>
          <w:highlight w:val="none"/>
        </w:rPr>
        <w:t>、遴选报价得分四舍五入后，小数点后保留两位有效数。</w:t>
      </w:r>
    </w:p>
    <w:p>
      <w:pPr>
        <w:adjustRightInd w:val="0"/>
        <w:snapToGrid w:val="0"/>
        <w:spacing w:line="360" w:lineRule="auto"/>
        <w:ind w:left="420"/>
        <w:jc w:val="left"/>
        <w:rPr>
          <w:rFonts w:ascii="宋体" w:hAnsi="宋体" w:eastAsia="宋体" w:cs="Times New Roman"/>
          <w:b/>
          <w:bCs/>
          <w:color w:val="auto"/>
          <w:kern w:val="0"/>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bookmarkStart w:id="318" w:name="_Toc320515058"/>
      <w:bookmarkStart w:id="319" w:name="_Toc475104537"/>
    </w:p>
    <w:p>
      <w:pPr>
        <w:keepNext/>
        <w:autoSpaceDE w:val="0"/>
        <w:spacing w:line="360" w:lineRule="auto"/>
        <w:ind w:right="-441" w:rightChars="-210"/>
        <w:outlineLvl w:val="0"/>
        <w:rPr>
          <w:rFonts w:ascii="宋体" w:hAnsi="宋体" w:eastAsia="宋体" w:cs="Times New Roman"/>
          <w:b/>
          <w:bCs/>
          <w:color w:val="auto"/>
          <w:sz w:val="44"/>
          <w:szCs w:val="44"/>
          <w:highlight w:val="none"/>
        </w:rPr>
      </w:pPr>
    </w:p>
    <w:p>
      <w:pPr>
        <w:rPr>
          <w:rFonts w:ascii="Times New Roman" w:hAnsi="Times New Roman" w:eastAsia="宋体" w:cs="Times New Roman"/>
          <w:color w:val="auto"/>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p>
    <w:p>
      <w:pPr>
        <w:keepNext/>
        <w:autoSpaceDE w:val="0"/>
        <w:spacing w:line="360" w:lineRule="auto"/>
        <w:ind w:right="-441" w:rightChars="-210"/>
        <w:jc w:val="center"/>
        <w:outlineLvl w:val="0"/>
        <w:rPr>
          <w:rFonts w:ascii="宋体" w:hAnsi="宋体" w:eastAsia="宋体" w:cs="Times New Roman"/>
          <w:b/>
          <w:bCs/>
          <w:color w:val="auto"/>
          <w:sz w:val="44"/>
          <w:szCs w:val="44"/>
          <w:highlight w:val="none"/>
        </w:rPr>
      </w:pPr>
      <w:r>
        <w:rPr>
          <w:rFonts w:hint="eastAsia" w:ascii="宋体" w:hAnsi="宋体" w:eastAsia="宋体" w:cs="宋体"/>
          <w:b/>
          <w:bCs/>
          <w:color w:val="auto"/>
          <w:sz w:val="44"/>
          <w:szCs w:val="44"/>
          <w:highlight w:val="none"/>
        </w:rPr>
        <w:t>第六章</w:t>
      </w:r>
      <w:r>
        <w:rPr>
          <w:rFonts w:ascii="宋体" w:hAnsi="宋体" w:eastAsia="宋体" w:cs="宋体"/>
          <w:b/>
          <w:bCs/>
          <w:color w:val="auto"/>
          <w:sz w:val="44"/>
          <w:szCs w:val="44"/>
          <w:highlight w:val="none"/>
        </w:rPr>
        <w:t xml:space="preserve"> </w:t>
      </w:r>
      <w:r>
        <w:rPr>
          <w:rFonts w:hint="eastAsia" w:ascii="宋体" w:hAnsi="宋体" w:eastAsia="宋体" w:cs="宋体"/>
          <w:b/>
          <w:bCs/>
          <w:color w:val="auto"/>
          <w:sz w:val="44"/>
          <w:szCs w:val="44"/>
          <w:highlight w:val="none"/>
        </w:rPr>
        <w:t>附</w:t>
      </w:r>
      <w:r>
        <w:rPr>
          <w:rFonts w:ascii="宋体" w:hAnsi="宋体" w:eastAsia="宋体" w:cs="宋体"/>
          <w:b/>
          <w:bCs/>
          <w:color w:val="auto"/>
          <w:sz w:val="44"/>
          <w:szCs w:val="44"/>
          <w:highlight w:val="none"/>
        </w:rPr>
        <w:t xml:space="preserve">  </w:t>
      </w:r>
      <w:r>
        <w:rPr>
          <w:rFonts w:hint="eastAsia" w:ascii="宋体" w:hAnsi="宋体" w:eastAsia="宋体" w:cs="宋体"/>
          <w:b/>
          <w:bCs/>
          <w:color w:val="auto"/>
          <w:sz w:val="44"/>
          <w:szCs w:val="44"/>
          <w:highlight w:val="none"/>
        </w:rPr>
        <w:t>件（格式）</w:t>
      </w:r>
      <w:bookmarkEnd w:id="318"/>
      <w:bookmarkEnd w:id="319"/>
    </w:p>
    <w:p>
      <w:pPr>
        <w:spacing w:line="360" w:lineRule="auto"/>
        <w:rPr>
          <w:rFonts w:ascii="宋体" w:hAnsi="宋体" w:eastAsia="宋体" w:cs="Times New Roman"/>
          <w:color w:val="auto"/>
          <w:sz w:val="28"/>
          <w:szCs w:val="28"/>
          <w:highlight w:val="none"/>
        </w:rPr>
      </w:pPr>
      <w:bookmarkStart w:id="320" w:name="_Toc28489496"/>
      <w:bookmarkStart w:id="321" w:name="_Toc35834912"/>
      <w:bookmarkStart w:id="322" w:name="_Toc109467908"/>
      <w:bookmarkStart w:id="323" w:name="_Toc34535358"/>
      <w:bookmarkStart w:id="324" w:name="_Toc14450838"/>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sz w:val="28"/>
          <w:szCs w:val="28"/>
          <w:highlight w:val="none"/>
        </w:rPr>
      </w:pPr>
    </w:p>
    <w:p>
      <w:pPr>
        <w:spacing w:line="360" w:lineRule="auto"/>
        <w:rPr>
          <w:rFonts w:ascii="宋体" w:hAnsi="宋体" w:eastAsia="宋体" w:cs="Times New Roman"/>
          <w:color w:val="auto"/>
          <w:highlight w:val="none"/>
        </w:rPr>
      </w:pPr>
    </w:p>
    <w:p>
      <w:pPr>
        <w:keepNext/>
        <w:keepLines/>
        <w:numPr>
          <w:ilvl w:val="0"/>
          <w:numId w:val="8"/>
        </w:numPr>
        <w:tabs>
          <w:tab w:val="left" w:pos="630"/>
        </w:tabs>
        <w:autoSpaceDE w:val="0"/>
        <w:spacing w:before="48" w:beforeLines="20" w:after="48" w:afterLines="20" w:line="360" w:lineRule="auto"/>
        <w:ind w:left="630" w:hanging="630"/>
        <w:jc w:val="left"/>
        <w:outlineLvl w:val="1"/>
        <w:rPr>
          <w:rFonts w:ascii="宋体" w:hAnsi="宋体" w:eastAsia="宋体" w:cs="Times New Roman"/>
          <w:b/>
          <w:bCs/>
          <w:color w:val="auto"/>
          <w:kern w:val="0"/>
          <w:sz w:val="30"/>
          <w:szCs w:val="30"/>
          <w:highlight w:val="none"/>
        </w:rPr>
      </w:pPr>
      <w:bookmarkStart w:id="325" w:name="_Toc163481918"/>
      <w:r>
        <w:rPr>
          <w:rFonts w:hint="eastAsia" w:ascii="宋体" w:hAnsi="宋体" w:eastAsia="宋体" w:cs="宋体"/>
          <w:b/>
          <w:bCs/>
          <w:color w:val="auto"/>
          <w:kern w:val="0"/>
          <w:sz w:val="30"/>
          <w:szCs w:val="30"/>
          <w:highlight w:val="none"/>
        </w:rPr>
        <w:t>遴选响应文件格式</w:t>
      </w:r>
      <w:bookmarkEnd w:id="325"/>
    </w:p>
    <w:p>
      <w:pPr>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遴选响应文件请按以下要求的顺序和格式制作。</w:t>
      </w:r>
    </w:p>
    <w:tbl>
      <w:tblPr>
        <w:tblStyle w:val="90"/>
        <w:tblW w:w="9704"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6630"/>
        <w:gridCol w:w="720"/>
        <w:gridCol w:w="778"/>
        <w:gridCol w:w="8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snapToGrid w:val="0"/>
              <w:spacing w:line="360" w:lineRule="auto"/>
              <w:rPr>
                <w:rFonts w:ascii="宋体" w:hAnsi="宋体" w:eastAsia="宋体" w:cs="Times New Roman"/>
                <w:b/>
                <w:bCs/>
                <w:color w:val="auto"/>
                <w:kern w:val="0"/>
                <w:highlight w:val="none"/>
              </w:rPr>
            </w:pPr>
            <w:r>
              <w:rPr>
                <w:rFonts w:hint="eastAsia" w:ascii="宋体" w:hAnsi="宋体" w:eastAsia="宋体" w:cs="宋体"/>
                <w:b/>
                <w:bCs/>
                <w:color w:val="auto"/>
                <w:kern w:val="0"/>
                <w:highlight w:val="none"/>
              </w:rPr>
              <w:t>序号</w:t>
            </w:r>
          </w:p>
        </w:tc>
        <w:tc>
          <w:tcPr>
            <w:tcW w:w="6630" w:type="dxa"/>
            <w:vAlign w:val="center"/>
          </w:tcPr>
          <w:p>
            <w:pPr>
              <w:widowControl/>
              <w:snapToGrid w:val="0"/>
              <w:spacing w:line="360" w:lineRule="auto"/>
              <w:jc w:val="center"/>
              <w:rPr>
                <w:rFonts w:ascii="宋体" w:hAnsi="宋体" w:eastAsia="宋体" w:cs="Times New Roman"/>
                <w:b/>
                <w:bCs/>
                <w:color w:val="auto"/>
                <w:kern w:val="0"/>
                <w:highlight w:val="none"/>
              </w:rPr>
            </w:pPr>
            <w:r>
              <w:rPr>
                <w:rFonts w:hint="eastAsia" w:ascii="宋体" w:hAnsi="宋体" w:eastAsia="宋体" w:cs="宋体"/>
                <w:b/>
                <w:bCs/>
                <w:color w:val="auto"/>
                <w:kern w:val="0"/>
                <w:highlight w:val="none"/>
              </w:rPr>
              <w:t>内容</w:t>
            </w:r>
          </w:p>
        </w:tc>
        <w:tc>
          <w:tcPr>
            <w:tcW w:w="720" w:type="dxa"/>
            <w:vAlign w:val="center"/>
          </w:tcPr>
          <w:p>
            <w:pPr>
              <w:widowControl/>
              <w:snapToGrid w:val="0"/>
              <w:spacing w:line="360" w:lineRule="auto"/>
              <w:jc w:val="center"/>
              <w:rPr>
                <w:rFonts w:ascii="宋体" w:hAnsi="宋体" w:eastAsia="宋体" w:cs="Times New Roman"/>
                <w:b/>
                <w:bCs/>
                <w:color w:val="auto"/>
                <w:kern w:val="0"/>
                <w:highlight w:val="none"/>
              </w:rPr>
            </w:pPr>
            <w:r>
              <w:rPr>
                <w:rFonts w:hint="eastAsia" w:ascii="宋体" w:hAnsi="宋体" w:eastAsia="宋体" w:cs="宋体"/>
                <w:b/>
                <w:bCs/>
                <w:color w:val="auto"/>
                <w:kern w:val="0"/>
                <w:highlight w:val="none"/>
              </w:rPr>
              <w:t>是否提交</w:t>
            </w:r>
          </w:p>
        </w:tc>
        <w:tc>
          <w:tcPr>
            <w:tcW w:w="778" w:type="dxa"/>
            <w:vAlign w:val="center"/>
          </w:tcPr>
          <w:p>
            <w:pPr>
              <w:widowControl/>
              <w:snapToGrid w:val="0"/>
              <w:spacing w:line="360" w:lineRule="auto"/>
              <w:jc w:val="center"/>
              <w:rPr>
                <w:rFonts w:ascii="宋体" w:hAnsi="宋体" w:eastAsia="宋体" w:cs="Times New Roman"/>
                <w:b/>
                <w:bCs/>
                <w:color w:val="auto"/>
                <w:kern w:val="0"/>
                <w:highlight w:val="none"/>
              </w:rPr>
            </w:pPr>
            <w:r>
              <w:rPr>
                <w:rFonts w:hint="eastAsia" w:ascii="宋体" w:hAnsi="宋体" w:eastAsia="宋体" w:cs="宋体"/>
                <w:b/>
                <w:bCs/>
                <w:color w:val="auto"/>
                <w:kern w:val="0"/>
                <w:highlight w:val="none"/>
              </w:rPr>
              <w:t>页码范围</w:t>
            </w:r>
          </w:p>
        </w:tc>
        <w:tc>
          <w:tcPr>
            <w:tcW w:w="842" w:type="dxa"/>
            <w:vAlign w:val="center"/>
          </w:tcPr>
          <w:p>
            <w:pPr>
              <w:widowControl/>
              <w:snapToGrid w:val="0"/>
              <w:spacing w:line="360" w:lineRule="auto"/>
              <w:jc w:val="center"/>
              <w:rPr>
                <w:rFonts w:ascii="宋体" w:hAnsi="宋体" w:eastAsia="宋体" w:cs="Times New Roman"/>
                <w:b/>
                <w:bCs/>
                <w:color w:val="auto"/>
                <w:kern w:val="0"/>
                <w:highlight w:val="none"/>
              </w:rPr>
            </w:pPr>
            <w:r>
              <w:rPr>
                <w:rFonts w:hint="eastAsia" w:ascii="宋体" w:hAnsi="宋体" w:eastAsia="宋体" w:cs="宋体"/>
                <w:b/>
                <w:bCs/>
                <w:color w:val="auto"/>
                <w:kern w:val="0"/>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目录</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　</w:t>
            </w:r>
          </w:p>
        </w:tc>
        <w:tc>
          <w:tcPr>
            <w:tcW w:w="842" w:type="dxa"/>
            <w:vAlign w:val="bottom"/>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highlight w:val="none"/>
              </w:rPr>
              <w:t>★</w:t>
            </w:r>
            <w:r>
              <w:rPr>
                <w:rFonts w:hint="eastAsia" w:ascii="宋体" w:hAnsi="宋体" w:eastAsia="宋体" w:cs="宋体"/>
                <w:color w:val="auto"/>
                <w:kern w:val="0"/>
                <w:highlight w:val="none"/>
              </w:rPr>
              <w:t>公开遴选函</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1)</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　</w:t>
            </w:r>
          </w:p>
        </w:tc>
        <w:tc>
          <w:tcPr>
            <w:tcW w:w="842" w:type="dxa"/>
            <w:vAlign w:val="bottom"/>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kern w:val="0"/>
                <w:highlight w:val="none"/>
              </w:rPr>
            </w:pPr>
            <w:r>
              <w:rPr>
                <w:rFonts w:hint="eastAsia" w:ascii="宋体" w:hAnsi="宋体" w:eastAsia="宋体" w:cs="宋体"/>
                <w:color w:val="auto"/>
                <w:kern w:val="0"/>
                <w:highlight w:val="none"/>
              </w:rPr>
              <w:t>★具有独立承担民事责任的能力【提供法人或者其他组织的营业执照、组织机构代码证和税务登记证（或三证合一证明）等证明文件】</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kern w:val="0"/>
                <w:highlight w:val="none"/>
              </w:rPr>
            </w:pPr>
            <w:r>
              <w:rPr>
                <w:rFonts w:hint="eastAsia" w:ascii="宋体" w:hAnsi="宋体" w:eastAsia="宋体" w:cs="宋体"/>
                <w:color w:val="auto"/>
                <w:kern w:val="0"/>
                <w:highlight w:val="none"/>
              </w:rPr>
              <w:t>★具有良好的商业信誉和健全的财务会计制度【提供书面承诺声明】</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kern w:val="0"/>
                <w:highlight w:val="none"/>
              </w:rPr>
            </w:pPr>
            <w:r>
              <w:rPr>
                <w:rFonts w:hint="eastAsia" w:ascii="宋体" w:hAnsi="宋体" w:eastAsia="宋体" w:cs="宋体"/>
                <w:color w:val="auto"/>
                <w:kern w:val="0"/>
                <w:highlight w:val="none"/>
              </w:rPr>
              <w:t>★具有履行合同所必需的设备和专业技术能力【提供履行合同所必需的设备清单以及技术人员的名单材料】</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kern w:val="0"/>
                <w:highlight w:val="none"/>
              </w:rPr>
            </w:pPr>
            <w:r>
              <w:rPr>
                <w:rFonts w:hint="eastAsia" w:ascii="宋体" w:hAnsi="宋体" w:eastAsia="宋体" w:cs="宋体"/>
                <w:color w:val="auto"/>
                <w:kern w:val="0"/>
                <w:highlight w:val="none"/>
              </w:rPr>
              <w:t>★有依法缴纳税收和社会保障资金的良好记录【提供书面承诺声明】</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kern w:val="0"/>
                <w:highlight w:val="none"/>
              </w:rPr>
            </w:pPr>
            <w:r>
              <w:rPr>
                <w:rFonts w:hint="eastAsia" w:ascii="宋体" w:hAnsi="宋体" w:eastAsia="宋体" w:cs="宋体"/>
                <w:color w:val="auto"/>
                <w:kern w:val="0"/>
                <w:highlight w:val="none"/>
              </w:rPr>
              <w:t>★参加政府采购活动前三年内，在经营活动中没有重大违法记录【提供书面声明】</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宋体"/>
                <w:color w:val="auto"/>
                <w:kern w:val="0"/>
                <w:highlight w:val="none"/>
              </w:rPr>
            </w:pPr>
            <w:r>
              <w:rPr>
                <w:rFonts w:hint="eastAsia" w:ascii="宋体" w:hAnsi="宋体" w:eastAsia="宋体" w:cs="宋体"/>
                <w:color w:val="auto"/>
                <w:highlight w:val="none"/>
              </w:rPr>
              <w:t>★</w:t>
            </w:r>
            <w:r>
              <w:rPr>
                <w:rFonts w:hint="eastAsia" w:ascii="宋体" w:hAnsi="宋体" w:eastAsia="宋体" w:cs="宋体"/>
                <w:color w:val="auto"/>
                <w:kern w:val="0"/>
                <w:highlight w:val="none"/>
              </w:rPr>
              <w:t>供应商《公平竞争承诺书》原件</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6)</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kern w:val="0"/>
                <w:highlight w:val="none"/>
              </w:rPr>
            </w:pPr>
            <w:r>
              <w:rPr>
                <w:rFonts w:hint="eastAsia" w:ascii="宋体" w:hAnsi="宋体" w:eastAsia="宋体" w:cs="宋体"/>
                <w:color w:val="auto"/>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书面承诺证明材料】</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highlight w:val="none"/>
              </w:rPr>
              <w:t>★供应商必须是国内民政部门登记的合法社会组织，持有有效期内的《民办非企业单位（法人）登记证书》。</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highlight w:val="none"/>
              </w:rPr>
              <w:t>★供应商必须是未承接本市社区精神康复综合服务中心服务的第三方社会服务机构，与项目被评估方、被抽检方不存在利害关系。</w:t>
            </w:r>
            <w:r>
              <w:rPr>
                <w:rFonts w:hint="eastAsia" w:ascii="宋体" w:hAnsi="宋体" w:eastAsia="宋体" w:cs="宋体"/>
                <w:color w:val="auto"/>
                <w:kern w:val="0"/>
                <w:highlight w:val="none"/>
              </w:rPr>
              <w:t>【提供书面声明】</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highlight w:val="none"/>
              </w:rPr>
              <w:t>★检验检测机构资质认定证书（包括附表中的授权签字人及领域表）</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kern w:val="0"/>
                <w:highlight w:val="none"/>
              </w:rPr>
            </w:pPr>
            <w:r>
              <w:rPr>
                <w:rFonts w:hint="eastAsia" w:ascii="宋体" w:hAnsi="宋体" w:eastAsia="宋体" w:cs="宋体"/>
                <w:color w:val="auto"/>
                <w:highlight w:val="none"/>
              </w:rPr>
              <w:t>★本项目不接受联合体投标。【提供书面承诺证明材料】</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法定代表人证明书</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2)</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　</w:t>
            </w:r>
          </w:p>
        </w:tc>
        <w:tc>
          <w:tcPr>
            <w:tcW w:w="842" w:type="dxa"/>
            <w:vAlign w:val="bottom"/>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法定代表人授权书</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3)</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　</w:t>
            </w:r>
          </w:p>
        </w:tc>
        <w:tc>
          <w:tcPr>
            <w:tcW w:w="842" w:type="dxa"/>
            <w:vAlign w:val="bottom"/>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Times New Roman"/>
                <w:color w:val="auto"/>
                <w:highlight w:val="none"/>
              </w:rPr>
            </w:pPr>
            <w:r>
              <w:rPr>
                <w:rFonts w:hint="eastAsia" w:ascii="宋体" w:hAnsi="宋体" w:eastAsia="宋体" w:cs="宋体"/>
                <w:color w:val="auto"/>
                <w:kern w:val="0"/>
                <w:highlight w:val="none"/>
              </w:rPr>
              <w:t>书面承诺声明（附件</w:t>
            </w:r>
            <w:r>
              <w:rPr>
                <w:rFonts w:ascii="宋体" w:hAnsi="宋体" w:eastAsia="宋体" w:cs="宋体"/>
                <w:color w:val="auto"/>
                <w:kern w:val="0"/>
                <w:highlight w:val="none"/>
              </w:rPr>
              <w:t>4)</w:t>
            </w:r>
          </w:p>
        </w:tc>
        <w:tc>
          <w:tcPr>
            <w:tcW w:w="720" w:type="dxa"/>
            <w:vAlign w:val="bottom"/>
          </w:tcPr>
          <w:p>
            <w:pPr>
              <w:widowControl/>
              <w:snapToGrid w:val="0"/>
              <w:spacing w:line="360" w:lineRule="auto"/>
              <w:ind w:firstLine="105" w:firstLineChars="50"/>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同意公开遴选文件条款说明</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5)</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　</w:t>
            </w:r>
          </w:p>
        </w:tc>
        <w:tc>
          <w:tcPr>
            <w:tcW w:w="842" w:type="dxa"/>
            <w:vAlign w:val="bottom"/>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highlight w:val="none"/>
              </w:rPr>
            </w:pPr>
            <w:r>
              <w:rPr>
                <w:rFonts w:hint="eastAsia" w:ascii="宋体" w:hAnsi="宋体" w:eastAsia="宋体" w:cs="宋体"/>
                <w:color w:val="auto"/>
                <w:highlight w:val="none"/>
              </w:rPr>
              <w:t>报价一览表（首次报价）</w:t>
            </w:r>
            <w:r>
              <w:rPr>
                <w:rFonts w:ascii="宋体" w:hAnsi="宋体" w:eastAsia="宋体" w:cs="宋体"/>
                <w:color w:val="auto"/>
                <w:highlight w:val="none"/>
              </w:rPr>
              <w:t xml:space="preserve">( </w:t>
            </w:r>
            <w:r>
              <w:rPr>
                <w:rFonts w:hint="eastAsia" w:ascii="宋体" w:hAnsi="宋体" w:eastAsia="宋体" w:cs="宋体"/>
                <w:color w:val="auto"/>
                <w:highlight w:val="none"/>
              </w:rPr>
              <w:t>附件</w:t>
            </w:r>
            <w:r>
              <w:rPr>
                <w:rFonts w:ascii="宋体" w:hAnsi="宋体" w:eastAsia="宋体" w:cs="宋体"/>
                <w:color w:val="auto"/>
                <w:highlight w:val="none"/>
              </w:rPr>
              <w:t>7)</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明细报价表</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8)</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产品适用政府采购政策情况表</w:t>
            </w:r>
            <w:r>
              <w:rPr>
                <w:rFonts w:ascii="宋体" w:hAnsi="宋体" w:eastAsia="宋体" w:cs="宋体"/>
                <w:color w:val="auto"/>
                <w:kern w:val="0"/>
                <w:highlight w:val="none"/>
              </w:rPr>
              <w:t>(</w:t>
            </w:r>
            <w:r>
              <w:rPr>
                <w:rFonts w:hint="eastAsia" w:ascii="宋体" w:hAnsi="宋体" w:eastAsia="宋体" w:cs="宋体"/>
                <w:color w:val="auto"/>
                <w:kern w:val="0"/>
                <w:highlight w:val="none"/>
              </w:rPr>
              <w:t>附件</w:t>
            </w:r>
            <w:r>
              <w:rPr>
                <w:rFonts w:ascii="宋体" w:hAnsi="宋体" w:eastAsia="宋体" w:cs="宋体"/>
                <w:color w:val="auto"/>
                <w:kern w:val="0"/>
                <w:highlight w:val="none"/>
              </w:rPr>
              <w:t>9)</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中小企业声明函（附件</w:t>
            </w:r>
            <w:r>
              <w:rPr>
                <w:rFonts w:ascii="宋体" w:hAnsi="宋体" w:eastAsia="宋体" w:cs="宋体"/>
                <w:color w:val="auto"/>
                <w:kern w:val="0"/>
                <w:highlight w:val="none"/>
              </w:rPr>
              <w:t>10</w:t>
            </w:r>
            <w:r>
              <w:rPr>
                <w:rFonts w:hint="eastAsia" w:ascii="宋体" w:hAnsi="宋体" w:eastAsia="宋体" w:cs="宋体"/>
                <w:color w:val="auto"/>
                <w:kern w:val="0"/>
                <w:highlight w:val="none"/>
              </w:rPr>
              <w:t>）</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kern w:val="0"/>
                <w:highlight w:val="none"/>
              </w:rPr>
            </w:pPr>
            <w:r>
              <w:rPr>
                <w:rFonts w:hint="eastAsia" w:ascii="宋体" w:hAnsi="宋体" w:eastAsia="宋体" w:cs="宋体"/>
                <w:color w:val="auto"/>
                <w:kern w:val="0"/>
                <w:highlight w:val="none"/>
              </w:rPr>
              <w:t>监狱企业的证明文件（如适用）（附件</w:t>
            </w:r>
            <w:r>
              <w:rPr>
                <w:rFonts w:ascii="宋体" w:hAnsi="宋体" w:eastAsia="宋体" w:cs="宋体"/>
                <w:color w:val="auto"/>
                <w:kern w:val="0"/>
                <w:highlight w:val="none"/>
              </w:rPr>
              <w:t>11</w:t>
            </w:r>
            <w:r>
              <w:rPr>
                <w:rFonts w:hint="eastAsia" w:ascii="宋体" w:hAnsi="宋体" w:eastAsia="宋体" w:cs="宋体"/>
                <w:color w:val="auto"/>
                <w:kern w:val="0"/>
                <w:highlight w:val="none"/>
              </w:rPr>
              <w:t>）</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rPr>
                <w:rFonts w:ascii="宋体" w:hAnsi="宋体" w:eastAsia="宋体" w:cs="Times New Roman"/>
                <w:color w:val="auto"/>
                <w:kern w:val="0"/>
                <w:highlight w:val="none"/>
              </w:rPr>
            </w:pPr>
            <w:r>
              <w:rPr>
                <w:rFonts w:hint="eastAsia" w:ascii="宋体" w:hAnsi="宋体" w:eastAsia="宋体" w:cs="宋体"/>
                <w:color w:val="auto"/>
                <w:kern w:val="0"/>
                <w:highlight w:val="none"/>
              </w:rPr>
              <w:t>残疾人福利性单位声明函（如适用）（附件</w:t>
            </w:r>
            <w:r>
              <w:rPr>
                <w:rFonts w:ascii="宋体" w:hAnsi="宋体" w:eastAsia="宋体" w:cs="宋体"/>
                <w:color w:val="auto"/>
                <w:kern w:val="0"/>
                <w:highlight w:val="none"/>
              </w:rPr>
              <w:t>12</w:t>
            </w:r>
            <w:r>
              <w:rPr>
                <w:rFonts w:hint="eastAsia" w:ascii="宋体" w:hAnsi="宋体" w:eastAsia="宋体" w:cs="宋体"/>
                <w:color w:val="auto"/>
                <w:kern w:val="0"/>
                <w:highlight w:val="none"/>
              </w:rPr>
              <w:t>）</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供应商基本情况表</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13)</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采购需求响应表</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14)</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合同条款响应一览表</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15)</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同类项目业绩一览表</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16)</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Times New Roman"/>
                <w:color w:val="auto"/>
                <w:highlight w:val="none"/>
              </w:rPr>
            </w:pPr>
            <w:r>
              <w:rPr>
                <w:rFonts w:hint="eastAsia" w:ascii="宋体" w:hAnsi="宋体" w:eastAsia="宋体" w:cs="宋体"/>
                <w:color w:val="auto"/>
                <w:kern w:val="0"/>
                <w:highlight w:val="none"/>
              </w:rPr>
              <w:t>技术服务方案</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17)</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拟派本项目负责人及主要人员情况表（附件</w:t>
            </w:r>
            <w:r>
              <w:rPr>
                <w:rFonts w:ascii="宋体" w:hAnsi="宋体" w:eastAsia="宋体" w:cs="宋体"/>
                <w:color w:val="auto"/>
                <w:kern w:val="0"/>
                <w:highlight w:val="none"/>
              </w:rPr>
              <w:t>18)</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Times New Roman"/>
                <w:color w:val="auto"/>
                <w:kern w:val="0"/>
                <w:highlight w:val="none"/>
              </w:rPr>
            </w:pPr>
            <w:r>
              <w:rPr>
                <w:rFonts w:hint="eastAsia" w:ascii="宋体" w:hAnsi="宋体" w:eastAsia="宋体" w:cs="宋体"/>
                <w:color w:val="auto"/>
                <w:kern w:val="0"/>
                <w:highlight w:val="none"/>
              </w:rPr>
              <w:t>实质性条款响应一览表（附件</w:t>
            </w:r>
            <w:r>
              <w:rPr>
                <w:rFonts w:ascii="宋体" w:hAnsi="宋体" w:eastAsia="宋体" w:cs="宋体"/>
                <w:color w:val="auto"/>
                <w:kern w:val="0"/>
                <w:highlight w:val="none"/>
              </w:rPr>
              <w:t>19</w:t>
            </w:r>
            <w:r>
              <w:rPr>
                <w:rFonts w:hint="eastAsia" w:ascii="宋体" w:hAnsi="宋体" w:eastAsia="宋体" w:cs="宋体"/>
                <w:color w:val="auto"/>
                <w:kern w:val="0"/>
                <w:highlight w:val="none"/>
              </w:rPr>
              <w:t>）</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采购人配合的条件及伴随服务</w:t>
            </w:r>
            <w:r>
              <w:rPr>
                <w:rFonts w:ascii="宋体" w:hAnsi="宋体" w:eastAsia="宋体" w:cs="宋体"/>
                <w:color w:val="auto"/>
                <w:kern w:val="0"/>
                <w:highlight w:val="none"/>
              </w:rPr>
              <w:t>(</w:t>
            </w:r>
            <w:r>
              <w:rPr>
                <w:rFonts w:hint="eastAsia" w:ascii="宋体" w:hAnsi="宋体" w:eastAsia="宋体" w:cs="宋体"/>
                <w:color w:val="auto"/>
                <w:kern w:val="0"/>
                <w:highlight w:val="none"/>
              </w:rPr>
              <w:t>附件</w:t>
            </w:r>
            <w:r>
              <w:rPr>
                <w:rFonts w:ascii="宋体" w:hAnsi="宋体" w:eastAsia="宋体" w:cs="宋体"/>
                <w:color w:val="auto"/>
                <w:kern w:val="0"/>
                <w:highlight w:val="none"/>
              </w:rPr>
              <w:t>21)</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trPr>
        <w:tc>
          <w:tcPr>
            <w:tcW w:w="734" w:type="dxa"/>
            <w:vAlign w:val="center"/>
          </w:tcPr>
          <w:p>
            <w:pPr>
              <w:widowControl/>
              <w:numPr>
                <w:ilvl w:val="0"/>
                <w:numId w:val="9"/>
              </w:numPr>
              <w:snapToGrid w:val="0"/>
              <w:spacing w:line="360" w:lineRule="auto"/>
              <w:jc w:val="center"/>
              <w:rPr>
                <w:rFonts w:ascii="宋体" w:hAnsi="宋体" w:eastAsia="宋体" w:cs="Times New Roman"/>
                <w:color w:val="auto"/>
                <w:kern w:val="0"/>
                <w:highlight w:val="none"/>
              </w:rPr>
            </w:pPr>
          </w:p>
        </w:tc>
        <w:tc>
          <w:tcPr>
            <w:tcW w:w="6630" w:type="dxa"/>
            <w:vAlign w:val="center"/>
          </w:tcPr>
          <w:p>
            <w:pPr>
              <w:widowControl/>
              <w:snapToGrid w:val="0"/>
              <w:spacing w:line="360" w:lineRule="auto"/>
              <w:rPr>
                <w:rFonts w:ascii="宋体" w:hAnsi="宋体" w:eastAsia="宋体" w:cs="宋体"/>
                <w:color w:val="auto"/>
                <w:kern w:val="0"/>
                <w:highlight w:val="none"/>
              </w:rPr>
            </w:pPr>
            <w:r>
              <w:rPr>
                <w:rFonts w:hint="eastAsia" w:ascii="宋体" w:hAnsi="宋体" w:eastAsia="宋体" w:cs="宋体"/>
                <w:color w:val="auto"/>
                <w:kern w:val="0"/>
                <w:highlight w:val="none"/>
              </w:rPr>
              <w:t>供应商认为有必要说明的其他文件</w:t>
            </w:r>
            <w:r>
              <w:rPr>
                <w:rFonts w:ascii="宋体" w:hAnsi="宋体" w:eastAsia="宋体" w:cs="宋体"/>
                <w:color w:val="auto"/>
                <w:kern w:val="0"/>
                <w:highlight w:val="none"/>
              </w:rPr>
              <w:t>(</w:t>
            </w:r>
            <w:r>
              <w:rPr>
                <w:rFonts w:hint="eastAsia" w:ascii="宋体" w:hAnsi="宋体" w:eastAsia="宋体" w:cs="宋体"/>
                <w:color w:val="auto"/>
                <w:kern w:val="0"/>
                <w:highlight w:val="none"/>
              </w:rPr>
              <w:t>附件</w:t>
            </w:r>
            <w:r>
              <w:rPr>
                <w:rFonts w:ascii="宋体" w:hAnsi="宋体" w:eastAsia="宋体" w:cs="宋体"/>
                <w:color w:val="auto"/>
                <w:kern w:val="0"/>
                <w:highlight w:val="none"/>
              </w:rPr>
              <w:t>22)</w:t>
            </w:r>
          </w:p>
        </w:tc>
        <w:tc>
          <w:tcPr>
            <w:tcW w:w="720" w:type="dxa"/>
            <w:vAlign w:val="bottom"/>
          </w:tcPr>
          <w:p>
            <w:pPr>
              <w:widowControl/>
              <w:snapToGrid w:val="0"/>
              <w:spacing w:line="360" w:lineRule="auto"/>
              <w:jc w:val="center"/>
              <w:rPr>
                <w:rFonts w:ascii="宋体" w:hAnsi="宋体" w:eastAsia="宋体" w:cs="Times New Roman"/>
                <w:color w:val="auto"/>
                <w:kern w:val="0"/>
                <w:highlight w:val="none"/>
              </w:rPr>
            </w:pPr>
          </w:p>
        </w:tc>
        <w:tc>
          <w:tcPr>
            <w:tcW w:w="778" w:type="dxa"/>
            <w:vAlign w:val="bottom"/>
          </w:tcPr>
          <w:p>
            <w:pPr>
              <w:widowControl/>
              <w:snapToGrid w:val="0"/>
              <w:spacing w:line="360" w:lineRule="auto"/>
              <w:rPr>
                <w:rFonts w:ascii="宋体" w:hAnsi="宋体" w:eastAsia="宋体" w:cs="Times New Roman"/>
                <w:color w:val="auto"/>
                <w:kern w:val="0"/>
                <w:highlight w:val="none"/>
              </w:rPr>
            </w:pPr>
          </w:p>
        </w:tc>
        <w:tc>
          <w:tcPr>
            <w:tcW w:w="842" w:type="dxa"/>
            <w:vAlign w:val="bottom"/>
          </w:tcPr>
          <w:p>
            <w:pPr>
              <w:widowControl/>
              <w:snapToGrid w:val="0"/>
              <w:spacing w:line="360" w:lineRule="auto"/>
              <w:rPr>
                <w:rFonts w:ascii="宋体" w:hAnsi="宋体" w:eastAsia="宋体" w:cs="Times New Roman"/>
                <w:color w:val="auto"/>
                <w:kern w:val="0"/>
                <w:highlight w:val="none"/>
              </w:rPr>
            </w:pPr>
          </w:p>
        </w:tc>
      </w:tr>
    </w:tbl>
    <w:p>
      <w:pPr>
        <w:spacing w:line="360" w:lineRule="auto"/>
        <w:ind w:firstLine="422" w:firstLineChars="200"/>
        <w:rPr>
          <w:rFonts w:ascii="Times New Roman" w:hAnsi="Times New Roman" w:eastAsia="宋体" w:cs="Times New Roman"/>
          <w:b/>
          <w:bCs/>
          <w:color w:val="auto"/>
          <w:highlight w:val="none"/>
        </w:rPr>
      </w:pPr>
      <w:r>
        <w:rPr>
          <w:rFonts w:hint="eastAsia" w:ascii="Times New Roman" w:hAnsi="Times New Roman" w:eastAsia="宋体" w:cs="宋体"/>
          <w:b/>
          <w:bCs/>
          <w:color w:val="auto"/>
          <w:highlight w:val="none"/>
        </w:rPr>
        <w:t>注：如提交的文件为复印件，需加盖公章。所有证书类文件提供复印件且必须在有效期内。</w:t>
      </w: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rPr>
          <w:rFonts w:ascii="Times New Roman" w:hAnsi="Times New Roman" w:eastAsia="宋体" w:cs="Times New Roman"/>
          <w:b/>
          <w:bCs/>
          <w:color w:val="auto"/>
          <w:highlight w:val="none"/>
        </w:rPr>
      </w:pPr>
    </w:p>
    <w:p>
      <w:pPr>
        <w:spacing w:line="360" w:lineRule="auto"/>
        <w:ind w:firstLine="422" w:firstLineChars="200"/>
        <w:rPr>
          <w:rFonts w:ascii="Times New Roman" w:hAnsi="Times New Roman" w:eastAsia="宋体" w:cs="Times New Roman"/>
          <w:b/>
          <w:bCs/>
          <w:color w:val="auto"/>
          <w:highlight w:val="none"/>
        </w:rPr>
      </w:pPr>
    </w:p>
    <w:p>
      <w:pPr>
        <w:spacing w:line="360" w:lineRule="auto"/>
        <w:rPr>
          <w:rFonts w:ascii="Times New Roman" w:hAnsi="Times New Roman" w:eastAsia="宋体" w:cs="Times New Roman"/>
          <w:b/>
          <w:bCs/>
          <w:color w:val="auto"/>
          <w:highlight w:val="none"/>
        </w:rPr>
      </w:pPr>
    </w:p>
    <w:p>
      <w:pPr>
        <w:keepNext/>
        <w:keepLines/>
        <w:numPr>
          <w:ilvl w:val="0"/>
          <w:numId w:val="8"/>
        </w:numPr>
        <w:tabs>
          <w:tab w:val="left" w:pos="630"/>
        </w:tabs>
        <w:autoSpaceDE w:val="0"/>
        <w:spacing w:before="48" w:beforeLines="20" w:after="48" w:afterLines="20" w:line="360" w:lineRule="auto"/>
        <w:ind w:left="630" w:hanging="630"/>
        <w:jc w:val="left"/>
        <w:outlineLvl w:val="1"/>
        <w:rPr>
          <w:rFonts w:ascii="宋体" w:hAnsi="宋体" w:eastAsia="宋体" w:cs="Times New Roman"/>
          <w:b/>
          <w:bCs/>
          <w:color w:val="auto"/>
          <w:kern w:val="0"/>
          <w:sz w:val="30"/>
          <w:szCs w:val="30"/>
          <w:highlight w:val="none"/>
        </w:rPr>
      </w:pPr>
      <w:r>
        <w:rPr>
          <w:rFonts w:hint="eastAsia" w:ascii="宋体" w:hAnsi="宋体" w:eastAsia="宋体" w:cs="宋体"/>
          <w:b/>
          <w:bCs/>
          <w:color w:val="auto"/>
          <w:kern w:val="0"/>
          <w:sz w:val="30"/>
          <w:szCs w:val="30"/>
          <w:highlight w:val="none"/>
        </w:rPr>
        <w:t>报价信封内容</w:t>
      </w:r>
    </w:p>
    <w:p>
      <w:pPr>
        <w:spacing w:line="360" w:lineRule="auto"/>
        <w:jc w:val="center"/>
        <w:rPr>
          <w:rFonts w:ascii="宋体" w:hAnsi="宋体" w:eastAsia="宋体" w:cs="Times New Roman"/>
          <w:color w:val="auto"/>
          <w:sz w:val="24"/>
          <w:szCs w:val="24"/>
          <w:highlight w:val="none"/>
        </w:rPr>
      </w:pPr>
    </w:p>
    <w:p>
      <w:pPr>
        <w:spacing w:line="360" w:lineRule="auto"/>
        <w:ind w:firstLine="420" w:firstLineChars="200"/>
        <w:rPr>
          <w:rFonts w:ascii="宋体" w:hAnsi="宋体" w:eastAsia="宋体" w:cs="Times New Roman"/>
          <w:color w:val="auto"/>
          <w:highlight w:val="none"/>
        </w:rPr>
      </w:pPr>
      <w:r>
        <w:rPr>
          <w:rFonts w:hint="eastAsia" w:ascii="宋体" w:hAnsi="宋体" w:eastAsia="宋体" w:cs="宋体"/>
          <w:color w:val="auto"/>
          <w:highlight w:val="none"/>
        </w:rPr>
        <w:t>报价信封必须单独密封（该信封不要放入其它信封内），封口加盖公章，与遴选响应文件一同递交，其内装以下内容：</w:t>
      </w:r>
    </w:p>
    <w:p>
      <w:pPr>
        <w:spacing w:line="360" w:lineRule="auto"/>
        <w:ind w:left="54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1</w:t>
      </w:r>
      <w:r>
        <w:rPr>
          <w:rFonts w:hint="eastAsia" w:ascii="宋体" w:hAnsi="宋体" w:eastAsia="宋体" w:cs="宋体"/>
          <w:color w:val="auto"/>
          <w:highlight w:val="none"/>
        </w:rPr>
        <w:t>）报价一览表</w:t>
      </w:r>
    </w:p>
    <w:p>
      <w:pPr>
        <w:spacing w:line="360" w:lineRule="auto"/>
        <w:ind w:left="54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2</w:t>
      </w:r>
      <w:r>
        <w:rPr>
          <w:rFonts w:hint="eastAsia" w:ascii="宋体" w:hAnsi="宋体" w:eastAsia="宋体" w:cs="宋体"/>
          <w:color w:val="auto"/>
          <w:highlight w:val="none"/>
        </w:rPr>
        <w:t>）电子文档一份</w:t>
      </w:r>
    </w:p>
    <w:p>
      <w:pPr>
        <w:spacing w:line="360" w:lineRule="auto"/>
        <w:ind w:left="540"/>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3</w:t>
      </w:r>
      <w:r>
        <w:rPr>
          <w:rFonts w:hint="eastAsia" w:ascii="宋体" w:hAnsi="宋体" w:eastAsia="宋体" w:cs="宋体"/>
          <w:color w:val="auto"/>
          <w:highlight w:val="none"/>
        </w:rPr>
        <w:t>）</w:t>
      </w:r>
      <w:r>
        <w:rPr>
          <w:rFonts w:hint="eastAsia" w:ascii="宋体" w:hAnsi="宋体" w:eastAsia="宋体" w:cs="宋体"/>
          <w:color w:val="auto"/>
          <w:kern w:val="0"/>
          <w:highlight w:val="none"/>
        </w:rPr>
        <w:t>法定代表人授权书</w:t>
      </w: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ind w:left="540"/>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sz w:val="28"/>
          <w:szCs w:val="28"/>
          <w:highlight w:val="none"/>
        </w:rPr>
      </w:pPr>
      <w:r>
        <w:rPr>
          <w:rFonts w:ascii="宋体" w:hAnsi="宋体" w:eastAsia="宋体" w:cs="Times New Roman"/>
          <w:b/>
          <w:bCs/>
          <w:color w:val="auto"/>
          <w:kern w:val="0"/>
          <w:sz w:val="28"/>
          <w:szCs w:val="28"/>
          <w:highlight w:val="none"/>
        </w:rPr>
        <w:br w:type="page"/>
      </w: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 </w:t>
      </w:r>
      <w:r>
        <w:rPr>
          <w:rFonts w:hint="eastAsia" w:ascii="宋体" w:hAnsi="宋体" w:eastAsia="宋体" w:cs="宋体"/>
          <w:b/>
          <w:bCs/>
          <w:color w:val="auto"/>
          <w:kern w:val="0"/>
          <w:sz w:val="28"/>
          <w:szCs w:val="28"/>
          <w:highlight w:val="none"/>
        </w:rPr>
        <w:t>公开遴选函</w:t>
      </w:r>
    </w:p>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致：广州市信怡招标代理有限公司</w:t>
      </w:r>
    </w:p>
    <w:p>
      <w:pPr>
        <w:autoSpaceDE w:val="0"/>
        <w:spacing w:line="360" w:lineRule="auto"/>
        <w:ind w:firstLine="480"/>
        <w:jc w:val="left"/>
        <w:rPr>
          <w:rFonts w:ascii="宋体" w:hAnsi="宋体" w:eastAsia="宋体" w:cs="Times New Roman"/>
          <w:color w:val="auto"/>
          <w:highlight w:val="none"/>
        </w:rPr>
      </w:pPr>
      <w:r>
        <w:rPr>
          <w:rFonts w:hint="eastAsia" w:ascii="宋体" w:hAnsi="宋体" w:eastAsia="宋体" w:cs="宋体"/>
          <w:color w:val="auto"/>
          <w:highlight w:val="none"/>
        </w:rPr>
        <w:t>我方确认收到你方提供的</w:t>
      </w:r>
      <w:r>
        <w:rPr>
          <w:rFonts w:ascii="ZWAdobeF" w:hAnsi="ZWAdobeF" w:eastAsia="宋体" w:cs="ZWAdobeF"/>
          <w:color w:val="auto"/>
          <w:sz w:val="2"/>
          <w:szCs w:val="2"/>
          <w:highlight w:val="none"/>
        </w:rPr>
        <w:t>UUU</w:t>
      </w:r>
      <w:r>
        <w:rPr>
          <w:rFonts w:ascii="ZWAdobeF" w:hAnsi="ZWAdobeF" w:eastAsia="宋体" w:cs="ZWAdobeF"/>
          <w:color w:val="auto"/>
          <w:sz w:val="2"/>
          <w:szCs w:val="2"/>
          <w:highlight w:val="none"/>
          <w:u w:val="single"/>
        </w:rPr>
        <w:t>U</w:t>
      </w:r>
      <w:r>
        <w:rPr>
          <w:rFonts w:hint="eastAsia" w:ascii="宋体" w:hAnsi="宋体" w:eastAsia="宋体" w:cs="宋体"/>
          <w:color w:val="auto"/>
          <w:highlight w:val="none"/>
          <w:u w:val="single"/>
        </w:rPr>
        <w:t>项目名称</w:t>
      </w:r>
      <w:r>
        <w:rPr>
          <w:rFonts w:ascii="宋体" w:hAnsi="宋体" w:eastAsia="宋体" w:cs="宋体"/>
          <w:color w:val="auto"/>
          <w:highlight w:val="none"/>
          <w:u w:val="single"/>
        </w:rPr>
        <w:t xml:space="preserve">     </w:t>
      </w:r>
      <w:r>
        <w:rPr>
          <w:rFonts w:ascii="ZWAdobeF" w:hAnsi="ZWAdobeF" w:eastAsia="宋体" w:cs="ZWAdobeF"/>
          <w:color w:val="auto"/>
          <w:sz w:val="2"/>
          <w:szCs w:val="2"/>
          <w:highlight w:val="none"/>
          <w:u w:val="single"/>
        </w:rPr>
        <w:t>UU</w:t>
      </w:r>
      <w:r>
        <w:rPr>
          <w:rFonts w:ascii="ZWAdobeF" w:hAnsi="ZWAdobeF" w:eastAsia="宋体" w:cs="ZWAdobeF"/>
          <w:color w:val="auto"/>
          <w:sz w:val="2"/>
          <w:szCs w:val="2"/>
          <w:highlight w:val="none"/>
        </w:rPr>
        <w:t>UU</w:t>
      </w:r>
      <w:r>
        <w:rPr>
          <w:rFonts w:hint="eastAsia" w:ascii="宋体" w:hAnsi="宋体" w:eastAsia="宋体" w:cs="宋体"/>
          <w:color w:val="auto"/>
          <w:highlight w:val="none"/>
        </w:rPr>
        <w:t>及其相关服务的公开遴选文件的全部内容。我方：</w:t>
      </w:r>
      <w:r>
        <w:rPr>
          <w:rFonts w:ascii="ZWAdobeF" w:hAnsi="ZWAdobeF" w:eastAsia="宋体" w:cs="ZWAdobeF"/>
          <w:color w:val="auto"/>
          <w:sz w:val="2"/>
          <w:szCs w:val="2"/>
          <w:highlight w:val="none"/>
        </w:rPr>
        <w:t>UUUU</w:t>
      </w:r>
      <w:r>
        <w:rPr>
          <w:rFonts w:hint="eastAsia" w:ascii="宋体" w:hAnsi="宋体" w:eastAsia="宋体" w:cs="宋体"/>
          <w:color w:val="auto"/>
          <w:highlight w:val="none"/>
          <w:u w:val="single"/>
        </w:rPr>
        <w:t>（供应商名称）</w:t>
      </w:r>
      <w:r>
        <w:rPr>
          <w:rFonts w:ascii="ZWAdobeF" w:hAnsi="ZWAdobeF" w:eastAsia="宋体" w:cs="ZWAdobeF"/>
          <w:color w:val="auto"/>
          <w:sz w:val="2"/>
          <w:szCs w:val="2"/>
          <w:highlight w:val="none"/>
        </w:rPr>
        <w:t>UUUU</w:t>
      </w:r>
      <w:r>
        <w:rPr>
          <w:rFonts w:hint="eastAsia" w:ascii="宋体" w:hAnsi="宋体" w:eastAsia="宋体" w:cs="宋体"/>
          <w:color w:val="auto"/>
          <w:highlight w:val="none"/>
        </w:rPr>
        <w:t>作为报价者正式授权</w:t>
      </w:r>
      <w:r>
        <w:rPr>
          <w:rFonts w:ascii="ZWAdobeF" w:hAnsi="ZWAdobeF" w:eastAsia="宋体" w:cs="ZWAdobeF"/>
          <w:color w:val="auto"/>
          <w:sz w:val="2"/>
          <w:szCs w:val="2"/>
          <w:highlight w:val="none"/>
        </w:rPr>
        <w:t>UUUU</w:t>
      </w:r>
      <w:r>
        <w:rPr>
          <w:rFonts w:hint="eastAsia" w:ascii="宋体" w:hAnsi="宋体" w:eastAsia="宋体" w:cs="宋体"/>
          <w:color w:val="auto"/>
          <w:highlight w:val="none"/>
          <w:u w:val="single"/>
        </w:rPr>
        <w:t>（姓名、职位）</w:t>
      </w:r>
      <w:r>
        <w:rPr>
          <w:rFonts w:ascii="ZWAdobeF" w:hAnsi="ZWAdobeF" w:eastAsia="宋体" w:cs="ZWAdobeF"/>
          <w:color w:val="auto"/>
          <w:sz w:val="2"/>
          <w:szCs w:val="2"/>
          <w:highlight w:val="none"/>
        </w:rPr>
        <w:t>UUUU</w:t>
      </w:r>
      <w:r>
        <w:rPr>
          <w:rFonts w:hint="eastAsia" w:ascii="宋体" w:hAnsi="宋体" w:eastAsia="宋体" w:cs="宋体"/>
          <w:color w:val="auto"/>
          <w:highlight w:val="none"/>
        </w:rPr>
        <w:t>代表我方进行有关报价的一切事宜。在此提交的报价文件，正本</w:t>
      </w:r>
      <w:r>
        <w:rPr>
          <w:rFonts w:hint="eastAsia" w:ascii="宋体" w:hAnsi="宋体" w:eastAsia="宋体" w:cs="宋体"/>
          <w:color w:val="auto"/>
          <w:highlight w:val="none"/>
          <w:u w:val="single"/>
        </w:rPr>
        <w:t>壹</w:t>
      </w:r>
      <w:r>
        <w:rPr>
          <w:rFonts w:hint="eastAsia" w:ascii="宋体" w:hAnsi="宋体" w:eastAsia="宋体" w:cs="宋体"/>
          <w:color w:val="auto"/>
          <w:highlight w:val="none"/>
        </w:rPr>
        <w:t>份，副本</w:t>
      </w:r>
      <w:r>
        <w:rPr>
          <w:rFonts w:hint="eastAsia" w:ascii="宋体" w:hAnsi="宋体" w:eastAsia="宋体" w:cs="宋体"/>
          <w:color w:val="auto"/>
          <w:highlight w:val="none"/>
          <w:u w:val="single"/>
        </w:rPr>
        <w:t>贰</w:t>
      </w:r>
      <w:r>
        <w:rPr>
          <w:rFonts w:hint="eastAsia" w:ascii="宋体" w:hAnsi="宋体" w:eastAsia="宋体" w:cs="宋体"/>
          <w:color w:val="auto"/>
          <w:highlight w:val="none"/>
        </w:rPr>
        <w:t>份。我方已完全明白公开遴选文件的所有条款要求，并重申以下几点：</w:t>
      </w:r>
    </w:p>
    <w:p>
      <w:pPr>
        <w:spacing w:line="360" w:lineRule="auto"/>
        <w:jc w:val="left"/>
        <w:rPr>
          <w:rFonts w:ascii="宋体" w:hAnsi="宋体" w:eastAsia="宋体" w:cs="Times New Roman"/>
          <w:color w:val="auto"/>
          <w:highlight w:val="none"/>
        </w:rPr>
      </w:pPr>
      <w:r>
        <w:rPr>
          <w:rFonts w:ascii="宋体" w:hAnsi="宋体" w:eastAsia="宋体" w:cs="宋体"/>
          <w:color w:val="auto"/>
          <w:highlight w:val="none"/>
        </w:rPr>
        <w:t>1.</w:t>
      </w:r>
      <w:r>
        <w:rPr>
          <w:rFonts w:hint="eastAsia" w:ascii="宋体" w:hAnsi="宋体" w:eastAsia="宋体" w:cs="宋体"/>
          <w:color w:val="auto"/>
          <w:highlight w:val="none"/>
        </w:rPr>
        <w:t>我方决定参加：项目编号为</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项目编号</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号的遴选响应。</w:t>
      </w:r>
      <w:r>
        <w:rPr>
          <w:rFonts w:hint="eastAsia" w:ascii="宋体" w:hAnsi="宋体" w:eastAsia="宋体" w:cs="宋体"/>
          <w:color w:val="auto"/>
          <w:highlight w:val="none"/>
        </w:rPr>
        <w:t>各监测项目响应报价下浮率均为</w:t>
      </w:r>
      <w:r>
        <w:rPr>
          <w:rFonts w:ascii="宋体" w:hAnsi="宋体" w:eastAsia="宋体" w:cs="宋体"/>
          <w:color w:val="auto"/>
          <w:highlight w:val="none"/>
          <w:u w:val="single"/>
        </w:rPr>
        <w:t xml:space="preserve">     </w:t>
      </w:r>
      <w:r>
        <w:rPr>
          <w:rFonts w:ascii="宋体" w:hAnsi="宋体" w:eastAsia="宋体" w:cs="宋体"/>
          <w:color w:val="auto"/>
          <w:highlight w:val="none"/>
        </w:rPr>
        <w:t>%</w:t>
      </w:r>
      <w:r>
        <w:rPr>
          <w:rFonts w:hint="eastAsia" w:ascii="宋体" w:hAnsi="宋体" w:eastAsia="宋体" w:cs="宋体"/>
          <w:color w:val="auto"/>
          <w:highlight w:val="none"/>
        </w:rPr>
        <w:t>。在我方报价文件中，已根据同一响应报价下浮率计算出各监测项目单价；</w:t>
      </w:r>
    </w:p>
    <w:p>
      <w:pPr>
        <w:autoSpaceDE w:val="0"/>
        <w:spacing w:line="360" w:lineRule="auto"/>
        <w:ind w:left="240" w:hanging="240"/>
        <w:jc w:val="left"/>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本报价文件的有效期为遴选响应文件递交截止日后</w:t>
      </w:r>
      <w:r>
        <w:rPr>
          <w:rFonts w:ascii="ZWAdobeF" w:hAnsi="ZWAdobeF" w:eastAsia="宋体" w:cs="ZWAdobeF"/>
          <w:color w:val="auto"/>
          <w:sz w:val="2"/>
          <w:szCs w:val="2"/>
          <w:highlight w:val="none"/>
        </w:rPr>
        <w:t>UUUU</w:t>
      </w:r>
      <w:r>
        <w:rPr>
          <w:rFonts w:ascii="宋体" w:hAnsi="宋体" w:eastAsia="宋体" w:cs="宋体"/>
          <w:color w:val="auto"/>
          <w:highlight w:val="none"/>
          <w:u w:val="single"/>
        </w:rPr>
        <w:t>90</w:t>
      </w:r>
      <w:r>
        <w:rPr>
          <w:rFonts w:ascii="ZWAdobeF" w:hAnsi="ZWAdobeF" w:eastAsia="宋体" w:cs="ZWAdobeF"/>
          <w:color w:val="auto"/>
          <w:sz w:val="2"/>
          <w:szCs w:val="2"/>
          <w:highlight w:val="none"/>
        </w:rPr>
        <w:t>UUUU</w:t>
      </w:r>
      <w:r>
        <w:rPr>
          <w:rFonts w:hint="eastAsia" w:ascii="宋体" w:hAnsi="宋体" w:eastAsia="宋体" w:cs="宋体"/>
          <w:color w:val="auto"/>
          <w:highlight w:val="none"/>
        </w:rPr>
        <w:t>天有效，如被确定为供应商成交供应商，有效期将延至合同终止日为止；</w:t>
      </w:r>
    </w:p>
    <w:p>
      <w:pPr>
        <w:spacing w:line="360" w:lineRule="auto"/>
        <w:ind w:left="240" w:hanging="240"/>
        <w:jc w:val="left"/>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我方已详细研究了公开遴选文件的所有内容包括修正（如果有）和所有已提供的参考资料以及有关格式并完全明白，我方放弃在此方面提出含糊意见或误解的一切权利；</w:t>
      </w:r>
    </w:p>
    <w:p>
      <w:pPr>
        <w:spacing w:line="360" w:lineRule="auto"/>
        <w:jc w:val="left"/>
        <w:rPr>
          <w:rFonts w:ascii="宋体" w:hAnsi="宋体" w:eastAsia="宋体" w:cs="Times New Roman"/>
          <w:color w:val="auto"/>
          <w:highlight w:val="none"/>
        </w:rPr>
      </w:pPr>
      <w:r>
        <w:rPr>
          <w:rFonts w:ascii="宋体" w:hAnsi="宋体" w:eastAsia="宋体" w:cs="宋体"/>
          <w:color w:val="auto"/>
          <w:highlight w:val="none"/>
        </w:rPr>
        <w:t>4.</w:t>
      </w:r>
      <w:r>
        <w:rPr>
          <w:rFonts w:hint="eastAsia" w:ascii="宋体" w:hAnsi="宋体" w:eastAsia="宋体" w:cs="宋体"/>
          <w:color w:val="auto"/>
          <w:highlight w:val="none"/>
        </w:rPr>
        <w:t>我方同意按照你方可能提出的要求提供与报价有关的任何其它数据或信息；</w:t>
      </w:r>
    </w:p>
    <w:p>
      <w:pPr>
        <w:spacing w:line="360" w:lineRule="auto"/>
        <w:jc w:val="left"/>
        <w:rPr>
          <w:rFonts w:ascii="宋体" w:hAnsi="宋体" w:eastAsia="宋体" w:cs="Times New Roman"/>
          <w:color w:val="auto"/>
          <w:highlight w:val="none"/>
        </w:rPr>
      </w:pPr>
      <w:r>
        <w:rPr>
          <w:rFonts w:ascii="宋体" w:hAnsi="宋体" w:eastAsia="宋体" w:cs="宋体"/>
          <w:color w:val="auto"/>
          <w:highlight w:val="none"/>
        </w:rPr>
        <w:t>5.</w:t>
      </w:r>
      <w:r>
        <w:rPr>
          <w:rFonts w:hint="eastAsia" w:ascii="宋体" w:hAnsi="宋体" w:eastAsia="宋体" w:cs="宋体"/>
          <w:color w:val="auto"/>
          <w:highlight w:val="none"/>
        </w:rPr>
        <w:t>我方理解评审小组不一定接受最低报价或任何你方可能收到的报价；</w:t>
      </w:r>
    </w:p>
    <w:p>
      <w:pPr>
        <w:spacing w:line="360" w:lineRule="auto"/>
        <w:ind w:left="240" w:hanging="240"/>
        <w:jc w:val="left"/>
        <w:rPr>
          <w:rFonts w:ascii="宋体" w:hAnsi="宋体" w:eastAsia="宋体" w:cs="Times New Roman"/>
          <w:color w:val="auto"/>
          <w:highlight w:val="none"/>
        </w:rPr>
      </w:pPr>
      <w:r>
        <w:rPr>
          <w:rFonts w:ascii="宋体" w:hAnsi="宋体" w:eastAsia="宋体" w:cs="宋体"/>
          <w:color w:val="auto"/>
          <w:highlight w:val="none"/>
        </w:rPr>
        <w:t>6.</w:t>
      </w:r>
      <w:r>
        <w:rPr>
          <w:rFonts w:hint="eastAsia" w:ascii="宋体" w:hAnsi="宋体" w:eastAsia="宋体" w:cs="宋体"/>
          <w:color w:val="auto"/>
          <w:highlight w:val="none"/>
        </w:rPr>
        <w:t>我方如被确定为供应商成交供应商，将保证履行公开遴选文件以及公开遴选文件修改书（如有的话）中的全部责任和义务，按质、按量、按期完成《合同》中的全部任务；</w:t>
      </w:r>
    </w:p>
    <w:p>
      <w:pPr>
        <w:spacing w:line="360" w:lineRule="auto"/>
        <w:jc w:val="left"/>
        <w:rPr>
          <w:rFonts w:ascii="宋体" w:hAnsi="宋体" w:eastAsia="宋体" w:cs="Times New Roman"/>
          <w:color w:val="auto"/>
          <w:highlight w:val="none"/>
        </w:rPr>
      </w:pPr>
      <w:r>
        <w:rPr>
          <w:rFonts w:ascii="宋体" w:hAnsi="宋体" w:eastAsia="宋体" w:cs="宋体"/>
          <w:color w:val="auto"/>
          <w:highlight w:val="none"/>
        </w:rPr>
        <w:t>7.</w:t>
      </w:r>
      <w:r>
        <w:rPr>
          <w:rFonts w:hint="eastAsia" w:ascii="宋体" w:hAnsi="宋体" w:eastAsia="宋体" w:cs="宋体"/>
          <w:color w:val="auto"/>
          <w:highlight w:val="none"/>
        </w:rPr>
        <w:t>我方自行完全承担因报价文件错误、缺漏、不清晰而导致的一切后果；</w:t>
      </w:r>
    </w:p>
    <w:p>
      <w:pPr>
        <w:spacing w:line="360" w:lineRule="auto"/>
        <w:ind w:left="240" w:hanging="240"/>
        <w:jc w:val="left"/>
        <w:rPr>
          <w:rFonts w:ascii="宋体" w:hAnsi="宋体" w:eastAsia="宋体" w:cs="Times New Roman"/>
          <w:color w:val="auto"/>
          <w:highlight w:val="none"/>
        </w:rPr>
      </w:pPr>
      <w:r>
        <w:rPr>
          <w:rFonts w:ascii="宋体" w:hAnsi="宋体" w:eastAsia="宋体" w:cs="宋体"/>
          <w:color w:val="auto"/>
          <w:highlight w:val="none"/>
        </w:rPr>
        <w:t>8.</w:t>
      </w:r>
      <w:r>
        <w:rPr>
          <w:rFonts w:hint="eastAsia" w:ascii="宋体" w:hAnsi="宋体" w:eastAsia="宋体" w:cs="宋体"/>
          <w:color w:val="auto"/>
          <w:highlight w:val="none"/>
        </w:rPr>
        <w:t>我方确认此次遴选中提供的一切资料均是真实的，准确的，并完全承担因此产生的一切后果。</w:t>
      </w:r>
    </w:p>
    <w:p>
      <w:pPr>
        <w:spacing w:line="360" w:lineRule="auto"/>
        <w:jc w:val="left"/>
        <w:rPr>
          <w:rFonts w:ascii="宋体" w:hAnsi="宋体" w:eastAsia="宋体" w:cs="Times New Roman"/>
          <w:color w:val="auto"/>
          <w:highlight w:val="none"/>
        </w:rPr>
      </w:pPr>
      <w:r>
        <w:rPr>
          <w:rFonts w:ascii="宋体" w:hAnsi="宋体" w:eastAsia="宋体" w:cs="宋体"/>
          <w:color w:val="auto"/>
          <w:highlight w:val="none"/>
        </w:rPr>
        <w:t>9.</w:t>
      </w:r>
      <w:r>
        <w:rPr>
          <w:rFonts w:hint="eastAsia" w:ascii="宋体" w:hAnsi="宋体" w:eastAsia="宋体" w:cs="宋体"/>
          <w:color w:val="auto"/>
          <w:highlight w:val="none"/>
        </w:rPr>
        <w:t>我方的报价被接受，我方同意按照公开遴选文件规定向采购代理机构缴纳采购代理服务费。</w:t>
      </w:r>
    </w:p>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所有与本公开遴选文件有关的函件请发往下列地址：</w:t>
      </w:r>
    </w:p>
    <w:p>
      <w:pPr>
        <w:spacing w:line="360" w:lineRule="auto"/>
        <w:ind w:firstLine="210" w:firstLineChars="100"/>
        <w:jc w:val="left"/>
        <w:rPr>
          <w:rFonts w:ascii="宋体" w:hAnsi="宋体" w:eastAsia="宋体" w:cs="Times New Roman"/>
          <w:color w:val="auto"/>
          <w:highlight w:val="none"/>
        </w:rPr>
      </w:pPr>
    </w:p>
    <w:p>
      <w:pPr>
        <w:spacing w:line="360" w:lineRule="auto"/>
        <w:ind w:firstLine="420" w:firstLineChars="200"/>
        <w:jc w:val="left"/>
        <w:rPr>
          <w:rFonts w:ascii="宋体" w:hAnsi="宋体" w:eastAsia="宋体" w:cs="Times New Roman"/>
          <w:color w:val="auto"/>
          <w:highlight w:val="none"/>
          <w:u w:val="single"/>
        </w:rPr>
      </w:pPr>
      <w:r>
        <w:rPr>
          <w:rFonts w:hint="eastAsia" w:ascii="宋体" w:hAnsi="宋体" w:eastAsia="宋体" w:cs="宋体"/>
          <w:color w:val="auto"/>
          <w:highlight w:val="none"/>
        </w:rPr>
        <w:t>供应商全称（加盖公章）：</w:t>
      </w:r>
    </w:p>
    <w:p>
      <w:pPr>
        <w:spacing w:line="360" w:lineRule="auto"/>
        <w:ind w:firstLine="420" w:firstLineChars="200"/>
        <w:jc w:val="left"/>
        <w:rPr>
          <w:rFonts w:ascii="宋体" w:hAnsi="宋体" w:eastAsia="宋体" w:cs="Times New Roman"/>
          <w:color w:val="auto"/>
          <w:highlight w:val="none"/>
          <w:u w:val="single"/>
        </w:rPr>
      </w:pPr>
      <w:r>
        <w:rPr>
          <w:rFonts w:hint="eastAsia" w:ascii="宋体" w:hAnsi="宋体" w:eastAsia="宋体" w:cs="宋体"/>
          <w:color w:val="auto"/>
          <w:highlight w:val="none"/>
        </w:rPr>
        <w:t>地址：</w:t>
      </w:r>
      <w:r>
        <w:rPr>
          <w:rFonts w:ascii="宋体" w:hAnsi="宋体" w:eastAsia="宋体" w:cs="宋体"/>
          <w:color w:val="auto"/>
          <w:highlight w:val="none"/>
        </w:rPr>
        <w:t xml:space="preserve">  </w:t>
      </w:r>
      <w:r>
        <w:rPr>
          <w:rFonts w:hint="eastAsia" w:ascii="宋体" w:hAnsi="宋体" w:eastAsia="宋体" w:cs="宋体"/>
          <w:color w:val="auto"/>
          <w:highlight w:val="none"/>
        </w:rPr>
        <w:t>邮政编码：</w:t>
      </w:r>
    </w:p>
    <w:p>
      <w:pPr>
        <w:spacing w:line="360" w:lineRule="auto"/>
        <w:ind w:firstLine="420" w:firstLineChars="200"/>
        <w:jc w:val="left"/>
        <w:rPr>
          <w:rFonts w:ascii="宋体" w:hAnsi="宋体" w:eastAsia="宋体" w:cs="Times New Roman"/>
          <w:color w:val="auto"/>
          <w:highlight w:val="none"/>
          <w:u w:val="single"/>
        </w:rPr>
      </w:pPr>
      <w:r>
        <w:rPr>
          <w:rFonts w:hint="eastAsia" w:ascii="宋体" w:hAnsi="宋体" w:eastAsia="宋体" w:cs="宋体"/>
          <w:color w:val="auto"/>
          <w:highlight w:val="none"/>
        </w:rPr>
        <w:t>法定代表或其授权代表（签字或签章）：</w:t>
      </w:r>
    </w:p>
    <w:p>
      <w:pPr>
        <w:spacing w:line="360" w:lineRule="auto"/>
        <w:ind w:firstLine="420" w:firstLineChars="200"/>
        <w:jc w:val="left"/>
        <w:rPr>
          <w:rFonts w:ascii="宋体" w:hAnsi="宋体" w:eastAsia="宋体" w:cs="Times New Roman"/>
          <w:color w:val="auto"/>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r>
        <w:rPr>
          <w:rFonts w:ascii="宋体" w:hAnsi="宋体" w:eastAsia="宋体" w:cs="Times New Roman"/>
          <w:color w:val="auto"/>
          <w:highlight w:val="none"/>
        </w:rPr>
        <w:br w:type="page"/>
      </w:r>
      <w:bookmarkStart w:id="326" w:name="_Toc25224019"/>
      <w:bookmarkStart w:id="327" w:name="_Toc14450839"/>
      <w:bookmarkStart w:id="328" w:name="_Toc109467909"/>
      <w:bookmarkStart w:id="329" w:name="_Toc28489497"/>
      <w:bookmarkStart w:id="330" w:name="_Toc55816096"/>
      <w:bookmarkStart w:id="331" w:name="_Toc86065029"/>
      <w:bookmarkStart w:id="332" w:name="_Toc35834913"/>
      <w:bookmarkStart w:id="333" w:name="_Toc34535359"/>
      <w:bookmarkStart w:id="334" w:name="_Toc41448359"/>
    </w:p>
    <w:p>
      <w:pPr>
        <w:spacing w:line="360" w:lineRule="auto"/>
        <w:rPr>
          <w:rFonts w:ascii="宋体" w:hAnsi="宋体" w:eastAsia="宋体" w:cs="Times New Roman"/>
          <w:color w:val="auto"/>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2</w:t>
      </w:r>
      <w:r>
        <w:rPr>
          <w:rFonts w:hint="eastAsia" w:ascii="宋体" w:hAnsi="宋体" w:eastAsia="宋体" w:cs="宋体"/>
          <w:b/>
          <w:bCs/>
          <w:color w:val="auto"/>
          <w:kern w:val="0"/>
          <w:sz w:val="28"/>
          <w:szCs w:val="28"/>
          <w:highlight w:val="none"/>
        </w:rPr>
        <w:t>法定代表人证明书</w:t>
      </w:r>
    </w:p>
    <w:p>
      <w:pPr>
        <w:spacing w:line="360" w:lineRule="auto"/>
        <w:rPr>
          <w:rFonts w:ascii="宋体" w:hAnsi="宋体" w:eastAsia="宋体" w:cs="Times New Roman"/>
          <w:b/>
          <w:bCs/>
          <w:color w:val="auto"/>
          <w:sz w:val="24"/>
          <w:szCs w:val="24"/>
          <w:highlight w:val="none"/>
        </w:rPr>
      </w:pPr>
    </w:p>
    <w:p>
      <w:pPr>
        <w:spacing w:line="360" w:lineRule="auto"/>
        <w:rPr>
          <w:rFonts w:ascii="宋体" w:hAnsi="宋体" w:eastAsia="宋体" w:cs="Times New Roman"/>
          <w:color w:val="auto"/>
          <w:highlight w:val="none"/>
        </w:rPr>
      </w:pPr>
      <w:bookmarkStart w:id="335" w:name="_Toc223939105"/>
      <w:r>
        <w:rPr>
          <w:rFonts w:hint="eastAsia" w:ascii="宋体" w:hAnsi="宋体" w:eastAsia="宋体" w:cs="宋体"/>
          <w:color w:val="auto"/>
          <w:highlight w:val="none"/>
        </w:rPr>
        <w:t>现任我单位职务，为法定代表人，特此证明。</w:t>
      </w:r>
      <w:bookmarkEnd w:id="335"/>
      <w:bookmarkStart w:id="336" w:name="_Toc223939106"/>
    </w:p>
    <w:p>
      <w:pPr>
        <w:spacing w:line="360" w:lineRule="auto"/>
        <w:rPr>
          <w:rFonts w:ascii="宋体" w:hAnsi="宋体" w:eastAsia="宋体" w:cs="Times New Roman"/>
          <w:color w:val="auto"/>
          <w:highlight w:val="none"/>
          <w:u w:val="single"/>
        </w:rPr>
      </w:pPr>
      <w:r>
        <w:rPr>
          <w:rFonts w:hint="eastAsia" w:ascii="宋体" w:hAnsi="宋体" w:eastAsia="宋体" w:cs="宋体"/>
          <w:color w:val="auto"/>
          <w:highlight w:val="none"/>
        </w:rPr>
        <w:t>有效期限：</w:t>
      </w:r>
      <w:bookmarkEnd w:id="336"/>
      <w:bookmarkStart w:id="337" w:name="_Toc223939107"/>
    </w:p>
    <w:p>
      <w:pPr>
        <w:spacing w:line="360" w:lineRule="auto"/>
        <w:ind w:left="359" w:leftChars="171"/>
        <w:rPr>
          <w:rFonts w:ascii="宋体" w:hAnsi="宋体" w:eastAsia="宋体" w:cs="Times New Roman"/>
          <w:color w:val="auto"/>
          <w:highlight w:val="none"/>
          <w:u w:val="single"/>
        </w:rPr>
      </w:pPr>
      <w:r>
        <w:rPr>
          <w:rFonts w:hint="eastAsia" w:ascii="宋体" w:hAnsi="宋体" w:eastAsia="宋体" w:cs="宋体"/>
          <w:color w:val="auto"/>
          <w:highlight w:val="none"/>
        </w:rPr>
        <w:t>附：代表人性别：年龄：身份证号码：</w:t>
      </w:r>
      <w:bookmarkEnd w:id="337"/>
      <w:bookmarkStart w:id="338" w:name="_Toc223939108"/>
    </w:p>
    <w:p>
      <w:pPr>
        <w:spacing w:line="360" w:lineRule="auto"/>
        <w:ind w:left="359" w:leftChars="171"/>
        <w:rPr>
          <w:rFonts w:ascii="宋体" w:hAnsi="宋体" w:eastAsia="宋体" w:cs="Times New Roman"/>
          <w:color w:val="auto"/>
          <w:highlight w:val="none"/>
          <w:u w:val="single"/>
        </w:rPr>
      </w:pPr>
      <w:r>
        <w:rPr>
          <w:rFonts w:hint="eastAsia" w:ascii="宋体" w:hAnsi="宋体" w:eastAsia="宋体" w:cs="宋体"/>
          <w:color w:val="auto"/>
          <w:highlight w:val="none"/>
        </w:rPr>
        <w:t>工商注册号：</w:t>
      </w:r>
    </w:p>
    <w:p>
      <w:pPr>
        <w:spacing w:line="360" w:lineRule="auto"/>
        <w:ind w:left="239" w:leftChars="114" w:firstLine="105" w:firstLineChars="50"/>
        <w:rPr>
          <w:rFonts w:ascii="宋体" w:hAnsi="宋体" w:eastAsia="宋体" w:cs="Times New Roman"/>
          <w:color w:val="auto"/>
          <w:highlight w:val="none"/>
        </w:rPr>
      </w:pPr>
      <w:r>
        <w:rPr>
          <w:rFonts w:hint="eastAsia" w:ascii="宋体" w:hAnsi="宋体" w:eastAsia="宋体" w:cs="宋体"/>
          <w:color w:val="auto"/>
          <w:highlight w:val="none"/>
        </w:rPr>
        <w:t>企业类型：</w:t>
      </w:r>
      <w:r>
        <w:rPr>
          <w:rFonts w:ascii="宋体" w:hAnsi="宋体" w:eastAsia="宋体" w:cs="宋体"/>
          <w:color w:val="auto"/>
          <w:highlight w:val="none"/>
          <w:u w:val="single"/>
        </w:rPr>
        <w:t>_                     _</w:t>
      </w:r>
      <w:bookmarkEnd w:id="338"/>
      <w:bookmarkStart w:id="339" w:name="_Toc223939109"/>
    </w:p>
    <w:p>
      <w:pPr>
        <w:spacing w:line="360" w:lineRule="auto"/>
        <w:ind w:left="239" w:leftChars="114" w:firstLine="105" w:firstLineChars="50"/>
        <w:rPr>
          <w:rFonts w:ascii="宋体" w:hAnsi="宋体" w:eastAsia="宋体" w:cs="Times New Roman"/>
          <w:b/>
          <w:bCs/>
          <w:color w:val="auto"/>
          <w:highlight w:val="none"/>
        </w:rPr>
      </w:pPr>
      <w:r>
        <w:rPr>
          <w:rFonts w:hint="eastAsia" w:ascii="宋体" w:hAnsi="宋体" w:eastAsia="宋体" w:cs="宋体"/>
          <w:color w:val="auto"/>
          <w:highlight w:val="none"/>
        </w:rPr>
        <w:t>经营范围：</w:t>
      </w:r>
      <w:bookmarkEnd w:id="339"/>
    </w:p>
    <w:p>
      <w:pPr>
        <w:spacing w:line="360" w:lineRule="auto"/>
        <w:jc w:val="center"/>
        <w:rPr>
          <w:rFonts w:ascii="宋体" w:hAnsi="宋体" w:eastAsia="宋体" w:cs="Times New Roman"/>
          <w:color w:val="auto"/>
          <w:highlight w:val="none"/>
        </w:rPr>
      </w:pPr>
    </w:p>
    <w:tbl>
      <w:tblPr>
        <w:tblStyle w:val="90"/>
        <w:tblW w:w="6615"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6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4422" w:hRule="atLeast"/>
          <w:jc w:val="center"/>
        </w:trPr>
        <w:tc>
          <w:tcPr>
            <w:tcW w:w="6615" w:type="dxa"/>
          </w:tcPr>
          <w:p>
            <w:pPr>
              <w:spacing w:line="360" w:lineRule="auto"/>
              <w:jc w:val="center"/>
              <w:rPr>
                <w:rFonts w:ascii="宋体" w:hAnsi="宋体" w:eastAsia="宋体" w:cs="Times New Roman"/>
                <w:color w:val="auto"/>
                <w:highlight w:val="none"/>
              </w:rPr>
            </w:pPr>
          </w:p>
          <w:p>
            <w:pPr>
              <w:spacing w:line="360" w:lineRule="auto"/>
              <w:jc w:val="center"/>
              <w:rPr>
                <w:rFonts w:ascii="宋体" w:hAnsi="宋体" w:eastAsia="宋体" w:cs="Times New Roman"/>
                <w:color w:val="auto"/>
                <w:highlight w:val="none"/>
              </w:rPr>
            </w:pPr>
          </w:p>
          <w:p>
            <w:pPr>
              <w:spacing w:line="360" w:lineRule="auto"/>
              <w:jc w:val="center"/>
              <w:rPr>
                <w:rFonts w:ascii="宋体" w:hAnsi="宋体" w:eastAsia="宋体" w:cs="Times New Roman"/>
                <w:b/>
                <w:bCs/>
                <w:color w:val="auto"/>
                <w:highlight w:val="none"/>
              </w:rPr>
            </w:pPr>
          </w:p>
          <w:p>
            <w:pPr>
              <w:spacing w:line="360" w:lineRule="auto"/>
              <w:jc w:val="center"/>
              <w:rPr>
                <w:rFonts w:ascii="宋体" w:hAnsi="宋体" w:eastAsia="宋体" w:cs="Times New Roman"/>
                <w:b/>
                <w:bCs/>
                <w:color w:val="auto"/>
                <w:highlight w:val="none"/>
              </w:rPr>
            </w:pPr>
          </w:p>
          <w:p>
            <w:pPr>
              <w:spacing w:line="360" w:lineRule="auto"/>
              <w:jc w:val="center"/>
              <w:rPr>
                <w:rFonts w:ascii="宋体" w:hAnsi="宋体" w:eastAsia="宋体" w:cs="Times New Roman"/>
                <w:b/>
                <w:bCs/>
                <w:color w:val="auto"/>
                <w:highlight w:val="none"/>
              </w:rPr>
            </w:pPr>
          </w:p>
          <w:p>
            <w:pPr>
              <w:spacing w:line="360" w:lineRule="auto"/>
              <w:jc w:val="center"/>
              <w:rPr>
                <w:rFonts w:ascii="宋体" w:hAnsi="宋体" w:eastAsia="宋体" w:cs="Times New Roman"/>
                <w:b/>
                <w:bCs/>
                <w:color w:val="auto"/>
                <w:highlight w:val="none"/>
              </w:rPr>
            </w:pPr>
            <w:r>
              <w:rPr>
                <w:rFonts w:hint="eastAsia" w:ascii="宋体" w:hAnsi="宋体" w:eastAsia="宋体" w:cs="宋体"/>
                <w:b/>
                <w:bCs/>
                <w:color w:val="auto"/>
                <w:highlight w:val="none"/>
              </w:rPr>
              <w:t>法定代表人</w:t>
            </w:r>
          </w:p>
          <w:p>
            <w:pPr>
              <w:spacing w:line="360" w:lineRule="auto"/>
              <w:jc w:val="center"/>
              <w:rPr>
                <w:rFonts w:ascii="宋体" w:hAnsi="宋体" w:eastAsia="宋体" w:cs="Times New Roman"/>
                <w:b/>
                <w:bCs/>
                <w:color w:val="auto"/>
                <w:highlight w:val="none"/>
              </w:rPr>
            </w:pPr>
            <w:r>
              <w:rPr>
                <w:rFonts w:hint="eastAsia" w:ascii="宋体" w:hAnsi="宋体" w:eastAsia="宋体" w:cs="宋体"/>
                <w:b/>
                <w:bCs/>
                <w:color w:val="auto"/>
                <w:highlight w:val="none"/>
              </w:rPr>
              <w:t>居民身份证复印件粘贴处</w:t>
            </w:r>
          </w:p>
          <w:p>
            <w:pPr>
              <w:spacing w:line="360" w:lineRule="auto"/>
              <w:jc w:val="center"/>
              <w:rPr>
                <w:rFonts w:ascii="宋体" w:hAnsi="宋体" w:eastAsia="宋体" w:cs="Times New Roman"/>
                <w:b/>
                <w:bCs/>
                <w:color w:val="auto"/>
                <w:highlight w:val="none"/>
              </w:rPr>
            </w:pPr>
            <w:r>
              <w:rPr>
                <w:rFonts w:hint="eastAsia" w:ascii="宋体" w:hAnsi="宋体" w:eastAsia="宋体" w:cs="宋体"/>
                <w:b/>
                <w:bCs/>
                <w:color w:val="auto"/>
                <w:highlight w:val="none"/>
              </w:rPr>
              <w:t>（正反面）</w:t>
            </w:r>
          </w:p>
          <w:p>
            <w:pPr>
              <w:spacing w:line="360" w:lineRule="auto"/>
              <w:jc w:val="center"/>
              <w:rPr>
                <w:rFonts w:ascii="宋体" w:hAnsi="宋体" w:eastAsia="宋体" w:cs="Times New Roman"/>
                <w:color w:val="auto"/>
                <w:highlight w:val="none"/>
              </w:rPr>
            </w:pPr>
          </w:p>
        </w:tc>
      </w:tr>
    </w:tbl>
    <w:p>
      <w:pPr>
        <w:tabs>
          <w:tab w:val="left" w:pos="3780"/>
        </w:tabs>
        <w:spacing w:line="360" w:lineRule="auto"/>
        <w:rPr>
          <w:rFonts w:ascii="宋体" w:hAnsi="宋体" w:eastAsia="宋体" w:cs="Times New Roman"/>
          <w:color w:val="auto"/>
          <w:highlight w:val="none"/>
        </w:rPr>
      </w:pPr>
    </w:p>
    <w:p>
      <w:pPr>
        <w:tabs>
          <w:tab w:val="left" w:pos="3780"/>
        </w:tabs>
        <w:spacing w:line="360" w:lineRule="auto"/>
        <w:rPr>
          <w:rFonts w:ascii="宋体" w:hAnsi="宋体" w:eastAsia="宋体" w:cs="Times New Roman"/>
          <w:b/>
          <w:bCs/>
          <w:color w:val="auto"/>
          <w:highlight w:val="none"/>
        </w:rPr>
      </w:pPr>
      <w:r>
        <w:rPr>
          <w:rFonts w:hint="eastAsia" w:ascii="宋体" w:hAnsi="宋体" w:eastAsia="宋体" w:cs="宋体"/>
          <w:b/>
          <w:bCs/>
          <w:color w:val="auto"/>
          <w:highlight w:val="none"/>
        </w:rPr>
        <w:t>注：本表格须附在正副的遴选响应文件中，并另封装一份在“报价信封”内。</w:t>
      </w:r>
    </w:p>
    <w:p>
      <w:pPr>
        <w:tabs>
          <w:tab w:val="left" w:pos="3780"/>
        </w:tabs>
        <w:spacing w:line="360" w:lineRule="auto"/>
        <w:rPr>
          <w:rFonts w:ascii="宋体" w:hAnsi="宋体" w:eastAsia="宋体" w:cs="Times New Roman"/>
          <w:color w:val="auto"/>
          <w:sz w:val="24"/>
          <w:szCs w:val="24"/>
          <w:highlight w:val="none"/>
        </w:rPr>
      </w:pPr>
    </w:p>
    <w:p>
      <w:pPr>
        <w:spacing w:line="360" w:lineRule="auto"/>
        <w:rPr>
          <w:rFonts w:ascii="宋体" w:hAnsi="宋体" w:eastAsia="宋体" w:cs="宋体"/>
          <w:color w:val="auto"/>
          <w:highlight w:val="non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全称（加盖公章）</w:t>
      </w:r>
      <w:r>
        <w:rPr>
          <w:rFonts w:ascii="宋体" w:hAnsi="宋体" w:eastAsia="宋体" w:cs="宋体"/>
          <w:color w:val="auto"/>
          <w:highlight w:val="none"/>
        </w:rPr>
        <w:t>:</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法定代表或其授权代表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spacing w:line="360" w:lineRule="auto"/>
        <w:rPr>
          <w:rFonts w:ascii="宋体" w:hAnsi="宋体" w:eastAsia="宋体" w:cs="Times New Roman"/>
          <w:b/>
          <w:bCs/>
          <w:color w:val="auto"/>
          <w:kern w:val="0"/>
          <w:sz w:val="28"/>
          <w:szCs w:val="28"/>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widowControl/>
        <w:jc w:val="left"/>
        <w:rPr>
          <w:rFonts w:ascii="宋体" w:hAnsi="宋体" w:eastAsia="宋体" w:cs="Times New Roman"/>
          <w:b/>
          <w:bCs/>
          <w:color w:val="auto"/>
          <w:kern w:val="0"/>
          <w:sz w:val="28"/>
          <w:szCs w:val="28"/>
          <w:highlight w:val="none"/>
        </w:rPr>
      </w:pPr>
      <w:r>
        <w:rPr>
          <w:rFonts w:ascii="宋体" w:hAnsi="宋体" w:eastAsia="宋体" w:cs="Times New Roman"/>
          <w:b/>
          <w:bCs/>
          <w:color w:val="auto"/>
          <w:kern w:val="0"/>
          <w:sz w:val="28"/>
          <w:szCs w:val="28"/>
          <w:highlight w:val="none"/>
        </w:rPr>
        <w:br w:type="page"/>
      </w:r>
    </w:p>
    <w:p>
      <w:pPr>
        <w:spacing w:line="360" w:lineRule="auto"/>
        <w:jc w:val="left"/>
        <w:rPr>
          <w:rFonts w:ascii="宋体" w:hAnsi="宋体" w:eastAsia="宋体" w:cs="Times New Roman"/>
          <w:b/>
          <w:bCs/>
          <w:color w:val="auto"/>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3</w:t>
      </w:r>
      <w:r>
        <w:rPr>
          <w:rFonts w:hint="eastAsia" w:ascii="宋体" w:hAnsi="宋体" w:eastAsia="宋体" w:cs="宋体"/>
          <w:b/>
          <w:bCs/>
          <w:color w:val="auto"/>
          <w:kern w:val="0"/>
          <w:sz w:val="28"/>
          <w:szCs w:val="28"/>
          <w:highlight w:val="none"/>
        </w:rPr>
        <w:t>法定代表人授权书</w:t>
      </w:r>
    </w:p>
    <w:p>
      <w:pPr>
        <w:spacing w:line="360" w:lineRule="auto"/>
        <w:jc w:val="left"/>
        <w:rPr>
          <w:rFonts w:ascii="宋体" w:hAnsi="宋体" w:eastAsia="宋体" w:cs="Times New Roman"/>
          <w:b/>
          <w:bCs/>
          <w:color w:val="auto"/>
          <w:sz w:val="24"/>
          <w:szCs w:val="24"/>
          <w:highlight w:val="none"/>
        </w:rPr>
      </w:pPr>
    </w:p>
    <w:p>
      <w:pPr>
        <w:spacing w:line="360" w:lineRule="auto"/>
        <w:jc w:val="left"/>
        <w:rPr>
          <w:rFonts w:ascii="宋体" w:hAnsi="宋体" w:eastAsia="宋体" w:cs="Times New Roman"/>
          <w:b/>
          <w:bCs/>
          <w:color w:val="auto"/>
          <w:sz w:val="24"/>
          <w:szCs w:val="24"/>
          <w:highlight w:val="none"/>
        </w:rPr>
      </w:pPr>
    </w:p>
    <w:p>
      <w:pPr>
        <w:spacing w:line="360" w:lineRule="auto"/>
        <w:jc w:val="left"/>
        <w:rPr>
          <w:rFonts w:ascii="宋体" w:hAnsi="宋体" w:eastAsia="宋体" w:cs="Times New Roman"/>
          <w:b/>
          <w:bCs/>
          <w:color w:val="auto"/>
          <w:highlight w:val="none"/>
        </w:rPr>
      </w:pPr>
      <w:r>
        <w:rPr>
          <w:rFonts w:hint="eastAsia" w:ascii="宋体" w:hAnsi="宋体" w:eastAsia="宋体" w:cs="宋体"/>
          <w:b/>
          <w:bCs/>
          <w:color w:val="auto"/>
          <w:highlight w:val="none"/>
        </w:rPr>
        <w:t>致</w:t>
      </w:r>
      <w:r>
        <w:rPr>
          <w:rFonts w:ascii="宋体" w:hAnsi="宋体" w:eastAsia="宋体" w:cs="宋体"/>
          <w:b/>
          <w:bCs/>
          <w:color w:val="auto"/>
          <w:highlight w:val="none"/>
        </w:rPr>
        <w:t>:</w:t>
      </w:r>
      <w:r>
        <w:rPr>
          <w:rFonts w:hint="eastAsia" w:ascii="宋体" w:hAnsi="宋体" w:eastAsia="宋体" w:cs="宋体"/>
          <w:b/>
          <w:bCs/>
          <w:color w:val="auto"/>
          <w:highlight w:val="none"/>
        </w:rPr>
        <w:t>广州市信怡招标代理有限公司</w:t>
      </w:r>
      <w:r>
        <w:rPr>
          <w:rFonts w:ascii="宋体" w:hAnsi="宋体" w:eastAsia="宋体" w:cs="Times New Roman"/>
          <w:color w:val="auto"/>
          <w:highlight w:val="none"/>
        </w:rPr>
        <w:tab/>
      </w:r>
    </w:p>
    <w:p>
      <w:pPr>
        <w:spacing w:line="360" w:lineRule="auto"/>
        <w:ind w:firstLine="420" w:firstLineChars="200"/>
        <w:jc w:val="left"/>
        <w:rPr>
          <w:rFonts w:ascii="宋体" w:hAnsi="宋体" w:eastAsia="宋体" w:cs="Times New Roman"/>
          <w:color w:val="auto"/>
          <w:highlight w:val="none"/>
        </w:rPr>
      </w:pPr>
    </w:p>
    <w:p>
      <w:pPr>
        <w:autoSpaceDE w:val="0"/>
        <w:spacing w:line="360" w:lineRule="auto"/>
        <w:ind w:firstLine="420" w:firstLineChars="200"/>
        <w:jc w:val="left"/>
        <w:rPr>
          <w:rFonts w:ascii="宋体" w:hAnsi="宋体" w:eastAsia="宋体" w:cs="Times New Roman"/>
          <w:color w:val="auto"/>
          <w:highlight w:val="none"/>
        </w:rPr>
      </w:pPr>
      <w:r>
        <w:rPr>
          <w:rFonts w:hint="eastAsia" w:ascii="宋体" w:hAnsi="宋体" w:eastAsia="宋体" w:cs="宋体"/>
          <w:color w:val="auto"/>
          <w:highlight w:val="none"/>
        </w:rPr>
        <w:t>本授权书声明：</w:t>
      </w:r>
      <w:r>
        <w:rPr>
          <w:rFonts w:ascii="ZWAdobeF" w:hAnsi="ZWAdobeF" w:eastAsia="宋体" w:cs="ZWAdobeF"/>
          <w:color w:val="auto"/>
          <w:sz w:val="2"/>
          <w:szCs w:val="2"/>
          <w:highlight w:val="none"/>
        </w:rPr>
        <w:t>UU UUUU</w:t>
      </w:r>
      <w:r>
        <w:rPr>
          <w:rFonts w:hint="eastAsia" w:ascii="宋体" w:hAnsi="宋体" w:eastAsia="宋体" w:cs="宋体"/>
          <w:color w:val="auto"/>
          <w:highlight w:val="none"/>
        </w:rPr>
        <w:t>是注册于的法定代表人，现任</w:t>
      </w:r>
      <w:r>
        <w:rPr>
          <w:rFonts w:ascii="ZWAdobeF" w:hAnsi="ZWAdobeF" w:eastAsia="宋体" w:cs="ZWAdobeF"/>
          <w:color w:val="auto"/>
          <w:sz w:val="2"/>
          <w:szCs w:val="2"/>
          <w:highlight w:val="none"/>
        </w:rPr>
        <w:t>UUUU UUUU</w:t>
      </w:r>
      <w:r>
        <w:rPr>
          <w:rFonts w:hint="eastAsia" w:ascii="宋体" w:hAnsi="宋体" w:eastAsia="宋体" w:cs="宋体"/>
          <w:color w:val="auto"/>
          <w:highlight w:val="none"/>
        </w:rPr>
        <w:t>。在此授权</w:t>
      </w:r>
      <w:r>
        <w:rPr>
          <w:rFonts w:ascii="ZWAdobeF" w:hAnsi="ZWAdobeF" w:eastAsia="宋体" w:cs="ZWAdobeF"/>
          <w:color w:val="auto"/>
          <w:sz w:val="2"/>
          <w:szCs w:val="2"/>
          <w:highlight w:val="none"/>
        </w:rPr>
        <w:t>UUUU</w:t>
      </w:r>
      <w:r>
        <w:rPr>
          <w:rFonts w:hint="eastAsia" w:ascii="宋体" w:hAnsi="宋体" w:eastAsia="宋体" w:cs="宋体"/>
          <w:i/>
          <w:iCs/>
          <w:color w:val="auto"/>
          <w:highlight w:val="none"/>
          <w:u w:val="single"/>
        </w:rPr>
        <w:t>（姓名、职位）</w:t>
      </w:r>
      <w:r>
        <w:rPr>
          <w:rFonts w:ascii="ZWAdobeF" w:hAnsi="ZWAdobeF" w:eastAsia="宋体" w:cs="ZWAdobeF"/>
          <w:color w:val="auto"/>
          <w:sz w:val="2"/>
          <w:szCs w:val="2"/>
          <w:highlight w:val="none"/>
        </w:rPr>
        <w:t>UUUU</w:t>
      </w:r>
      <w:r>
        <w:rPr>
          <w:rFonts w:hint="eastAsia" w:ascii="宋体" w:hAnsi="宋体" w:eastAsia="宋体" w:cs="宋体"/>
          <w:color w:val="auto"/>
          <w:highlight w:val="none"/>
        </w:rPr>
        <w:t>作为我公司的全权代理人，在</w:t>
      </w:r>
      <w:r>
        <w:rPr>
          <w:rFonts w:ascii="ZWAdobeF" w:hAnsi="ZWAdobeF" w:eastAsia="宋体" w:cs="ZWAdobeF"/>
          <w:color w:val="auto"/>
          <w:sz w:val="2"/>
          <w:szCs w:val="2"/>
          <w:highlight w:val="none"/>
        </w:rPr>
        <w:t>UUUU UUU</w:t>
      </w:r>
      <w:r>
        <w:rPr>
          <w:rFonts w:hint="eastAsia" w:ascii="宋体" w:hAnsi="宋体" w:eastAsia="宋体" w:cs="宋体"/>
          <w:color w:val="auto"/>
          <w:highlight w:val="none"/>
        </w:rPr>
        <w:t>的遴选响应（项目编号为：）及其合同执行过程中，以我公司的名义处理一切与之有关的事务。</w:t>
      </w:r>
    </w:p>
    <w:p>
      <w:pPr>
        <w:spacing w:line="360" w:lineRule="auto"/>
        <w:jc w:val="left"/>
        <w:rPr>
          <w:rFonts w:ascii="宋体" w:hAnsi="宋体" w:eastAsia="宋体" w:cs="Times New Roman"/>
          <w:color w:val="auto"/>
          <w:highlight w:val="none"/>
        </w:rPr>
      </w:pPr>
    </w:p>
    <w:p>
      <w:pPr>
        <w:spacing w:line="360" w:lineRule="auto"/>
        <w:ind w:firstLine="420" w:firstLineChars="200"/>
        <w:jc w:val="left"/>
        <w:rPr>
          <w:rFonts w:ascii="宋体" w:hAnsi="宋体" w:eastAsia="宋体" w:cs="Times New Roman"/>
          <w:color w:val="auto"/>
          <w:highlight w:val="none"/>
        </w:rPr>
      </w:pPr>
      <w:r>
        <w:rPr>
          <w:rFonts w:hint="eastAsia" w:ascii="宋体" w:hAnsi="宋体" w:eastAsia="宋体" w:cs="宋体"/>
          <w:color w:val="auto"/>
          <w:highlight w:val="none"/>
        </w:rPr>
        <w:t>本授权书于</w:t>
      </w:r>
      <w:r>
        <w:rPr>
          <w:rFonts w:ascii="宋体" w:hAnsi="宋体" w:eastAsia="宋体" w:cs="宋体"/>
          <w:color w:val="auto"/>
          <w:highlight w:val="none"/>
        </w:rPr>
        <w:t xml:space="preserve">  2021 </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日签字生效，特此声明。</w:t>
      </w:r>
    </w:p>
    <w:p>
      <w:pPr>
        <w:spacing w:line="360" w:lineRule="auto"/>
        <w:ind w:firstLine="105" w:firstLineChars="50"/>
        <w:jc w:val="left"/>
        <w:rPr>
          <w:rFonts w:ascii="宋体" w:hAnsi="宋体" w:eastAsia="宋体" w:cs="Times New Roman"/>
          <w:color w:val="auto"/>
          <w:highlight w:val="none"/>
        </w:rPr>
      </w:pPr>
    </w:p>
    <w:p>
      <w:pPr>
        <w:spacing w:line="360" w:lineRule="auto"/>
        <w:ind w:firstLine="105" w:firstLineChars="50"/>
        <w:jc w:val="left"/>
        <w:rPr>
          <w:rFonts w:ascii="宋体" w:hAnsi="宋体" w:eastAsia="宋体" w:cs="Times New Roman"/>
          <w:color w:val="auto"/>
          <w:highlight w:val="non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全称（加盖公章）：</w:t>
      </w:r>
    </w:p>
    <w:p>
      <w:pPr>
        <w:tabs>
          <w:tab w:val="left" w:pos="2535"/>
        </w:tabs>
        <w:spacing w:line="360" w:lineRule="auto"/>
        <w:ind w:firstLine="105" w:firstLineChars="50"/>
        <w:jc w:val="left"/>
        <w:rPr>
          <w:rFonts w:ascii="宋体" w:hAnsi="宋体" w:eastAsia="宋体" w:cs="Times New Roman"/>
          <w:color w:val="auto"/>
          <w:highlight w:val="none"/>
        </w:rPr>
      </w:pPr>
      <w:r>
        <w:rPr>
          <w:rFonts w:hint="eastAsia" w:ascii="宋体" w:hAnsi="宋体" w:eastAsia="宋体" w:cs="宋体"/>
          <w:color w:val="auto"/>
          <w:highlight w:val="none"/>
        </w:rPr>
        <w:t>地</w:t>
      </w:r>
      <w:r>
        <w:rPr>
          <w:rFonts w:ascii="宋体" w:hAnsi="宋体" w:eastAsia="宋体" w:cs="宋体"/>
          <w:color w:val="auto"/>
          <w:highlight w:val="none"/>
        </w:rPr>
        <w:t xml:space="preserve">       </w:t>
      </w:r>
      <w:r>
        <w:rPr>
          <w:rFonts w:hint="eastAsia" w:ascii="宋体" w:hAnsi="宋体" w:eastAsia="宋体" w:cs="宋体"/>
          <w:color w:val="auto"/>
          <w:highlight w:val="none"/>
        </w:rPr>
        <w:t>址：</w:t>
      </w:r>
      <w:r>
        <w:rPr>
          <w:rFonts w:ascii="宋体" w:hAnsi="宋体" w:eastAsia="宋体" w:cs="Times New Roman"/>
          <w:color w:val="auto"/>
          <w:highlight w:val="none"/>
        </w:rPr>
        <w:tab/>
      </w:r>
    </w:p>
    <w:p>
      <w:pPr>
        <w:spacing w:line="360" w:lineRule="auto"/>
        <w:ind w:firstLine="105" w:firstLineChars="50"/>
        <w:jc w:val="left"/>
        <w:rPr>
          <w:rFonts w:ascii="宋体" w:hAnsi="宋体" w:eastAsia="宋体" w:cs="Times New Roman"/>
          <w:color w:val="auto"/>
          <w:highlight w:val="none"/>
        </w:rPr>
      </w:pPr>
      <w:r>
        <w:rPr>
          <w:rFonts w:hint="eastAsia" w:ascii="宋体" w:hAnsi="宋体" w:eastAsia="宋体" w:cs="宋体"/>
          <w:color w:val="auto"/>
          <w:highlight w:val="none"/>
        </w:rPr>
        <w:t>法定代表人</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spacing w:line="360" w:lineRule="auto"/>
        <w:ind w:firstLine="105" w:firstLineChars="50"/>
        <w:jc w:val="left"/>
        <w:rPr>
          <w:rFonts w:ascii="宋体" w:hAnsi="宋体" w:eastAsia="宋体" w:cs="Times New Roman"/>
          <w:color w:val="auto"/>
          <w:highlight w:val="none"/>
        </w:rPr>
      </w:pPr>
      <w:r>
        <w:rPr>
          <w:rFonts w:hint="eastAsia" w:ascii="宋体" w:hAnsi="宋体" w:eastAsia="宋体" w:cs="宋体"/>
          <w:color w:val="auto"/>
          <w:highlight w:val="none"/>
        </w:rPr>
        <w:t>被授权人</w:t>
      </w:r>
      <w:r>
        <w:rPr>
          <w:rFonts w:ascii="宋体" w:hAnsi="宋体" w:eastAsia="宋体" w:cs="宋体"/>
          <w:color w:val="auto"/>
          <w:highlight w:val="none"/>
        </w:rPr>
        <w:t>(</w:t>
      </w:r>
      <w:r>
        <w:rPr>
          <w:rFonts w:hint="eastAsia" w:ascii="宋体" w:hAnsi="宋体" w:eastAsia="宋体" w:cs="宋体"/>
          <w:color w:val="auto"/>
          <w:kern w:val="0"/>
          <w:highlight w:val="none"/>
        </w:rPr>
        <w:t>供应商</w:t>
      </w:r>
      <w:r>
        <w:rPr>
          <w:rFonts w:hint="eastAsia" w:ascii="宋体" w:hAnsi="宋体" w:eastAsia="宋体" w:cs="宋体"/>
          <w:color w:val="auto"/>
          <w:highlight w:val="none"/>
        </w:rPr>
        <w:t>授权代表</w:t>
      </w:r>
      <w:r>
        <w:rPr>
          <w:rFonts w:ascii="宋体" w:hAnsi="宋体" w:eastAsia="宋体" w:cs="宋体"/>
          <w:color w:val="auto"/>
          <w:highlight w:val="none"/>
        </w:rPr>
        <w:t>) (</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tbl>
      <w:tblPr>
        <w:tblStyle w:val="90"/>
        <w:tblW w:w="5730" w:type="dxa"/>
        <w:jc w:val="center"/>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73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Ex>
        <w:trPr>
          <w:trHeight w:val="3373" w:hRule="atLeast"/>
          <w:jc w:val="center"/>
        </w:trPr>
        <w:tc>
          <w:tcPr>
            <w:tcW w:w="5730" w:type="dxa"/>
            <w:vAlign w:val="center"/>
          </w:tcPr>
          <w:p>
            <w:pPr>
              <w:spacing w:line="360" w:lineRule="auto"/>
              <w:jc w:val="left"/>
              <w:rPr>
                <w:rFonts w:ascii="宋体" w:hAnsi="宋体" w:eastAsia="宋体" w:cs="Times New Roman"/>
                <w:b/>
                <w:bCs/>
                <w:color w:val="auto"/>
                <w:highlight w:val="none"/>
              </w:rPr>
            </w:pPr>
          </w:p>
          <w:p>
            <w:pPr>
              <w:spacing w:line="360" w:lineRule="auto"/>
              <w:jc w:val="center"/>
              <w:rPr>
                <w:rFonts w:ascii="宋体" w:hAnsi="宋体" w:eastAsia="宋体" w:cs="宋体"/>
                <w:b/>
                <w:bCs/>
                <w:color w:val="auto"/>
                <w:highlight w:val="none"/>
              </w:rPr>
            </w:pPr>
            <w:r>
              <w:rPr>
                <w:rFonts w:hint="eastAsia" w:ascii="宋体" w:hAnsi="宋体" w:eastAsia="宋体" w:cs="宋体"/>
                <w:b/>
                <w:bCs/>
                <w:color w:val="auto"/>
                <w:highlight w:val="none"/>
              </w:rPr>
              <w:t>被授权人</w:t>
            </w:r>
            <w:r>
              <w:rPr>
                <w:rFonts w:ascii="宋体" w:hAnsi="宋体" w:eastAsia="宋体" w:cs="宋体"/>
                <w:b/>
                <w:bCs/>
                <w:color w:val="auto"/>
                <w:highlight w:val="none"/>
              </w:rPr>
              <w:t>(</w:t>
            </w:r>
            <w:r>
              <w:rPr>
                <w:rFonts w:hint="eastAsia" w:ascii="宋体" w:hAnsi="宋体" w:eastAsia="宋体" w:cs="宋体"/>
                <w:b/>
                <w:bCs/>
                <w:color w:val="auto"/>
                <w:highlight w:val="none"/>
              </w:rPr>
              <w:t>供应商授权代表</w:t>
            </w:r>
            <w:r>
              <w:rPr>
                <w:rFonts w:ascii="宋体" w:hAnsi="宋体" w:eastAsia="宋体" w:cs="宋体"/>
                <w:b/>
                <w:bCs/>
                <w:color w:val="auto"/>
                <w:highlight w:val="none"/>
              </w:rPr>
              <w:t>)</w:t>
            </w:r>
          </w:p>
          <w:p>
            <w:pPr>
              <w:spacing w:line="360" w:lineRule="auto"/>
              <w:jc w:val="center"/>
              <w:rPr>
                <w:rFonts w:ascii="宋体" w:hAnsi="宋体" w:eastAsia="宋体" w:cs="Times New Roman"/>
                <w:b/>
                <w:bCs/>
                <w:color w:val="auto"/>
                <w:highlight w:val="none"/>
              </w:rPr>
            </w:pPr>
            <w:r>
              <w:rPr>
                <w:rFonts w:hint="eastAsia" w:ascii="宋体" w:hAnsi="宋体" w:eastAsia="宋体" w:cs="宋体"/>
                <w:b/>
                <w:bCs/>
                <w:color w:val="auto"/>
                <w:highlight w:val="none"/>
              </w:rPr>
              <w:t>居民身份证复印件粘贴处</w:t>
            </w:r>
          </w:p>
          <w:p>
            <w:pPr>
              <w:spacing w:line="360" w:lineRule="auto"/>
              <w:jc w:val="center"/>
              <w:rPr>
                <w:rFonts w:ascii="宋体" w:hAnsi="宋体" w:eastAsia="宋体" w:cs="Times New Roman"/>
                <w:b/>
                <w:bCs/>
                <w:color w:val="auto"/>
                <w:highlight w:val="none"/>
              </w:rPr>
            </w:pPr>
            <w:r>
              <w:rPr>
                <w:rFonts w:hint="eastAsia" w:ascii="宋体" w:hAnsi="宋体" w:eastAsia="宋体" w:cs="宋体"/>
                <w:b/>
                <w:bCs/>
                <w:color w:val="auto"/>
                <w:highlight w:val="none"/>
              </w:rPr>
              <w:t>（正反面）</w:t>
            </w:r>
          </w:p>
          <w:p>
            <w:pPr>
              <w:spacing w:line="360" w:lineRule="auto"/>
              <w:jc w:val="left"/>
              <w:rPr>
                <w:rFonts w:ascii="宋体" w:hAnsi="宋体" w:eastAsia="宋体" w:cs="Times New Roman"/>
                <w:color w:val="auto"/>
                <w:highlight w:val="none"/>
              </w:rPr>
            </w:pPr>
          </w:p>
        </w:tc>
      </w:tr>
    </w:tbl>
    <w:p>
      <w:pPr>
        <w:spacing w:line="360" w:lineRule="auto"/>
        <w:ind w:firstLine="422"/>
        <w:jc w:val="left"/>
        <w:rPr>
          <w:rFonts w:ascii="宋体" w:hAnsi="宋体" w:eastAsia="宋体" w:cs="Times New Roman"/>
          <w:b/>
          <w:bCs/>
          <w:color w:val="auto"/>
          <w:highlight w:val="none"/>
        </w:rPr>
      </w:pPr>
    </w:p>
    <w:p>
      <w:pPr>
        <w:spacing w:line="360" w:lineRule="auto"/>
        <w:ind w:firstLine="422"/>
        <w:jc w:val="left"/>
        <w:rPr>
          <w:rFonts w:ascii="宋体" w:hAnsi="宋体" w:eastAsia="宋体" w:cs="Times New Roman"/>
          <w:b/>
          <w:bCs/>
          <w:color w:val="auto"/>
          <w:highlight w:val="none"/>
        </w:rPr>
      </w:pPr>
      <w:r>
        <w:rPr>
          <w:rFonts w:hint="eastAsia" w:ascii="宋体" w:hAnsi="宋体" w:eastAsia="宋体" w:cs="宋体"/>
          <w:b/>
          <w:bCs/>
          <w:color w:val="auto"/>
          <w:highlight w:val="none"/>
        </w:rPr>
        <w:t>注：本表格须附在正副的遴选响应文件中，并另封装一份在</w:t>
      </w:r>
      <w:r>
        <w:rPr>
          <w:rFonts w:ascii="宋体" w:hAnsi="宋体" w:eastAsia="宋体" w:cs="宋体"/>
          <w:b/>
          <w:bCs/>
          <w:color w:val="auto"/>
          <w:highlight w:val="none"/>
        </w:rPr>
        <w:t xml:space="preserve"> </w:t>
      </w:r>
      <w:r>
        <w:rPr>
          <w:rFonts w:hint="eastAsia" w:ascii="宋体" w:hAnsi="宋体" w:eastAsia="宋体" w:cs="宋体"/>
          <w:b/>
          <w:bCs/>
          <w:color w:val="auto"/>
          <w:highlight w:val="none"/>
        </w:rPr>
        <w:t>“报价信封”内。如是法定代表人作为供应商代表，则无需提交此资料。</w:t>
      </w: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widowControl/>
        <w:jc w:val="left"/>
        <w:rPr>
          <w:rFonts w:ascii="宋体" w:hAnsi="宋体" w:eastAsia="宋体" w:cs="Times New Roman"/>
          <w:b/>
          <w:bCs/>
          <w:color w:val="auto"/>
          <w:sz w:val="24"/>
          <w:szCs w:val="24"/>
          <w:highlight w:val="none"/>
        </w:rPr>
      </w:pPr>
      <w:r>
        <w:rPr>
          <w:rFonts w:ascii="宋体" w:hAnsi="宋体" w:eastAsia="宋体" w:cs="Times New Roman"/>
          <w:b/>
          <w:bCs/>
          <w:color w:val="auto"/>
          <w:kern w:val="0"/>
          <w:sz w:val="28"/>
          <w:szCs w:val="28"/>
          <w:highlight w:val="none"/>
        </w:rPr>
        <w:br w:type="page"/>
      </w: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4</w:t>
      </w:r>
      <w:r>
        <w:rPr>
          <w:rFonts w:ascii="宋体" w:hAnsi="宋体" w:eastAsia="宋体" w:cs="宋体"/>
          <w:b/>
          <w:bCs/>
          <w:color w:val="auto"/>
          <w:sz w:val="28"/>
          <w:szCs w:val="28"/>
          <w:highlight w:val="none"/>
        </w:rPr>
        <w:t xml:space="preserve"> </w:t>
      </w:r>
      <w:r>
        <w:rPr>
          <w:rFonts w:hint="eastAsia" w:ascii="宋体" w:hAnsi="宋体" w:eastAsia="宋体" w:cs="宋体"/>
          <w:b/>
          <w:bCs/>
          <w:color w:val="auto"/>
          <w:sz w:val="28"/>
          <w:szCs w:val="28"/>
          <w:highlight w:val="none"/>
        </w:rPr>
        <w:t>书面承诺声明</w:t>
      </w:r>
    </w:p>
    <w:p>
      <w:pPr>
        <w:spacing w:line="360" w:lineRule="auto"/>
        <w:jc w:val="left"/>
        <w:rPr>
          <w:rFonts w:ascii="宋体" w:hAnsi="宋体" w:eastAsia="宋体" w:cs="Times New Roman"/>
          <w:b/>
          <w:bCs/>
          <w:color w:val="auto"/>
          <w:sz w:val="24"/>
          <w:szCs w:val="24"/>
          <w:highlight w:val="none"/>
        </w:rPr>
      </w:pPr>
    </w:p>
    <w:p>
      <w:pPr>
        <w:spacing w:line="360" w:lineRule="auto"/>
        <w:jc w:val="left"/>
        <w:rPr>
          <w:rFonts w:ascii="宋体" w:hAnsi="宋体" w:eastAsia="宋体" w:cs="Times New Roman"/>
          <w:b/>
          <w:bCs/>
          <w:color w:val="auto"/>
          <w:highlight w:val="none"/>
        </w:rPr>
      </w:pPr>
      <w:r>
        <w:rPr>
          <w:rFonts w:hint="eastAsia" w:ascii="宋体" w:hAnsi="宋体" w:eastAsia="宋体" w:cs="宋体"/>
          <w:b/>
          <w:bCs/>
          <w:color w:val="auto"/>
          <w:highlight w:val="none"/>
        </w:rPr>
        <w:t>广州市信怡招标代理有限公司：</w:t>
      </w:r>
    </w:p>
    <w:p>
      <w:pPr>
        <w:autoSpaceDE w:val="0"/>
        <w:snapToGrid w:val="0"/>
        <w:spacing w:before="120" w:beforeLines="50" w:line="360" w:lineRule="auto"/>
        <w:ind w:firstLine="525" w:firstLineChars="250"/>
        <w:jc w:val="left"/>
        <w:rPr>
          <w:rFonts w:ascii="宋体" w:hAnsi="宋体" w:eastAsia="宋体" w:cs="Times New Roman"/>
          <w:color w:val="auto"/>
          <w:highlight w:val="none"/>
        </w:rPr>
      </w:pPr>
      <w:r>
        <w:rPr>
          <w:rFonts w:hint="eastAsia" w:ascii="宋体" w:hAnsi="宋体" w:eastAsia="宋体" w:cs="宋体"/>
          <w:color w:val="auto"/>
          <w:highlight w:val="none"/>
        </w:rPr>
        <w:t>关于贵公司</w:t>
      </w:r>
      <w:r>
        <w:rPr>
          <w:rFonts w:ascii="ZWAdobeF" w:hAnsi="ZWAdobeF" w:eastAsia="宋体" w:cs="ZWAdobeF"/>
          <w:color w:val="auto"/>
          <w:sz w:val="2"/>
          <w:szCs w:val="2"/>
          <w:highlight w:val="none"/>
        </w:rPr>
        <w:t>UUUU</w:t>
      </w:r>
      <w:r>
        <w:rPr>
          <w:rFonts w:hint="eastAsia" w:ascii="宋体" w:hAnsi="宋体" w:eastAsia="宋体" w:cs="宋体"/>
          <w:color w:val="auto"/>
          <w:highlight w:val="none"/>
        </w:rPr>
        <w:t>发布</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项目名称</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项目（项目编号：</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项目编号</w:t>
      </w:r>
      <w:r>
        <w:rPr>
          <w:rFonts w:ascii="宋体" w:hAnsi="宋体" w:eastAsia="宋体" w:cs="宋体"/>
          <w:color w:val="auto"/>
          <w:highlight w:val="none"/>
          <w:u w:val="single"/>
        </w:rPr>
        <w:t xml:space="preserve">   </w:t>
      </w:r>
      <w:r>
        <w:rPr>
          <w:rFonts w:hint="eastAsia" w:ascii="宋体" w:hAnsi="宋体" w:eastAsia="宋体" w:cs="宋体"/>
          <w:color w:val="auto"/>
          <w:highlight w:val="none"/>
        </w:rPr>
        <w:t>）的遴选公告，本机构愿意参加遴选响应，并声明：</w:t>
      </w:r>
    </w:p>
    <w:p>
      <w:pPr>
        <w:snapToGrid w:val="0"/>
        <w:spacing w:before="120" w:beforeLines="50" w:line="360" w:lineRule="auto"/>
        <w:ind w:firstLine="525" w:firstLineChars="250"/>
        <w:rPr>
          <w:rFonts w:ascii="宋体" w:hAnsi="宋体" w:eastAsia="宋体" w:cs="Times New Roman"/>
          <w:color w:val="auto"/>
          <w:highlight w:val="none"/>
        </w:rPr>
      </w:pPr>
      <w:r>
        <w:rPr>
          <w:rFonts w:hint="eastAsia" w:ascii="宋体" w:hAnsi="宋体" w:eastAsia="宋体" w:cs="宋体"/>
          <w:color w:val="auto"/>
          <w:highlight w:val="none"/>
        </w:rPr>
        <w:t>一、本机构具备《中华人民共和国政府采购法》第二十二条资格条件：</w:t>
      </w:r>
    </w:p>
    <w:p>
      <w:pPr>
        <w:snapToGrid w:val="0"/>
        <w:spacing w:before="120" w:beforeLines="50" w:line="360" w:lineRule="auto"/>
        <w:ind w:firstLine="525" w:firstLineChars="250"/>
        <w:rPr>
          <w:rFonts w:ascii="宋体" w:hAnsi="宋体" w:eastAsia="宋体" w:cs="Times New Roman"/>
          <w:color w:val="auto"/>
          <w:highlight w:val="none"/>
        </w:rPr>
      </w:pPr>
      <w:r>
        <w:rPr>
          <w:rFonts w:hint="eastAsia" w:ascii="宋体" w:hAnsi="宋体" w:eastAsia="宋体" w:cs="宋体"/>
          <w:color w:val="auto"/>
          <w:highlight w:val="none"/>
        </w:rPr>
        <w:t>（一）具有独立承担民事责任的能力【</w:t>
      </w:r>
      <w:r>
        <w:rPr>
          <w:rFonts w:hint="eastAsia" w:ascii="Times New Roman" w:hAnsi="Times New Roman" w:eastAsia="宋体" w:cs="宋体"/>
          <w:color w:val="auto"/>
          <w:highlight w:val="none"/>
        </w:rPr>
        <w:t>提供法人或者其他组织的营业执照、组织机构代码证和税务登记证（或三证合一证明）等证明文件</w:t>
      </w:r>
      <w:r>
        <w:rPr>
          <w:rFonts w:hint="eastAsia" w:ascii="宋体" w:hAnsi="宋体" w:eastAsia="宋体" w:cs="宋体"/>
          <w:color w:val="auto"/>
          <w:highlight w:val="none"/>
        </w:rPr>
        <w:t>】；</w:t>
      </w:r>
    </w:p>
    <w:p>
      <w:pPr>
        <w:snapToGrid w:val="0"/>
        <w:spacing w:before="120" w:beforeLines="50" w:line="360" w:lineRule="auto"/>
        <w:ind w:firstLine="525" w:firstLineChars="250"/>
        <w:rPr>
          <w:rFonts w:ascii="宋体" w:hAnsi="宋体" w:eastAsia="宋体" w:cs="Times New Roman"/>
          <w:color w:val="auto"/>
          <w:highlight w:val="none"/>
        </w:rPr>
      </w:pPr>
      <w:r>
        <w:rPr>
          <w:rFonts w:hint="eastAsia" w:ascii="宋体" w:hAnsi="宋体" w:eastAsia="宋体" w:cs="宋体"/>
          <w:color w:val="auto"/>
          <w:highlight w:val="none"/>
        </w:rPr>
        <w:t>（二）具有良好的商业信誉和健全的财务会计制度；</w:t>
      </w:r>
    </w:p>
    <w:p>
      <w:pPr>
        <w:snapToGrid w:val="0"/>
        <w:spacing w:before="120" w:beforeLines="50" w:line="360" w:lineRule="auto"/>
        <w:ind w:firstLine="525" w:firstLineChars="250"/>
        <w:rPr>
          <w:rFonts w:ascii="宋体" w:hAnsi="宋体" w:eastAsia="宋体" w:cs="Times New Roman"/>
          <w:color w:val="auto"/>
          <w:highlight w:val="none"/>
        </w:rPr>
      </w:pPr>
      <w:r>
        <w:rPr>
          <w:rFonts w:hint="eastAsia" w:ascii="宋体" w:hAnsi="宋体" w:eastAsia="宋体" w:cs="宋体"/>
          <w:color w:val="auto"/>
          <w:highlight w:val="none"/>
        </w:rPr>
        <w:t>（三）具有履行合同所必需的设备和专业技术能力【</w:t>
      </w:r>
      <w:r>
        <w:rPr>
          <w:rFonts w:hint="eastAsia" w:ascii="Times New Roman" w:hAnsi="Times New Roman" w:eastAsia="宋体" w:cs="宋体"/>
          <w:color w:val="auto"/>
          <w:highlight w:val="none"/>
        </w:rPr>
        <w:t>提供履行合同所必需的设备清单以及技术人员的名单材料</w:t>
      </w:r>
      <w:r>
        <w:rPr>
          <w:rFonts w:hint="eastAsia" w:ascii="宋体" w:hAnsi="宋体" w:eastAsia="宋体" w:cs="宋体"/>
          <w:color w:val="auto"/>
          <w:highlight w:val="none"/>
        </w:rPr>
        <w:t>】；</w:t>
      </w:r>
    </w:p>
    <w:p>
      <w:pPr>
        <w:snapToGrid w:val="0"/>
        <w:spacing w:before="120" w:beforeLines="50" w:line="360" w:lineRule="auto"/>
        <w:ind w:firstLine="525" w:firstLineChars="250"/>
        <w:rPr>
          <w:rFonts w:ascii="宋体" w:hAnsi="宋体" w:eastAsia="宋体" w:cs="Times New Roman"/>
          <w:color w:val="auto"/>
          <w:highlight w:val="none"/>
        </w:rPr>
      </w:pPr>
      <w:r>
        <w:rPr>
          <w:rFonts w:hint="eastAsia" w:ascii="宋体" w:hAnsi="宋体" w:eastAsia="宋体" w:cs="宋体"/>
          <w:color w:val="auto"/>
          <w:highlight w:val="none"/>
        </w:rPr>
        <w:t>（四）有依法缴纳税收和社会保障资金的良好记录；</w:t>
      </w:r>
    </w:p>
    <w:p>
      <w:pPr>
        <w:snapToGrid w:val="0"/>
        <w:spacing w:before="120" w:beforeLines="50" w:line="360" w:lineRule="auto"/>
        <w:ind w:firstLine="525" w:firstLineChars="250"/>
        <w:rPr>
          <w:rFonts w:ascii="宋体" w:hAnsi="宋体" w:eastAsia="宋体" w:cs="Times New Roman"/>
          <w:color w:val="auto"/>
          <w:highlight w:val="none"/>
        </w:rPr>
      </w:pPr>
      <w:r>
        <w:rPr>
          <w:rFonts w:hint="eastAsia" w:ascii="宋体" w:hAnsi="宋体" w:eastAsia="宋体" w:cs="宋体"/>
          <w:color w:val="auto"/>
          <w:highlight w:val="none"/>
        </w:rPr>
        <w:t>（五）参加政府采购活动前三年内，在经营活动中没有重大违法记录【</w:t>
      </w:r>
      <w:r>
        <w:rPr>
          <w:rFonts w:hint="eastAsia" w:ascii="Times New Roman" w:hAnsi="Times New Roman" w:eastAsia="宋体" w:cs="宋体"/>
          <w:color w:val="auto"/>
          <w:highlight w:val="none"/>
        </w:rPr>
        <w:t>提供书面声明</w:t>
      </w:r>
      <w:r>
        <w:rPr>
          <w:rFonts w:hint="eastAsia" w:ascii="宋体" w:hAnsi="宋体" w:eastAsia="宋体" w:cs="宋体"/>
          <w:color w:val="auto"/>
          <w:highlight w:val="none"/>
        </w:rPr>
        <w:t>】；</w:t>
      </w:r>
    </w:p>
    <w:p>
      <w:pPr>
        <w:snapToGrid w:val="0"/>
        <w:spacing w:before="120" w:beforeLines="50" w:line="360" w:lineRule="auto"/>
        <w:ind w:firstLine="525" w:firstLineChars="250"/>
        <w:rPr>
          <w:rFonts w:ascii="宋体" w:hAnsi="宋体" w:eastAsia="宋体" w:cs="Times New Roman"/>
          <w:color w:val="auto"/>
          <w:highlight w:val="none"/>
        </w:rPr>
      </w:pPr>
      <w:r>
        <w:rPr>
          <w:rFonts w:hint="eastAsia" w:ascii="宋体" w:hAnsi="宋体" w:eastAsia="宋体" w:cs="宋体"/>
          <w:color w:val="auto"/>
          <w:highlight w:val="none"/>
        </w:rPr>
        <w:t>（六）法律、行政法规规定的其他条件。</w:t>
      </w:r>
    </w:p>
    <w:p>
      <w:pPr>
        <w:snapToGrid w:val="0"/>
        <w:spacing w:before="120" w:beforeLines="50" w:line="360" w:lineRule="auto"/>
        <w:ind w:firstLine="525" w:firstLineChars="250"/>
        <w:rPr>
          <w:rFonts w:ascii="宋体" w:hAnsi="宋体" w:eastAsia="宋体" w:cs="Times New Roman"/>
          <w:color w:val="auto"/>
          <w:highlight w:val="none"/>
        </w:rPr>
      </w:pPr>
      <w:r>
        <w:rPr>
          <w:rFonts w:hint="eastAsia" w:ascii="宋体" w:hAnsi="宋体" w:eastAsia="宋体" w:cs="宋体"/>
          <w:color w:val="auto"/>
          <w:highlight w:val="none"/>
        </w:rPr>
        <w:t>二、根据《中华人民共和国政府采购法实施条例》的规定，本机构如为采购项目提供整体设计、规范编制或者项目管理、监理、检测等服务的供应商，不再参加该采购项目的其他采购活动。否则，由此所造成的损失、不良后果及法律责任，一律由我机构承担。</w:t>
      </w:r>
    </w:p>
    <w:p>
      <w:pPr>
        <w:snapToGrid w:val="0"/>
        <w:spacing w:before="120" w:beforeLines="50" w:line="360" w:lineRule="auto"/>
        <w:ind w:firstLine="525" w:firstLineChars="250"/>
        <w:rPr>
          <w:rFonts w:ascii="宋体" w:hAnsi="宋体" w:eastAsia="宋体" w:cs="Times New Roman"/>
          <w:color w:val="auto"/>
          <w:highlight w:val="none"/>
        </w:rPr>
      </w:pPr>
      <w:r>
        <w:rPr>
          <w:rFonts w:hint="eastAsia" w:ascii="宋体" w:hAnsi="宋体" w:eastAsia="宋体" w:cs="宋体"/>
          <w:color w:val="auto"/>
          <w:highlight w:val="none"/>
        </w:rPr>
        <w:t>三、本机构的法定代表人或单位负责人与本项目其他</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的法定代表人或单位负责人不为同一人且与其他</w:t>
      </w:r>
      <w:r>
        <w:rPr>
          <w:rFonts w:hint="eastAsia" w:ascii="宋体" w:hAnsi="宋体" w:eastAsia="宋体" w:cs="宋体"/>
          <w:color w:val="auto"/>
          <w:highlight w:val="none"/>
          <w:lang w:eastAsia="zh-CN"/>
        </w:rPr>
        <w:t>供应商</w:t>
      </w:r>
      <w:r>
        <w:rPr>
          <w:rFonts w:hint="eastAsia" w:ascii="宋体" w:hAnsi="宋体" w:eastAsia="宋体" w:cs="宋体"/>
          <w:color w:val="auto"/>
          <w:highlight w:val="none"/>
        </w:rPr>
        <w:t>之间不存在直接控股、管理关系。</w:t>
      </w:r>
    </w:p>
    <w:p>
      <w:pPr>
        <w:snapToGrid w:val="0"/>
        <w:spacing w:before="120" w:beforeLines="50" w:line="360" w:lineRule="auto"/>
        <w:ind w:firstLine="525" w:firstLineChars="250"/>
        <w:rPr>
          <w:rFonts w:ascii="宋体" w:hAnsi="宋体" w:eastAsia="宋体" w:cs="Times New Roman"/>
          <w:color w:val="auto"/>
          <w:highlight w:val="none"/>
        </w:rPr>
      </w:pPr>
      <w:r>
        <w:rPr>
          <w:rFonts w:hint="eastAsia" w:ascii="宋体" w:hAnsi="宋体" w:eastAsia="宋体" w:cs="宋体"/>
          <w:color w:val="auto"/>
          <w:highlight w:val="none"/>
        </w:rPr>
        <w:t>四、本机构政府采购活动前三年内，没有正在被司法机关立案调查。</w:t>
      </w:r>
    </w:p>
    <w:p>
      <w:pPr>
        <w:spacing w:after="120"/>
        <w:rPr>
          <w:rFonts w:ascii="Times New Roman" w:hAnsi="Times New Roman" w:eastAsia="宋体" w:cs="Times New Roman"/>
          <w:color w:val="auto"/>
          <w:highlight w:val="none"/>
        </w:rPr>
      </w:pPr>
      <w:r>
        <w:rPr>
          <w:rFonts w:ascii="宋体" w:hAnsi="宋体" w:eastAsia="宋体" w:cs="宋体"/>
          <w:color w:val="auto"/>
          <w:highlight w:val="none"/>
        </w:rPr>
        <w:t xml:space="preserve">     </w:t>
      </w:r>
      <w:r>
        <w:rPr>
          <w:rFonts w:hint="eastAsia" w:ascii="宋体" w:hAnsi="宋体" w:eastAsia="宋体" w:cs="宋体"/>
          <w:color w:val="auto"/>
          <w:highlight w:val="none"/>
        </w:rPr>
        <w:t>五、本机构未承接本市社区精神康复综合服务中心服务的第三方社会服务机构，与项目被评估方、被抽检方不存在利害关系。</w:t>
      </w:r>
    </w:p>
    <w:p>
      <w:pPr>
        <w:snapToGrid w:val="0"/>
        <w:spacing w:before="120" w:beforeLines="50" w:line="360" w:lineRule="auto"/>
        <w:ind w:firstLine="525" w:firstLineChars="250"/>
        <w:rPr>
          <w:rFonts w:ascii="Times New Roman" w:hAnsi="Times New Roman" w:eastAsia="宋体" w:cs="Times New Roman"/>
          <w:color w:val="auto"/>
          <w:highlight w:val="none"/>
        </w:rPr>
      </w:pPr>
      <w:r>
        <w:rPr>
          <w:rFonts w:hint="eastAsia" w:ascii="宋体" w:hAnsi="宋体" w:eastAsia="宋体" w:cs="宋体"/>
          <w:color w:val="auto"/>
          <w:highlight w:val="none"/>
        </w:rPr>
        <w:t>本机构已清楚公开遴选文件的要求及有关文件规定，并承诺在本次招标采购活动中，如有违法、违规、弄虚作假行为，所造成的损失、不良后果及法律责任，一律由我机构承担。</w:t>
      </w:r>
    </w:p>
    <w:p>
      <w:pPr>
        <w:snapToGrid w:val="0"/>
        <w:spacing w:line="360" w:lineRule="auto"/>
        <w:ind w:firstLine="420" w:firstLineChars="200"/>
        <w:jc w:val="left"/>
        <w:rPr>
          <w:rFonts w:ascii="Times New Roman" w:hAnsi="Times New Roman" w:eastAsia="宋体" w:cs="Times New Roman"/>
          <w:color w:val="auto"/>
          <w:highlight w:val="none"/>
        </w:rPr>
      </w:pPr>
    </w:p>
    <w:p>
      <w:pPr>
        <w:spacing w:line="360" w:lineRule="auto"/>
        <w:ind w:firstLine="420"/>
        <w:jc w:val="left"/>
        <w:rPr>
          <w:rFonts w:ascii="Times New Roman" w:hAnsi="Times New Roman" w:eastAsia="宋体" w:cs="Times New Roman"/>
          <w:color w:val="auto"/>
          <w:highlight w:val="none"/>
        </w:rPr>
      </w:pPr>
      <w:r>
        <w:rPr>
          <w:rFonts w:hint="eastAsia" w:ascii="Times New Roman" w:hAnsi="Times New Roman" w:eastAsia="宋体" w:cs="宋体"/>
          <w:color w:val="auto"/>
          <w:highlight w:val="none"/>
        </w:rPr>
        <w:t>特此声明！</w:t>
      </w:r>
    </w:p>
    <w:p>
      <w:pPr>
        <w:adjustRightInd w:val="0"/>
        <w:snapToGrid w:val="0"/>
        <w:spacing w:line="360" w:lineRule="auto"/>
        <w:jc w:val="left"/>
        <w:rPr>
          <w:rFonts w:ascii="宋体" w:hAnsi="宋体" w:eastAsia="宋体" w:cs="Times New Roman"/>
          <w:color w:val="auto"/>
          <w:highlight w:val="none"/>
        </w:rPr>
      </w:pPr>
    </w:p>
    <w:p>
      <w:pPr>
        <w:tabs>
          <w:tab w:val="left" w:pos="7260"/>
        </w:tabs>
        <w:spacing w:line="360" w:lineRule="auto"/>
        <w:ind w:left="-2" w:leftChars="-1" w:firstLine="539" w:firstLineChars="257"/>
        <w:jc w:val="left"/>
        <w:rPr>
          <w:rFonts w:ascii="宋体" w:hAnsi="宋体" w:eastAsia="宋体" w:cs="Times New Roman"/>
          <w:color w:val="auto"/>
          <w:highlight w:val="none"/>
          <w:u w:val="singl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全称（加盖公章）：</w:t>
      </w:r>
    </w:p>
    <w:p>
      <w:pPr>
        <w:tabs>
          <w:tab w:val="left" w:pos="4500"/>
        </w:tabs>
        <w:spacing w:line="360" w:lineRule="auto"/>
        <w:ind w:left="-2" w:leftChars="-1" w:firstLine="539" w:firstLineChars="257"/>
        <w:jc w:val="left"/>
        <w:rPr>
          <w:rFonts w:ascii="宋体" w:hAnsi="宋体" w:eastAsia="宋体" w:cs="Times New Roman"/>
          <w:color w:val="auto"/>
          <w:highlight w:val="none"/>
          <w:u w:val="single"/>
        </w:rPr>
      </w:pPr>
      <w:r>
        <w:rPr>
          <w:rFonts w:hint="eastAsia" w:ascii="宋体" w:hAnsi="宋体" w:eastAsia="宋体" w:cs="宋体"/>
          <w:color w:val="auto"/>
          <w:highlight w:val="none"/>
        </w:rPr>
        <w:t>法定代表人或其授权代表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p>
    <w:p>
      <w:pPr>
        <w:tabs>
          <w:tab w:val="left" w:pos="4500"/>
        </w:tabs>
        <w:spacing w:line="360" w:lineRule="auto"/>
        <w:ind w:left="-2" w:leftChars="-1" w:firstLine="539" w:firstLineChars="257"/>
        <w:jc w:val="left"/>
        <w:rPr>
          <w:rFonts w:ascii="宋体" w:hAnsi="宋体" w:eastAsia="宋体" w:cs="Times New Roman"/>
          <w:color w:val="auto"/>
          <w:highlight w:val="none"/>
          <w:u w:val="single"/>
        </w:rPr>
      </w:pPr>
      <w:r>
        <w:rPr>
          <w:rFonts w:hint="eastAsia" w:ascii="宋体" w:hAnsi="宋体" w:eastAsia="宋体" w:cs="宋体"/>
          <w:color w:val="auto"/>
          <w:highlight w:val="none"/>
        </w:rPr>
        <w:t>地址：</w:t>
      </w:r>
      <w:r>
        <w:rPr>
          <w:rFonts w:ascii="宋体" w:hAnsi="宋体" w:eastAsia="宋体" w:cs="Times New Roman"/>
          <w:color w:val="auto"/>
          <w:highlight w:val="none"/>
        </w:rPr>
        <w:tab/>
      </w:r>
      <w:r>
        <w:rPr>
          <w:rFonts w:hint="eastAsia" w:ascii="宋体" w:hAnsi="宋体" w:eastAsia="宋体" w:cs="宋体"/>
          <w:color w:val="auto"/>
          <w:highlight w:val="none"/>
        </w:rPr>
        <w:t>邮编：</w:t>
      </w:r>
    </w:p>
    <w:p>
      <w:pPr>
        <w:tabs>
          <w:tab w:val="left" w:pos="4500"/>
        </w:tabs>
        <w:spacing w:line="360" w:lineRule="auto"/>
        <w:ind w:left="-2" w:leftChars="-1" w:firstLine="539" w:firstLineChars="257"/>
        <w:jc w:val="left"/>
        <w:rPr>
          <w:rFonts w:ascii="宋体" w:hAnsi="宋体" w:eastAsia="宋体" w:cs="Times New Roman"/>
          <w:color w:val="auto"/>
          <w:highlight w:val="none"/>
          <w:u w:val="single"/>
        </w:rPr>
      </w:pPr>
      <w:r>
        <w:rPr>
          <w:rFonts w:hint="eastAsia" w:ascii="宋体" w:hAnsi="宋体" w:eastAsia="宋体" w:cs="宋体"/>
          <w:color w:val="auto"/>
          <w:highlight w:val="none"/>
        </w:rPr>
        <w:t>电话：</w:t>
      </w:r>
      <w:r>
        <w:rPr>
          <w:rFonts w:ascii="宋体" w:hAnsi="宋体" w:eastAsia="宋体" w:cs="宋体"/>
          <w:color w:val="auto"/>
          <w:highlight w:val="none"/>
        </w:rPr>
        <w:t xml:space="preserve">  </w:t>
      </w:r>
      <w:r>
        <w:rPr>
          <w:rFonts w:ascii="宋体" w:hAnsi="宋体" w:eastAsia="宋体" w:cs="宋体"/>
          <w:color w:val="auto"/>
          <w:highlight w:val="none"/>
        </w:rPr>
        <w:tab/>
      </w:r>
      <w:r>
        <w:rPr>
          <w:rFonts w:hint="eastAsia" w:ascii="宋体" w:hAnsi="宋体" w:eastAsia="宋体" w:cs="宋体"/>
          <w:color w:val="auto"/>
          <w:highlight w:val="none"/>
        </w:rPr>
        <w:t>传真：</w:t>
      </w:r>
    </w:p>
    <w:p>
      <w:pPr>
        <w:spacing w:line="360" w:lineRule="auto"/>
        <w:ind w:firstLine="525" w:firstLineChars="250"/>
        <w:jc w:val="left"/>
        <w:rPr>
          <w:rFonts w:ascii="宋体" w:hAnsi="宋体" w:eastAsia="宋体" w:cs="Times New Roman"/>
          <w:b/>
          <w:bCs/>
          <w:color w:val="auto"/>
          <w:kern w:val="0"/>
          <w:sz w:val="28"/>
          <w:szCs w:val="28"/>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w:t>
      </w:r>
      <w:r>
        <w:rPr>
          <w:rFonts w:ascii="宋体" w:hAnsi="宋体" w:eastAsia="宋体" w:cs="宋体"/>
          <w:color w:val="auto"/>
          <w:highlight w:val="none"/>
          <w:u w:val="single"/>
        </w:rPr>
        <w:t>2021</w:t>
      </w:r>
      <w:r>
        <w:rPr>
          <w:rFonts w:hint="eastAsia" w:ascii="宋体" w:hAnsi="宋体" w:eastAsia="宋体" w:cs="宋体"/>
          <w:color w:val="auto"/>
          <w:highlight w:val="none"/>
          <w:u w:val="single"/>
        </w:rPr>
        <w:t>年</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月</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日</w:t>
      </w:r>
    </w:p>
    <w:p>
      <w:pPr>
        <w:spacing w:line="360" w:lineRule="auto"/>
        <w:jc w:val="left"/>
        <w:rPr>
          <w:rFonts w:ascii="宋体" w:hAnsi="宋体" w:eastAsia="宋体" w:cs="Times New Roman"/>
          <w:color w:val="auto"/>
          <w:sz w:val="32"/>
          <w:szCs w:val="32"/>
          <w:highlight w:val="none"/>
        </w:rPr>
      </w:pPr>
      <w:r>
        <w:rPr>
          <w:rFonts w:ascii="宋体" w:hAnsi="宋体" w:eastAsia="宋体" w:cs="Times New Roman"/>
          <w:b/>
          <w:bCs/>
          <w:color w:val="auto"/>
          <w:kern w:val="0"/>
          <w:sz w:val="28"/>
          <w:szCs w:val="28"/>
          <w:highlight w:val="none"/>
        </w:rPr>
        <w:br w:type="page"/>
      </w: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5</w:t>
      </w:r>
      <w:r>
        <w:rPr>
          <w:rFonts w:hint="eastAsia" w:ascii="宋体" w:hAnsi="宋体" w:eastAsia="宋体" w:cs="宋体"/>
          <w:b/>
          <w:bCs/>
          <w:color w:val="auto"/>
          <w:kern w:val="0"/>
          <w:sz w:val="28"/>
          <w:szCs w:val="28"/>
          <w:highlight w:val="none"/>
        </w:rPr>
        <w:t>同意公开遴选文件条款说明</w:t>
      </w:r>
    </w:p>
    <w:p>
      <w:pPr>
        <w:spacing w:line="360" w:lineRule="auto"/>
        <w:jc w:val="left"/>
        <w:rPr>
          <w:rFonts w:ascii="宋体" w:hAnsi="宋体" w:eastAsia="宋体" w:cs="Times New Roman"/>
          <w:color w:val="auto"/>
          <w:highlight w:val="none"/>
        </w:rPr>
      </w:pPr>
    </w:p>
    <w:p>
      <w:pPr>
        <w:widowControl/>
        <w:spacing w:line="360" w:lineRule="auto"/>
        <w:jc w:val="left"/>
        <w:rPr>
          <w:rFonts w:ascii="宋体" w:hAnsi="宋体" w:eastAsia="宋体" w:cs="Times New Roman"/>
          <w:color w:val="auto"/>
          <w:highlight w:val="none"/>
        </w:rPr>
      </w:pPr>
      <w:r>
        <w:rPr>
          <w:rFonts w:hint="eastAsia" w:ascii="宋体" w:hAnsi="宋体" w:eastAsia="宋体" w:cs="宋体"/>
          <w:color w:val="auto"/>
          <w:kern w:val="0"/>
          <w:highlight w:val="none"/>
        </w:rPr>
        <w:t>致：广州市信怡招标代理有限公司</w:t>
      </w:r>
    </w:p>
    <w:p>
      <w:pPr>
        <w:spacing w:line="360" w:lineRule="auto"/>
        <w:jc w:val="left"/>
        <w:rPr>
          <w:rFonts w:ascii="宋体" w:hAnsi="宋体" w:eastAsia="宋体" w:cs="Times New Roman"/>
          <w:color w:val="auto"/>
          <w:highlight w:val="none"/>
        </w:rPr>
      </w:pPr>
    </w:p>
    <w:p>
      <w:pPr>
        <w:spacing w:line="360" w:lineRule="auto"/>
        <w:jc w:val="left"/>
        <w:rPr>
          <w:rFonts w:ascii="宋体" w:hAnsi="宋体" w:eastAsia="宋体" w:cs="Times New Roman"/>
          <w:color w:val="auto"/>
          <w:highlight w:val="none"/>
        </w:rPr>
      </w:pPr>
    </w:p>
    <w:p>
      <w:pPr>
        <w:spacing w:line="360" w:lineRule="auto"/>
        <w:ind w:firstLine="478" w:firstLineChars="228"/>
        <w:jc w:val="left"/>
        <w:rPr>
          <w:rFonts w:ascii="宋体" w:hAnsi="宋体" w:eastAsia="宋体" w:cs="Times New Roman"/>
          <w:color w:val="auto"/>
          <w:highlight w:val="none"/>
        </w:rPr>
      </w:pPr>
      <w:r>
        <w:rPr>
          <w:rFonts w:hint="eastAsia" w:ascii="宋体" w:hAnsi="宋体" w:eastAsia="宋体" w:cs="宋体"/>
          <w:color w:val="auto"/>
          <w:kern w:val="0"/>
          <w:highlight w:val="none"/>
        </w:rPr>
        <w:t>为响应你方组织的项目名称：</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项目名称</w:t>
      </w:r>
      <w:r>
        <w:rPr>
          <w:rFonts w:ascii="宋体" w:hAnsi="宋体" w:eastAsia="宋体" w:cs="宋体"/>
          <w:color w:val="auto"/>
          <w:highlight w:val="none"/>
          <w:u w:val="single"/>
        </w:rPr>
        <w:t xml:space="preserve">      </w:t>
      </w:r>
      <w:r>
        <w:rPr>
          <w:rFonts w:hint="eastAsia" w:ascii="宋体" w:hAnsi="宋体" w:eastAsia="宋体" w:cs="宋体"/>
          <w:color w:val="auto"/>
          <w:kern w:val="0"/>
          <w:highlight w:val="none"/>
        </w:rPr>
        <w:t>项目的遴选（项目编号：</w:t>
      </w:r>
      <w:r>
        <w:rPr>
          <w:rFonts w:ascii="宋体" w:hAnsi="宋体" w:eastAsia="宋体" w:cs="宋体"/>
          <w:color w:val="auto"/>
          <w:kern w:val="28"/>
          <w:highlight w:val="none"/>
          <w:u w:val="single"/>
        </w:rPr>
        <w:t xml:space="preserve">   </w:t>
      </w:r>
      <w:r>
        <w:rPr>
          <w:rFonts w:hint="eastAsia" w:ascii="宋体" w:hAnsi="宋体" w:eastAsia="宋体" w:cs="宋体"/>
          <w:color w:val="auto"/>
          <w:kern w:val="28"/>
          <w:highlight w:val="none"/>
          <w:u w:val="single"/>
        </w:rPr>
        <w:t>项目编号</w:t>
      </w:r>
      <w:r>
        <w:rPr>
          <w:rFonts w:ascii="宋体" w:hAnsi="宋体" w:eastAsia="宋体" w:cs="宋体"/>
          <w:color w:val="auto"/>
          <w:kern w:val="28"/>
          <w:highlight w:val="none"/>
          <w:u w:val="single"/>
        </w:rPr>
        <w:t xml:space="preserve">   </w:t>
      </w:r>
      <w:r>
        <w:rPr>
          <w:rFonts w:hint="eastAsia" w:ascii="宋体" w:hAnsi="宋体" w:eastAsia="宋体" w:cs="宋体"/>
          <w:color w:val="auto"/>
          <w:kern w:val="0"/>
          <w:highlight w:val="none"/>
        </w:rPr>
        <w:t>），我方在参与报价前已详细研究了公开遴选文件的所有内容，包括修改文件（如果有的话）和所有已提供的参考资料以及有关附件，我方完全明白并认为此公开遴选文件没有倾向性，也没有存在排斥潜在供应商的内容，我方并同意公开遴选文件的相关条款。</w:t>
      </w:r>
    </w:p>
    <w:p>
      <w:pPr>
        <w:spacing w:line="360" w:lineRule="auto"/>
        <w:ind w:firstLine="478" w:firstLineChars="228"/>
        <w:jc w:val="left"/>
        <w:rPr>
          <w:rFonts w:ascii="宋体" w:hAnsi="宋体" w:eastAsia="宋体" w:cs="Times New Roman"/>
          <w:color w:val="auto"/>
          <w:kern w:val="0"/>
          <w:highlight w:val="none"/>
        </w:rPr>
      </w:pPr>
      <w:r>
        <w:rPr>
          <w:rFonts w:hint="eastAsia" w:ascii="宋体" w:hAnsi="宋体" w:eastAsia="宋体" w:cs="宋体"/>
          <w:color w:val="auto"/>
          <w:kern w:val="0"/>
          <w:highlight w:val="none"/>
        </w:rPr>
        <w:t>特此声明。</w:t>
      </w:r>
    </w:p>
    <w:p>
      <w:pPr>
        <w:spacing w:line="360" w:lineRule="auto"/>
        <w:jc w:val="left"/>
        <w:rPr>
          <w:rFonts w:ascii="宋体" w:hAnsi="宋体" w:eastAsia="宋体" w:cs="Times New Roman"/>
          <w:color w:val="auto"/>
          <w:highlight w:val="none"/>
        </w:rPr>
      </w:pPr>
    </w:p>
    <w:p>
      <w:pPr>
        <w:spacing w:line="360" w:lineRule="auto"/>
        <w:jc w:val="left"/>
        <w:rPr>
          <w:rFonts w:ascii="宋体" w:hAnsi="宋体" w:eastAsia="宋体" w:cs="Times New Roman"/>
          <w:color w:val="auto"/>
          <w:highlight w:val="none"/>
        </w:rPr>
      </w:pPr>
    </w:p>
    <w:p>
      <w:pPr>
        <w:spacing w:line="360" w:lineRule="auto"/>
        <w:jc w:val="left"/>
        <w:rPr>
          <w:rFonts w:ascii="宋体" w:hAnsi="宋体" w:eastAsia="宋体" w:cs="宋体"/>
          <w:color w:val="auto"/>
          <w:highlight w:val="non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全称（加盖公章）</w:t>
      </w:r>
      <w:r>
        <w:rPr>
          <w:rFonts w:ascii="宋体" w:hAnsi="宋体" w:eastAsia="宋体" w:cs="宋体"/>
          <w:color w:val="auto"/>
          <w:highlight w:val="none"/>
        </w:rPr>
        <w:t>:</w:t>
      </w:r>
    </w:p>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法定代表或其授权代表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spacing w:line="360" w:lineRule="auto"/>
        <w:jc w:val="left"/>
        <w:rPr>
          <w:rFonts w:ascii="宋体" w:hAnsi="宋体" w:eastAsia="宋体" w:cs="Times New Roman"/>
          <w:b/>
          <w:bCs/>
          <w:color w:val="auto"/>
          <w:kern w:val="0"/>
          <w:sz w:val="28"/>
          <w:szCs w:val="28"/>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4"/>
          <w:szCs w:val="24"/>
          <w:highlight w:val="none"/>
        </w:rPr>
      </w:pPr>
    </w:p>
    <w:p>
      <w:pPr>
        <w:widowControl/>
        <w:jc w:val="left"/>
        <w:rPr>
          <w:rFonts w:ascii="宋体" w:hAnsi="宋体" w:eastAsia="宋体" w:cs="Times New Roman"/>
          <w:b/>
          <w:bCs/>
          <w:color w:val="auto"/>
          <w:kern w:val="0"/>
          <w:sz w:val="28"/>
          <w:szCs w:val="28"/>
          <w:highlight w:val="none"/>
        </w:rPr>
      </w:pPr>
      <w:r>
        <w:rPr>
          <w:rFonts w:ascii="宋体" w:hAnsi="宋体" w:eastAsia="宋体" w:cs="Times New Roman"/>
          <w:b/>
          <w:bCs/>
          <w:color w:val="auto"/>
          <w:kern w:val="0"/>
          <w:sz w:val="28"/>
          <w:szCs w:val="28"/>
          <w:highlight w:val="none"/>
        </w:rPr>
        <w:br w:type="page"/>
      </w:r>
    </w:p>
    <w:p>
      <w:pPr>
        <w:spacing w:line="360" w:lineRule="auto"/>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6  </w:t>
      </w:r>
      <w:r>
        <w:rPr>
          <w:rFonts w:hint="eastAsia" w:ascii="宋体" w:hAnsi="宋体" w:eastAsia="宋体" w:cs="宋体"/>
          <w:b/>
          <w:bCs/>
          <w:color w:val="auto"/>
          <w:kern w:val="0"/>
          <w:sz w:val="28"/>
          <w:szCs w:val="28"/>
          <w:highlight w:val="none"/>
        </w:rPr>
        <w:t>公平竞争承诺书</w:t>
      </w: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autoSpaceDE w:val="0"/>
        <w:autoSpaceDN w:val="0"/>
        <w:adjustRightInd w:val="0"/>
        <w:spacing w:line="360" w:lineRule="auto"/>
        <w:ind w:firstLine="525" w:firstLineChars="250"/>
        <w:jc w:val="left"/>
        <w:rPr>
          <w:rFonts w:ascii="宋体" w:hAnsi="宋体" w:eastAsia="宋体" w:cs="Times New Roman"/>
          <w:color w:val="auto"/>
          <w:kern w:val="0"/>
          <w:highlight w:val="none"/>
        </w:rPr>
      </w:pPr>
      <w:r>
        <w:rPr>
          <w:rFonts w:hint="eastAsia" w:ascii="宋体" w:hAnsi="宋体" w:eastAsia="宋体" w:cs="宋体"/>
          <w:color w:val="auto"/>
          <w:kern w:val="0"/>
          <w:highlight w:val="none"/>
        </w:rPr>
        <w:t>本公司郑重承诺：本公司保证所提交的相关资质文件和证明材料的真实性，有良好的历史诚信记录，并将依法参与</w:t>
      </w:r>
      <w:r>
        <w:rPr>
          <w:rFonts w:ascii="宋体" w:hAnsi="宋体" w:eastAsia="宋体" w:cs="宋体"/>
          <w:color w:val="auto"/>
          <w:kern w:val="0"/>
          <w:highlight w:val="none"/>
        </w:rPr>
        <w:t xml:space="preserve"> </w:t>
      </w:r>
      <w:r>
        <w:rPr>
          <w:rFonts w:ascii="宋体" w:hAnsi="宋体" w:eastAsia="宋体" w:cs="宋体"/>
          <w:color w:val="auto"/>
          <w:highlight w:val="none"/>
          <w:u w:val="single"/>
        </w:rPr>
        <w:t xml:space="preserve">    </w:t>
      </w:r>
      <w:r>
        <w:rPr>
          <w:rFonts w:hint="eastAsia" w:ascii="宋体" w:hAnsi="宋体" w:eastAsia="宋体" w:cs="宋体"/>
          <w:color w:val="auto"/>
          <w:highlight w:val="none"/>
          <w:u w:val="single"/>
        </w:rPr>
        <w:t>项目名称</w:t>
      </w:r>
      <w:r>
        <w:rPr>
          <w:rFonts w:ascii="宋体" w:hAnsi="宋体" w:eastAsia="宋体" w:cs="宋体"/>
          <w:color w:val="auto"/>
          <w:highlight w:val="none"/>
          <w:u w:val="single"/>
        </w:rPr>
        <w:t xml:space="preserve">     </w:t>
      </w:r>
      <w:r>
        <w:rPr>
          <w:rFonts w:hint="eastAsia" w:ascii="宋体" w:hAnsi="宋体" w:eastAsia="宋体" w:cs="宋体"/>
          <w:color w:val="auto"/>
          <w:kern w:val="0"/>
          <w:highlight w:val="none"/>
        </w:rPr>
        <w:t>项目的公平竞争，不以任何不正当行为谋取不当利益，否则承担相应的法律责任。</w:t>
      </w:r>
    </w:p>
    <w:p>
      <w:pPr>
        <w:autoSpaceDE w:val="0"/>
        <w:autoSpaceDN w:val="0"/>
        <w:adjustRightInd w:val="0"/>
        <w:spacing w:line="360" w:lineRule="auto"/>
        <w:jc w:val="right"/>
        <w:rPr>
          <w:rFonts w:ascii="宋体" w:hAnsi="宋体" w:eastAsia="宋体" w:cs="Times New Roman"/>
          <w:color w:val="auto"/>
          <w:kern w:val="0"/>
          <w:highlight w:val="none"/>
        </w:rPr>
      </w:pPr>
    </w:p>
    <w:p>
      <w:pPr>
        <w:wordWrap w:val="0"/>
        <w:spacing w:line="360" w:lineRule="auto"/>
        <w:ind w:right="900"/>
        <w:rPr>
          <w:rFonts w:ascii="宋体" w:hAnsi="宋体" w:eastAsia="宋体" w:cs="Times New Roman"/>
          <w:color w:val="auto"/>
          <w:kern w:val="0"/>
          <w:highlight w:val="none"/>
        </w:rPr>
      </w:pPr>
    </w:p>
    <w:p>
      <w:pPr>
        <w:spacing w:line="360" w:lineRule="auto"/>
        <w:ind w:right="900"/>
        <w:jc w:val="center"/>
        <w:rPr>
          <w:rFonts w:ascii="宋体" w:hAnsi="宋体" w:eastAsia="宋体" w:cs="Times New Roman"/>
          <w:color w:val="auto"/>
          <w:kern w:val="0"/>
          <w:highlight w:val="none"/>
          <w:u w:val="single"/>
        </w:rPr>
      </w:pPr>
    </w:p>
    <w:p>
      <w:pPr>
        <w:spacing w:line="360" w:lineRule="auto"/>
        <w:ind w:firstLine="6300" w:firstLineChars="3000"/>
        <w:rPr>
          <w:rFonts w:ascii="宋体" w:hAnsi="宋体" w:eastAsia="宋体" w:cs="Times New Roman"/>
          <w:b/>
          <w:bCs/>
          <w:color w:val="auto"/>
          <w:kern w:val="0"/>
          <w:sz w:val="28"/>
          <w:szCs w:val="28"/>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spacing w:line="360" w:lineRule="auto"/>
        <w:jc w:val="left"/>
        <w:rPr>
          <w:rFonts w:ascii="宋体" w:hAnsi="宋体" w:eastAsia="宋体" w:cs="Times New Roman"/>
          <w:b/>
          <w:bCs/>
          <w:color w:val="auto"/>
          <w:kern w:val="0"/>
          <w:sz w:val="28"/>
          <w:szCs w:val="28"/>
          <w:highlight w:val="none"/>
        </w:rPr>
      </w:pPr>
    </w:p>
    <w:p>
      <w:pPr>
        <w:widowControl/>
        <w:jc w:val="left"/>
        <w:rPr>
          <w:rFonts w:ascii="宋体" w:hAnsi="宋体" w:eastAsia="宋体" w:cs="Times New Roman"/>
          <w:b/>
          <w:bCs/>
          <w:color w:val="auto"/>
          <w:kern w:val="0"/>
          <w:sz w:val="28"/>
          <w:szCs w:val="28"/>
          <w:highlight w:val="none"/>
        </w:rPr>
      </w:pPr>
      <w:r>
        <w:rPr>
          <w:rFonts w:ascii="宋体" w:hAnsi="宋体" w:eastAsia="宋体" w:cs="Times New Roman"/>
          <w:b/>
          <w:bCs/>
          <w:color w:val="auto"/>
          <w:kern w:val="0"/>
          <w:sz w:val="28"/>
          <w:szCs w:val="28"/>
          <w:highlight w:val="none"/>
        </w:rPr>
        <w:br w:type="page"/>
      </w:r>
    </w:p>
    <w:p>
      <w:pPr>
        <w:spacing w:line="360" w:lineRule="auto"/>
        <w:jc w:val="left"/>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7  </w:t>
      </w:r>
      <w:r>
        <w:rPr>
          <w:rFonts w:hint="eastAsia" w:ascii="宋体" w:hAnsi="宋体" w:eastAsia="宋体" w:cs="宋体"/>
          <w:b/>
          <w:bCs/>
          <w:color w:val="auto"/>
          <w:kern w:val="0"/>
          <w:sz w:val="28"/>
          <w:szCs w:val="28"/>
          <w:highlight w:val="none"/>
        </w:rPr>
        <w:t>报价一览表</w:t>
      </w:r>
    </w:p>
    <w:p>
      <w:pPr>
        <w:spacing w:line="360" w:lineRule="auto"/>
        <w:ind w:right="480"/>
        <w:jc w:val="left"/>
        <w:rPr>
          <w:rFonts w:ascii="宋体" w:hAnsi="宋体" w:eastAsia="宋体" w:cs="Times New Roman"/>
          <w:color w:val="auto"/>
          <w:highlight w:val="none"/>
        </w:rPr>
      </w:pPr>
    </w:p>
    <w:p>
      <w:pPr>
        <w:spacing w:line="360" w:lineRule="auto"/>
        <w:ind w:right="482"/>
        <w:jc w:val="left"/>
        <w:rPr>
          <w:rFonts w:ascii="宋体" w:hAnsi="宋体" w:eastAsia="宋体" w:cs="宋体"/>
          <w:color w:val="auto"/>
          <w:highlight w:val="none"/>
        </w:rPr>
      </w:pPr>
      <w:r>
        <w:rPr>
          <w:rFonts w:hint="eastAsia" w:ascii="宋体" w:hAnsi="宋体" w:eastAsia="宋体" w:cs="宋体"/>
          <w:color w:val="auto"/>
          <w:highlight w:val="none"/>
        </w:rPr>
        <w:t>项目名称：</w:t>
      </w:r>
      <w:r>
        <w:rPr>
          <w:rFonts w:ascii="宋体" w:hAnsi="宋体" w:eastAsia="宋体" w:cs="宋体"/>
          <w:color w:val="auto"/>
          <w:highlight w:val="none"/>
        </w:rPr>
        <w:t xml:space="preserve">                       </w:t>
      </w:r>
    </w:p>
    <w:p>
      <w:pPr>
        <w:spacing w:line="360" w:lineRule="auto"/>
        <w:ind w:right="482"/>
        <w:jc w:val="left"/>
        <w:rPr>
          <w:rFonts w:ascii="宋体" w:hAnsi="宋体" w:eastAsia="宋体" w:cs="宋体"/>
          <w:color w:val="auto"/>
          <w:highlight w:val="none"/>
        </w:rPr>
      </w:pPr>
      <w:r>
        <w:rPr>
          <w:rFonts w:hint="eastAsia" w:ascii="宋体" w:hAnsi="宋体" w:eastAsia="宋体" w:cs="宋体"/>
          <w:color w:val="auto"/>
          <w:highlight w:val="none"/>
        </w:rPr>
        <w:t>项目编号：</w:t>
      </w:r>
      <w:r>
        <w:rPr>
          <w:rFonts w:ascii="宋体" w:hAnsi="宋体" w:eastAsia="宋体" w:cs="宋体"/>
          <w:color w:val="auto"/>
          <w:highlight w:val="none"/>
        </w:rPr>
        <w:t xml:space="preserve"> </w:t>
      </w:r>
    </w:p>
    <w:tbl>
      <w:tblPr>
        <w:tblStyle w:val="90"/>
        <w:tblW w:w="811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45"/>
        <w:gridCol w:w="3260"/>
        <w:gridCol w:w="24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33" w:hRule="atLeast"/>
          <w:jc w:val="center"/>
        </w:trPr>
        <w:tc>
          <w:tcPr>
            <w:tcW w:w="2445" w:type="dxa"/>
            <w:vAlign w:val="center"/>
          </w:tcPr>
          <w:p>
            <w:pPr>
              <w:widowControl/>
              <w:spacing w:line="360" w:lineRule="auto"/>
              <w:jc w:val="center"/>
              <w:rPr>
                <w:rFonts w:ascii="宋体" w:hAnsi="宋体" w:eastAsia="宋体" w:cs="Times New Roman"/>
                <w:b/>
                <w:bCs/>
                <w:color w:val="auto"/>
                <w:kern w:val="0"/>
                <w:highlight w:val="none"/>
              </w:rPr>
            </w:pPr>
            <w:r>
              <w:rPr>
                <w:rFonts w:hint="eastAsia" w:ascii="宋体" w:hAnsi="宋体" w:eastAsia="宋体" w:cs="宋体"/>
                <w:b/>
                <w:bCs/>
                <w:color w:val="auto"/>
                <w:kern w:val="0"/>
                <w:highlight w:val="none"/>
              </w:rPr>
              <w:t>供应商</w:t>
            </w:r>
          </w:p>
        </w:tc>
        <w:tc>
          <w:tcPr>
            <w:tcW w:w="3260" w:type="dxa"/>
            <w:vAlign w:val="center"/>
          </w:tcPr>
          <w:p>
            <w:pPr>
              <w:widowControl/>
              <w:spacing w:line="360" w:lineRule="auto"/>
              <w:jc w:val="center"/>
              <w:rPr>
                <w:rFonts w:ascii="宋体" w:hAnsi="宋体" w:eastAsia="宋体" w:cs="Times New Roman"/>
                <w:b/>
                <w:bCs/>
                <w:color w:val="auto"/>
                <w:kern w:val="0"/>
                <w:highlight w:val="none"/>
              </w:rPr>
            </w:pPr>
            <w:r>
              <w:rPr>
                <w:rFonts w:hint="eastAsia" w:ascii="宋体" w:hAnsi="宋体" w:eastAsia="宋体" w:cs="宋体"/>
                <w:b/>
                <w:bCs/>
                <w:color w:val="auto"/>
                <w:kern w:val="0"/>
                <w:highlight w:val="none"/>
              </w:rPr>
              <w:t>综合单价下浮率</w:t>
            </w:r>
          </w:p>
        </w:tc>
        <w:tc>
          <w:tcPr>
            <w:tcW w:w="2410" w:type="dxa"/>
            <w:vAlign w:val="center"/>
          </w:tcPr>
          <w:p>
            <w:pPr>
              <w:widowControl/>
              <w:spacing w:line="360" w:lineRule="auto"/>
              <w:jc w:val="center"/>
              <w:rPr>
                <w:rFonts w:ascii="宋体" w:hAnsi="宋体" w:eastAsia="宋体" w:cs="Times New Roman"/>
                <w:b/>
                <w:bCs/>
                <w:color w:val="auto"/>
                <w:kern w:val="0"/>
                <w:highlight w:val="none"/>
              </w:rPr>
            </w:pPr>
            <w:r>
              <w:rPr>
                <w:rFonts w:hint="eastAsia" w:ascii="宋体" w:hAnsi="宋体" w:eastAsia="宋体" w:cs="宋体"/>
                <w:b/>
                <w:bCs/>
                <w:color w:val="auto"/>
                <w:kern w:val="0"/>
                <w:highlight w:val="none"/>
              </w:rPr>
              <w:t>合同履行期限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8" w:hRule="atLeast"/>
          <w:jc w:val="center"/>
        </w:trPr>
        <w:tc>
          <w:tcPr>
            <w:tcW w:w="2445" w:type="dxa"/>
            <w:vAlign w:val="center"/>
          </w:tcPr>
          <w:p>
            <w:pPr>
              <w:widowControl/>
              <w:spacing w:line="360" w:lineRule="auto"/>
              <w:jc w:val="left"/>
              <w:rPr>
                <w:rFonts w:ascii="宋体" w:hAnsi="宋体" w:eastAsia="宋体" w:cs="Times New Roman"/>
                <w:color w:val="auto"/>
                <w:kern w:val="0"/>
                <w:highlight w:val="none"/>
              </w:rPr>
            </w:pPr>
          </w:p>
        </w:tc>
        <w:tc>
          <w:tcPr>
            <w:tcW w:w="3260" w:type="dxa"/>
            <w:vAlign w:val="center"/>
          </w:tcPr>
          <w:p>
            <w:pPr>
              <w:spacing w:line="360" w:lineRule="auto"/>
              <w:jc w:val="left"/>
              <w:rPr>
                <w:rFonts w:ascii="宋体" w:hAnsi="宋体" w:eastAsia="宋体" w:cs="Times New Roman"/>
                <w:color w:val="auto"/>
                <w:kern w:val="0"/>
                <w:highlight w:val="none"/>
              </w:rPr>
            </w:pPr>
          </w:p>
        </w:tc>
        <w:tc>
          <w:tcPr>
            <w:tcW w:w="2410" w:type="dxa"/>
            <w:vAlign w:val="center"/>
          </w:tcPr>
          <w:p>
            <w:pPr>
              <w:spacing w:line="360" w:lineRule="auto"/>
              <w:jc w:val="center"/>
              <w:rPr>
                <w:rFonts w:ascii="宋体" w:hAnsi="宋体" w:eastAsia="宋体" w:cs="Times New Roman"/>
                <w:color w:val="auto"/>
                <w:kern w:val="0"/>
                <w:highlight w:val="none"/>
              </w:rPr>
            </w:pPr>
            <w:r>
              <w:rPr>
                <w:rFonts w:hint="eastAsia" w:ascii="宋体" w:hAnsi="宋体" w:eastAsia="宋体" w:cs="宋体"/>
                <w:color w:val="auto"/>
                <w:kern w:val="0"/>
                <w:highlight w:val="none"/>
              </w:rPr>
              <w:t>完全按照公开遴选文件要求</w:t>
            </w:r>
          </w:p>
        </w:tc>
      </w:tr>
    </w:tbl>
    <w:p>
      <w:pPr>
        <w:spacing w:line="400" w:lineRule="exact"/>
        <w:ind w:firstLine="422" w:firstLineChars="200"/>
        <w:rPr>
          <w:rFonts w:ascii="宋体" w:hAnsi="宋体" w:eastAsia="宋体" w:cs="宋体"/>
          <w:b/>
          <w:bCs/>
          <w:color w:val="auto"/>
          <w:highlight w:val="none"/>
        </w:rPr>
      </w:pPr>
      <w:r>
        <w:rPr>
          <w:rFonts w:hint="eastAsia" w:ascii="宋体" w:hAnsi="宋体" w:eastAsia="宋体" w:cs="宋体"/>
          <w:b/>
          <w:bCs/>
          <w:color w:val="auto"/>
          <w:highlight w:val="none"/>
        </w:rPr>
        <w:t>注</w:t>
      </w:r>
      <w:r>
        <w:rPr>
          <w:rFonts w:ascii="宋体" w:hAnsi="宋体" w:eastAsia="宋体" w:cs="宋体"/>
          <w:b/>
          <w:bCs/>
          <w:color w:val="auto"/>
          <w:highlight w:val="none"/>
        </w:rPr>
        <w:t>:</w:t>
      </w:r>
    </w:p>
    <w:p>
      <w:pPr>
        <w:numPr>
          <w:ilvl w:val="0"/>
          <w:numId w:val="10"/>
        </w:numPr>
        <w:spacing w:line="400" w:lineRule="exact"/>
        <w:ind w:firstLine="420"/>
        <w:rPr>
          <w:rFonts w:ascii="宋体" w:hAnsi="宋体" w:eastAsia="宋体" w:cs="Times New Roman"/>
          <w:b/>
          <w:bCs/>
          <w:color w:val="auto"/>
          <w:highlight w:val="none"/>
        </w:rPr>
      </w:pPr>
      <w:r>
        <w:rPr>
          <w:rFonts w:hint="eastAsia" w:ascii="宋体" w:hAnsi="宋体" w:eastAsia="宋体" w:cs="宋体"/>
          <w:b/>
          <w:bCs/>
          <w:color w:val="auto"/>
          <w:highlight w:val="none"/>
        </w:rPr>
        <w:t>供应商报价超出本次项目预算，视为无效报价。</w:t>
      </w:r>
    </w:p>
    <w:p>
      <w:pPr>
        <w:numPr>
          <w:ilvl w:val="0"/>
          <w:numId w:val="10"/>
        </w:numPr>
        <w:spacing w:line="400" w:lineRule="exact"/>
        <w:ind w:firstLine="420"/>
        <w:rPr>
          <w:rFonts w:ascii="宋体" w:hAnsi="宋体" w:eastAsia="宋体" w:cs="Times New Roman"/>
          <w:b/>
          <w:bCs/>
          <w:color w:val="auto"/>
          <w:highlight w:val="none"/>
        </w:rPr>
      </w:pPr>
      <w:r>
        <w:rPr>
          <w:rFonts w:hint="eastAsia" w:ascii="宋体" w:hAnsi="宋体" w:eastAsia="宋体" w:cs="宋体"/>
          <w:b/>
          <w:bCs/>
          <w:color w:val="auto"/>
          <w:highlight w:val="none"/>
        </w:rPr>
        <w:t>报价应包含采购项目的全部费用，供应商不得再向采购人收取任何费用；</w:t>
      </w:r>
    </w:p>
    <w:p>
      <w:pPr>
        <w:numPr>
          <w:ilvl w:val="0"/>
          <w:numId w:val="10"/>
        </w:numPr>
        <w:spacing w:line="400" w:lineRule="exact"/>
        <w:ind w:firstLine="420"/>
        <w:rPr>
          <w:rFonts w:ascii="宋体" w:hAnsi="宋体" w:eastAsia="宋体" w:cs="Times New Roman"/>
          <w:b/>
          <w:bCs/>
          <w:color w:val="auto"/>
          <w:highlight w:val="none"/>
        </w:rPr>
      </w:pPr>
      <w:r>
        <w:rPr>
          <w:rFonts w:hint="eastAsia" w:ascii="宋体" w:hAnsi="宋体" w:eastAsia="宋体" w:cs="宋体"/>
          <w:b/>
          <w:bCs/>
          <w:color w:val="auto"/>
          <w:highlight w:val="none"/>
        </w:rPr>
        <w:t>本表格须附在正副的遴选响应文件中，并另封装一份在</w:t>
      </w:r>
      <w:r>
        <w:rPr>
          <w:rFonts w:ascii="宋体" w:hAnsi="宋体" w:eastAsia="宋体" w:cs="宋体"/>
          <w:b/>
          <w:bCs/>
          <w:color w:val="auto"/>
          <w:highlight w:val="none"/>
        </w:rPr>
        <w:t xml:space="preserve"> </w:t>
      </w:r>
      <w:r>
        <w:rPr>
          <w:rFonts w:hint="eastAsia" w:ascii="宋体" w:hAnsi="宋体" w:eastAsia="宋体" w:cs="宋体"/>
          <w:b/>
          <w:bCs/>
          <w:color w:val="auto"/>
          <w:highlight w:val="none"/>
        </w:rPr>
        <w:t>“唱标信封”内。</w:t>
      </w:r>
    </w:p>
    <w:p>
      <w:pPr>
        <w:tabs>
          <w:tab w:val="left" w:pos="3960"/>
        </w:tabs>
        <w:spacing w:line="360" w:lineRule="auto"/>
        <w:ind w:firstLine="4330" w:firstLineChars="2062"/>
        <w:jc w:val="left"/>
        <w:rPr>
          <w:rFonts w:ascii="宋体" w:hAnsi="宋体" w:eastAsia="宋体" w:cs="Times New Roman"/>
          <w:color w:val="auto"/>
          <w:highlight w:val="none"/>
        </w:rPr>
      </w:pPr>
    </w:p>
    <w:p>
      <w:pPr>
        <w:spacing w:line="360" w:lineRule="auto"/>
        <w:jc w:val="left"/>
        <w:rPr>
          <w:rFonts w:ascii="宋体" w:hAnsi="宋体" w:eastAsia="宋体" w:cs="宋体"/>
          <w:color w:val="auto"/>
          <w:highlight w:val="none"/>
        </w:rPr>
      </w:pPr>
      <w:r>
        <w:rPr>
          <w:rFonts w:hint="eastAsia" w:ascii="宋体" w:hAnsi="宋体" w:eastAsia="宋体" w:cs="宋体"/>
          <w:color w:val="auto"/>
          <w:highlight w:val="none"/>
        </w:rPr>
        <w:t>供应商全称（加盖公章）</w:t>
      </w:r>
      <w:r>
        <w:rPr>
          <w:rFonts w:ascii="宋体" w:hAnsi="宋体" w:eastAsia="宋体" w:cs="宋体"/>
          <w:color w:val="auto"/>
          <w:highlight w:val="none"/>
        </w:rPr>
        <w:t>:</w:t>
      </w:r>
    </w:p>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法定代表或其授权代表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spacing w:line="360" w:lineRule="auto"/>
        <w:jc w:val="left"/>
        <w:rPr>
          <w:rFonts w:ascii="宋体" w:hAnsi="宋体" w:eastAsia="宋体" w:cs="Times New Roman"/>
          <w:b/>
          <w:bCs/>
          <w:color w:val="auto"/>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tabs>
          <w:tab w:val="left" w:pos="3960"/>
        </w:tabs>
        <w:spacing w:line="360" w:lineRule="auto"/>
        <w:ind w:firstLine="4330" w:firstLineChars="2062"/>
        <w:rPr>
          <w:rFonts w:ascii="宋体" w:hAnsi="宋体" w:eastAsia="宋体" w:cs="Times New Roman"/>
          <w:color w:val="auto"/>
          <w:highlight w:val="none"/>
        </w:rPr>
      </w:pPr>
    </w:p>
    <w:p>
      <w:pPr>
        <w:tabs>
          <w:tab w:val="left" w:pos="3960"/>
        </w:tabs>
        <w:spacing w:line="360" w:lineRule="auto"/>
        <w:ind w:firstLine="4330" w:firstLineChars="2062"/>
        <w:rPr>
          <w:rFonts w:ascii="宋体" w:hAnsi="宋体" w:eastAsia="宋体" w:cs="Times New Roman"/>
          <w:color w:val="auto"/>
          <w:highlight w:val="none"/>
        </w:rPr>
      </w:pPr>
    </w:p>
    <w:p>
      <w:pPr>
        <w:autoSpaceDE w:val="0"/>
        <w:autoSpaceDN w:val="0"/>
        <w:adjustRightInd w:val="0"/>
        <w:jc w:val="left"/>
        <w:rPr>
          <w:rFonts w:ascii="宋体" w:hAnsi="宋体" w:eastAsia="宋体" w:cs="Times New Roman"/>
          <w:color w:val="auto"/>
          <w:kern w:val="0"/>
          <w:sz w:val="24"/>
          <w:szCs w:val="24"/>
          <w:highlight w:val="none"/>
        </w:rPr>
      </w:pPr>
    </w:p>
    <w:p>
      <w:pPr>
        <w:autoSpaceDE w:val="0"/>
        <w:autoSpaceDN w:val="0"/>
        <w:adjustRightInd w:val="0"/>
        <w:jc w:val="left"/>
        <w:rPr>
          <w:rFonts w:ascii="宋体" w:hAnsi="宋体" w:eastAsia="宋体" w:cs="Times New Roman"/>
          <w:color w:val="auto"/>
          <w:kern w:val="0"/>
          <w:sz w:val="24"/>
          <w:szCs w:val="24"/>
          <w:highlight w:val="none"/>
        </w:rPr>
      </w:pPr>
    </w:p>
    <w:p>
      <w:pPr>
        <w:autoSpaceDE w:val="0"/>
        <w:autoSpaceDN w:val="0"/>
        <w:adjustRightInd w:val="0"/>
        <w:jc w:val="left"/>
        <w:rPr>
          <w:rFonts w:ascii="宋体" w:hAnsi="宋体" w:eastAsia="宋体" w:cs="Times New Roman"/>
          <w:color w:val="auto"/>
          <w:kern w:val="0"/>
          <w:sz w:val="24"/>
          <w:szCs w:val="24"/>
          <w:highlight w:val="none"/>
        </w:rPr>
      </w:pPr>
    </w:p>
    <w:p>
      <w:pPr>
        <w:autoSpaceDE w:val="0"/>
        <w:autoSpaceDN w:val="0"/>
        <w:adjustRightInd w:val="0"/>
        <w:jc w:val="left"/>
        <w:rPr>
          <w:rFonts w:ascii="宋体" w:hAnsi="宋体" w:eastAsia="宋体" w:cs="Times New Roman"/>
          <w:color w:val="auto"/>
          <w:kern w:val="0"/>
          <w:sz w:val="24"/>
          <w:szCs w:val="24"/>
          <w:highlight w:val="none"/>
        </w:rPr>
      </w:pPr>
    </w:p>
    <w:p>
      <w:pPr>
        <w:autoSpaceDE w:val="0"/>
        <w:autoSpaceDN w:val="0"/>
        <w:adjustRightInd w:val="0"/>
        <w:jc w:val="left"/>
        <w:rPr>
          <w:rFonts w:ascii="宋体" w:hAnsi="宋体" w:eastAsia="宋体" w:cs="Times New Roman"/>
          <w:color w:val="auto"/>
          <w:kern w:val="0"/>
          <w:sz w:val="24"/>
          <w:szCs w:val="24"/>
          <w:highlight w:val="none"/>
        </w:rPr>
      </w:pPr>
    </w:p>
    <w:p>
      <w:pPr>
        <w:autoSpaceDE w:val="0"/>
        <w:autoSpaceDN w:val="0"/>
        <w:adjustRightInd w:val="0"/>
        <w:jc w:val="left"/>
        <w:rPr>
          <w:rFonts w:ascii="宋体" w:hAnsi="宋体" w:eastAsia="宋体" w:cs="Times New Roman"/>
          <w:color w:val="auto"/>
          <w:kern w:val="0"/>
          <w:sz w:val="24"/>
          <w:szCs w:val="24"/>
          <w:highlight w:val="none"/>
        </w:rPr>
      </w:pPr>
    </w:p>
    <w:p>
      <w:pPr>
        <w:autoSpaceDE w:val="0"/>
        <w:autoSpaceDN w:val="0"/>
        <w:adjustRightInd w:val="0"/>
        <w:jc w:val="left"/>
        <w:rPr>
          <w:rFonts w:ascii="宋体" w:hAnsi="宋体" w:eastAsia="宋体" w:cs="Times New Roman"/>
          <w:color w:val="auto"/>
          <w:kern w:val="0"/>
          <w:sz w:val="24"/>
          <w:szCs w:val="24"/>
          <w:highlight w:val="none"/>
        </w:rPr>
      </w:pPr>
    </w:p>
    <w:p>
      <w:pPr>
        <w:autoSpaceDE w:val="0"/>
        <w:autoSpaceDN w:val="0"/>
        <w:adjustRightInd w:val="0"/>
        <w:jc w:val="left"/>
        <w:rPr>
          <w:rFonts w:ascii="宋体" w:hAnsi="宋体" w:eastAsia="宋体" w:cs="Times New Roman"/>
          <w:color w:val="auto"/>
          <w:kern w:val="0"/>
          <w:sz w:val="24"/>
          <w:szCs w:val="24"/>
          <w:highlight w:val="none"/>
        </w:rPr>
      </w:pPr>
    </w:p>
    <w:p>
      <w:pPr>
        <w:autoSpaceDE w:val="0"/>
        <w:autoSpaceDN w:val="0"/>
        <w:adjustRightInd w:val="0"/>
        <w:jc w:val="left"/>
        <w:rPr>
          <w:rFonts w:ascii="宋体" w:hAnsi="宋体" w:eastAsia="宋体" w:cs="Times New Roman"/>
          <w:color w:val="auto"/>
          <w:kern w:val="0"/>
          <w:sz w:val="24"/>
          <w:szCs w:val="24"/>
          <w:highlight w:val="none"/>
        </w:rPr>
      </w:pPr>
    </w:p>
    <w:p>
      <w:pPr>
        <w:widowControl/>
        <w:jc w:val="left"/>
        <w:rPr>
          <w:rFonts w:ascii="宋体" w:hAnsi="宋体" w:eastAsia="宋体" w:cs="Times New Roman"/>
          <w:color w:val="auto"/>
          <w:sz w:val="28"/>
          <w:szCs w:val="28"/>
          <w:highlight w:val="none"/>
        </w:rPr>
      </w:pPr>
      <w:r>
        <w:rPr>
          <w:rFonts w:ascii="宋体" w:hAnsi="宋体" w:eastAsia="宋体" w:cs="Times New Roman"/>
          <w:b/>
          <w:bCs/>
          <w:color w:val="auto"/>
          <w:kern w:val="0"/>
          <w:sz w:val="28"/>
          <w:szCs w:val="28"/>
          <w:highlight w:val="none"/>
        </w:rPr>
        <w:br w:type="page"/>
      </w: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8  </w:t>
      </w:r>
      <w:r>
        <w:rPr>
          <w:rFonts w:hint="eastAsia" w:ascii="宋体" w:hAnsi="宋体" w:eastAsia="宋体" w:cs="宋体"/>
          <w:b/>
          <w:bCs/>
          <w:color w:val="auto"/>
          <w:kern w:val="0"/>
          <w:sz w:val="28"/>
          <w:szCs w:val="28"/>
          <w:highlight w:val="none"/>
        </w:rPr>
        <w:t>遴选响应明细报价表</w:t>
      </w:r>
    </w:p>
    <w:p>
      <w:pPr>
        <w:spacing w:line="360" w:lineRule="auto"/>
        <w:ind w:right="482"/>
        <w:jc w:val="left"/>
        <w:rPr>
          <w:rFonts w:ascii="宋体" w:hAnsi="宋体" w:eastAsia="宋体" w:cs="宋体"/>
          <w:color w:val="auto"/>
          <w:kern w:val="0"/>
          <w:highlight w:val="none"/>
        </w:rPr>
      </w:pPr>
      <w:r>
        <w:rPr>
          <w:rFonts w:hint="eastAsia" w:ascii="宋体" w:hAnsi="宋体" w:eastAsia="宋体" w:cs="宋体"/>
          <w:color w:val="auto"/>
          <w:kern w:val="0"/>
          <w:highlight w:val="none"/>
        </w:rPr>
        <w:t>项目名称：</w:t>
      </w:r>
      <w:r>
        <w:rPr>
          <w:rFonts w:ascii="宋体" w:hAnsi="宋体" w:eastAsia="宋体" w:cs="宋体"/>
          <w:color w:val="auto"/>
          <w:kern w:val="0"/>
          <w:highlight w:val="none"/>
        </w:rPr>
        <w:t xml:space="preserve"> </w:t>
      </w:r>
    </w:p>
    <w:p>
      <w:pPr>
        <w:spacing w:line="360" w:lineRule="auto"/>
        <w:ind w:right="482"/>
        <w:jc w:val="left"/>
        <w:rPr>
          <w:rFonts w:ascii="宋体" w:hAnsi="宋体" w:eastAsia="宋体" w:cs="Times New Roman"/>
          <w:color w:val="auto"/>
          <w:kern w:val="0"/>
          <w:highlight w:val="none"/>
        </w:rPr>
      </w:pPr>
      <w:r>
        <w:rPr>
          <w:rFonts w:hint="eastAsia" w:ascii="宋体" w:hAnsi="宋体" w:eastAsia="宋体" w:cs="宋体"/>
          <w:color w:val="auto"/>
          <w:kern w:val="0"/>
          <w:highlight w:val="none"/>
        </w:rPr>
        <w:t>项目编号：</w:t>
      </w:r>
    </w:p>
    <w:tbl>
      <w:tblPr>
        <w:tblStyle w:val="90"/>
        <w:tblW w:w="9374" w:type="dxa"/>
        <w:jc w:val="center"/>
        <w:tblInd w:w="0" w:type="dxa"/>
        <w:tblLayout w:type="fixed"/>
        <w:tblCellMar>
          <w:top w:w="0" w:type="dxa"/>
          <w:left w:w="108" w:type="dxa"/>
          <w:bottom w:w="0" w:type="dxa"/>
          <w:right w:w="108" w:type="dxa"/>
        </w:tblCellMar>
      </w:tblPr>
      <w:tblGrid>
        <w:gridCol w:w="638"/>
        <w:gridCol w:w="1084"/>
        <w:gridCol w:w="1661"/>
        <w:gridCol w:w="1192"/>
        <w:gridCol w:w="775"/>
        <w:gridCol w:w="1387"/>
        <w:gridCol w:w="1113"/>
        <w:gridCol w:w="1524"/>
      </w:tblGrid>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序号</w:t>
            </w:r>
          </w:p>
        </w:tc>
        <w:tc>
          <w:tcPr>
            <w:tcW w:w="108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监测项目</w:t>
            </w:r>
          </w:p>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类型</w:t>
            </w: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监测项目</w:t>
            </w:r>
          </w:p>
        </w:tc>
        <w:tc>
          <w:tcPr>
            <w:tcW w:w="1192" w:type="dxa"/>
            <w:tcBorders>
              <w:top w:val="single" w:color="auto" w:sz="4" w:space="0"/>
              <w:left w:val="nil"/>
              <w:bottom w:val="single" w:color="auto" w:sz="4" w:space="0"/>
              <w:right w:val="single" w:color="auto" w:sz="4" w:space="0"/>
            </w:tcBorders>
            <w:shd w:val="clear" w:color="auto" w:fill="FFFFFF"/>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下浮率（</w:t>
            </w:r>
            <w:r>
              <w:rPr>
                <w:rFonts w:ascii="宋体" w:hAnsi="宋体" w:eastAsia="宋体" w:cs="宋体"/>
                <w:b/>
                <w:bCs/>
                <w:color w:val="auto"/>
                <w:highlight w:val="none"/>
              </w:rPr>
              <w:t>%</w:t>
            </w:r>
            <w:r>
              <w:rPr>
                <w:rFonts w:hint="eastAsia" w:ascii="宋体" w:hAnsi="宋体" w:eastAsia="宋体" w:cs="宋体"/>
                <w:b/>
                <w:bCs/>
                <w:color w:val="auto"/>
                <w:highlight w:val="none"/>
              </w:rPr>
              <w:t>）及大写</w:t>
            </w: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计费</w:t>
            </w:r>
          </w:p>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单位</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成交单价（元）</w:t>
            </w: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jc w:val="center"/>
              <w:rPr>
                <w:rFonts w:ascii="宋体" w:hAnsi="宋体" w:eastAsia="宋体" w:cs="Times New Roman"/>
                <w:b/>
                <w:bCs/>
                <w:color w:val="auto"/>
                <w:highlight w:val="none"/>
              </w:rPr>
            </w:pPr>
            <w:r>
              <w:rPr>
                <w:rFonts w:hint="eastAsia" w:ascii="宋体" w:hAnsi="宋体" w:eastAsia="宋体" w:cs="宋体"/>
                <w:b/>
                <w:bCs/>
                <w:color w:val="auto"/>
                <w:highlight w:val="none"/>
              </w:rPr>
              <w:t>合计</w:t>
            </w: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1</w:t>
            </w:r>
          </w:p>
        </w:tc>
        <w:tc>
          <w:tcPr>
            <w:tcW w:w="1084" w:type="dxa"/>
            <w:vMerge w:val="restart"/>
            <w:tcBorders>
              <w:top w:val="single" w:color="auto" w:sz="4" w:space="0"/>
              <w:left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废气</w:t>
            </w: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饮食业油烟</w:t>
            </w:r>
          </w:p>
        </w:tc>
        <w:tc>
          <w:tcPr>
            <w:tcW w:w="1192" w:type="dxa"/>
            <w:vMerge w:val="restart"/>
            <w:tcBorders>
              <w:top w:val="single" w:color="auto" w:sz="4" w:space="0"/>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2</w:t>
            </w:r>
          </w:p>
        </w:tc>
        <w:tc>
          <w:tcPr>
            <w:tcW w:w="1084" w:type="dxa"/>
            <w:vMerge w:val="continue"/>
            <w:tcBorders>
              <w:left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恶臭气体（臭气浓度）</w:t>
            </w:r>
          </w:p>
        </w:tc>
        <w:tc>
          <w:tcPr>
            <w:tcW w:w="1192" w:type="dxa"/>
            <w:vMerge w:val="continue"/>
            <w:tcBorders>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3</w:t>
            </w:r>
          </w:p>
        </w:tc>
        <w:tc>
          <w:tcPr>
            <w:tcW w:w="1084" w:type="dxa"/>
            <w:vMerge w:val="continue"/>
            <w:tcBorders>
              <w:left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挥发性有机污染物</w:t>
            </w:r>
          </w:p>
        </w:tc>
        <w:tc>
          <w:tcPr>
            <w:tcW w:w="1192" w:type="dxa"/>
            <w:vMerge w:val="continue"/>
            <w:tcBorders>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4</w:t>
            </w:r>
          </w:p>
        </w:tc>
        <w:tc>
          <w:tcPr>
            <w:tcW w:w="1084" w:type="dxa"/>
            <w:vMerge w:val="continue"/>
            <w:tcBorders>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总挥发性有机物（</w:t>
            </w:r>
            <w:r>
              <w:rPr>
                <w:rFonts w:ascii="宋体" w:hAnsi="宋体" w:eastAsia="宋体" w:cs="宋体"/>
                <w:color w:val="auto"/>
                <w:highlight w:val="none"/>
              </w:rPr>
              <w:t>VOCS</w:t>
            </w:r>
            <w:r>
              <w:rPr>
                <w:rFonts w:hint="eastAsia" w:ascii="宋体" w:hAnsi="宋体" w:eastAsia="宋体" w:cs="宋体"/>
                <w:color w:val="auto"/>
                <w:highlight w:val="none"/>
              </w:rPr>
              <w:t>）</w:t>
            </w:r>
          </w:p>
        </w:tc>
        <w:tc>
          <w:tcPr>
            <w:tcW w:w="1192" w:type="dxa"/>
            <w:vMerge w:val="continue"/>
            <w:tcBorders>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5</w:t>
            </w:r>
          </w:p>
        </w:tc>
        <w:tc>
          <w:tcPr>
            <w:tcW w:w="1084" w:type="dxa"/>
            <w:vMerge w:val="restart"/>
            <w:tcBorders>
              <w:top w:val="single" w:color="auto" w:sz="4" w:space="0"/>
              <w:left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噪声</w:t>
            </w: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噪声（昼间）</w:t>
            </w:r>
          </w:p>
        </w:tc>
        <w:tc>
          <w:tcPr>
            <w:tcW w:w="1192" w:type="dxa"/>
            <w:vMerge w:val="continue"/>
            <w:tcBorders>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497" w:hRule="atLeast"/>
          <w:jc w:val="center"/>
        </w:trPr>
        <w:tc>
          <w:tcPr>
            <w:tcW w:w="638"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r>
              <w:rPr>
                <w:rFonts w:ascii="宋体" w:hAnsi="宋体" w:eastAsia="宋体" w:cs="宋体"/>
                <w:color w:val="auto"/>
                <w:highlight w:val="none"/>
              </w:rPr>
              <w:t>6</w:t>
            </w:r>
          </w:p>
        </w:tc>
        <w:tc>
          <w:tcPr>
            <w:tcW w:w="1084" w:type="dxa"/>
            <w:vMerge w:val="continue"/>
            <w:tcBorders>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宋体"/>
                <w:color w:val="auto"/>
                <w:highlight w:val="none"/>
              </w:rPr>
            </w:pPr>
          </w:p>
        </w:tc>
        <w:tc>
          <w:tcPr>
            <w:tcW w:w="1661" w:type="dxa"/>
            <w:tcBorders>
              <w:top w:val="single" w:color="auto" w:sz="4" w:space="0"/>
              <w:left w:val="single" w:color="auto" w:sz="4" w:space="0"/>
              <w:bottom w:val="single" w:color="auto" w:sz="4" w:space="0"/>
              <w:right w:val="single" w:color="auto" w:sz="4" w:space="0"/>
            </w:tcBorders>
            <w:shd w:val="clear" w:color="auto" w:fill="FFFFFF"/>
            <w:vAlign w:val="center"/>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噪声（夜间）</w:t>
            </w:r>
          </w:p>
        </w:tc>
        <w:tc>
          <w:tcPr>
            <w:tcW w:w="1192" w:type="dxa"/>
            <w:vMerge w:val="continue"/>
            <w:tcBorders>
              <w:left w:val="nil"/>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shd w:val="clear" w:color="auto" w:fill="FFFFFF"/>
          </w:tcPr>
          <w:p>
            <w:pPr>
              <w:tabs>
                <w:tab w:val="left" w:pos="1900"/>
              </w:tabs>
              <w:spacing w:line="24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shd w:val="clear" w:color="auto" w:fill="FFFFFF"/>
            <w:noWrap/>
            <w:vAlign w:val="center"/>
          </w:tcPr>
          <w:p>
            <w:pPr>
              <w:tabs>
                <w:tab w:val="left" w:pos="1900"/>
              </w:tabs>
              <w:spacing w:line="24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5"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7</w:t>
            </w:r>
          </w:p>
        </w:tc>
        <w:tc>
          <w:tcPr>
            <w:tcW w:w="1084" w:type="dxa"/>
            <w:vMerge w:val="restart"/>
            <w:tcBorders>
              <w:top w:val="nil"/>
              <w:left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废水</w:t>
            </w:r>
          </w:p>
        </w:tc>
        <w:tc>
          <w:tcPr>
            <w:tcW w:w="1661" w:type="dxa"/>
            <w:vMerge w:val="restart"/>
            <w:tcBorders>
              <w:top w:val="nil"/>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r>
              <w:rPr>
                <w:rFonts w:hint="eastAsia" w:ascii="宋体" w:hAnsi="宋体" w:eastAsia="宋体" w:cs="宋体"/>
                <w:color w:val="auto"/>
                <w:highlight w:val="none"/>
              </w:rPr>
              <w:t>饮食业废水（</w:t>
            </w:r>
            <w:r>
              <w:rPr>
                <w:rFonts w:ascii="宋体" w:hAnsi="宋体" w:eastAsia="宋体" w:cs="宋体"/>
                <w:color w:val="auto"/>
                <w:highlight w:val="none"/>
              </w:rPr>
              <w:t>6</w:t>
            </w:r>
            <w:r>
              <w:rPr>
                <w:rFonts w:hint="eastAsia" w:ascii="宋体" w:hAnsi="宋体" w:eastAsia="宋体" w:cs="宋体"/>
                <w:color w:val="auto"/>
                <w:highlight w:val="none"/>
              </w:rPr>
              <w:t>项）</w:t>
            </w:r>
            <w:r>
              <w:rPr>
                <w:rFonts w:ascii="宋体" w:hAnsi="宋体" w:eastAsia="宋体" w:cs="宋体"/>
                <w:color w:val="auto"/>
                <w:highlight w:val="none"/>
              </w:rPr>
              <w:t xml:space="preserve"> </w:t>
            </w:r>
          </w:p>
        </w:tc>
        <w:tc>
          <w:tcPr>
            <w:tcW w:w="1192"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ascii="宋体" w:hAnsi="宋体" w:eastAsia="宋体" w:cs="宋体"/>
                <w:color w:val="auto"/>
                <w:highlight w:val="none"/>
              </w:rPr>
              <w:t>pH</w:t>
            </w:r>
            <w:r>
              <w:rPr>
                <w:rFonts w:hint="eastAsia" w:ascii="宋体" w:hAnsi="宋体" w:eastAsia="宋体" w:cs="宋体"/>
                <w:color w:val="auto"/>
                <w:highlight w:val="none"/>
              </w:rPr>
              <w:t>值</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restart"/>
            <w:tcBorders>
              <w:top w:val="single" w:color="auto" w:sz="4" w:space="0"/>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2"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8</w:t>
            </w:r>
          </w:p>
        </w:tc>
        <w:tc>
          <w:tcPr>
            <w:tcW w:w="1084" w:type="dxa"/>
            <w:vMerge w:val="continue"/>
            <w:tcBorders>
              <w:left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化学需氧量</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2"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9</w:t>
            </w:r>
          </w:p>
        </w:tc>
        <w:tc>
          <w:tcPr>
            <w:tcW w:w="1084" w:type="dxa"/>
            <w:vMerge w:val="continue"/>
            <w:tcBorders>
              <w:left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悬浮物</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2"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10</w:t>
            </w:r>
          </w:p>
        </w:tc>
        <w:tc>
          <w:tcPr>
            <w:tcW w:w="1084" w:type="dxa"/>
            <w:vMerge w:val="continue"/>
            <w:tcBorders>
              <w:left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总磷</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2"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11</w:t>
            </w:r>
          </w:p>
        </w:tc>
        <w:tc>
          <w:tcPr>
            <w:tcW w:w="1084" w:type="dxa"/>
            <w:vMerge w:val="continue"/>
            <w:tcBorders>
              <w:left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动植物油</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12"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12</w:t>
            </w:r>
          </w:p>
        </w:tc>
        <w:tc>
          <w:tcPr>
            <w:tcW w:w="1084" w:type="dxa"/>
            <w:vMerge w:val="continue"/>
            <w:tcBorders>
              <w:left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氨氮</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7"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13</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restart"/>
            <w:tcBorders>
              <w:top w:val="nil"/>
              <w:left w:val="nil"/>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医疗废水（</w:t>
            </w:r>
            <w:r>
              <w:rPr>
                <w:rFonts w:ascii="宋体" w:hAnsi="宋体" w:eastAsia="宋体" w:cs="宋体"/>
                <w:color w:val="auto"/>
                <w:highlight w:val="none"/>
              </w:rPr>
              <w:t>10</w:t>
            </w:r>
            <w:r>
              <w:rPr>
                <w:rFonts w:hint="eastAsia" w:ascii="宋体" w:hAnsi="宋体" w:eastAsia="宋体" w:cs="宋体"/>
                <w:color w:val="auto"/>
                <w:highlight w:val="none"/>
              </w:rPr>
              <w:t>项）</w:t>
            </w: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ascii="宋体" w:hAnsi="宋体" w:eastAsia="宋体" w:cs="宋体"/>
                <w:color w:val="auto"/>
                <w:highlight w:val="none"/>
              </w:rPr>
              <w:t>pH</w:t>
            </w:r>
            <w:r>
              <w:rPr>
                <w:rFonts w:hint="eastAsia" w:ascii="宋体" w:hAnsi="宋体" w:eastAsia="宋体" w:cs="宋体"/>
                <w:color w:val="auto"/>
                <w:highlight w:val="none"/>
              </w:rPr>
              <w:t>值</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restart"/>
            <w:tcBorders>
              <w:top w:val="single" w:color="auto" w:sz="4" w:space="0"/>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14</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化学需氧量</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15</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悬浮物</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16</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阴离子表面活性剂</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17</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氨氮</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18</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总磷</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19</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总余氯</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20</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粪大肠菌群</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21</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动植物油</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22</w:t>
            </w:r>
          </w:p>
        </w:tc>
        <w:tc>
          <w:tcPr>
            <w:tcW w:w="1084" w:type="dxa"/>
            <w:vMerge w:val="continue"/>
            <w:tcBorders>
              <w:left w:val="single" w:color="auto" w:sz="4" w:space="0"/>
              <w:bottom w:val="single" w:color="000000"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vMerge w:val="continue"/>
            <w:tcBorders>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宋体"/>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项</w:t>
            </w:r>
          </w:p>
        </w:tc>
        <w:tc>
          <w:tcPr>
            <w:tcW w:w="1387" w:type="dxa"/>
            <w:tcBorders>
              <w:top w:val="single" w:color="auto" w:sz="4" w:space="0"/>
              <w:left w:val="single" w:color="auto" w:sz="4" w:space="0"/>
              <w:bottom w:val="single" w:color="auto" w:sz="4" w:space="0"/>
              <w:right w:val="single" w:color="auto" w:sz="4" w:space="0"/>
            </w:tcBorders>
            <w:noWrap/>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石油类</w:t>
            </w:r>
          </w:p>
        </w:tc>
        <w:tc>
          <w:tcPr>
            <w:tcW w:w="1113" w:type="dxa"/>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1524" w:type="dxa"/>
            <w:vMerge w:val="continue"/>
            <w:tcBorders>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23</w:t>
            </w:r>
          </w:p>
        </w:tc>
        <w:tc>
          <w:tcPr>
            <w:tcW w:w="1084" w:type="dxa"/>
            <w:vMerge w:val="restart"/>
            <w:tcBorders>
              <w:left w:val="single" w:color="auto" w:sz="4" w:space="0"/>
              <w:right w:val="single" w:color="auto" w:sz="4" w:space="0"/>
            </w:tcBorders>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电磁（电离）辐射</w:t>
            </w:r>
          </w:p>
        </w:tc>
        <w:tc>
          <w:tcPr>
            <w:tcW w:w="1661" w:type="dxa"/>
            <w:tcBorders>
              <w:left w:val="nil"/>
              <w:bottom w:val="single" w:color="auto" w:sz="4" w:space="0"/>
              <w:right w:val="single" w:color="auto" w:sz="4" w:space="0"/>
            </w:tcBorders>
            <w:vAlign w:val="center"/>
          </w:tcPr>
          <w:p>
            <w:pPr>
              <w:tabs>
                <w:tab w:val="left" w:pos="1900"/>
              </w:tabs>
              <w:ind w:firstLine="27" w:firstLineChars="13"/>
              <w:jc w:val="center"/>
              <w:rPr>
                <w:rFonts w:ascii="宋体" w:hAnsi="宋体" w:eastAsia="宋体" w:cs="Times New Roman"/>
                <w:color w:val="auto"/>
                <w:highlight w:val="none"/>
              </w:rPr>
            </w:pPr>
            <w:r>
              <w:rPr>
                <w:rFonts w:hint="eastAsia" w:ascii="Times New Roman" w:hAnsi="Times New Roman"/>
                <w:color w:val="auto"/>
                <w:highlight w:val="none"/>
              </w:rPr>
              <w:t>工频电场强度、工频磁场强度</w:t>
            </w: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Times New Roman" w:hAnsi="Times New Roman" w:cs="Times New Roman"/>
                <w:color w:val="auto"/>
                <w:highlight w:val="none"/>
              </w:rPr>
            </w:pPr>
            <w:r>
              <w:rPr>
                <w:rFonts w:hint="eastAsia" w:ascii="Times New Roman" w:hAnsi="Times New Roman"/>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21" w:hRule="atLeast"/>
          <w:jc w:val="center"/>
        </w:trPr>
        <w:tc>
          <w:tcPr>
            <w:tcW w:w="638"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24</w:t>
            </w:r>
          </w:p>
        </w:tc>
        <w:tc>
          <w:tcPr>
            <w:tcW w:w="1084" w:type="dxa"/>
            <w:vMerge w:val="continue"/>
            <w:tcBorders>
              <w:left w:val="single" w:color="auto" w:sz="4" w:space="0"/>
              <w:bottom w:val="single" w:color="000000" w:sz="4" w:space="0"/>
              <w:right w:val="single" w:color="auto" w:sz="4" w:space="0"/>
            </w:tcBorders>
            <w:vAlign w:val="center"/>
          </w:tcPr>
          <w:p>
            <w:pPr>
              <w:tabs>
                <w:tab w:val="left" w:pos="1900"/>
              </w:tabs>
              <w:jc w:val="center"/>
              <w:rPr>
                <w:rFonts w:ascii="宋体" w:hAnsi="宋体" w:eastAsia="宋体" w:cs="Times New Roman"/>
                <w:color w:val="auto"/>
                <w:highlight w:val="none"/>
              </w:rPr>
            </w:pPr>
          </w:p>
        </w:tc>
        <w:tc>
          <w:tcPr>
            <w:tcW w:w="1661" w:type="dxa"/>
            <w:tcBorders>
              <w:left w:val="nil"/>
              <w:bottom w:val="single" w:color="auto" w:sz="4" w:space="0"/>
              <w:right w:val="single" w:color="auto" w:sz="4" w:space="0"/>
            </w:tcBorders>
            <w:vAlign w:val="center"/>
          </w:tcPr>
          <w:p>
            <w:pPr>
              <w:tabs>
                <w:tab w:val="left" w:pos="1900"/>
              </w:tabs>
              <w:ind w:firstLine="27" w:firstLineChars="13"/>
              <w:jc w:val="center"/>
              <w:rPr>
                <w:rFonts w:ascii="宋体" w:hAnsi="宋体" w:eastAsia="宋体" w:cs="Times New Roman"/>
                <w:color w:val="auto"/>
                <w:highlight w:val="none"/>
              </w:rPr>
            </w:pPr>
            <w:r>
              <w:rPr>
                <w:rFonts w:hint="eastAsia" w:ascii="Times New Roman" w:hAnsi="Times New Roman"/>
                <w:color w:val="auto"/>
                <w:highlight w:val="none"/>
              </w:rPr>
              <w:t>工频电场强度</w:t>
            </w:r>
          </w:p>
        </w:tc>
        <w:tc>
          <w:tcPr>
            <w:tcW w:w="1192" w:type="dxa"/>
            <w:vMerge w:val="continue"/>
            <w:tcBorders>
              <w:left w:val="nil"/>
              <w:right w:val="single" w:color="auto" w:sz="4" w:space="0"/>
            </w:tcBorders>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Times New Roman" w:hAnsi="Times New Roman" w:cs="Times New Roman"/>
                <w:color w:val="auto"/>
                <w:highlight w:val="none"/>
              </w:rPr>
            </w:pPr>
            <w:r>
              <w:rPr>
                <w:rFonts w:hint="eastAsia" w:ascii="Times New Roman" w:hAnsi="Times New Roman"/>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519" w:hRule="atLeast"/>
          <w:jc w:val="center"/>
        </w:trPr>
        <w:tc>
          <w:tcPr>
            <w:tcW w:w="638" w:type="dxa"/>
            <w:tcBorders>
              <w:top w:val="nil"/>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25</w:t>
            </w:r>
          </w:p>
        </w:tc>
        <w:tc>
          <w:tcPr>
            <w:tcW w:w="1084" w:type="dxa"/>
            <w:vMerge w:val="restart"/>
            <w:tcBorders>
              <w:top w:val="nil"/>
              <w:left w:val="single" w:color="auto" w:sz="4" w:space="0"/>
              <w:right w:val="single" w:color="auto" w:sz="4" w:space="0"/>
            </w:tcBorders>
            <w:noWrap/>
            <w:vAlign w:val="center"/>
          </w:tcPr>
          <w:p>
            <w:pPr>
              <w:tabs>
                <w:tab w:val="left" w:pos="1900"/>
              </w:tabs>
              <w:jc w:val="center"/>
              <w:rPr>
                <w:rFonts w:ascii="宋体" w:hAnsi="宋体" w:eastAsia="宋体" w:cs="Times New Roman"/>
                <w:color w:val="auto"/>
                <w:highlight w:val="none"/>
              </w:rPr>
            </w:pPr>
            <w:r>
              <w:rPr>
                <w:rFonts w:hint="eastAsia" w:ascii="Times New Roman" w:hAnsi="Times New Roman"/>
                <w:color w:val="auto"/>
                <w:highlight w:val="none"/>
              </w:rPr>
              <w:t>电磁（电离）辐射</w:t>
            </w:r>
          </w:p>
        </w:tc>
        <w:tc>
          <w:tcPr>
            <w:tcW w:w="1661" w:type="dxa"/>
            <w:tcBorders>
              <w:top w:val="nil"/>
              <w:left w:val="nil"/>
              <w:bottom w:val="single" w:color="auto" w:sz="4" w:space="0"/>
              <w:right w:val="single" w:color="auto" w:sz="4" w:space="0"/>
            </w:tcBorders>
            <w:vAlign w:val="center"/>
          </w:tcPr>
          <w:p>
            <w:pPr>
              <w:tabs>
                <w:tab w:val="left" w:pos="1900"/>
              </w:tabs>
              <w:ind w:firstLine="27" w:firstLineChars="13"/>
              <w:jc w:val="center"/>
              <w:rPr>
                <w:rFonts w:ascii="宋体" w:hAnsi="宋体" w:eastAsia="宋体" w:cs="Times New Roman"/>
                <w:color w:val="auto"/>
                <w:highlight w:val="none"/>
              </w:rPr>
            </w:pPr>
            <w:r>
              <w:rPr>
                <w:rFonts w:hint="eastAsia" w:ascii="Times New Roman" w:hAnsi="Times New Roman"/>
                <w:color w:val="auto"/>
                <w:highlight w:val="none"/>
              </w:rPr>
              <w:t>电场强度、磁场强度、功率密度</w:t>
            </w:r>
          </w:p>
        </w:tc>
        <w:tc>
          <w:tcPr>
            <w:tcW w:w="1192"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Times New Roman" w:hAnsi="Times New Roman"/>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519" w:hRule="atLeast"/>
          <w:jc w:val="center"/>
        </w:trPr>
        <w:tc>
          <w:tcPr>
            <w:tcW w:w="638" w:type="dxa"/>
            <w:tcBorders>
              <w:top w:val="nil"/>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26</w:t>
            </w:r>
          </w:p>
        </w:tc>
        <w:tc>
          <w:tcPr>
            <w:tcW w:w="1084" w:type="dxa"/>
            <w:vMerge w:val="continue"/>
            <w:tcBorders>
              <w:left w:val="single" w:color="auto" w:sz="4" w:space="0"/>
              <w:right w:val="single" w:color="auto" w:sz="4" w:space="0"/>
            </w:tcBorders>
            <w:noWrap/>
            <w:vAlign w:val="center"/>
          </w:tcPr>
          <w:p>
            <w:pPr>
              <w:tabs>
                <w:tab w:val="left" w:pos="1900"/>
              </w:tabs>
              <w:jc w:val="center"/>
              <w:rPr>
                <w:rFonts w:ascii="Times New Roman" w:hAnsi="Times New Roman" w:cs="Times New Roman"/>
                <w:color w:val="auto"/>
                <w:highlight w:val="none"/>
              </w:rPr>
            </w:pPr>
          </w:p>
        </w:tc>
        <w:tc>
          <w:tcPr>
            <w:tcW w:w="1661" w:type="dxa"/>
            <w:tcBorders>
              <w:top w:val="nil"/>
              <w:left w:val="nil"/>
              <w:bottom w:val="single" w:color="auto" w:sz="4" w:space="0"/>
              <w:right w:val="single" w:color="auto" w:sz="4" w:space="0"/>
            </w:tcBorders>
            <w:vAlign w:val="center"/>
          </w:tcPr>
          <w:p>
            <w:pPr>
              <w:tabs>
                <w:tab w:val="left" w:pos="1900"/>
              </w:tabs>
              <w:ind w:firstLine="27" w:firstLineChars="13"/>
              <w:jc w:val="center"/>
              <w:rPr>
                <w:rFonts w:ascii="宋体" w:hAnsi="宋体" w:eastAsia="宋体" w:cs="Times New Roman"/>
                <w:color w:val="auto"/>
                <w:highlight w:val="none"/>
              </w:rPr>
            </w:pPr>
            <w:r>
              <w:rPr>
                <w:rFonts w:hint="eastAsia" w:ascii="Times New Roman" w:hAnsi="Times New Roman"/>
                <w:color w:val="auto"/>
                <w:highlight w:val="none"/>
              </w:rPr>
              <w:t>无线电干扰场强</w:t>
            </w:r>
          </w:p>
        </w:tc>
        <w:tc>
          <w:tcPr>
            <w:tcW w:w="1192"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Times New Roman" w:hAnsi="Times New Roman"/>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519" w:hRule="atLeast"/>
          <w:jc w:val="center"/>
        </w:trPr>
        <w:tc>
          <w:tcPr>
            <w:tcW w:w="638" w:type="dxa"/>
            <w:tcBorders>
              <w:top w:val="nil"/>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27</w:t>
            </w:r>
          </w:p>
        </w:tc>
        <w:tc>
          <w:tcPr>
            <w:tcW w:w="1084" w:type="dxa"/>
            <w:vMerge w:val="continue"/>
            <w:tcBorders>
              <w:left w:val="single" w:color="auto" w:sz="4" w:space="0"/>
              <w:right w:val="single" w:color="auto" w:sz="4" w:space="0"/>
            </w:tcBorders>
            <w:noWrap/>
            <w:vAlign w:val="center"/>
          </w:tcPr>
          <w:p>
            <w:pPr>
              <w:tabs>
                <w:tab w:val="left" w:pos="1900"/>
              </w:tabs>
              <w:jc w:val="center"/>
              <w:rPr>
                <w:rFonts w:ascii="Times New Roman" w:hAnsi="Times New Roman" w:cs="Times New Roman"/>
                <w:color w:val="auto"/>
                <w:highlight w:val="none"/>
              </w:rPr>
            </w:pPr>
          </w:p>
        </w:tc>
        <w:tc>
          <w:tcPr>
            <w:tcW w:w="1661" w:type="dxa"/>
            <w:tcBorders>
              <w:top w:val="nil"/>
              <w:left w:val="nil"/>
              <w:bottom w:val="single" w:color="auto" w:sz="4" w:space="0"/>
              <w:right w:val="single" w:color="auto" w:sz="4" w:space="0"/>
            </w:tcBorders>
            <w:vAlign w:val="center"/>
          </w:tcPr>
          <w:p>
            <w:pPr>
              <w:tabs>
                <w:tab w:val="left" w:pos="1900"/>
              </w:tabs>
              <w:spacing w:line="300" w:lineRule="exact"/>
              <w:ind w:firstLine="27" w:firstLineChars="13"/>
              <w:jc w:val="center"/>
              <w:rPr>
                <w:rFonts w:ascii="宋体" w:hAnsi="宋体" w:eastAsia="宋体" w:cs="Times New Roman"/>
                <w:color w:val="auto"/>
                <w:highlight w:val="none"/>
              </w:rPr>
            </w:pPr>
            <w:r>
              <w:rPr>
                <w:rFonts w:ascii="宋体" w:hAnsi="宋体" w:eastAsia="宋体" w:cs="宋体"/>
                <w:color w:val="auto"/>
                <w:highlight w:val="none"/>
              </w:rPr>
              <w:t>X</w:t>
            </w:r>
            <w:r>
              <w:rPr>
                <w:rFonts w:hint="eastAsia" w:ascii="宋体" w:hAnsi="宋体" w:eastAsia="宋体" w:cs="宋体"/>
                <w:color w:val="auto"/>
                <w:highlight w:val="none"/>
              </w:rPr>
              <w:t>、γ辐射剂量率</w:t>
            </w:r>
          </w:p>
        </w:tc>
        <w:tc>
          <w:tcPr>
            <w:tcW w:w="1192" w:type="dxa"/>
            <w:vMerge w:val="continue"/>
            <w:tcBorders>
              <w:left w:val="nil"/>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156" w:hRule="atLeast"/>
          <w:jc w:val="center"/>
        </w:trPr>
        <w:tc>
          <w:tcPr>
            <w:tcW w:w="638" w:type="dxa"/>
            <w:tcBorders>
              <w:top w:val="nil"/>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宋体"/>
                <w:color w:val="auto"/>
                <w:highlight w:val="none"/>
              </w:rPr>
            </w:pPr>
            <w:r>
              <w:rPr>
                <w:rFonts w:ascii="宋体" w:hAnsi="宋体" w:eastAsia="宋体" w:cs="宋体"/>
                <w:color w:val="auto"/>
                <w:highlight w:val="none"/>
              </w:rPr>
              <w:t>28</w:t>
            </w:r>
          </w:p>
        </w:tc>
        <w:tc>
          <w:tcPr>
            <w:tcW w:w="1084" w:type="dxa"/>
            <w:vMerge w:val="continue"/>
            <w:tcBorders>
              <w:left w:val="single" w:color="auto" w:sz="4" w:space="0"/>
              <w:right w:val="single" w:color="auto" w:sz="4" w:space="0"/>
            </w:tcBorders>
            <w:vAlign w:val="center"/>
          </w:tcPr>
          <w:p>
            <w:pPr>
              <w:tabs>
                <w:tab w:val="left" w:pos="1900"/>
              </w:tabs>
              <w:spacing w:line="300" w:lineRule="exact"/>
              <w:jc w:val="center"/>
              <w:rPr>
                <w:rFonts w:ascii="宋体" w:hAnsi="宋体" w:eastAsia="宋体" w:cs="宋体"/>
                <w:color w:val="auto"/>
                <w:highlight w:val="none"/>
              </w:rPr>
            </w:pPr>
          </w:p>
        </w:tc>
        <w:tc>
          <w:tcPr>
            <w:tcW w:w="1661" w:type="dxa"/>
            <w:tcBorders>
              <w:top w:val="nil"/>
              <w:left w:val="nil"/>
              <w:bottom w:val="single" w:color="auto" w:sz="4" w:space="0"/>
              <w:right w:val="single" w:color="auto" w:sz="4" w:space="0"/>
            </w:tcBorders>
            <w:vAlign w:val="center"/>
          </w:tcPr>
          <w:p>
            <w:pPr>
              <w:tabs>
                <w:tab w:val="left" w:pos="1900"/>
              </w:tabs>
              <w:spacing w:line="300" w:lineRule="exact"/>
              <w:ind w:firstLine="27" w:firstLineChars="13"/>
              <w:jc w:val="center"/>
              <w:rPr>
                <w:rFonts w:ascii="宋体" w:hAnsi="宋体" w:eastAsia="宋体" w:cs="Times New Roman"/>
                <w:color w:val="auto"/>
                <w:highlight w:val="none"/>
              </w:rPr>
            </w:pPr>
            <w:r>
              <w:rPr>
                <w:rFonts w:hint="eastAsia" w:ascii="宋体" w:hAnsi="宋体" w:eastAsia="宋体" w:cs="宋体"/>
                <w:color w:val="auto"/>
                <w:highlight w:val="none"/>
              </w:rPr>
              <w:t>α、β表面污染</w:t>
            </w:r>
          </w:p>
        </w:tc>
        <w:tc>
          <w:tcPr>
            <w:tcW w:w="1192" w:type="dxa"/>
            <w:vMerge w:val="continue"/>
            <w:tcBorders>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p>
        </w:tc>
        <w:tc>
          <w:tcPr>
            <w:tcW w:w="775" w:type="dxa"/>
            <w:tcBorders>
              <w:top w:val="single" w:color="auto" w:sz="4" w:space="0"/>
              <w:left w:val="nil"/>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点</w:t>
            </w:r>
          </w:p>
        </w:tc>
        <w:tc>
          <w:tcPr>
            <w:tcW w:w="2500" w:type="dxa"/>
            <w:gridSpan w:val="2"/>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c>
          <w:tcPr>
            <w:tcW w:w="1524" w:type="dxa"/>
            <w:tcBorders>
              <w:top w:val="single" w:color="auto" w:sz="4" w:space="0"/>
              <w:left w:val="single" w:color="auto" w:sz="4" w:space="0"/>
              <w:bottom w:val="single" w:color="auto" w:sz="4" w:space="0"/>
              <w:right w:val="single" w:color="auto" w:sz="4" w:space="0"/>
            </w:tcBorders>
            <w:noWrap/>
            <w:vAlign w:val="center"/>
          </w:tcPr>
          <w:p>
            <w:pPr>
              <w:tabs>
                <w:tab w:val="left" w:pos="1900"/>
              </w:tabs>
              <w:spacing w:line="300" w:lineRule="exact"/>
              <w:jc w:val="center"/>
              <w:rPr>
                <w:rFonts w:ascii="宋体" w:hAnsi="宋体" w:eastAsia="宋体" w:cs="Times New Roman"/>
                <w:color w:val="auto"/>
                <w:highlight w:val="none"/>
              </w:rPr>
            </w:pPr>
          </w:p>
        </w:tc>
      </w:tr>
      <w:tr>
        <w:tblPrEx>
          <w:tblLayout w:type="fixed"/>
          <w:tblCellMar>
            <w:top w:w="0" w:type="dxa"/>
            <w:left w:w="108" w:type="dxa"/>
            <w:bottom w:w="0" w:type="dxa"/>
            <w:right w:w="108" w:type="dxa"/>
          </w:tblCellMar>
        </w:tblPrEx>
        <w:trPr>
          <w:trHeight w:val="539" w:hRule="atLeast"/>
          <w:jc w:val="center"/>
        </w:trPr>
        <w:tc>
          <w:tcPr>
            <w:tcW w:w="3383" w:type="dxa"/>
            <w:gridSpan w:val="3"/>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备注</w:t>
            </w:r>
          </w:p>
        </w:tc>
        <w:tc>
          <w:tcPr>
            <w:tcW w:w="5991" w:type="dxa"/>
            <w:gridSpan w:val="5"/>
            <w:tcBorders>
              <w:top w:val="single" w:color="auto" w:sz="4" w:space="0"/>
              <w:left w:val="single" w:color="auto" w:sz="4" w:space="0"/>
              <w:bottom w:val="single" w:color="auto" w:sz="4" w:space="0"/>
              <w:right w:val="single" w:color="auto" w:sz="4" w:space="0"/>
            </w:tcBorders>
            <w:vAlign w:val="center"/>
          </w:tcPr>
          <w:p>
            <w:pPr>
              <w:tabs>
                <w:tab w:val="left" w:pos="1900"/>
              </w:tabs>
              <w:spacing w:line="300" w:lineRule="exact"/>
              <w:jc w:val="center"/>
              <w:rPr>
                <w:rFonts w:ascii="宋体" w:hAnsi="宋体" w:eastAsia="宋体" w:cs="Times New Roman"/>
                <w:color w:val="auto"/>
                <w:highlight w:val="none"/>
              </w:rPr>
            </w:pPr>
            <w:r>
              <w:rPr>
                <w:rFonts w:hint="eastAsia" w:ascii="宋体" w:hAnsi="宋体" w:eastAsia="宋体" w:cs="宋体"/>
                <w:color w:val="auto"/>
                <w:highlight w:val="none"/>
              </w:rPr>
              <w:t>上述成交单价已包括采样、检测、人员、交通、税费等全部费用</w:t>
            </w:r>
          </w:p>
        </w:tc>
      </w:tr>
    </w:tbl>
    <w:p>
      <w:pPr>
        <w:spacing w:line="360" w:lineRule="auto"/>
        <w:jc w:val="left"/>
        <w:rPr>
          <w:rFonts w:ascii="宋体" w:hAnsi="宋体" w:eastAsia="宋体" w:cs="宋体"/>
          <w:color w:val="auto"/>
          <w:highlight w:val="none"/>
        </w:rPr>
      </w:pPr>
      <w:r>
        <w:rPr>
          <w:rFonts w:hint="eastAsia" w:ascii="宋体" w:hAnsi="宋体" w:eastAsia="宋体" w:cs="宋体"/>
          <w:color w:val="auto"/>
          <w:highlight w:val="none"/>
        </w:rPr>
        <w:t>供应商全称（加盖公章）</w:t>
      </w:r>
      <w:r>
        <w:rPr>
          <w:rFonts w:ascii="宋体" w:hAnsi="宋体" w:eastAsia="宋体" w:cs="宋体"/>
          <w:color w:val="auto"/>
          <w:highlight w:val="none"/>
        </w:rPr>
        <w:t>:</w:t>
      </w:r>
    </w:p>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法定代表或其授权代表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spacing w:line="360" w:lineRule="auto"/>
        <w:jc w:val="left"/>
        <w:rPr>
          <w:rFonts w:ascii="宋体" w:hAnsi="宋体" w:eastAsia="宋体" w:cs="Times New Roman"/>
          <w:color w:val="auto"/>
          <w:highlight w:val="none"/>
        </w:rPr>
        <w:sectPr>
          <w:headerReference r:id="rId13" w:type="default"/>
          <w:pgSz w:w="11906" w:h="16838"/>
          <w:pgMar w:top="567" w:right="1304" w:bottom="567" w:left="1304" w:header="567" w:footer="737" w:gutter="0"/>
          <w:cols w:space="720" w:num="1"/>
          <w:docGrid w:linePitch="312" w:charSpace="0"/>
        </w:sect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9  </w:t>
      </w:r>
      <w:r>
        <w:rPr>
          <w:rFonts w:hint="eastAsia" w:ascii="宋体" w:hAnsi="宋体" w:eastAsia="宋体" w:cs="宋体"/>
          <w:b/>
          <w:bCs/>
          <w:color w:val="auto"/>
          <w:kern w:val="0"/>
          <w:sz w:val="28"/>
          <w:szCs w:val="28"/>
          <w:highlight w:val="none"/>
        </w:rPr>
        <w:t>产品适用政府采购政策情况表</w:t>
      </w:r>
    </w:p>
    <w:p>
      <w:pPr>
        <w:spacing w:line="360" w:lineRule="auto"/>
        <w:rPr>
          <w:rFonts w:ascii="宋体" w:hAnsi="宋体" w:eastAsia="宋体" w:cs="Times New Roman"/>
          <w:b/>
          <w:bCs/>
          <w:color w:val="auto"/>
          <w:kern w:val="0"/>
          <w:sz w:val="24"/>
          <w:szCs w:val="24"/>
          <w:highlight w:val="none"/>
        </w:rPr>
      </w:pPr>
    </w:p>
    <w:p>
      <w:pPr>
        <w:spacing w:line="360" w:lineRule="auto"/>
        <w:jc w:val="center"/>
        <w:rPr>
          <w:rFonts w:ascii="宋体" w:hAnsi="宋体" w:eastAsia="宋体" w:cs="Times New Roman"/>
          <w:color w:val="auto"/>
          <w:kern w:val="0"/>
          <w:sz w:val="24"/>
          <w:szCs w:val="24"/>
          <w:highlight w:val="none"/>
        </w:rPr>
      </w:pPr>
      <w:r>
        <w:rPr>
          <w:rFonts w:hint="eastAsia" w:ascii="宋体" w:hAnsi="宋体" w:eastAsia="宋体" w:cs="宋体"/>
          <w:color w:val="auto"/>
          <w:kern w:val="0"/>
          <w:sz w:val="24"/>
          <w:szCs w:val="24"/>
          <w:highlight w:val="none"/>
        </w:rPr>
        <w:t>产品适用政府采购政策情况表</w:t>
      </w:r>
    </w:p>
    <w:tbl>
      <w:tblPr>
        <w:tblStyle w:val="90"/>
        <w:tblW w:w="9338"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350"/>
        <w:gridCol w:w="392"/>
        <w:gridCol w:w="1279"/>
        <w:gridCol w:w="822"/>
        <w:gridCol w:w="1798"/>
        <w:gridCol w:w="1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restart"/>
            <w:vAlign w:val="center"/>
          </w:tcPr>
          <w:p>
            <w:pPr>
              <w:tabs>
                <w:tab w:val="left" w:pos="1260"/>
              </w:tabs>
              <w:spacing w:before="156" w:after="156" w:line="360" w:lineRule="auto"/>
              <w:jc w:val="left"/>
              <w:rPr>
                <w:rFonts w:ascii="宋体" w:hAnsi="宋体" w:eastAsia="宋体" w:cs="Times New Roman"/>
                <w:color w:val="auto"/>
                <w:highlight w:val="none"/>
                <w:lang w:val="en-GB"/>
              </w:rPr>
            </w:pPr>
            <w:r>
              <w:rPr>
                <w:rFonts w:hint="eastAsia" w:ascii="宋体" w:hAnsi="宋体" w:eastAsia="宋体" w:cs="宋体"/>
                <w:color w:val="auto"/>
                <w:highlight w:val="none"/>
                <w:lang w:val="en-GB"/>
              </w:rPr>
              <w:t>中小企业扶持政策</w:t>
            </w:r>
          </w:p>
        </w:tc>
        <w:tc>
          <w:tcPr>
            <w:tcW w:w="8299" w:type="dxa"/>
            <w:gridSpan w:val="6"/>
            <w:vAlign w:val="center"/>
          </w:tcPr>
          <w:p>
            <w:pPr>
              <w:tabs>
                <w:tab w:val="left" w:pos="1260"/>
              </w:tabs>
              <w:spacing w:before="40" w:after="40" w:line="360" w:lineRule="auto"/>
              <w:jc w:val="left"/>
              <w:rPr>
                <w:rFonts w:ascii="宋体" w:hAnsi="宋体" w:eastAsia="宋体" w:cs="Times New Roman"/>
                <w:color w:val="auto"/>
                <w:highlight w:val="none"/>
                <w:lang w:val="en-GB"/>
              </w:rPr>
            </w:pPr>
            <w:r>
              <w:rPr>
                <w:rFonts w:hint="eastAsia" w:ascii="宋体" w:hAnsi="宋体" w:eastAsia="宋体" w:cs="宋体"/>
                <w:color w:val="auto"/>
                <w:highlight w:val="none"/>
                <w:lang w:val="en-GB"/>
              </w:rPr>
              <w:t>如属所列情形的，请在括号内打“√”：</w:t>
            </w:r>
          </w:p>
          <w:p>
            <w:pPr>
              <w:tabs>
                <w:tab w:val="left" w:pos="1260"/>
              </w:tabs>
              <w:spacing w:before="40" w:after="40"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w:t>
            </w:r>
            <w:r>
              <w:rPr>
                <w:rFonts w:ascii="宋体" w:hAnsi="宋体" w:eastAsia="宋体" w:cs="宋体"/>
                <w:color w:val="auto"/>
                <w:highlight w:val="none"/>
              </w:rPr>
              <w:t xml:space="preserve">  </w:t>
            </w:r>
            <w:r>
              <w:rPr>
                <w:rFonts w:hint="eastAsia" w:ascii="宋体" w:hAnsi="宋体" w:eastAsia="宋体" w:cs="宋体"/>
                <w:color w:val="auto"/>
                <w:highlight w:val="none"/>
              </w:rPr>
              <w:t>）小微企业投标且提供其它小型、微型企业产品的，请填写下表内容</w:t>
            </w:r>
            <w:r>
              <w:rPr>
                <w:rFonts w:ascii="宋体" w:hAnsi="宋体" w:eastAsia="宋体" w:cs="宋体"/>
                <w:color w:val="auto"/>
                <w:highlight w:val="none"/>
              </w:rPr>
              <w:t>(</w:t>
            </w:r>
            <w:r>
              <w:rPr>
                <w:rFonts w:hint="eastAsia" w:ascii="宋体" w:hAnsi="宋体" w:eastAsia="宋体" w:cs="宋体"/>
                <w:color w:val="auto"/>
                <w:highlight w:val="none"/>
              </w:rPr>
              <w:t>如供应商为中小企业，请填写下面的《中小企业声明函》一起提交</w:t>
            </w:r>
            <w:r>
              <w:rPr>
                <w:rFonts w:ascii="宋体" w:hAnsi="宋体" w:eastAsia="宋体" w:cs="宋体"/>
                <w:color w:val="auto"/>
                <w:highlight w:val="none"/>
              </w:rPr>
              <w:t>)</w:t>
            </w:r>
            <w:r>
              <w:rPr>
                <w:rFonts w:hint="eastAsia"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continue"/>
            <w:vAlign w:val="center"/>
          </w:tcPr>
          <w:p>
            <w:pPr>
              <w:widowControl/>
              <w:spacing w:line="360" w:lineRule="auto"/>
              <w:jc w:val="left"/>
              <w:rPr>
                <w:rFonts w:ascii="宋体" w:hAnsi="宋体" w:eastAsia="宋体" w:cs="Times New Roman"/>
                <w:color w:val="auto"/>
                <w:highlight w:val="none"/>
                <w:lang w:val="en-GB"/>
              </w:rPr>
            </w:pPr>
          </w:p>
        </w:tc>
        <w:tc>
          <w:tcPr>
            <w:tcW w:w="2742" w:type="dxa"/>
            <w:gridSpan w:val="2"/>
            <w:vAlign w:val="center"/>
          </w:tcPr>
          <w:p>
            <w:pPr>
              <w:tabs>
                <w:tab w:val="left" w:pos="1260"/>
              </w:tabs>
              <w:spacing w:before="40" w:after="40" w:line="360" w:lineRule="auto"/>
              <w:jc w:val="left"/>
              <w:rPr>
                <w:rFonts w:ascii="宋体" w:hAnsi="宋体" w:eastAsia="宋体" w:cs="Times New Roman"/>
                <w:color w:val="auto"/>
                <w:highlight w:val="none"/>
                <w:lang w:val="en-GB"/>
              </w:rPr>
            </w:pPr>
            <w:r>
              <w:rPr>
                <w:rFonts w:hint="eastAsia" w:ascii="宋体" w:hAnsi="宋体" w:eastAsia="宋体" w:cs="宋体"/>
                <w:color w:val="auto"/>
                <w:highlight w:val="none"/>
                <w:lang w:val="en-GB"/>
              </w:rPr>
              <w:t>产品名称（品牌、型号）</w:t>
            </w:r>
          </w:p>
        </w:tc>
        <w:tc>
          <w:tcPr>
            <w:tcW w:w="2101" w:type="dxa"/>
            <w:gridSpan w:val="2"/>
            <w:vAlign w:val="center"/>
          </w:tcPr>
          <w:p>
            <w:pPr>
              <w:tabs>
                <w:tab w:val="left" w:pos="1260"/>
              </w:tabs>
              <w:spacing w:before="40" w:after="40" w:line="360" w:lineRule="auto"/>
              <w:jc w:val="left"/>
              <w:rPr>
                <w:rFonts w:ascii="宋体" w:hAnsi="宋体" w:eastAsia="宋体" w:cs="Times New Roman"/>
                <w:color w:val="auto"/>
                <w:highlight w:val="none"/>
                <w:lang w:val="en-GB"/>
              </w:rPr>
            </w:pPr>
            <w:r>
              <w:rPr>
                <w:rFonts w:hint="eastAsia" w:ascii="宋体" w:hAnsi="宋体" w:eastAsia="宋体" w:cs="宋体"/>
                <w:color w:val="auto"/>
                <w:highlight w:val="none"/>
                <w:lang w:val="en-GB"/>
              </w:rPr>
              <w:t>制造商</w:t>
            </w:r>
          </w:p>
        </w:tc>
        <w:tc>
          <w:tcPr>
            <w:tcW w:w="1798" w:type="dxa"/>
            <w:vAlign w:val="center"/>
          </w:tcPr>
          <w:p>
            <w:pPr>
              <w:tabs>
                <w:tab w:val="left" w:pos="1260"/>
              </w:tabs>
              <w:spacing w:before="40" w:after="40" w:line="360" w:lineRule="auto"/>
              <w:jc w:val="left"/>
              <w:rPr>
                <w:rFonts w:ascii="宋体" w:hAnsi="宋体" w:eastAsia="宋体" w:cs="Times New Roman"/>
                <w:color w:val="auto"/>
                <w:highlight w:val="none"/>
                <w:lang w:val="en-GB"/>
              </w:rPr>
            </w:pPr>
            <w:r>
              <w:rPr>
                <w:rFonts w:hint="eastAsia" w:ascii="宋体" w:hAnsi="宋体" w:eastAsia="宋体" w:cs="宋体"/>
                <w:color w:val="auto"/>
                <w:highlight w:val="none"/>
                <w:lang w:val="en-GB"/>
              </w:rPr>
              <w:t>制造商</w:t>
            </w:r>
          </w:p>
          <w:p>
            <w:pPr>
              <w:tabs>
                <w:tab w:val="left" w:pos="1260"/>
              </w:tabs>
              <w:spacing w:before="40" w:after="40" w:line="360" w:lineRule="auto"/>
              <w:jc w:val="left"/>
              <w:rPr>
                <w:rFonts w:ascii="宋体" w:hAnsi="宋体" w:eastAsia="宋体" w:cs="Times New Roman"/>
                <w:color w:val="auto"/>
                <w:highlight w:val="none"/>
                <w:lang w:val="en-GB"/>
              </w:rPr>
            </w:pPr>
            <w:r>
              <w:rPr>
                <w:rFonts w:hint="eastAsia" w:ascii="宋体" w:hAnsi="宋体" w:eastAsia="宋体" w:cs="宋体"/>
                <w:color w:val="auto"/>
                <w:highlight w:val="none"/>
                <w:lang w:val="en-GB"/>
              </w:rPr>
              <w:t>企业类型</w:t>
            </w:r>
          </w:p>
        </w:tc>
        <w:tc>
          <w:tcPr>
            <w:tcW w:w="1658" w:type="dxa"/>
            <w:vAlign w:val="center"/>
          </w:tcPr>
          <w:p>
            <w:pPr>
              <w:tabs>
                <w:tab w:val="left" w:pos="1260"/>
              </w:tabs>
              <w:spacing w:before="40" w:after="40" w:line="360" w:lineRule="auto"/>
              <w:jc w:val="left"/>
              <w:rPr>
                <w:rFonts w:ascii="宋体" w:hAnsi="宋体" w:eastAsia="宋体" w:cs="Times New Roman"/>
                <w:color w:val="auto"/>
                <w:highlight w:val="none"/>
                <w:lang w:val="en-GB"/>
              </w:rPr>
            </w:pPr>
            <w:r>
              <w:rPr>
                <w:rFonts w:hint="eastAsia" w:ascii="宋体" w:hAnsi="宋体" w:eastAsia="宋体" w:cs="宋体"/>
                <w:color w:val="auto"/>
                <w:highlight w:val="none"/>
                <w:lang w:val="en-GB"/>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vAlign w:val="center"/>
          </w:tcPr>
          <w:p>
            <w:pPr>
              <w:widowControl/>
              <w:spacing w:line="360" w:lineRule="auto"/>
              <w:jc w:val="left"/>
              <w:rPr>
                <w:rFonts w:ascii="宋体" w:hAnsi="宋体" w:eastAsia="宋体" w:cs="Times New Roman"/>
                <w:color w:val="auto"/>
                <w:highlight w:val="none"/>
                <w:lang w:val="en-GB"/>
              </w:rPr>
            </w:pPr>
          </w:p>
        </w:tc>
        <w:tc>
          <w:tcPr>
            <w:tcW w:w="2742" w:type="dxa"/>
            <w:gridSpan w:val="2"/>
            <w:vAlign w:val="center"/>
          </w:tcPr>
          <w:p>
            <w:pPr>
              <w:tabs>
                <w:tab w:val="left" w:pos="1260"/>
              </w:tabs>
              <w:spacing w:before="40" w:after="40" w:line="360" w:lineRule="auto"/>
              <w:jc w:val="left"/>
              <w:rPr>
                <w:rFonts w:ascii="宋体" w:hAnsi="宋体" w:eastAsia="宋体" w:cs="Times New Roman"/>
                <w:color w:val="auto"/>
                <w:highlight w:val="none"/>
                <w:lang w:val="en-GB"/>
              </w:rPr>
            </w:pPr>
          </w:p>
        </w:tc>
        <w:tc>
          <w:tcPr>
            <w:tcW w:w="2101" w:type="dxa"/>
            <w:gridSpan w:val="2"/>
            <w:vAlign w:val="center"/>
          </w:tcPr>
          <w:p>
            <w:pPr>
              <w:tabs>
                <w:tab w:val="left" w:pos="1260"/>
              </w:tabs>
              <w:spacing w:before="40" w:after="40" w:line="360" w:lineRule="auto"/>
              <w:jc w:val="left"/>
              <w:rPr>
                <w:rFonts w:ascii="宋体" w:hAnsi="宋体" w:eastAsia="宋体" w:cs="Times New Roman"/>
                <w:color w:val="auto"/>
                <w:highlight w:val="none"/>
                <w:lang w:val="en-GB"/>
              </w:rPr>
            </w:pPr>
          </w:p>
        </w:tc>
        <w:tc>
          <w:tcPr>
            <w:tcW w:w="179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c>
          <w:tcPr>
            <w:tcW w:w="165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vAlign w:val="center"/>
          </w:tcPr>
          <w:p>
            <w:pPr>
              <w:widowControl/>
              <w:spacing w:line="360" w:lineRule="auto"/>
              <w:jc w:val="left"/>
              <w:rPr>
                <w:rFonts w:ascii="宋体" w:hAnsi="宋体" w:eastAsia="宋体" w:cs="Times New Roman"/>
                <w:color w:val="auto"/>
                <w:highlight w:val="none"/>
                <w:lang w:val="en-GB"/>
              </w:rPr>
            </w:pPr>
          </w:p>
        </w:tc>
        <w:tc>
          <w:tcPr>
            <w:tcW w:w="2742" w:type="dxa"/>
            <w:gridSpan w:val="2"/>
            <w:vAlign w:val="center"/>
          </w:tcPr>
          <w:p>
            <w:pPr>
              <w:tabs>
                <w:tab w:val="left" w:pos="1260"/>
              </w:tabs>
              <w:spacing w:before="40" w:after="40" w:line="360" w:lineRule="auto"/>
              <w:jc w:val="left"/>
              <w:rPr>
                <w:rFonts w:ascii="宋体" w:hAnsi="宋体" w:eastAsia="宋体" w:cs="Times New Roman"/>
                <w:color w:val="auto"/>
                <w:highlight w:val="none"/>
                <w:lang w:val="en-GB"/>
              </w:rPr>
            </w:pPr>
          </w:p>
        </w:tc>
        <w:tc>
          <w:tcPr>
            <w:tcW w:w="2101" w:type="dxa"/>
            <w:gridSpan w:val="2"/>
            <w:vAlign w:val="center"/>
          </w:tcPr>
          <w:p>
            <w:pPr>
              <w:tabs>
                <w:tab w:val="left" w:pos="1260"/>
              </w:tabs>
              <w:spacing w:before="40" w:after="40" w:line="360" w:lineRule="auto"/>
              <w:jc w:val="left"/>
              <w:rPr>
                <w:rFonts w:ascii="宋体" w:hAnsi="宋体" w:eastAsia="宋体" w:cs="Times New Roman"/>
                <w:color w:val="auto"/>
                <w:highlight w:val="none"/>
                <w:lang w:val="en-GB"/>
              </w:rPr>
            </w:pPr>
          </w:p>
        </w:tc>
        <w:tc>
          <w:tcPr>
            <w:tcW w:w="179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c>
          <w:tcPr>
            <w:tcW w:w="165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vAlign w:val="center"/>
          </w:tcPr>
          <w:p>
            <w:pPr>
              <w:widowControl/>
              <w:spacing w:line="360" w:lineRule="auto"/>
              <w:jc w:val="left"/>
              <w:rPr>
                <w:rFonts w:ascii="宋体" w:hAnsi="宋体" w:eastAsia="宋体" w:cs="Times New Roman"/>
                <w:color w:val="auto"/>
                <w:highlight w:val="none"/>
                <w:lang w:val="en-GB"/>
              </w:rPr>
            </w:pPr>
          </w:p>
        </w:tc>
        <w:tc>
          <w:tcPr>
            <w:tcW w:w="2742" w:type="dxa"/>
            <w:gridSpan w:val="2"/>
            <w:vAlign w:val="center"/>
          </w:tcPr>
          <w:p>
            <w:pPr>
              <w:tabs>
                <w:tab w:val="left" w:pos="1260"/>
              </w:tabs>
              <w:spacing w:before="40" w:after="40" w:line="360" w:lineRule="auto"/>
              <w:jc w:val="left"/>
              <w:rPr>
                <w:rFonts w:ascii="宋体" w:hAnsi="宋体" w:eastAsia="宋体" w:cs="Times New Roman"/>
                <w:color w:val="auto"/>
                <w:highlight w:val="none"/>
                <w:lang w:val="en-GB"/>
              </w:rPr>
            </w:pPr>
          </w:p>
        </w:tc>
        <w:tc>
          <w:tcPr>
            <w:tcW w:w="2101" w:type="dxa"/>
            <w:gridSpan w:val="2"/>
            <w:vAlign w:val="center"/>
          </w:tcPr>
          <w:p>
            <w:pPr>
              <w:tabs>
                <w:tab w:val="left" w:pos="1260"/>
              </w:tabs>
              <w:spacing w:before="40" w:after="40" w:line="360" w:lineRule="auto"/>
              <w:jc w:val="left"/>
              <w:rPr>
                <w:rFonts w:ascii="宋体" w:hAnsi="宋体" w:eastAsia="宋体" w:cs="Times New Roman"/>
                <w:color w:val="auto"/>
                <w:highlight w:val="none"/>
                <w:lang w:val="en-GB"/>
              </w:rPr>
            </w:pPr>
          </w:p>
        </w:tc>
        <w:tc>
          <w:tcPr>
            <w:tcW w:w="179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c>
          <w:tcPr>
            <w:tcW w:w="165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continue"/>
            <w:vAlign w:val="center"/>
          </w:tcPr>
          <w:p>
            <w:pPr>
              <w:widowControl/>
              <w:spacing w:line="360" w:lineRule="auto"/>
              <w:jc w:val="left"/>
              <w:rPr>
                <w:rFonts w:ascii="宋体" w:hAnsi="宋体" w:eastAsia="宋体" w:cs="Times New Roman"/>
                <w:color w:val="auto"/>
                <w:highlight w:val="none"/>
                <w:lang w:val="en-GB"/>
              </w:rPr>
            </w:pPr>
          </w:p>
        </w:tc>
        <w:tc>
          <w:tcPr>
            <w:tcW w:w="6641" w:type="dxa"/>
            <w:gridSpan w:val="5"/>
            <w:vAlign w:val="center"/>
          </w:tcPr>
          <w:p>
            <w:pPr>
              <w:tabs>
                <w:tab w:val="left" w:pos="1260"/>
              </w:tabs>
              <w:spacing w:before="40" w:after="40" w:line="360" w:lineRule="auto"/>
              <w:jc w:val="left"/>
              <w:rPr>
                <w:rFonts w:ascii="宋体" w:hAnsi="宋体" w:eastAsia="宋体" w:cs="Times New Roman"/>
                <w:color w:val="auto"/>
                <w:highlight w:val="none"/>
                <w:lang w:val="en-GB"/>
              </w:rPr>
            </w:pPr>
            <w:r>
              <w:rPr>
                <w:rFonts w:hint="eastAsia" w:ascii="宋体" w:hAnsi="宋体" w:eastAsia="宋体" w:cs="宋体"/>
                <w:color w:val="auto"/>
                <w:highlight w:val="none"/>
              </w:rPr>
              <w:t>小型、微型企业产品</w:t>
            </w:r>
            <w:r>
              <w:rPr>
                <w:rFonts w:hint="eastAsia" w:ascii="宋体" w:hAnsi="宋体" w:eastAsia="宋体" w:cs="宋体"/>
                <w:color w:val="auto"/>
                <w:highlight w:val="none"/>
                <w:lang w:val="en-GB"/>
              </w:rPr>
              <w:t>金额合计</w:t>
            </w:r>
          </w:p>
        </w:tc>
        <w:tc>
          <w:tcPr>
            <w:tcW w:w="165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9" w:hRule="atLeast"/>
          <w:jc w:val="center"/>
        </w:trPr>
        <w:tc>
          <w:tcPr>
            <w:tcW w:w="1039" w:type="dxa"/>
            <w:vMerge w:val="restart"/>
            <w:vAlign w:val="center"/>
          </w:tcPr>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环境标志产品</w:t>
            </w:r>
          </w:p>
        </w:tc>
        <w:tc>
          <w:tcPr>
            <w:tcW w:w="2350" w:type="dxa"/>
            <w:vAlign w:val="center"/>
          </w:tcPr>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主要产品</w:t>
            </w:r>
            <w:r>
              <w:rPr>
                <w:rFonts w:ascii="宋体" w:hAnsi="宋体" w:eastAsia="宋体" w:cs="宋体"/>
                <w:color w:val="auto"/>
                <w:highlight w:val="none"/>
              </w:rPr>
              <w:t>/</w:t>
            </w:r>
            <w:r>
              <w:rPr>
                <w:rFonts w:hint="eastAsia" w:ascii="宋体" w:hAnsi="宋体" w:eastAsia="宋体" w:cs="宋体"/>
                <w:color w:val="auto"/>
                <w:highlight w:val="none"/>
              </w:rPr>
              <w:t>技术名称（规格型号、注册商标）</w:t>
            </w:r>
          </w:p>
        </w:tc>
        <w:tc>
          <w:tcPr>
            <w:tcW w:w="1671" w:type="dxa"/>
            <w:gridSpan w:val="2"/>
            <w:vAlign w:val="center"/>
          </w:tcPr>
          <w:p>
            <w:pPr>
              <w:tabs>
                <w:tab w:val="left" w:pos="1260"/>
              </w:tabs>
              <w:spacing w:before="40" w:after="40"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制造商</w:t>
            </w:r>
            <w:r>
              <w:rPr>
                <w:rFonts w:ascii="宋体" w:hAnsi="宋体" w:eastAsia="宋体" w:cs="宋体"/>
                <w:color w:val="auto"/>
                <w:highlight w:val="none"/>
              </w:rPr>
              <w:t>/</w:t>
            </w:r>
            <w:r>
              <w:rPr>
                <w:rFonts w:hint="eastAsia" w:ascii="宋体" w:hAnsi="宋体" w:eastAsia="宋体" w:cs="宋体"/>
                <w:color w:val="auto"/>
                <w:highlight w:val="none"/>
              </w:rPr>
              <w:t>开发商</w:t>
            </w:r>
          </w:p>
        </w:tc>
        <w:tc>
          <w:tcPr>
            <w:tcW w:w="2620" w:type="dxa"/>
            <w:gridSpan w:val="2"/>
            <w:vAlign w:val="center"/>
          </w:tcPr>
          <w:p>
            <w:pPr>
              <w:tabs>
                <w:tab w:val="left" w:pos="1260"/>
              </w:tabs>
              <w:spacing w:before="40" w:after="40"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认证证书编号</w:t>
            </w:r>
          </w:p>
        </w:tc>
        <w:tc>
          <w:tcPr>
            <w:tcW w:w="1658" w:type="dxa"/>
            <w:vAlign w:val="center"/>
          </w:tcPr>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使用价值量占总金额比重</w:t>
            </w:r>
          </w:p>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（累计</w:t>
            </w:r>
            <w:r>
              <w:rPr>
                <w:rFonts w:ascii="宋体" w:hAnsi="宋体" w:eastAsia="宋体" w:cs="宋体"/>
                <w:color w:val="auto"/>
                <w:highlight w:val="none"/>
              </w:rPr>
              <w:t xml:space="preserve">   %</w:t>
            </w:r>
            <w:r>
              <w:rPr>
                <w:rFonts w:hint="eastAsia"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vAlign w:val="center"/>
          </w:tcPr>
          <w:p>
            <w:pPr>
              <w:widowControl/>
              <w:spacing w:line="360" w:lineRule="auto"/>
              <w:jc w:val="left"/>
              <w:rPr>
                <w:rFonts w:ascii="宋体" w:hAnsi="宋体" w:eastAsia="宋体" w:cs="Times New Roman"/>
                <w:color w:val="auto"/>
                <w:highlight w:val="none"/>
              </w:rPr>
            </w:pPr>
          </w:p>
        </w:tc>
        <w:tc>
          <w:tcPr>
            <w:tcW w:w="2350" w:type="dxa"/>
            <w:vAlign w:val="center"/>
          </w:tcPr>
          <w:p>
            <w:pPr>
              <w:tabs>
                <w:tab w:val="left" w:pos="1260"/>
              </w:tabs>
              <w:spacing w:before="40" w:after="40" w:line="360" w:lineRule="auto"/>
              <w:jc w:val="left"/>
              <w:rPr>
                <w:rFonts w:ascii="宋体" w:hAnsi="宋体" w:eastAsia="宋体" w:cs="Times New Roman"/>
                <w:color w:val="auto"/>
                <w:highlight w:val="none"/>
              </w:rPr>
            </w:pPr>
          </w:p>
        </w:tc>
        <w:tc>
          <w:tcPr>
            <w:tcW w:w="1671" w:type="dxa"/>
            <w:gridSpan w:val="2"/>
            <w:vAlign w:val="center"/>
          </w:tcPr>
          <w:p>
            <w:pPr>
              <w:tabs>
                <w:tab w:val="left" w:pos="1260"/>
              </w:tabs>
              <w:spacing w:before="40" w:after="40" w:line="360" w:lineRule="auto"/>
              <w:jc w:val="left"/>
              <w:rPr>
                <w:rFonts w:ascii="宋体" w:hAnsi="宋体" w:eastAsia="宋体" w:cs="Times New Roman"/>
                <w:color w:val="auto"/>
                <w:highlight w:val="none"/>
              </w:rPr>
            </w:pPr>
          </w:p>
        </w:tc>
        <w:tc>
          <w:tcPr>
            <w:tcW w:w="2620" w:type="dxa"/>
            <w:gridSpan w:val="2"/>
            <w:vAlign w:val="center"/>
          </w:tcPr>
          <w:p>
            <w:pPr>
              <w:tabs>
                <w:tab w:val="left" w:pos="1260"/>
              </w:tabs>
              <w:spacing w:before="40" w:after="40" w:line="360" w:lineRule="auto"/>
              <w:jc w:val="left"/>
              <w:rPr>
                <w:rFonts w:ascii="宋体" w:hAnsi="宋体" w:eastAsia="宋体" w:cs="Times New Roman"/>
                <w:color w:val="auto"/>
                <w:highlight w:val="none"/>
              </w:rPr>
            </w:pPr>
          </w:p>
        </w:tc>
        <w:tc>
          <w:tcPr>
            <w:tcW w:w="165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vAlign w:val="center"/>
          </w:tcPr>
          <w:p>
            <w:pPr>
              <w:widowControl/>
              <w:spacing w:line="360" w:lineRule="auto"/>
              <w:jc w:val="left"/>
              <w:rPr>
                <w:rFonts w:ascii="宋体" w:hAnsi="宋体" w:eastAsia="宋体" w:cs="Times New Roman"/>
                <w:color w:val="auto"/>
                <w:highlight w:val="none"/>
              </w:rPr>
            </w:pPr>
          </w:p>
        </w:tc>
        <w:tc>
          <w:tcPr>
            <w:tcW w:w="2350" w:type="dxa"/>
            <w:vAlign w:val="center"/>
          </w:tcPr>
          <w:p>
            <w:pPr>
              <w:tabs>
                <w:tab w:val="left" w:pos="1260"/>
              </w:tabs>
              <w:spacing w:before="40" w:after="40" w:line="360" w:lineRule="auto"/>
              <w:jc w:val="left"/>
              <w:rPr>
                <w:rFonts w:ascii="宋体" w:hAnsi="宋体" w:eastAsia="宋体" w:cs="Times New Roman"/>
                <w:color w:val="auto"/>
                <w:highlight w:val="none"/>
              </w:rPr>
            </w:pPr>
          </w:p>
        </w:tc>
        <w:tc>
          <w:tcPr>
            <w:tcW w:w="1671" w:type="dxa"/>
            <w:gridSpan w:val="2"/>
            <w:vAlign w:val="center"/>
          </w:tcPr>
          <w:p>
            <w:pPr>
              <w:tabs>
                <w:tab w:val="left" w:pos="1260"/>
              </w:tabs>
              <w:spacing w:before="40" w:after="40" w:line="360" w:lineRule="auto"/>
              <w:jc w:val="left"/>
              <w:rPr>
                <w:rFonts w:ascii="宋体" w:hAnsi="宋体" w:eastAsia="宋体" w:cs="Times New Roman"/>
                <w:color w:val="auto"/>
                <w:highlight w:val="none"/>
              </w:rPr>
            </w:pPr>
          </w:p>
        </w:tc>
        <w:tc>
          <w:tcPr>
            <w:tcW w:w="2620" w:type="dxa"/>
            <w:gridSpan w:val="2"/>
            <w:vAlign w:val="center"/>
          </w:tcPr>
          <w:p>
            <w:pPr>
              <w:tabs>
                <w:tab w:val="left" w:pos="1260"/>
              </w:tabs>
              <w:spacing w:before="40" w:after="40" w:line="360" w:lineRule="auto"/>
              <w:jc w:val="left"/>
              <w:rPr>
                <w:rFonts w:ascii="宋体" w:hAnsi="宋体" w:eastAsia="宋体" w:cs="Times New Roman"/>
                <w:color w:val="auto"/>
                <w:highlight w:val="none"/>
              </w:rPr>
            </w:pPr>
          </w:p>
        </w:tc>
        <w:tc>
          <w:tcPr>
            <w:tcW w:w="165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restart"/>
            <w:vAlign w:val="center"/>
          </w:tcPr>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节能产品</w:t>
            </w:r>
          </w:p>
        </w:tc>
        <w:tc>
          <w:tcPr>
            <w:tcW w:w="2350" w:type="dxa"/>
            <w:vAlign w:val="center"/>
          </w:tcPr>
          <w:p>
            <w:pPr>
              <w:tabs>
                <w:tab w:val="left" w:pos="1260"/>
              </w:tabs>
              <w:spacing w:before="40" w:after="40" w:line="360" w:lineRule="auto"/>
              <w:jc w:val="left"/>
              <w:rPr>
                <w:rFonts w:ascii="宋体" w:hAnsi="宋体" w:eastAsia="宋体" w:cs="Times New Roman"/>
                <w:color w:val="auto"/>
                <w:highlight w:val="none"/>
              </w:rPr>
            </w:pPr>
          </w:p>
        </w:tc>
        <w:tc>
          <w:tcPr>
            <w:tcW w:w="1671" w:type="dxa"/>
            <w:gridSpan w:val="2"/>
            <w:vAlign w:val="center"/>
          </w:tcPr>
          <w:p>
            <w:pPr>
              <w:tabs>
                <w:tab w:val="left" w:pos="1260"/>
              </w:tabs>
              <w:spacing w:before="40" w:after="40" w:line="360" w:lineRule="auto"/>
              <w:jc w:val="left"/>
              <w:rPr>
                <w:rFonts w:ascii="宋体" w:hAnsi="宋体" w:eastAsia="宋体" w:cs="Times New Roman"/>
                <w:color w:val="auto"/>
                <w:highlight w:val="none"/>
              </w:rPr>
            </w:pPr>
          </w:p>
        </w:tc>
        <w:tc>
          <w:tcPr>
            <w:tcW w:w="2620" w:type="dxa"/>
            <w:gridSpan w:val="2"/>
            <w:vAlign w:val="center"/>
          </w:tcPr>
          <w:p>
            <w:pPr>
              <w:tabs>
                <w:tab w:val="left" w:pos="1260"/>
              </w:tabs>
              <w:spacing w:before="40" w:after="40" w:line="360" w:lineRule="auto"/>
              <w:jc w:val="left"/>
              <w:rPr>
                <w:rFonts w:ascii="宋体" w:hAnsi="宋体" w:eastAsia="宋体" w:cs="Times New Roman"/>
                <w:color w:val="auto"/>
                <w:highlight w:val="none"/>
              </w:rPr>
            </w:pPr>
          </w:p>
        </w:tc>
        <w:tc>
          <w:tcPr>
            <w:tcW w:w="165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vAlign w:val="center"/>
          </w:tcPr>
          <w:p>
            <w:pPr>
              <w:widowControl/>
              <w:spacing w:line="360" w:lineRule="auto"/>
              <w:jc w:val="left"/>
              <w:rPr>
                <w:rFonts w:ascii="宋体" w:hAnsi="宋体" w:eastAsia="宋体" w:cs="Times New Roman"/>
                <w:color w:val="auto"/>
                <w:highlight w:val="none"/>
              </w:rPr>
            </w:pPr>
          </w:p>
        </w:tc>
        <w:tc>
          <w:tcPr>
            <w:tcW w:w="2350" w:type="dxa"/>
            <w:vAlign w:val="center"/>
          </w:tcPr>
          <w:p>
            <w:pPr>
              <w:tabs>
                <w:tab w:val="left" w:pos="1260"/>
              </w:tabs>
              <w:spacing w:before="40" w:after="40" w:line="360" w:lineRule="auto"/>
              <w:jc w:val="left"/>
              <w:rPr>
                <w:rFonts w:ascii="宋体" w:hAnsi="宋体" w:eastAsia="宋体" w:cs="Times New Roman"/>
                <w:color w:val="auto"/>
                <w:highlight w:val="none"/>
              </w:rPr>
            </w:pPr>
          </w:p>
        </w:tc>
        <w:tc>
          <w:tcPr>
            <w:tcW w:w="1671" w:type="dxa"/>
            <w:gridSpan w:val="2"/>
            <w:vAlign w:val="center"/>
          </w:tcPr>
          <w:p>
            <w:pPr>
              <w:tabs>
                <w:tab w:val="left" w:pos="1260"/>
              </w:tabs>
              <w:spacing w:before="40" w:after="40" w:line="360" w:lineRule="auto"/>
              <w:jc w:val="left"/>
              <w:rPr>
                <w:rFonts w:ascii="宋体" w:hAnsi="宋体" w:eastAsia="宋体" w:cs="Times New Roman"/>
                <w:color w:val="auto"/>
                <w:highlight w:val="none"/>
              </w:rPr>
            </w:pPr>
          </w:p>
        </w:tc>
        <w:tc>
          <w:tcPr>
            <w:tcW w:w="2620" w:type="dxa"/>
            <w:gridSpan w:val="2"/>
            <w:vAlign w:val="center"/>
          </w:tcPr>
          <w:p>
            <w:pPr>
              <w:tabs>
                <w:tab w:val="left" w:pos="1260"/>
              </w:tabs>
              <w:spacing w:before="40" w:after="40" w:line="360" w:lineRule="auto"/>
              <w:jc w:val="left"/>
              <w:rPr>
                <w:rFonts w:ascii="宋体" w:hAnsi="宋体" w:eastAsia="宋体" w:cs="Times New Roman"/>
                <w:color w:val="auto"/>
                <w:highlight w:val="none"/>
              </w:rPr>
            </w:pPr>
          </w:p>
        </w:tc>
        <w:tc>
          <w:tcPr>
            <w:tcW w:w="165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1039" w:type="dxa"/>
            <w:vMerge w:val="continue"/>
            <w:vAlign w:val="center"/>
          </w:tcPr>
          <w:p>
            <w:pPr>
              <w:widowControl/>
              <w:spacing w:line="360" w:lineRule="auto"/>
              <w:jc w:val="left"/>
              <w:rPr>
                <w:rFonts w:ascii="宋体" w:hAnsi="宋体" w:eastAsia="宋体" w:cs="Times New Roman"/>
                <w:color w:val="auto"/>
                <w:highlight w:val="none"/>
              </w:rPr>
            </w:pPr>
          </w:p>
        </w:tc>
        <w:tc>
          <w:tcPr>
            <w:tcW w:w="2350" w:type="dxa"/>
            <w:vAlign w:val="center"/>
          </w:tcPr>
          <w:p>
            <w:pPr>
              <w:tabs>
                <w:tab w:val="left" w:pos="1260"/>
              </w:tabs>
              <w:spacing w:before="40" w:after="40" w:line="360" w:lineRule="auto"/>
              <w:jc w:val="left"/>
              <w:rPr>
                <w:rFonts w:ascii="宋体" w:hAnsi="宋体" w:eastAsia="宋体" w:cs="Times New Roman"/>
                <w:color w:val="auto"/>
                <w:highlight w:val="none"/>
              </w:rPr>
            </w:pPr>
          </w:p>
        </w:tc>
        <w:tc>
          <w:tcPr>
            <w:tcW w:w="1671" w:type="dxa"/>
            <w:gridSpan w:val="2"/>
            <w:vAlign w:val="center"/>
          </w:tcPr>
          <w:p>
            <w:pPr>
              <w:tabs>
                <w:tab w:val="left" w:pos="1260"/>
              </w:tabs>
              <w:spacing w:before="40" w:after="40" w:line="360" w:lineRule="auto"/>
              <w:jc w:val="left"/>
              <w:rPr>
                <w:rFonts w:ascii="宋体" w:hAnsi="宋体" w:eastAsia="宋体" w:cs="Times New Roman"/>
                <w:color w:val="auto"/>
                <w:highlight w:val="none"/>
              </w:rPr>
            </w:pPr>
          </w:p>
        </w:tc>
        <w:tc>
          <w:tcPr>
            <w:tcW w:w="2620" w:type="dxa"/>
            <w:gridSpan w:val="2"/>
            <w:vAlign w:val="center"/>
          </w:tcPr>
          <w:p>
            <w:pPr>
              <w:tabs>
                <w:tab w:val="left" w:pos="1260"/>
              </w:tabs>
              <w:spacing w:before="40" w:after="40" w:line="360" w:lineRule="auto"/>
              <w:jc w:val="left"/>
              <w:rPr>
                <w:rFonts w:ascii="宋体" w:hAnsi="宋体" w:eastAsia="宋体" w:cs="Times New Roman"/>
                <w:color w:val="auto"/>
                <w:highlight w:val="none"/>
              </w:rPr>
            </w:pPr>
          </w:p>
        </w:tc>
        <w:tc>
          <w:tcPr>
            <w:tcW w:w="1658" w:type="dxa"/>
            <w:vAlign w:val="center"/>
          </w:tcPr>
          <w:p>
            <w:pPr>
              <w:tabs>
                <w:tab w:val="left" w:pos="1260"/>
              </w:tabs>
              <w:spacing w:before="40" w:after="40" w:line="360" w:lineRule="auto"/>
              <w:jc w:val="left"/>
              <w:rPr>
                <w:rFonts w:ascii="宋体" w:hAnsi="宋体" w:eastAsia="宋体" w:cs="Times New Roman"/>
                <w:color w:val="auto"/>
                <w:highlight w:val="none"/>
                <w:lang w:val="en-GB"/>
              </w:rPr>
            </w:pPr>
          </w:p>
        </w:tc>
      </w:tr>
    </w:tbl>
    <w:p>
      <w:pPr>
        <w:adjustRightInd w:val="0"/>
        <w:snapToGrid w:val="0"/>
        <w:spacing w:line="360" w:lineRule="auto"/>
        <w:jc w:val="left"/>
        <w:rPr>
          <w:rFonts w:ascii="宋体" w:hAnsi="宋体" w:eastAsia="宋体" w:cs="Times New Roman"/>
          <w:color w:val="auto"/>
          <w:highlight w:val="none"/>
        </w:rPr>
      </w:pPr>
    </w:p>
    <w:p>
      <w:pPr>
        <w:spacing w:line="360" w:lineRule="auto"/>
        <w:jc w:val="left"/>
        <w:rPr>
          <w:rFonts w:ascii="宋体" w:hAnsi="宋体" w:eastAsia="宋体" w:cs="宋体"/>
          <w:color w:val="auto"/>
          <w:highlight w:val="non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全称（加盖公章）</w:t>
      </w:r>
      <w:r>
        <w:rPr>
          <w:rFonts w:ascii="宋体" w:hAnsi="宋体" w:eastAsia="宋体" w:cs="宋体"/>
          <w:color w:val="auto"/>
          <w:highlight w:val="none"/>
        </w:rPr>
        <w:t>:</w:t>
      </w:r>
    </w:p>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法定代表或其授权代表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spacing w:line="360" w:lineRule="auto"/>
        <w:jc w:val="left"/>
        <w:rPr>
          <w:rFonts w:ascii="宋体" w:hAnsi="宋体" w:eastAsia="宋体" w:cs="Times New Roman"/>
          <w:color w:val="auto"/>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jc w:val="left"/>
        <w:rPr>
          <w:rFonts w:ascii="宋体" w:hAnsi="宋体" w:eastAsia="宋体" w:cs="Times New Roman"/>
          <w:color w:val="auto"/>
          <w:highlight w:val="none"/>
        </w:rPr>
      </w:pPr>
    </w:p>
    <w:p>
      <w:pPr>
        <w:spacing w:line="360" w:lineRule="auto"/>
        <w:jc w:val="left"/>
        <w:rPr>
          <w:rFonts w:ascii="宋体" w:hAnsi="宋体" w:eastAsia="宋体" w:cs="Times New Roman"/>
          <w:color w:val="auto"/>
          <w:highlight w:val="none"/>
        </w:rPr>
      </w:pPr>
    </w:p>
    <w:p>
      <w:pPr>
        <w:spacing w:line="360" w:lineRule="auto"/>
        <w:ind w:left="721" w:hanging="721" w:hangingChars="342"/>
        <w:jc w:val="left"/>
        <w:rPr>
          <w:rFonts w:ascii="宋体" w:hAnsi="宋体" w:eastAsia="宋体" w:cs="Times New Roman"/>
          <w:b/>
          <w:bCs/>
          <w:color w:val="auto"/>
          <w:highlight w:val="none"/>
          <w:lang w:val="en-GB"/>
        </w:rPr>
      </w:pPr>
      <w:r>
        <w:rPr>
          <w:rFonts w:hint="eastAsia" w:ascii="宋体" w:hAnsi="宋体" w:eastAsia="宋体" w:cs="宋体"/>
          <w:b/>
          <w:bCs/>
          <w:color w:val="auto"/>
          <w:highlight w:val="none"/>
          <w:lang w:val="en-GB"/>
        </w:rPr>
        <w:t>填报要求：</w:t>
      </w:r>
    </w:p>
    <w:p>
      <w:pPr>
        <w:widowControl/>
        <w:tabs>
          <w:tab w:val="left" w:pos="0"/>
        </w:tabs>
        <w:spacing w:line="360" w:lineRule="auto"/>
        <w:ind w:right="84" w:rightChars="40"/>
        <w:jc w:val="left"/>
        <w:rPr>
          <w:rFonts w:ascii="宋体" w:hAnsi="宋体" w:eastAsia="宋体" w:cs="Times New Roman"/>
          <w:color w:val="auto"/>
          <w:highlight w:val="none"/>
          <w:lang w:val="en-GB"/>
        </w:rPr>
      </w:pPr>
      <w:r>
        <w:rPr>
          <w:rFonts w:ascii="宋体" w:hAnsi="宋体" w:eastAsia="宋体" w:cs="宋体"/>
          <w:color w:val="auto"/>
          <w:highlight w:val="none"/>
        </w:rPr>
        <w:t>1.</w:t>
      </w:r>
      <w:r>
        <w:rPr>
          <w:rFonts w:hint="eastAsia" w:ascii="宋体" w:hAnsi="宋体" w:eastAsia="宋体" w:cs="宋体"/>
          <w:color w:val="auto"/>
          <w:highlight w:val="none"/>
          <w:lang w:val="en-GB"/>
        </w:rPr>
        <w:t>本表的产品名称、规格型号和注册商标、金额应与《报价明细表》一致。</w:t>
      </w:r>
    </w:p>
    <w:p>
      <w:pPr>
        <w:spacing w:line="360" w:lineRule="auto"/>
        <w:ind w:firstLine="420" w:firstLineChars="200"/>
        <w:jc w:val="left"/>
        <w:rPr>
          <w:rFonts w:ascii="宋体" w:hAnsi="宋体" w:eastAsia="宋体" w:cs="Times New Roman"/>
          <w:color w:val="auto"/>
          <w:highlight w:val="none"/>
          <w:lang w:val="en-GB"/>
        </w:rPr>
      </w:pPr>
      <w:r>
        <w:rPr>
          <w:rFonts w:hint="eastAsia" w:ascii="宋体" w:hAnsi="宋体" w:eastAsia="宋体" w:cs="宋体"/>
          <w:color w:val="auto"/>
          <w:highlight w:val="none"/>
          <w:lang w:val="en-GB"/>
        </w:rPr>
        <w:t>制造商为小型或微型企业时才需要填“制造商企业类型”栏，填写内容为“小型”或“微型”。</w:t>
      </w:r>
    </w:p>
    <w:p>
      <w:pPr>
        <w:tabs>
          <w:tab w:val="left" w:pos="1080"/>
          <w:tab w:val="left" w:pos="1680"/>
        </w:tabs>
        <w:spacing w:line="360" w:lineRule="auto"/>
        <w:ind w:left="315" w:hanging="315" w:hangingChars="150"/>
        <w:jc w:val="left"/>
        <w:rPr>
          <w:rFonts w:ascii="宋体" w:hAnsi="宋体" w:eastAsia="宋体" w:cs="Times New Roman"/>
          <w:color w:val="auto"/>
          <w:highlight w:val="none"/>
        </w:rPr>
      </w:pPr>
      <w:r>
        <w:rPr>
          <w:rFonts w:ascii="宋体" w:hAnsi="宋体" w:eastAsia="宋体" w:cs="宋体"/>
          <w:color w:val="auto"/>
          <w:highlight w:val="none"/>
        </w:rPr>
        <w:t xml:space="preserve">2. </w:t>
      </w:r>
      <w:r>
        <w:rPr>
          <w:rFonts w:hint="eastAsia" w:ascii="宋体" w:hAnsi="宋体" w:eastAsia="宋体" w:cs="宋体"/>
          <w:color w:val="auto"/>
          <w:highlight w:val="none"/>
        </w:rPr>
        <w:t>根据《国务院办公厅关于建立政府强制采购节能产品制度的通知》（国办发</w:t>
      </w:r>
      <w:r>
        <w:rPr>
          <w:rFonts w:ascii="宋体" w:hAnsi="宋体" w:eastAsia="宋体" w:cs="宋体"/>
          <w:color w:val="auto"/>
          <w:highlight w:val="none"/>
        </w:rPr>
        <w:t>[2007]51</w:t>
      </w:r>
      <w:r>
        <w:rPr>
          <w:rFonts w:hint="eastAsia" w:ascii="宋体" w:hAnsi="宋体" w:eastAsia="宋体" w:cs="宋体"/>
          <w:color w:val="auto"/>
          <w:highlight w:val="none"/>
        </w:rPr>
        <w:t>号）和财政部、发展改革委发布的《节能产品政府采购实施意见》（财库</w:t>
      </w:r>
      <w:r>
        <w:rPr>
          <w:rFonts w:ascii="宋体" w:hAnsi="宋体" w:eastAsia="宋体" w:cs="宋体"/>
          <w:color w:val="auto"/>
          <w:highlight w:val="none"/>
        </w:rPr>
        <w:t>[2004]185</w:t>
      </w:r>
      <w:r>
        <w:rPr>
          <w:rFonts w:hint="eastAsia" w:ascii="宋体" w:hAnsi="宋体" w:eastAsia="宋体" w:cs="宋体"/>
          <w:color w:val="auto"/>
          <w:highlight w:val="none"/>
        </w:rPr>
        <w:t>号）的规定，若投标产品属于“节能产品政府采购清单”中品目的产品，提供有效期内的中国节能产品认证证书复印件及最新一期“节能产品政府采购清单”中投标产品所在清单页并均加盖</w:t>
      </w: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公章，节能清单在中国政府采购网（</w:t>
      </w:r>
      <w:r>
        <w:rPr>
          <w:rFonts w:ascii="宋体" w:hAnsi="宋体" w:eastAsia="宋体" w:cs="宋体"/>
          <w:color w:val="auto"/>
          <w:highlight w:val="none"/>
        </w:rPr>
        <w:t>http</w:t>
      </w:r>
      <w:r>
        <w:rPr>
          <w:rFonts w:hint="eastAsia" w:ascii="宋体" w:hAnsi="宋体" w:eastAsia="宋体" w:cs="宋体"/>
          <w:color w:val="auto"/>
          <w:highlight w:val="none"/>
        </w:rPr>
        <w:t>：</w:t>
      </w:r>
      <w:r>
        <w:rPr>
          <w:rFonts w:ascii="宋体" w:hAnsi="宋体" w:eastAsia="宋体" w:cs="宋体"/>
          <w:color w:val="auto"/>
          <w:highlight w:val="none"/>
        </w:rPr>
        <w:t>//www.ccgp.gov .cn/</w:t>
      </w:r>
      <w:r>
        <w:rPr>
          <w:rFonts w:hint="eastAsia" w:ascii="宋体" w:hAnsi="宋体" w:eastAsia="宋体" w:cs="宋体"/>
          <w:color w:val="auto"/>
          <w:highlight w:val="none"/>
        </w:rPr>
        <w:t>）、国家发展改革委网站（</w:t>
      </w:r>
      <w:r>
        <w:rPr>
          <w:color w:val="auto"/>
          <w:highlight w:val="none"/>
        </w:rPr>
        <w:fldChar w:fldCharType="begin"/>
      </w:r>
      <w:r>
        <w:rPr>
          <w:color w:val="auto"/>
          <w:highlight w:val="none"/>
        </w:rPr>
        <w:instrText xml:space="preserve"> HYPERLINK "http://hzs.nd/" </w:instrText>
      </w:r>
      <w:r>
        <w:rPr>
          <w:color w:val="auto"/>
          <w:highlight w:val="none"/>
        </w:rPr>
        <w:fldChar w:fldCharType="separate"/>
      </w:r>
      <w:r>
        <w:rPr>
          <w:rFonts w:ascii="宋体" w:hAnsi="宋体" w:eastAsia="宋体" w:cs="宋体"/>
          <w:color w:val="auto"/>
          <w:highlight w:val="none"/>
          <w:u w:val="single"/>
        </w:rPr>
        <w:t>http://hzs.nd</w:t>
      </w:r>
      <w:r>
        <w:rPr>
          <w:rFonts w:ascii="宋体" w:hAnsi="宋体" w:eastAsia="宋体" w:cs="宋体"/>
          <w:color w:val="auto"/>
          <w:highlight w:val="none"/>
          <w:u w:val="single"/>
        </w:rPr>
        <w:fldChar w:fldCharType="end"/>
      </w:r>
      <w:r>
        <w:rPr>
          <w:rFonts w:ascii="宋体" w:hAnsi="宋体" w:eastAsia="宋体" w:cs="宋体"/>
          <w:color w:val="auto"/>
          <w:highlight w:val="none"/>
        </w:rPr>
        <w:t xml:space="preserve"> rc.gv.cn/</w:t>
      </w:r>
      <w:r>
        <w:rPr>
          <w:rFonts w:hint="eastAsia" w:ascii="宋体" w:hAnsi="宋体" w:eastAsia="宋体" w:cs="宋体"/>
          <w:color w:val="auto"/>
          <w:highlight w:val="none"/>
        </w:rPr>
        <w:t>）和中国质量认证中心网站（</w:t>
      </w:r>
      <w:r>
        <w:rPr>
          <w:rFonts w:ascii="宋体" w:hAnsi="宋体" w:eastAsia="宋体" w:cs="宋体"/>
          <w:color w:val="auto"/>
          <w:highlight w:val="none"/>
        </w:rPr>
        <w:t>http://www.cqc.com.cn/</w:t>
      </w:r>
      <w:r>
        <w:rPr>
          <w:rFonts w:hint="eastAsia" w:ascii="宋体" w:hAnsi="宋体" w:eastAsia="宋体" w:cs="宋体"/>
          <w:color w:val="auto"/>
          <w:highlight w:val="none"/>
        </w:rPr>
        <w:t>）上发布。</w:t>
      </w:r>
    </w:p>
    <w:p>
      <w:pPr>
        <w:tabs>
          <w:tab w:val="left" w:pos="1080"/>
          <w:tab w:val="left" w:pos="1680"/>
        </w:tabs>
        <w:spacing w:line="360" w:lineRule="auto"/>
        <w:ind w:left="210" w:hanging="210" w:hangingChars="100"/>
        <w:jc w:val="left"/>
        <w:rPr>
          <w:rFonts w:ascii="宋体" w:hAnsi="宋体" w:eastAsia="宋体" w:cs="Times New Roman"/>
          <w:color w:val="auto"/>
          <w:highlight w:val="none"/>
        </w:rPr>
      </w:pPr>
      <w:r>
        <w:rPr>
          <w:rFonts w:ascii="宋体" w:hAnsi="宋体" w:eastAsia="宋体" w:cs="宋体"/>
          <w:color w:val="auto"/>
          <w:highlight w:val="none"/>
        </w:rPr>
        <w:t>3.</w:t>
      </w:r>
      <w:r>
        <w:rPr>
          <w:rFonts w:hint="eastAsia" w:ascii="宋体" w:hAnsi="宋体" w:eastAsia="宋体" w:cs="宋体"/>
          <w:color w:val="auto"/>
          <w:highlight w:val="none"/>
        </w:rPr>
        <w:t>根据《财政部、国家环保总局联合印发〈关于环境标志产品政府采购实施意见〉》（财库</w:t>
      </w:r>
      <w:r>
        <w:rPr>
          <w:rFonts w:ascii="宋体" w:hAnsi="宋体" w:eastAsia="宋体" w:cs="宋体"/>
          <w:color w:val="auto"/>
          <w:highlight w:val="none"/>
        </w:rPr>
        <w:t>[2006]90</w:t>
      </w:r>
      <w:r>
        <w:rPr>
          <w:rFonts w:hint="eastAsia" w:ascii="宋体" w:hAnsi="宋体" w:eastAsia="宋体" w:cs="宋体"/>
          <w:color w:val="auto"/>
          <w:highlight w:val="none"/>
        </w:rPr>
        <w:t>号）的规定，若投标产品属于“环境标志产品政府采购清单”中品目的产品，提供有效期内的中国环境标志产品认证证书复印件及最新一期“环境标志产品政府采购清单”中投标产品所在清单页并均加盖</w:t>
      </w: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公章，清单在中国政府采购网（</w:t>
      </w:r>
      <w:r>
        <w:rPr>
          <w:rFonts w:ascii="宋体" w:hAnsi="宋体" w:eastAsia="宋体" w:cs="宋体"/>
          <w:color w:val="auto"/>
          <w:highlight w:val="none"/>
        </w:rPr>
        <w:t>http://www.ccgp.gov.cn/</w:t>
      </w:r>
      <w:r>
        <w:rPr>
          <w:rFonts w:hint="eastAsia" w:ascii="宋体" w:hAnsi="宋体" w:eastAsia="宋体" w:cs="宋体"/>
          <w:color w:val="auto"/>
          <w:highlight w:val="none"/>
        </w:rPr>
        <w:t>）、国家环境保护总局网（</w:t>
      </w:r>
      <w:r>
        <w:rPr>
          <w:rFonts w:ascii="宋体" w:hAnsi="宋体" w:eastAsia="宋体" w:cs="宋体"/>
          <w:color w:val="auto"/>
          <w:highlight w:val="none"/>
        </w:rPr>
        <w:t>http://www.sepa.gov.cn/</w:t>
      </w:r>
      <w:r>
        <w:rPr>
          <w:rFonts w:hint="eastAsia" w:ascii="宋体" w:hAnsi="宋体" w:eastAsia="宋体" w:cs="宋体"/>
          <w:color w:val="auto"/>
          <w:highlight w:val="none"/>
        </w:rPr>
        <w:t>）、中国绿色采购网（</w:t>
      </w:r>
      <w:r>
        <w:rPr>
          <w:rFonts w:ascii="宋体" w:hAnsi="宋体" w:eastAsia="宋体" w:cs="宋体"/>
          <w:color w:val="auto"/>
          <w:highlight w:val="none"/>
        </w:rPr>
        <w:t>http://www.cgpn. cn/</w:t>
      </w:r>
      <w:r>
        <w:rPr>
          <w:rFonts w:hint="eastAsia" w:ascii="宋体" w:hAnsi="宋体" w:eastAsia="宋体" w:cs="宋体"/>
          <w:color w:val="auto"/>
          <w:highlight w:val="none"/>
        </w:rPr>
        <w:t>）上发布。</w:t>
      </w:r>
    </w:p>
    <w:p>
      <w:pPr>
        <w:widowControl/>
        <w:spacing w:line="360" w:lineRule="auto"/>
        <w:ind w:left="315" w:right="84" w:rightChars="40" w:hanging="315" w:hangingChars="150"/>
        <w:jc w:val="left"/>
        <w:rPr>
          <w:rFonts w:ascii="宋体" w:hAnsi="宋体" w:eastAsia="宋体" w:cs="Times New Roman"/>
          <w:color w:val="auto"/>
          <w:highlight w:val="none"/>
          <w:lang w:val="en-GB"/>
        </w:rPr>
      </w:pPr>
      <w:r>
        <w:rPr>
          <w:rFonts w:ascii="宋体" w:hAnsi="宋体" w:eastAsia="宋体" w:cs="宋体"/>
          <w:color w:val="auto"/>
          <w:highlight w:val="none"/>
        </w:rPr>
        <w:t>4.</w:t>
      </w:r>
      <w:r>
        <w:rPr>
          <w:rFonts w:ascii="宋体" w:hAnsi="宋体" w:eastAsia="宋体" w:cs="宋体"/>
          <w:color w:val="auto"/>
          <w:highlight w:val="none"/>
          <w:lang w:val="en-GB"/>
        </w:rPr>
        <w:t xml:space="preserve"> </w:t>
      </w:r>
      <w:r>
        <w:rPr>
          <w:rFonts w:hint="eastAsia" w:ascii="宋体" w:hAnsi="宋体" w:eastAsia="宋体" w:cs="宋体"/>
          <w:color w:val="auto"/>
          <w:highlight w:val="none"/>
          <w:lang w:val="en-GB"/>
        </w:rPr>
        <w:t>请</w:t>
      </w:r>
      <w:r>
        <w:rPr>
          <w:rFonts w:hint="eastAsia" w:ascii="宋体" w:hAnsi="宋体" w:eastAsia="宋体" w:cs="宋体"/>
          <w:color w:val="auto"/>
          <w:kern w:val="0"/>
          <w:highlight w:val="none"/>
        </w:rPr>
        <w:t>供应商</w:t>
      </w:r>
      <w:r>
        <w:rPr>
          <w:rFonts w:hint="eastAsia" w:ascii="宋体" w:hAnsi="宋体" w:eastAsia="宋体" w:cs="宋体"/>
          <w:color w:val="auto"/>
          <w:highlight w:val="none"/>
          <w:lang w:val="en-GB"/>
        </w:rPr>
        <w:t>正确填写本表，所填内容将作为评分的依据。其内容或数据应与对应的证明资料相符，如果不一致，可能导致该项的得分为</w:t>
      </w:r>
      <w:r>
        <w:rPr>
          <w:rFonts w:ascii="宋体" w:hAnsi="宋体" w:eastAsia="宋体" w:cs="宋体"/>
          <w:color w:val="auto"/>
          <w:highlight w:val="none"/>
          <w:lang w:val="en-GB"/>
        </w:rPr>
        <w:t>0</w:t>
      </w:r>
      <w:r>
        <w:rPr>
          <w:rFonts w:hint="eastAsia" w:ascii="宋体" w:hAnsi="宋体" w:eastAsia="宋体" w:cs="宋体"/>
          <w:color w:val="auto"/>
          <w:highlight w:val="none"/>
          <w:lang w:val="en-GB"/>
        </w:rPr>
        <w:t>分。</w:t>
      </w:r>
    </w:p>
    <w:p>
      <w:pPr>
        <w:spacing w:line="360" w:lineRule="auto"/>
        <w:jc w:val="left"/>
        <w:rPr>
          <w:rFonts w:ascii="宋体" w:hAnsi="宋体" w:eastAsia="宋体" w:cs="Times New Roman"/>
          <w:b/>
          <w:bCs/>
          <w:color w:val="auto"/>
          <w:kern w:val="0"/>
          <w:sz w:val="28"/>
          <w:szCs w:val="28"/>
          <w:highlight w:val="none"/>
        </w:rPr>
      </w:pPr>
      <w:r>
        <w:rPr>
          <w:rFonts w:ascii="宋体" w:hAnsi="宋体" w:eastAsia="宋体" w:cs="宋体"/>
          <w:color w:val="auto"/>
          <w:highlight w:val="none"/>
          <w:lang w:val="en-GB"/>
        </w:rPr>
        <w:t>5.</w:t>
      </w:r>
      <w:r>
        <w:rPr>
          <w:rFonts w:hint="eastAsia" w:ascii="宋体" w:hAnsi="宋体" w:eastAsia="宋体" w:cs="宋体"/>
          <w:color w:val="auto"/>
          <w:highlight w:val="none"/>
        </w:rPr>
        <w:t>上述文件均加盖</w:t>
      </w: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公章。</w:t>
      </w: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10  </w:t>
      </w:r>
      <w:r>
        <w:rPr>
          <w:rFonts w:hint="eastAsia" w:ascii="宋体" w:hAnsi="宋体" w:eastAsia="宋体" w:cs="宋体"/>
          <w:b/>
          <w:bCs/>
          <w:color w:val="auto"/>
          <w:kern w:val="0"/>
          <w:sz w:val="28"/>
          <w:szCs w:val="28"/>
          <w:highlight w:val="none"/>
        </w:rPr>
        <w:t>中小企业声明函</w:t>
      </w:r>
    </w:p>
    <w:p>
      <w:pPr>
        <w:spacing w:line="360" w:lineRule="auto"/>
        <w:ind w:firstLine="3360" w:firstLineChars="1600"/>
        <w:rPr>
          <w:rFonts w:ascii="宋体" w:hAnsi="宋体" w:eastAsia="宋体" w:cs="Times New Roman"/>
          <w:color w:val="auto"/>
          <w:highlight w:val="none"/>
        </w:rPr>
      </w:pPr>
    </w:p>
    <w:p>
      <w:pPr>
        <w:spacing w:line="480" w:lineRule="auto"/>
        <w:jc w:val="center"/>
        <w:rPr>
          <w:rFonts w:ascii="宋体" w:hAnsi="宋体" w:eastAsia="宋体" w:cs="Times New Roman"/>
          <w:b/>
          <w:bCs/>
          <w:color w:val="auto"/>
          <w:spacing w:val="6"/>
          <w:sz w:val="28"/>
          <w:szCs w:val="28"/>
          <w:highlight w:val="none"/>
        </w:rPr>
      </w:pPr>
      <w:r>
        <w:rPr>
          <w:rFonts w:hint="eastAsia" w:ascii="宋体" w:hAnsi="宋体" w:eastAsia="宋体" w:cs="宋体"/>
          <w:b/>
          <w:bCs/>
          <w:color w:val="auto"/>
          <w:spacing w:val="6"/>
          <w:sz w:val="28"/>
          <w:szCs w:val="28"/>
          <w:highlight w:val="none"/>
        </w:rPr>
        <w:t>中小企业声明函（服务）</w:t>
      </w:r>
    </w:p>
    <w:p>
      <w:pPr>
        <w:spacing w:line="480" w:lineRule="auto"/>
        <w:ind w:firstLine="444" w:firstLineChars="200"/>
        <w:rPr>
          <w:rFonts w:ascii="宋体" w:hAnsi="宋体" w:eastAsia="宋体" w:cs="Times New Roman"/>
          <w:color w:val="auto"/>
          <w:spacing w:val="6"/>
          <w:highlight w:val="none"/>
        </w:rPr>
      </w:pPr>
      <w:r>
        <w:rPr>
          <w:rFonts w:hint="eastAsia" w:ascii="宋体" w:hAnsi="宋体" w:eastAsia="宋体" w:cs="宋体"/>
          <w:color w:val="auto"/>
          <w:spacing w:val="6"/>
          <w:highlight w:val="none"/>
        </w:rPr>
        <w:t>本公司（联合体）郑重声明，根据《政府采购促进中小企业发展管理办法》</w:t>
      </w:r>
      <w:r>
        <w:rPr>
          <w:rFonts w:ascii="宋体" w:hAnsi="宋体" w:eastAsia="宋体" w:cs="宋体"/>
          <w:color w:val="auto"/>
          <w:spacing w:val="6"/>
          <w:highlight w:val="none"/>
        </w:rPr>
        <w:t>(</w:t>
      </w:r>
      <w:r>
        <w:rPr>
          <w:rFonts w:hint="eastAsia" w:ascii="宋体" w:hAnsi="宋体" w:eastAsia="宋体" w:cs="宋体"/>
          <w:color w:val="auto"/>
          <w:spacing w:val="6"/>
          <w:highlight w:val="none"/>
        </w:rPr>
        <w:t>财库（</w:t>
      </w:r>
      <w:r>
        <w:rPr>
          <w:rFonts w:ascii="宋体" w:hAnsi="宋体" w:eastAsia="宋体" w:cs="宋体"/>
          <w:color w:val="auto"/>
          <w:spacing w:val="6"/>
          <w:highlight w:val="none"/>
        </w:rPr>
        <w:t>2020) 46</w:t>
      </w:r>
      <w:r>
        <w:rPr>
          <w:rFonts w:hint="eastAsia" w:ascii="宋体" w:hAnsi="宋体" w:eastAsia="宋体" w:cs="宋体"/>
          <w:color w:val="auto"/>
          <w:spacing w:val="6"/>
          <w:highlight w:val="none"/>
        </w:rPr>
        <w:t>号）的规定，本公司（联合体）参加</w:t>
      </w:r>
      <w:r>
        <w:rPr>
          <w:rFonts w:hint="eastAsia" w:ascii="宋体" w:hAnsi="宋体" w:eastAsia="宋体" w:cs="宋体"/>
          <w:color w:val="auto"/>
          <w:spacing w:val="6"/>
          <w:highlight w:val="none"/>
          <w:u w:val="single"/>
        </w:rPr>
        <w:t>（单位名称）</w:t>
      </w:r>
      <w:r>
        <w:rPr>
          <w:rFonts w:hint="eastAsia" w:ascii="宋体" w:hAnsi="宋体" w:eastAsia="宋体" w:cs="宋体"/>
          <w:color w:val="auto"/>
          <w:spacing w:val="6"/>
          <w:highlight w:val="none"/>
        </w:rPr>
        <w:t>的</w:t>
      </w:r>
      <w:r>
        <w:rPr>
          <w:rFonts w:hint="eastAsia" w:ascii="宋体" w:hAnsi="宋体" w:eastAsia="宋体" w:cs="宋体"/>
          <w:color w:val="auto"/>
          <w:spacing w:val="6"/>
          <w:highlight w:val="none"/>
          <w:u w:val="single"/>
        </w:rPr>
        <w:t>（项目名称）</w:t>
      </w:r>
      <w:r>
        <w:rPr>
          <w:rFonts w:hint="eastAsia" w:ascii="宋体" w:hAnsi="宋体" w:eastAsia="宋体" w:cs="宋体"/>
          <w:color w:val="auto"/>
          <w:spacing w:val="6"/>
          <w:highlight w:val="none"/>
        </w:rPr>
        <w:t>采购活动，工程的施工单位全部为符合政策要求的中小企业（或者服务全部由符合政策要求的中小企业承接）。相关企业（含联合体中的中小企业、签订分包意向协议的中小企业）的具体情况如下：</w:t>
      </w:r>
    </w:p>
    <w:p>
      <w:pPr>
        <w:spacing w:line="480" w:lineRule="auto"/>
        <w:ind w:firstLine="444" w:firstLineChars="200"/>
        <w:rPr>
          <w:rFonts w:ascii="宋体" w:hAnsi="宋体" w:eastAsia="宋体" w:cs="宋体"/>
          <w:color w:val="auto"/>
          <w:spacing w:val="6"/>
          <w:highlight w:val="none"/>
        </w:rPr>
      </w:pPr>
      <w:r>
        <w:rPr>
          <w:rFonts w:ascii="宋体" w:hAnsi="宋体" w:eastAsia="宋体" w:cs="宋体"/>
          <w:color w:val="auto"/>
          <w:spacing w:val="6"/>
          <w:highlight w:val="none"/>
        </w:rPr>
        <w:t xml:space="preserve">1. </w:t>
      </w:r>
      <w:r>
        <w:rPr>
          <w:rFonts w:ascii="宋体" w:hAnsi="宋体" w:eastAsia="宋体" w:cs="宋体"/>
          <w:color w:val="auto"/>
          <w:spacing w:val="6"/>
          <w:highlight w:val="none"/>
          <w:u w:val="single"/>
        </w:rPr>
        <w:t>(</w:t>
      </w:r>
      <w:r>
        <w:rPr>
          <w:rFonts w:hint="eastAsia" w:ascii="宋体" w:hAnsi="宋体" w:eastAsia="宋体" w:cs="宋体"/>
          <w:color w:val="auto"/>
          <w:spacing w:val="6"/>
          <w:highlight w:val="none"/>
          <w:u w:val="single"/>
        </w:rPr>
        <w:t>标的名称）</w:t>
      </w:r>
      <w:r>
        <w:rPr>
          <w:rFonts w:hint="eastAsia" w:ascii="宋体" w:hAnsi="宋体" w:eastAsia="宋体" w:cs="宋体"/>
          <w:color w:val="auto"/>
          <w:spacing w:val="6"/>
          <w:highlight w:val="none"/>
        </w:rPr>
        <w:t>，属于</w:t>
      </w:r>
      <w:r>
        <w:rPr>
          <w:rFonts w:hint="eastAsia" w:ascii="宋体" w:hAnsi="宋体" w:eastAsia="宋体" w:cs="宋体"/>
          <w:color w:val="auto"/>
          <w:spacing w:val="6"/>
          <w:highlight w:val="none"/>
          <w:u w:val="single"/>
        </w:rPr>
        <w:t>（采购文件中明确的所属行业）</w:t>
      </w:r>
      <w:r>
        <w:rPr>
          <w:rFonts w:hint="eastAsia" w:ascii="宋体" w:hAnsi="宋体" w:eastAsia="宋体" w:cs="宋体"/>
          <w:color w:val="auto"/>
          <w:spacing w:val="6"/>
          <w:highlight w:val="none"/>
        </w:rPr>
        <w:t>行业；承建（承接）企业为</w:t>
      </w:r>
      <w:r>
        <w:rPr>
          <w:rFonts w:hint="eastAsia" w:ascii="宋体" w:hAnsi="宋体" w:eastAsia="宋体" w:cs="宋体"/>
          <w:color w:val="auto"/>
          <w:spacing w:val="6"/>
          <w:highlight w:val="none"/>
          <w:u w:val="single"/>
        </w:rPr>
        <w:t>（企业名称）</w:t>
      </w:r>
      <w:r>
        <w:rPr>
          <w:rFonts w:hint="eastAsia" w:ascii="宋体" w:hAnsi="宋体" w:eastAsia="宋体" w:cs="宋体"/>
          <w:color w:val="auto"/>
          <w:spacing w:val="6"/>
          <w:highlight w:val="none"/>
        </w:rPr>
        <w:t>，</w:t>
      </w:r>
      <w:r>
        <w:rPr>
          <w:rFonts w:ascii="宋体" w:hAnsi="宋体" w:eastAsia="宋体" w:cs="宋体"/>
          <w:color w:val="auto"/>
          <w:spacing w:val="6"/>
          <w:highlight w:val="none"/>
        </w:rPr>
        <w:t xml:space="preserve"> </w:t>
      </w:r>
      <w:r>
        <w:rPr>
          <w:rFonts w:hint="eastAsia" w:ascii="宋体" w:hAnsi="宋体" w:eastAsia="宋体" w:cs="宋体"/>
          <w:color w:val="auto"/>
          <w:spacing w:val="6"/>
          <w:highlight w:val="none"/>
        </w:rPr>
        <w:t>从业人员</w:t>
      </w:r>
      <w:r>
        <w:rPr>
          <w:rFonts w:ascii="宋体" w:hAnsi="宋体" w:eastAsia="宋体" w:cs="宋体"/>
          <w:color w:val="auto"/>
          <w:spacing w:val="6"/>
          <w:highlight w:val="none"/>
          <w:u w:val="single"/>
        </w:rPr>
        <w:t xml:space="preserve">    </w:t>
      </w:r>
      <w:r>
        <w:rPr>
          <w:rFonts w:hint="eastAsia" w:ascii="宋体" w:hAnsi="宋体" w:eastAsia="宋体" w:cs="宋体"/>
          <w:color w:val="auto"/>
          <w:spacing w:val="6"/>
          <w:highlight w:val="none"/>
        </w:rPr>
        <w:t>人，营业收入为</w:t>
      </w:r>
      <w:r>
        <w:rPr>
          <w:rFonts w:ascii="宋体" w:hAnsi="宋体" w:eastAsia="宋体" w:cs="宋体"/>
          <w:color w:val="auto"/>
          <w:spacing w:val="6"/>
          <w:highlight w:val="none"/>
          <w:u w:val="single"/>
        </w:rPr>
        <w:t xml:space="preserve">     </w:t>
      </w:r>
      <w:r>
        <w:rPr>
          <w:rFonts w:hint="eastAsia" w:ascii="宋体" w:hAnsi="宋体" w:eastAsia="宋体" w:cs="宋体"/>
          <w:color w:val="auto"/>
          <w:spacing w:val="6"/>
          <w:highlight w:val="none"/>
        </w:rPr>
        <w:t>万元，资产总额为</w:t>
      </w:r>
      <w:r>
        <w:rPr>
          <w:rFonts w:ascii="宋体" w:hAnsi="宋体" w:eastAsia="宋体" w:cs="宋体"/>
          <w:color w:val="auto"/>
          <w:spacing w:val="6"/>
          <w:highlight w:val="none"/>
          <w:u w:val="single"/>
        </w:rPr>
        <w:t xml:space="preserve">      </w:t>
      </w:r>
      <w:r>
        <w:rPr>
          <w:rFonts w:hint="eastAsia" w:ascii="宋体" w:hAnsi="宋体" w:eastAsia="宋体" w:cs="宋体"/>
          <w:color w:val="auto"/>
          <w:spacing w:val="6"/>
          <w:highlight w:val="none"/>
        </w:rPr>
        <w:t>万元</w:t>
      </w:r>
      <w:r>
        <w:rPr>
          <w:rFonts w:ascii="宋体" w:hAnsi="宋体" w:eastAsia="宋体" w:cs="宋体"/>
          <w:color w:val="auto"/>
          <w:spacing w:val="6"/>
          <w:highlight w:val="none"/>
          <w:vertAlign w:val="superscript"/>
        </w:rPr>
        <w:t>1</w:t>
      </w:r>
      <w:r>
        <w:rPr>
          <w:rFonts w:hint="eastAsia" w:ascii="宋体" w:hAnsi="宋体" w:eastAsia="宋体" w:cs="宋体"/>
          <w:color w:val="auto"/>
          <w:spacing w:val="6"/>
          <w:highlight w:val="none"/>
        </w:rPr>
        <w:t>，</w:t>
      </w:r>
      <w:r>
        <w:rPr>
          <w:rFonts w:ascii="宋体" w:hAnsi="宋体" w:eastAsia="宋体" w:cs="宋体"/>
          <w:color w:val="auto"/>
          <w:spacing w:val="6"/>
          <w:highlight w:val="none"/>
        </w:rPr>
        <w:t xml:space="preserve"> </w:t>
      </w:r>
      <w:r>
        <w:rPr>
          <w:rFonts w:hint="eastAsia" w:ascii="宋体" w:hAnsi="宋体" w:eastAsia="宋体" w:cs="宋体"/>
          <w:color w:val="auto"/>
          <w:spacing w:val="6"/>
          <w:highlight w:val="none"/>
        </w:rPr>
        <w:t>属于</w:t>
      </w:r>
      <w:r>
        <w:rPr>
          <w:rFonts w:hint="eastAsia" w:ascii="宋体" w:hAnsi="宋体" w:eastAsia="宋体" w:cs="宋体"/>
          <w:color w:val="auto"/>
          <w:spacing w:val="6"/>
          <w:highlight w:val="none"/>
          <w:u w:val="single"/>
        </w:rPr>
        <w:t>（中型企业，小型企业、微型企业）</w:t>
      </w:r>
      <w:r>
        <w:rPr>
          <w:rFonts w:hint="eastAsia" w:ascii="宋体" w:hAnsi="宋体" w:eastAsia="宋体" w:cs="宋体"/>
          <w:color w:val="auto"/>
          <w:spacing w:val="6"/>
          <w:highlight w:val="none"/>
        </w:rPr>
        <w:t>；</w:t>
      </w:r>
      <w:r>
        <w:rPr>
          <w:rFonts w:ascii="宋体" w:hAnsi="宋体" w:eastAsia="宋体" w:cs="宋体"/>
          <w:color w:val="auto"/>
          <w:spacing w:val="6"/>
          <w:highlight w:val="none"/>
        </w:rPr>
        <w:t xml:space="preserve"> </w:t>
      </w:r>
    </w:p>
    <w:p>
      <w:pPr>
        <w:spacing w:line="480" w:lineRule="auto"/>
        <w:ind w:firstLine="444" w:firstLineChars="200"/>
        <w:rPr>
          <w:rFonts w:ascii="宋体" w:hAnsi="宋体" w:eastAsia="宋体" w:cs="Times New Roman"/>
          <w:color w:val="auto"/>
          <w:spacing w:val="6"/>
          <w:highlight w:val="none"/>
        </w:rPr>
      </w:pPr>
      <w:r>
        <w:rPr>
          <w:rFonts w:ascii="宋体" w:hAnsi="宋体" w:eastAsia="宋体" w:cs="宋体"/>
          <w:color w:val="auto"/>
          <w:spacing w:val="6"/>
          <w:highlight w:val="none"/>
        </w:rPr>
        <w:t>2.</w:t>
      </w:r>
      <w:r>
        <w:rPr>
          <w:rFonts w:ascii="宋体" w:hAnsi="宋体" w:eastAsia="宋体" w:cs="宋体"/>
          <w:color w:val="auto"/>
          <w:spacing w:val="6"/>
          <w:highlight w:val="none"/>
          <w:u w:val="single"/>
        </w:rPr>
        <w:t xml:space="preserve"> (</w:t>
      </w:r>
      <w:r>
        <w:rPr>
          <w:rFonts w:hint="eastAsia" w:ascii="宋体" w:hAnsi="宋体" w:eastAsia="宋体" w:cs="宋体"/>
          <w:color w:val="auto"/>
          <w:spacing w:val="6"/>
          <w:highlight w:val="none"/>
          <w:u w:val="single"/>
        </w:rPr>
        <w:t>标的名称）</w:t>
      </w:r>
      <w:r>
        <w:rPr>
          <w:rFonts w:hint="eastAsia" w:ascii="宋体" w:hAnsi="宋体" w:eastAsia="宋体" w:cs="宋体"/>
          <w:color w:val="auto"/>
          <w:spacing w:val="6"/>
          <w:highlight w:val="none"/>
        </w:rPr>
        <w:t>，属于</w:t>
      </w:r>
      <w:r>
        <w:rPr>
          <w:rFonts w:hint="eastAsia" w:ascii="宋体" w:hAnsi="宋体" w:eastAsia="宋体" w:cs="宋体"/>
          <w:color w:val="auto"/>
          <w:spacing w:val="6"/>
          <w:highlight w:val="none"/>
          <w:u w:val="single"/>
        </w:rPr>
        <w:t>（采购文件中明确的所属行业）</w:t>
      </w:r>
      <w:r>
        <w:rPr>
          <w:rFonts w:hint="eastAsia" w:ascii="宋体" w:hAnsi="宋体" w:eastAsia="宋体" w:cs="宋体"/>
          <w:color w:val="auto"/>
          <w:spacing w:val="6"/>
          <w:highlight w:val="none"/>
        </w:rPr>
        <w:t>行业；承建（承接）企业为</w:t>
      </w:r>
      <w:r>
        <w:rPr>
          <w:rFonts w:hint="eastAsia" w:ascii="宋体" w:hAnsi="宋体" w:eastAsia="宋体" w:cs="宋体"/>
          <w:color w:val="auto"/>
          <w:spacing w:val="6"/>
          <w:highlight w:val="none"/>
          <w:u w:val="single"/>
        </w:rPr>
        <w:t>（企业名称）</w:t>
      </w:r>
      <w:r>
        <w:rPr>
          <w:rFonts w:hint="eastAsia" w:ascii="宋体" w:hAnsi="宋体" w:eastAsia="宋体" w:cs="宋体"/>
          <w:color w:val="auto"/>
          <w:spacing w:val="6"/>
          <w:highlight w:val="none"/>
        </w:rPr>
        <w:t>，</w:t>
      </w:r>
      <w:r>
        <w:rPr>
          <w:rFonts w:ascii="宋体" w:hAnsi="宋体" w:eastAsia="宋体" w:cs="宋体"/>
          <w:color w:val="auto"/>
          <w:spacing w:val="6"/>
          <w:highlight w:val="none"/>
        </w:rPr>
        <w:t xml:space="preserve"> </w:t>
      </w:r>
      <w:r>
        <w:rPr>
          <w:rFonts w:hint="eastAsia" w:ascii="宋体" w:hAnsi="宋体" w:eastAsia="宋体" w:cs="宋体"/>
          <w:color w:val="auto"/>
          <w:spacing w:val="6"/>
          <w:highlight w:val="none"/>
        </w:rPr>
        <w:t>从业人员</w:t>
      </w:r>
      <w:r>
        <w:rPr>
          <w:rFonts w:ascii="宋体" w:hAnsi="宋体" w:eastAsia="宋体" w:cs="宋体"/>
          <w:color w:val="auto"/>
          <w:spacing w:val="6"/>
          <w:highlight w:val="none"/>
          <w:u w:val="single"/>
        </w:rPr>
        <w:t xml:space="preserve">   </w:t>
      </w:r>
      <w:r>
        <w:rPr>
          <w:rFonts w:hint="eastAsia" w:ascii="宋体" w:hAnsi="宋体" w:eastAsia="宋体" w:cs="宋体"/>
          <w:color w:val="auto"/>
          <w:spacing w:val="6"/>
          <w:highlight w:val="none"/>
        </w:rPr>
        <w:t>人，营业收入为</w:t>
      </w:r>
      <w:r>
        <w:rPr>
          <w:rFonts w:ascii="宋体" w:hAnsi="宋体" w:eastAsia="宋体" w:cs="宋体"/>
          <w:color w:val="auto"/>
          <w:spacing w:val="6"/>
          <w:highlight w:val="none"/>
          <w:u w:val="single"/>
        </w:rPr>
        <w:t xml:space="preserve">   </w:t>
      </w:r>
      <w:r>
        <w:rPr>
          <w:rFonts w:hint="eastAsia" w:ascii="宋体" w:hAnsi="宋体" w:eastAsia="宋体" w:cs="宋体"/>
          <w:color w:val="auto"/>
          <w:spacing w:val="6"/>
          <w:highlight w:val="none"/>
        </w:rPr>
        <w:t>万元，资产总额为</w:t>
      </w:r>
      <w:r>
        <w:rPr>
          <w:rFonts w:ascii="宋体" w:hAnsi="宋体" w:eastAsia="宋体" w:cs="宋体"/>
          <w:color w:val="auto"/>
          <w:spacing w:val="6"/>
          <w:highlight w:val="none"/>
          <w:u w:val="single"/>
        </w:rPr>
        <w:t xml:space="preserve">    </w:t>
      </w:r>
      <w:r>
        <w:rPr>
          <w:rFonts w:hint="eastAsia" w:ascii="宋体" w:hAnsi="宋体" w:eastAsia="宋体" w:cs="宋体"/>
          <w:color w:val="auto"/>
          <w:spacing w:val="6"/>
          <w:highlight w:val="none"/>
        </w:rPr>
        <w:t>万元，</w:t>
      </w:r>
      <w:r>
        <w:rPr>
          <w:rFonts w:ascii="宋体" w:hAnsi="宋体" w:eastAsia="宋体" w:cs="宋体"/>
          <w:color w:val="auto"/>
          <w:spacing w:val="6"/>
          <w:highlight w:val="none"/>
        </w:rPr>
        <w:t xml:space="preserve"> </w:t>
      </w:r>
      <w:r>
        <w:rPr>
          <w:rFonts w:hint="eastAsia" w:ascii="宋体" w:hAnsi="宋体" w:eastAsia="宋体" w:cs="宋体"/>
          <w:color w:val="auto"/>
          <w:spacing w:val="6"/>
          <w:highlight w:val="none"/>
        </w:rPr>
        <w:t>属于</w:t>
      </w:r>
      <w:r>
        <w:rPr>
          <w:rFonts w:hint="eastAsia" w:ascii="宋体" w:hAnsi="宋体" w:eastAsia="宋体" w:cs="宋体"/>
          <w:color w:val="auto"/>
          <w:spacing w:val="6"/>
          <w:highlight w:val="none"/>
          <w:u w:val="single"/>
        </w:rPr>
        <w:t>（中型企业，小型企业、微型企业）</w:t>
      </w:r>
      <w:r>
        <w:rPr>
          <w:rFonts w:hint="eastAsia" w:ascii="宋体" w:hAnsi="宋体" w:eastAsia="宋体" w:cs="宋体"/>
          <w:color w:val="auto"/>
          <w:spacing w:val="6"/>
          <w:highlight w:val="none"/>
        </w:rPr>
        <w:t>；</w:t>
      </w:r>
    </w:p>
    <w:p>
      <w:pPr>
        <w:spacing w:line="480" w:lineRule="auto"/>
        <w:ind w:firstLine="444" w:firstLineChars="200"/>
        <w:rPr>
          <w:rFonts w:ascii="宋体" w:hAnsi="宋体" w:eastAsia="宋体" w:cs="Times New Roman"/>
          <w:color w:val="auto"/>
          <w:spacing w:val="6"/>
          <w:highlight w:val="none"/>
        </w:rPr>
      </w:pPr>
      <w:r>
        <w:rPr>
          <w:rFonts w:hint="eastAsia" w:ascii="宋体" w:hAnsi="宋体" w:eastAsia="宋体" w:cs="宋体"/>
          <w:color w:val="auto"/>
          <w:spacing w:val="6"/>
          <w:highlight w:val="none"/>
        </w:rPr>
        <w:t>……</w:t>
      </w:r>
    </w:p>
    <w:p>
      <w:pPr>
        <w:spacing w:line="480" w:lineRule="auto"/>
        <w:ind w:firstLine="444" w:firstLineChars="200"/>
        <w:rPr>
          <w:rFonts w:ascii="宋体" w:hAnsi="宋体" w:eastAsia="宋体" w:cs="Times New Roman"/>
          <w:color w:val="auto"/>
          <w:spacing w:val="6"/>
          <w:highlight w:val="none"/>
        </w:rPr>
      </w:pPr>
      <w:r>
        <w:rPr>
          <w:rFonts w:hint="eastAsia" w:ascii="宋体" w:hAnsi="宋体" w:eastAsia="宋体" w:cs="宋体"/>
          <w:color w:val="auto"/>
          <w:spacing w:val="6"/>
          <w:highlight w:val="none"/>
        </w:rPr>
        <w:t>以上企业，不属于大企业的分支机构，不存在控股股东为大企业的情形，也不存在与大企业的负责人为同一人的情形。</w:t>
      </w:r>
    </w:p>
    <w:p>
      <w:pPr>
        <w:spacing w:line="480" w:lineRule="auto"/>
        <w:ind w:firstLine="444" w:firstLineChars="200"/>
        <w:rPr>
          <w:rFonts w:ascii="宋体" w:hAnsi="宋体" w:eastAsia="宋体" w:cs="Times New Roman"/>
          <w:color w:val="auto"/>
          <w:spacing w:val="6"/>
          <w:highlight w:val="none"/>
        </w:rPr>
      </w:pPr>
      <w:r>
        <w:rPr>
          <w:rFonts w:hint="eastAsia" w:ascii="宋体" w:hAnsi="宋体" w:eastAsia="宋体" w:cs="宋体"/>
          <w:color w:val="auto"/>
          <w:spacing w:val="6"/>
          <w:highlight w:val="none"/>
        </w:rPr>
        <w:t>本企业对上述声明内容的真实性负责。如有虚假，将依法承担相应责任。</w:t>
      </w:r>
    </w:p>
    <w:p>
      <w:pPr>
        <w:spacing w:line="480" w:lineRule="auto"/>
        <w:ind w:firstLine="444" w:firstLineChars="200"/>
        <w:jc w:val="center"/>
        <w:rPr>
          <w:rFonts w:ascii="宋体" w:hAnsi="宋体" w:eastAsia="宋体" w:cs="宋体"/>
          <w:color w:val="auto"/>
          <w:spacing w:val="6"/>
          <w:highlight w:val="none"/>
        </w:rPr>
      </w:pPr>
      <w:r>
        <w:rPr>
          <w:rFonts w:ascii="宋体" w:hAnsi="宋体" w:eastAsia="宋体" w:cs="宋体"/>
          <w:color w:val="auto"/>
          <w:spacing w:val="6"/>
          <w:highlight w:val="none"/>
        </w:rPr>
        <w:t xml:space="preserve">      </w:t>
      </w:r>
    </w:p>
    <w:p>
      <w:pPr>
        <w:spacing w:line="480" w:lineRule="auto"/>
        <w:ind w:firstLine="444" w:firstLineChars="200"/>
        <w:jc w:val="center"/>
        <w:rPr>
          <w:rFonts w:ascii="宋体" w:hAnsi="宋体" w:eastAsia="宋体" w:cs="宋体"/>
          <w:color w:val="auto"/>
          <w:spacing w:val="6"/>
          <w:highlight w:val="none"/>
        </w:rPr>
      </w:pPr>
      <w:r>
        <w:rPr>
          <w:rFonts w:ascii="宋体" w:hAnsi="宋体" w:eastAsia="宋体" w:cs="宋体"/>
          <w:color w:val="auto"/>
          <w:spacing w:val="6"/>
          <w:highlight w:val="none"/>
        </w:rPr>
        <w:t xml:space="preserve">                                            </w:t>
      </w:r>
    </w:p>
    <w:p>
      <w:pPr>
        <w:spacing w:line="480" w:lineRule="auto"/>
        <w:ind w:firstLine="444" w:firstLineChars="200"/>
        <w:jc w:val="center"/>
        <w:rPr>
          <w:rFonts w:ascii="宋体" w:hAnsi="宋体" w:eastAsia="宋体" w:cs="Times New Roman"/>
          <w:color w:val="auto"/>
          <w:spacing w:val="6"/>
          <w:highlight w:val="none"/>
        </w:rPr>
      </w:pPr>
      <w:r>
        <w:rPr>
          <w:rFonts w:ascii="宋体" w:hAnsi="宋体" w:eastAsia="宋体" w:cs="宋体"/>
          <w:color w:val="auto"/>
          <w:spacing w:val="6"/>
          <w:highlight w:val="none"/>
        </w:rPr>
        <w:t xml:space="preserve">                                      </w:t>
      </w:r>
      <w:r>
        <w:rPr>
          <w:rFonts w:hint="eastAsia" w:ascii="宋体" w:hAnsi="宋体" w:eastAsia="宋体" w:cs="宋体"/>
          <w:color w:val="auto"/>
          <w:spacing w:val="6"/>
          <w:highlight w:val="none"/>
        </w:rPr>
        <w:t>企业名称（盖章）：</w:t>
      </w:r>
    </w:p>
    <w:p>
      <w:pPr>
        <w:spacing w:line="480" w:lineRule="auto"/>
        <w:ind w:firstLine="444" w:firstLineChars="200"/>
        <w:rPr>
          <w:rFonts w:ascii="宋体" w:hAnsi="宋体" w:eastAsia="宋体" w:cs="Times New Roman"/>
          <w:color w:val="auto"/>
          <w:spacing w:val="6"/>
          <w:highlight w:val="none"/>
        </w:rPr>
      </w:pPr>
      <w:r>
        <w:rPr>
          <w:rFonts w:ascii="宋体" w:hAnsi="宋体" w:eastAsia="宋体" w:cs="宋体"/>
          <w:color w:val="auto"/>
          <w:spacing w:val="6"/>
          <w:highlight w:val="none"/>
        </w:rPr>
        <w:t xml:space="preserve">                                                  </w:t>
      </w:r>
      <w:r>
        <w:rPr>
          <w:rFonts w:hint="eastAsia" w:ascii="宋体" w:hAnsi="宋体" w:eastAsia="宋体" w:cs="宋体"/>
          <w:color w:val="auto"/>
          <w:spacing w:val="6"/>
          <w:highlight w:val="none"/>
        </w:rPr>
        <w:t>日期：</w:t>
      </w:r>
    </w:p>
    <w:p>
      <w:pPr>
        <w:spacing w:line="480" w:lineRule="auto"/>
        <w:ind w:firstLine="444" w:firstLineChars="200"/>
        <w:rPr>
          <w:rFonts w:ascii="宋体" w:hAnsi="宋体" w:eastAsia="宋体" w:cs="Times New Roman"/>
          <w:color w:val="auto"/>
          <w:spacing w:val="6"/>
          <w:highlight w:val="none"/>
        </w:rPr>
      </w:pPr>
    </w:p>
    <w:p>
      <w:pPr>
        <w:tabs>
          <w:tab w:val="left" w:pos="360"/>
        </w:tabs>
        <w:autoSpaceDE w:val="0"/>
        <w:autoSpaceDN w:val="0"/>
        <w:adjustRightInd w:val="0"/>
        <w:spacing w:line="360" w:lineRule="auto"/>
        <w:ind w:left="360" w:hanging="360"/>
        <w:rPr>
          <w:rFonts w:ascii="Times New Roman" w:hAnsi="Times New Roman" w:eastAsia="宋体" w:cs="Times New Roman"/>
          <w:color w:val="auto"/>
          <w:highlight w:val="none"/>
        </w:rPr>
      </w:pPr>
      <w:r>
        <w:rPr>
          <w:rFonts w:ascii="宋体" w:hAnsi="宋体" w:eastAsia="宋体" w:cs="宋体"/>
          <w:color w:val="auto"/>
          <w:spacing w:val="6"/>
          <w:highlight w:val="none"/>
        </w:rPr>
        <w:t>1</w:t>
      </w:r>
      <w:r>
        <w:rPr>
          <w:rFonts w:hint="eastAsia" w:ascii="宋体" w:hAnsi="宋体" w:eastAsia="宋体" w:cs="宋体"/>
          <w:color w:val="auto"/>
          <w:spacing w:val="6"/>
          <w:highlight w:val="none"/>
        </w:rPr>
        <w:t>从业人员、营业收入、资产总额填报上一年度数据，无上一年度数据的新成立企业可不填报。</w:t>
      </w:r>
      <w:r>
        <w:rPr>
          <w:rFonts w:ascii="宋体" w:hAnsi="宋体" w:eastAsia="宋体" w:cs="Times New Roman"/>
          <w:b/>
          <w:bCs/>
          <w:color w:val="auto"/>
          <w:kern w:val="0"/>
          <w:sz w:val="24"/>
          <w:szCs w:val="24"/>
          <w:highlight w:val="none"/>
        </w:rPr>
        <w:br w:type="page"/>
      </w:r>
    </w:p>
    <w:p>
      <w:pPr>
        <w:spacing w:line="360" w:lineRule="auto"/>
        <w:ind w:left="718" w:hanging="718" w:hangingChars="342"/>
        <w:rPr>
          <w:rFonts w:ascii="宋体" w:hAnsi="宋体" w:eastAsia="宋体" w:cs="Times New Roman"/>
          <w:color w:val="auto"/>
          <w:highlight w:val="none"/>
          <w:lang w:val="en-GB"/>
        </w:rPr>
      </w:pPr>
    </w:p>
    <w:p>
      <w:pPr>
        <w:keepNext/>
        <w:keepLines/>
        <w:adjustRightInd w:val="0"/>
        <w:spacing w:before="40" w:after="40" w:line="360" w:lineRule="auto"/>
        <w:textAlignment w:val="baseline"/>
        <w:outlineLvl w:val="2"/>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11 </w:t>
      </w:r>
      <w:r>
        <w:rPr>
          <w:rFonts w:hint="eastAsia" w:ascii="宋体" w:hAnsi="宋体" w:eastAsia="宋体" w:cs="宋体"/>
          <w:b/>
          <w:bCs/>
          <w:color w:val="auto"/>
          <w:kern w:val="0"/>
          <w:sz w:val="28"/>
          <w:szCs w:val="28"/>
          <w:highlight w:val="none"/>
        </w:rPr>
        <w:t>监狱企业的证明文件（如适用）</w:t>
      </w:r>
    </w:p>
    <w:p>
      <w:pPr>
        <w:spacing w:line="360" w:lineRule="auto"/>
        <w:rPr>
          <w:rFonts w:ascii="宋体" w:hAnsi="宋体" w:eastAsia="宋体" w:cs="Times New Roman"/>
          <w:color w:val="auto"/>
          <w:sz w:val="24"/>
          <w:szCs w:val="24"/>
          <w:highlight w:val="none"/>
        </w:rPr>
      </w:pPr>
    </w:p>
    <w:p>
      <w:pPr>
        <w:spacing w:line="360" w:lineRule="auto"/>
        <w:ind w:firstLine="480" w:firstLineChars="200"/>
        <w:rPr>
          <w:rFonts w:ascii="宋体" w:hAnsi="宋体" w:eastAsia="宋体" w:cs="Times New Roman"/>
          <w:color w:val="auto"/>
          <w:sz w:val="24"/>
          <w:szCs w:val="24"/>
          <w:highlight w:val="none"/>
        </w:rPr>
      </w:pPr>
      <w:r>
        <w:rPr>
          <w:rFonts w:hint="eastAsia" w:ascii="宋体" w:hAnsi="宋体" w:eastAsia="宋体" w:cs="宋体"/>
          <w:color w:val="auto"/>
          <w:sz w:val="24"/>
          <w:szCs w:val="24"/>
          <w:highlight w:val="none"/>
        </w:rPr>
        <w:t>说明：监狱企业参加政府采购活动时，应当提供由省级以上监狱管理局、戒毒管理局（含新疆生产建设兵团）出具的属于监狱企业的证明文件。</w:t>
      </w:r>
    </w:p>
    <w:p>
      <w:pPr>
        <w:keepNext/>
        <w:keepLines/>
        <w:adjustRightInd w:val="0"/>
        <w:spacing w:before="40" w:after="40" w:line="360" w:lineRule="auto"/>
        <w:ind w:firstLine="482" w:firstLineChars="200"/>
        <w:textAlignment w:val="baseline"/>
        <w:outlineLvl w:val="2"/>
        <w:rPr>
          <w:rFonts w:ascii="宋体" w:hAnsi="宋体" w:eastAsia="宋体" w:cs="Times New Roman"/>
          <w:b/>
          <w:bCs/>
          <w:color w:val="auto"/>
          <w:kern w:val="0"/>
          <w:sz w:val="24"/>
          <w:szCs w:val="24"/>
          <w:highlight w:val="none"/>
        </w:rPr>
      </w:pPr>
      <w:bookmarkStart w:id="340" w:name="OLE_LINK14"/>
      <w:bookmarkStart w:id="341" w:name="OLE_LINK13"/>
    </w:p>
    <w:p>
      <w:pPr>
        <w:keepNext/>
        <w:keepLines/>
        <w:adjustRightInd w:val="0"/>
        <w:spacing w:before="40" w:after="40" w:line="360" w:lineRule="auto"/>
        <w:textAlignment w:val="baseline"/>
        <w:outlineLvl w:val="2"/>
        <w:rPr>
          <w:rFonts w:ascii="宋体" w:hAnsi="宋体" w:eastAsia="宋体" w:cs="Times New Roman"/>
          <w:b/>
          <w:bCs/>
          <w:color w:val="auto"/>
          <w:kern w:val="0"/>
          <w:sz w:val="24"/>
          <w:szCs w:val="24"/>
          <w:highlight w:val="none"/>
        </w:rPr>
      </w:pPr>
    </w:p>
    <w:p>
      <w:pPr>
        <w:keepNext/>
        <w:keepLines/>
        <w:adjustRightInd w:val="0"/>
        <w:spacing w:before="40" w:after="40" w:line="360" w:lineRule="auto"/>
        <w:textAlignment w:val="baseline"/>
        <w:outlineLvl w:val="2"/>
        <w:rPr>
          <w:rFonts w:ascii="宋体" w:hAnsi="宋体" w:eastAsia="宋体" w:cs="Times New Roman"/>
          <w:color w:val="auto"/>
          <w:kern w:val="0"/>
          <w:highlight w:val="none"/>
        </w:rPr>
      </w:pPr>
      <w:r>
        <w:rPr>
          <w:rFonts w:hint="eastAsia" w:ascii="宋体" w:hAnsi="宋体" w:eastAsia="宋体" w:cs="宋体"/>
          <w:color w:val="auto"/>
          <w:kern w:val="0"/>
          <w:highlight w:val="none"/>
        </w:rPr>
        <w:t>报价人全称（加盖公章）</w:t>
      </w:r>
      <w:r>
        <w:rPr>
          <w:rFonts w:ascii="宋体" w:hAnsi="宋体" w:eastAsia="宋体" w:cs="宋体"/>
          <w:color w:val="auto"/>
          <w:kern w:val="0"/>
          <w:highlight w:val="none"/>
        </w:rPr>
        <w:t>:</w:t>
      </w:r>
      <w:r>
        <w:rPr>
          <w:rFonts w:ascii="宋体" w:hAnsi="宋体" w:eastAsia="宋体" w:cs="宋体"/>
          <w:color w:val="auto"/>
          <w:kern w:val="0"/>
          <w:highlight w:val="none"/>
          <w:u w:val="single"/>
        </w:rPr>
        <w:t xml:space="preserve">                         </w:t>
      </w:r>
    </w:p>
    <w:p>
      <w:pPr>
        <w:keepNext/>
        <w:keepLines/>
        <w:adjustRightInd w:val="0"/>
        <w:spacing w:before="40" w:after="40" w:line="360" w:lineRule="auto"/>
        <w:textAlignment w:val="baseline"/>
        <w:outlineLvl w:val="2"/>
        <w:rPr>
          <w:rFonts w:ascii="宋体" w:hAnsi="宋体" w:eastAsia="宋体" w:cs="Times New Roman"/>
          <w:color w:val="auto"/>
          <w:kern w:val="0"/>
          <w:highlight w:val="none"/>
        </w:rPr>
      </w:pPr>
      <w:r>
        <w:rPr>
          <w:rFonts w:hint="eastAsia" w:ascii="宋体" w:hAnsi="宋体" w:eastAsia="宋体" w:cs="宋体"/>
          <w:color w:val="auto"/>
          <w:kern w:val="0"/>
          <w:highlight w:val="none"/>
        </w:rPr>
        <w:t>法定代表或其授权代表</w:t>
      </w:r>
      <w:r>
        <w:rPr>
          <w:rFonts w:ascii="宋体" w:hAnsi="宋体" w:eastAsia="宋体" w:cs="宋体"/>
          <w:color w:val="auto"/>
          <w:kern w:val="0"/>
          <w:highlight w:val="none"/>
        </w:rPr>
        <w:t>(</w:t>
      </w:r>
      <w:r>
        <w:rPr>
          <w:rFonts w:hint="eastAsia" w:ascii="宋体" w:hAnsi="宋体" w:eastAsia="宋体" w:cs="宋体"/>
          <w:color w:val="auto"/>
          <w:kern w:val="0"/>
          <w:highlight w:val="none"/>
        </w:rPr>
        <w:t>签字或签章</w:t>
      </w:r>
      <w:r>
        <w:rPr>
          <w:rFonts w:ascii="宋体" w:hAnsi="宋体" w:eastAsia="宋体" w:cs="宋体"/>
          <w:color w:val="auto"/>
          <w:kern w:val="0"/>
          <w:highlight w:val="none"/>
        </w:rPr>
        <w:t>)</w:t>
      </w:r>
      <w:r>
        <w:rPr>
          <w:rFonts w:hint="eastAsia" w:ascii="宋体" w:hAnsi="宋体" w:eastAsia="宋体" w:cs="宋体"/>
          <w:color w:val="auto"/>
          <w:kern w:val="0"/>
          <w:highlight w:val="none"/>
        </w:rPr>
        <w:t>：</w:t>
      </w:r>
      <w:r>
        <w:rPr>
          <w:rFonts w:ascii="宋体" w:hAnsi="宋体" w:eastAsia="宋体" w:cs="宋体"/>
          <w:color w:val="auto"/>
          <w:kern w:val="0"/>
          <w:highlight w:val="none"/>
          <w:u w:val="single"/>
        </w:rPr>
        <w:t xml:space="preserve">                        </w:t>
      </w:r>
    </w:p>
    <w:p>
      <w:pPr>
        <w:keepNext/>
        <w:keepLines/>
        <w:adjustRightInd w:val="0"/>
        <w:spacing w:before="40" w:after="40" w:line="360" w:lineRule="auto"/>
        <w:textAlignment w:val="baseline"/>
        <w:outlineLvl w:val="2"/>
        <w:rPr>
          <w:rFonts w:ascii="宋体" w:hAnsi="宋体" w:eastAsia="宋体" w:cs="Times New Roman"/>
          <w:b/>
          <w:bCs/>
          <w:color w:val="auto"/>
          <w:kern w:val="0"/>
          <w:sz w:val="24"/>
          <w:szCs w:val="24"/>
          <w:highlight w:val="none"/>
        </w:rPr>
      </w:pPr>
      <w:r>
        <w:rPr>
          <w:rFonts w:hint="eastAsia" w:ascii="宋体" w:hAnsi="宋体" w:eastAsia="宋体" w:cs="宋体"/>
          <w:color w:val="auto"/>
          <w:kern w:val="0"/>
          <w:highlight w:val="none"/>
        </w:rPr>
        <w:t>日</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期：</w:t>
      </w:r>
      <w:r>
        <w:rPr>
          <w:rFonts w:ascii="宋体" w:hAnsi="宋体" w:eastAsia="宋体" w:cs="宋体"/>
          <w:color w:val="auto"/>
          <w:kern w:val="0"/>
          <w:highlight w:val="none"/>
        </w:rPr>
        <w:t xml:space="preserve"> 2021</w:t>
      </w:r>
      <w:r>
        <w:rPr>
          <w:rFonts w:hint="eastAsia" w:ascii="宋体" w:hAnsi="宋体" w:eastAsia="宋体" w:cs="宋体"/>
          <w:color w:val="auto"/>
          <w:kern w:val="0"/>
          <w:highlight w:val="none"/>
        </w:rPr>
        <w:t>年</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月</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日</w:t>
      </w:r>
      <w:r>
        <w:rPr>
          <w:rFonts w:ascii="宋体" w:hAnsi="宋体" w:eastAsia="宋体" w:cs="Times New Roman"/>
          <w:b/>
          <w:bCs/>
          <w:color w:val="auto"/>
          <w:kern w:val="0"/>
          <w:sz w:val="24"/>
          <w:szCs w:val="24"/>
          <w:highlight w:val="none"/>
        </w:rPr>
        <w:br w:type="page"/>
      </w:r>
      <w:bookmarkStart w:id="342" w:name="_Toc512331248"/>
    </w:p>
    <w:p>
      <w:pPr>
        <w:keepNext/>
        <w:keepLines/>
        <w:adjustRightInd w:val="0"/>
        <w:spacing w:before="40" w:after="40" w:line="360" w:lineRule="auto"/>
        <w:textAlignment w:val="baseline"/>
        <w:outlineLvl w:val="2"/>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12 </w:t>
      </w:r>
      <w:r>
        <w:rPr>
          <w:rFonts w:hint="eastAsia" w:ascii="宋体" w:hAnsi="宋体" w:eastAsia="宋体" w:cs="宋体"/>
          <w:b/>
          <w:bCs/>
          <w:color w:val="auto"/>
          <w:kern w:val="0"/>
          <w:sz w:val="28"/>
          <w:szCs w:val="28"/>
          <w:highlight w:val="none"/>
        </w:rPr>
        <w:t>残疾人福利性单位声明函（如适用）</w:t>
      </w:r>
      <w:bookmarkEnd w:id="342"/>
    </w:p>
    <w:p>
      <w:pPr>
        <w:rPr>
          <w:rFonts w:ascii="Times New Roman" w:hAnsi="Times New Roman" w:eastAsia="宋体" w:cs="Times New Roman"/>
          <w:color w:val="auto"/>
          <w:highlight w:val="none"/>
        </w:rPr>
      </w:pPr>
    </w:p>
    <w:bookmarkEnd w:id="340"/>
    <w:bookmarkEnd w:id="341"/>
    <w:p>
      <w:pPr>
        <w:spacing w:line="360" w:lineRule="auto"/>
        <w:ind w:firstLine="504" w:firstLineChars="200"/>
        <w:rPr>
          <w:rFonts w:ascii="宋体" w:hAnsi="宋体" w:eastAsia="宋体" w:cs="Times New Roman"/>
          <w:color w:val="auto"/>
          <w:spacing w:val="6"/>
          <w:sz w:val="24"/>
          <w:szCs w:val="24"/>
          <w:highlight w:val="none"/>
        </w:rPr>
      </w:pPr>
      <w:r>
        <w:rPr>
          <w:rFonts w:hint="eastAsia" w:ascii="宋体" w:hAnsi="宋体" w:eastAsia="宋体" w:cs="宋体"/>
          <w:color w:val="auto"/>
          <w:spacing w:val="6"/>
          <w:sz w:val="24"/>
          <w:szCs w:val="24"/>
          <w:highlight w:val="none"/>
        </w:rPr>
        <w:t>本单位郑重声明，根据《财政部</w:t>
      </w:r>
      <w:r>
        <w:rPr>
          <w:rFonts w:ascii="宋体" w:hAnsi="宋体" w:eastAsia="宋体" w:cs="宋体"/>
          <w:color w:val="auto"/>
          <w:spacing w:val="6"/>
          <w:sz w:val="24"/>
          <w:szCs w:val="24"/>
          <w:highlight w:val="none"/>
        </w:rPr>
        <w:t xml:space="preserve"> </w:t>
      </w:r>
      <w:r>
        <w:rPr>
          <w:rFonts w:hint="eastAsia" w:ascii="宋体" w:hAnsi="宋体" w:eastAsia="宋体" w:cs="宋体"/>
          <w:color w:val="auto"/>
          <w:spacing w:val="6"/>
          <w:sz w:val="24"/>
          <w:szCs w:val="24"/>
          <w:highlight w:val="none"/>
        </w:rPr>
        <w:t>民政部</w:t>
      </w:r>
      <w:r>
        <w:rPr>
          <w:rFonts w:ascii="宋体" w:hAnsi="宋体" w:eastAsia="宋体" w:cs="宋体"/>
          <w:color w:val="auto"/>
          <w:spacing w:val="6"/>
          <w:sz w:val="24"/>
          <w:szCs w:val="24"/>
          <w:highlight w:val="none"/>
        </w:rPr>
        <w:t xml:space="preserve"> </w:t>
      </w:r>
      <w:r>
        <w:rPr>
          <w:rFonts w:hint="eastAsia" w:ascii="宋体" w:hAnsi="宋体" w:eastAsia="宋体" w:cs="宋体"/>
          <w:color w:val="auto"/>
          <w:spacing w:val="6"/>
          <w:sz w:val="24"/>
          <w:szCs w:val="24"/>
          <w:highlight w:val="none"/>
        </w:rPr>
        <w:t>中国残疾人联合会关于促进残疾人就业政府采购政策的通知》（财库</w:t>
      </w:r>
      <w:r>
        <w:rPr>
          <w:rFonts w:hint="eastAsia" w:ascii="宋体" w:hAnsi="宋体" w:eastAsia="宋体" w:cs="宋体"/>
          <w:color w:val="auto"/>
          <w:sz w:val="24"/>
          <w:szCs w:val="24"/>
          <w:highlight w:val="none"/>
        </w:rPr>
        <w:t>〔</w:t>
      </w:r>
      <w:r>
        <w:rPr>
          <w:rFonts w:ascii="宋体" w:hAnsi="宋体" w:eastAsia="宋体" w:cs="宋体"/>
          <w:color w:val="auto"/>
          <w:sz w:val="24"/>
          <w:szCs w:val="24"/>
          <w:highlight w:val="none"/>
        </w:rPr>
        <w:t>2017</w:t>
      </w:r>
      <w:r>
        <w:rPr>
          <w:rFonts w:hint="eastAsia" w:ascii="宋体" w:hAnsi="宋体" w:eastAsia="宋体" w:cs="宋体"/>
          <w:color w:val="auto"/>
          <w:sz w:val="24"/>
          <w:szCs w:val="24"/>
          <w:highlight w:val="none"/>
        </w:rPr>
        <w:t>〕</w:t>
      </w:r>
      <w:r>
        <w:rPr>
          <w:rFonts w:ascii="宋体" w:hAnsi="宋体" w:eastAsia="宋体" w:cs="宋体"/>
          <w:color w:val="auto"/>
          <w:sz w:val="24"/>
          <w:szCs w:val="24"/>
          <w:highlight w:val="none"/>
        </w:rPr>
        <w:t xml:space="preserve"> 141</w:t>
      </w:r>
      <w:r>
        <w:rPr>
          <w:rFonts w:hint="eastAsia" w:ascii="宋体" w:hAnsi="宋体" w:eastAsia="宋体" w:cs="宋体"/>
          <w:color w:val="auto"/>
          <w:spacing w:val="6"/>
          <w:sz w:val="24"/>
          <w:szCs w:val="24"/>
          <w:highlight w:val="none"/>
        </w:rPr>
        <w:t>号）的规定，本单位为符合条件的残疾人福利性单位，且本单位参加</w:t>
      </w:r>
      <w:r>
        <w:rPr>
          <w:rFonts w:ascii="宋体" w:hAnsi="宋体" w:eastAsia="宋体" w:cs="宋体"/>
          <w:color w:val="auto"/>
          <w:spacing w:val="6"/>
          <w:sz w:val="24"/>
          <w:szCs w:val="24"/>
          <w:highlight w:val="none"/>
        </w:rPr>
        <w:t>______</w:t>
      </w:r>
      <w:r>
        <w:rPr>
          <w:rFonts w:hint="eastAsia" w:ascii="宋体" w:hAnsi="宋体" w:eastAsia="宋体" w:cs="宋体"/>
          <w:color w:val="auto"/>
          <w:spacing w:val="6"/>
          <w:sz w:val="24"/>
          <w:szCs w:val="24"/>
          <w:highlight w:val="none"/>
        </w:rPr>
        <w:t>单位的</w:t>
      </w:r>
      <w:r>
        <w:rPr>
          <w:rFonts w:ascii="宋体" w:hAnsi="宋体" w:eastAsia="宋体" w:cs="宋体"/>
          <w:color w:val="auto"/>
          <w:spacing w:val="6"/>
          <w:sz w:val="24"/>
          <w:szCs w:val="24"/>
          <w:highlight w:val="none"/>
        </w:rPr>
        <w:t>______</w:t>
      </w:r>
      <w:r>
        <w:rPr>
          <w:rFonts w:hint="eastAsia" w:ascii="宋体" w:hAnsi="宋体" w:eastAsia="宋体" w:cs="宋体"/>
          <w:color w:val="auto"/>
          <w:spacing w:val="6"/>
          <w:sz w:val="24"/>
          <w:szCs w:val="24"/>
          <w:highlight w:val="none"/>
        </w:rPr>
        <w:t>项目采购活动提供本单位制造的货物（由本单位承担工程</w:t>
      </w:r>
      <w:r>
        <w:rPr>
          <w:rFonts w:ascii="宋体" w:hAnsi="宋体" w:eastAsia="宋体" w:cs="宋体"/>
          <w:color w:val="auto"/>
          <w:spacing w:val="6"/>
          <w:sz w:val="24"/>
          <w:szCs w:val="24"/>
          <w:highlight w:val="none"/>
        </w:rPr>
        <w:t>/</w:t>
      </w:r>
      <w:r>
        <w:rPr>
          <w:rFonts w:hint="eastAsia" w:ascii="宋体" w:hAnsi="宋体" w:eastAsia="宋体" w:cs="宋体"/>
          <w:color w:val="auto"/>
          <w:spacing w:val="6"/>
          <w:sz w:val="24"/>
          <w:szCs w:val="24"/>
          <w:highlight w:val="none"/>
        </w:rPr>
        <w:t>提供服务），或者提供其他残疾人福利性单位制造的货物（不包括使用非残疾人福利性单位注册商标的货物）。</w:t>
      </w:r>
    </w:p>
    <w:p>
      <w:pPr>
        <w:spacing w:line="360" w:lineRule="auto"/>
        <w:ind w:firstLine="504" w:firstLineChars="200"/>
        <w:rPr>
          <w:rFonts w:ascii="宋体" w:hAnsi="宋体" w:eastAsia="宋体" w:cs="Times New Roman"/>
          <w:color w:val="auto"/>
          <w:spacing w:val="6"/>
          <w:sz w:val="24"/>
          <w:szCs w:val="24"/>
          <w:highlight w:val="none"/>
        </w:rPr>
      </w:pPr>
      <w:r>
        <w:rPr>
          <w:rFonts w:hint="eastAsia" w:ascii="宋体" w:hAnsi="宋体" w:eastAsia="宋体" w:cs="宋体"/>
          <w:color w:val="auto"/>
          <w:spacing w:val="6"/>
          <w:sz w:val="24"/>
          <w:szCs w:val="24"/>
          <w:highlight w:val="none"/>
        </w:rPr>
        <w:t>本单位对上述声明的真实性负责。如有虚假，将依法承担相应责任。</w:t>
      </w:r>
    </w:p>
    <w:p>
      <w:pPr>
        <w:spacing w:line="360" w:lineRule="auto"/>
        <w:ind w:firstLine="504" w:firstLineChars="200"/>
        <w:rPr>
          <w:rFonts w:ascii="宋体" w:hAnsi="宋体" w:eastAsia="宋体" w:cs="Times New Roman"/>
          <w:color w:val="auto"/>
          <w:spacing w:val="6"/>
          <w:sz w:val="24"/>
          <w:szCs w:val="24"/>
          <w:highlight w:val="none"/>
        </w:rPr>
      </w:pPr>
    </w:p>
    <w:p>
      <w:pPr>
        <w:spacing w:line="360" w:lineRule="auto"/>
        <w:ind w:firstLine="504" w:firstLineChars="200"/>
        <w:rPr>
          <w:rFonts w:ascii="宋体" w:hAnsi="宋体" w:eastAsia="宋体" w:cs="Times New Roman"/>
          <w:color w:val="auto"/>
          <w:spacing w:val="6"/>
          <w:sz w:val="24"/>
          <w:szCs w:val="24"/>
          <w:highlight w:val="none"/>
        </w:rPr>
      </w:pPr>
    </w:p>
    <w:p>
      <w:pPr>
        <w:tabs>
          <w:tab w:val="left" w:pos="4860"/>
        </w:tabs>
        <w:spacing w:line="360" w:lineRule="auto"/>
        <w:ind w:firstLine="4536" w:firstLineChars="1800"/>
        <w:jc w:val="left"/>
        <w:rPr>
          <w:rFonts w:ascii="宋体" w:hAnsi="宋体" w:eastAsia="宋体" w:cs="Times New Roman"/>
          <w:color w:val="auto"/>
          <w:spacing w:val="6"/>
          <w:sz w:val="24"/>
          <w:szCs w:val="24"/>
          <w:highlight w:val="none"/>
        </w:rPr>
      </w:pPr>
      <w:r>
        <w:rPr>
          <w:rFonts w:hint="eastAsia" w:ascii="宋体" w:hAnsi="宋体" w:eastAsia="宋体" w:cs="宋体"/>
          <w:color w:val="auto"/>
          <w:spacing w:val="6"/>
          <w:sz w:val="24"/>
          <w:szCs w:val="24"/>
          <w:highlight w:val="none"/>
        </w:rPr>
        <w:t>单位名称（盖章）：</w:t>
      </w:r>
      <w:r>
        <w:rPr>
          <w:rFonts w:ascii="宋体" w:hAnsi="宋体" w:eastAsia="宋体" w:cs="宋体"/>
          <w:color w:val="auto"/>
          <w:spacing w:val="6"/>
          <w:sz w:val="24"/>
          <w:szCs w:val="24"/>
          <w:highlight w:val="none"/>
          <w:u w:val="single"/>
        </w:rPr>
        <w:t xml:space="preserve">                     </w:t>
      </w:r>
    </w:p>
    <w:p>
      <w:pPr>
        <w:tabs>
          <w:tab w:val="left" w:pos="4860"/>
        </w:tabs>
        <w:ind w:firstLine="4536" w:firstLineChars="1800"/>
        <w:jc w:val="left"/>
        <w:rPr>
          <w:rFonts w:ascii="宋体" w:hAnsi="宋体" w:eastAsia="宋体" w:cs="Times New Roman"/>
          <w:color w:val="auto"/>
          <w:spacing w:val="6"/>
          <w:sz w:val="24"/>
          <w:szCs w:val="24"/>
          <w:highlight w:val="none"/>
        </w:rPr>
      </w:pPr>
      <w:r>
        <w:rPr>
          <w:rFonts w:hint="eastAsia" w:ascii="宋体" w:hAnsi="宋体" w:eastAsia="宋体" w:cs="宋体"/>
          <w:color w:val="auto"/>
          <w:spacing w:val="6"/>
          <w:sz w:val="24"/>
          <w:szCs w:val="24"/>
          <w:highlight w:val="none"/>
        </w:rPr>
        <w:t>日</w:t>
      </w:r>
      <w:r>
        <w:rPr>
          <w:rFonts w:ascii="宋体" w:hAnsi="宋体" w:eastAsia="宋体" w:cs="宋体"/>
          <w:color w:val="auto"/>
          <w:spacing w:val="6"/>
          <w:sz w:val="24"/>
          <w:szCs w:val="24"/>
          <w:highlight w:val="none"/>
        </w:rPr>
        <w:t xml:space="preserve">  </w:t>
      </w:r>
      <w:r>
        <w:rPr>
          <w:rFonts w:hint="eastAsia" w:ascii="宋体" w:hAnsi="宋体" w:eastAsia="宋体" w:cs="宋体"/>
          <w:color w:val="auto"/>
          <w:spacing w:val="6"/>
          <w:sz w:val="24"/>
          <w:szCs w:val="24"/>
          <w:highlight w:val="none"/>
        </w:rPr>
        <w:t>期：</w:t>
      </w:r>
    </w:p>
    <w:p>
      <w:pPr>
        <w:spacing w:line="360" w:lineRule="auto"/>
        <w:rPr>
          <w:rFonts w:ascii="宋体" w:hAnsi="宋体" w:eastAsia="宋体" w:cs="Times New Roman"/>
          <w:color w:val="auto"/>
          <w:sz w:val="28"/>
          <w:szCs w:val="28"/>
          <w:highlight w:val="none"/>
        </w:rPr>
      </w:pPr>
      <w:r>
        <w:rPr>
          <w:rFonts w:ascii="宋体" w:hAnsi="宋体" w:eastAsia="宋体" w:cs="Times New Roman"/>
          <w:b/>
          <w:bCs/>
          <w:color w:val="auto"/>
          <w:kern w:val="0"/>
          <w:sz w:val="28"/>
          <w:szCs w:val="28"/>
          <w:highlight w:val="none"/>
        </w:rPr>
        <w:br w:type="page"/>
      </w: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13 </w:t>
      </w:r>
      <w:r>
        <w:rPr>
          <w:rFonts w:hint="eastAsia" w:ascii="宋体" w:hAnsi="宋体" w:eastAsia="宋体" w:cs="宋体"/>
          <w:b/>
          <w:bCs/>
          <w:color w:val="auto"/>
          <w:kern w:val="0"/>
          <w:sz w:val="28"/>
          <w:szCs w:val="28"/>
          <w:highlight w:val="none"/>
        </w:rPr>
        <w:t>供应商基本情况表</w:t>
      </w: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u w:val="single"/>
        </w:rPr>
      </w:pPr>
      <w:r>
        <w:rPr>
          <w:rFonts w:ascii="宋体" w:hAnsi="宋体" w:eastAsia="宋体" w:cs="宋体"/>
          <w:color w:val="auto"/>
          <w:highlight w:val="none"/>
        </w:rPr>
        <w:t>1</w:t>
      </w:r>
      <w:r>
        <w:rPr>
          <w:rFonts w:hint="eastAsia" w:ascii="宋体" w:hAnsi="宋体" w:eastAsia="宋体" w:cs="宋体"/>
          <w:color w:val="auto"/>
          <w:highlight w:val="none"/>
        </w:rPr>
        <w:t>、公司名称：</w:t>
      </w:r>
      <w:r>
        <w:rPr>
          <w:rFonts w:ascii="宋体" w:hAnsi="宋体" w:eastAsia="宋体" w:cs="宋体"/>
          <w:color w:val="auto"/>
          <w:highlight w:val="none"/>
        </w:rPr>
        <w:t xml:space="preserve">                     </w:t>
      </w:r>
      <w:r>
        <w:rPr>
          <w:rFonts w:hint="eastAsia" w:ascii="宋体" w:hAnsi="宋体" w:eastAsia="宋体" w:cs="宋体"/>
          <w:color w:val="auto"/>
          <w:highlight w:val="none"/>
        </w:rPr>
        <w:t>电话号码：</w:t>
      </w:r>
    </w:p>
    <w:p>
      <w:pPr>
        <w:spacing w:line="360" w:lineRule="auto"/>
        <w:rPr>
          <w:rFonts w:ascii="宋体" w:hAnsi="宋体" w:eastAsia="宋体" w:cs="Times New Roman"/>
          <w:color w:val="auto"/>
          <w:highlight w:val="none"/>
          <w:u w:val="single"/>
        </w:rPr>
      </w:pPr>
      <w:r>
        <w:rPr>
          <w:rFonts w:ascii="宋体" w:hAnsi="宋体" w:eastAsia="宋体" w:cs="宋体"/>
          <w:color w:val="auto"/>
          <w:highlight w:val="none"/>
        </w:rPr>
        <w:t>2</w:t>
      </w:r>
      <w:r>
        <w:rPr>
          <w:rFonts w:hint="eastAsia" w:ascii="宋体" w:hAnsi="宋体" w:eastAsia="宋体" w:cs="宋体"/>
          <w:color w:val="auto"/>
          <w:highlight w:val="none"/>
        </w:rPr>
        <w:t>、地</w:t>
      </w:r>
      <w:r>
        <w:rPr>
          <w:rFonts w:ascii="宋体" w:hAnsi="宋体" w:eastAsia="宋体" w:cs="宋体"/>
          <w:color w:val="auto"/>
          <w:highlight w:val="none"/>
        </w:rPr>
        <w:t xml:space="preserve">    </w:t>
      </w:r>
      <w:r>
        <w:rPr>
          <w:rFonts w:hint="eastAsia" w:ascii="宋体" w:hAnsi="宋体" w:eastAsia="宋体" w:cs="宋体"/>
          <w:color w:val="auto"/>
          <w:highlight w:val="none"/>
        </w:rPr>
        <w:t>址：</w:t>
      </w:r>
      <w:r>
        <w:rPr>
          <w:rFonts w:ascii="宋体" w:hAnsi="宋体" w:eastAsia="宋体" w:cs="宋体"/>
          <w:color w:val="auto"/>
          <w:highlight w:val="none"/>
        </w:rPr>
        <w:t xml:space="preserve">                     </w:t>
      </w:r>
      <w:r>
        <w:rPr>
          <w:rFonts w:hint="eastAsia" w:ascii="宋体" w:hAnsi="宋体" w:eastAsia="宋体" w:cs="宋体"/>
          <w:color w:val="auto"/>
          <w:highlight w:val="none"/>
        </w:rPr>
        <w:t>传</w:t>
      </w:r>
      <w:r>
        <w:rPr>
          <w:rFonts w:ascii="宋体" w:hAnsi="宋体" w:eastAsia="宋体" w:cs="宋体"/>
          <w:color w:val="auto"/>
          <w:highlight w:val="none"/>
        </w:rPr>
        <w:t xml:space="preserve">    </w:t>
      </w:r>
      <w:r>
        <w:rPr>
          <w:rFonts w:hint="eastAsia" w:ascii="宋体" w:hAnsi="宋体" w:eastAsia="宋体" w:cs="宋体"/>
          <w:color w:val="auto"/>
          <w:highlight w:val="none"/>
        </w:rPr>
        <w:t>真：</w:t>
      </w:r>
    </w:p>
    <w:p>
      <w:pPr>
        <w:spacing w:line="360" w:lineRule="auto"/>
        <w:rPr>
          <w:rFonts w:ascii="宋体" w:hAnsi="宋体" w:eastAsia="宋体" w:cs="Times New Roman"/>
          <w:color w:val="auto"/>
          <w:highlight w:val="none"/>
          <w:u w:val="single"/>
        </w:rPr>
      </w:pPr>
      <w:r>
        <w:rPr>
          <w:rFonts w:ascii="宋体" w:hAnsi="宋体" w:eastAsia="宋体" w:cs="宋体"/>
          <w:color w:val="auto"/>
          <w:highlight w:val="none"/>
        </w:rPr>
        <w:t>3</w:t>
      </w:r>
      <w:r>
        <w:rPr>
          <w:rFonts w:hint="eastAsia" w:ascii="宋体" w:hAnsi="宋体" w:eastAsia="宋体" w:cs="宋体"/>
          <w:color w:val="auto"/>
          <w:highlight w:val="none"/>
        </w:rPr>
        <w:t>、经济性质：</w:t>
      </w:r>
    </w:p>
    <w:p>
      <w:pPr>
        <w:spacing w:line="360" w:lineRule="auto"/>
        <w:rPr>
          <w:rFonts w:ascii="宋体" w:hAnsi="宋体" w:eastAsia="宋体" w:cs="宋体"/>
          <w:color w:val="auto"/>
          <w:highlight w:val="none"/>
        </w:rPr>
      </w:pPr>
      <w:r>
        <w:rPr>
          <w:rFonts w:ascii="宋体" w:hAnsi="宋体" w:eastAsia="宋体" w:cs="宋体"/>
          <w:color w:val="auto"/>
          <w:highlight w:val="none"/>
        </w:rPr>
        <w:t>4</w:t>
      </w:r>
      <w:r>
        <w:rPr>
          <w:rFonts w:hint="eastAsia" w:ascii="宋体" w:hAnsi="宋体" w:eastAsia="宋体" w:cs="宋体"/>
          <w:color w:val="auto"/>
          <w:highlight w:val="none"/>
        </w:rPr>
        <w:t>、公司开户银行名称及帐户：</w:t>
      </w:r>
      <w:r>
        <w:rPr>
          <w:rFonts w:ascii="宋体" w:hAnsi="宋体" w:eastAsia="宋体" w:cs="宋体"/>
          <w:color w:val="auto"/>
          <w:highlight w:val="none"/>
        </w:rPr>
        <w:t xml:space="preserve">                 </w:t>
      </w:r>
    </w:p>
    <w:p>
      <w:pPr>
        <w:spacing w:line="360" w:lineRule="auto"/>
        <w:rPr>
          <w:rFonts w:ascii="宋体" w:hAnsi="宋体" w:eastAsia="宋体" w:cs="Times New Roman"/>
          <w:color w:val="auto"/>
          <w:highlight w:val="none"/>
        </w:rPr>
      </w:pPr>
      <w:r>
        <w:rPr>
          <w:rFonts w:ascii="宋体" w:hAnsi="宋体" w:eastAsia="宋体" w:cs="宋体"/>
          <w:color w:val="auto"/>
          <w:highlight w:val="none"/>
        </w:rPr>
        <w:t xml:space="preserve">   </w:t>
      </w:r>
      <w:r>
        <w:rPr>
          <w:rFonts w:hint="eastAsia" w:ascii="宋体" w:hAnsi="宋体" w:eastAsia="宋体" w:cs="宋体"/>
          <w:color w:val="auto"/>
          <w:highlight w:val="none"/>
        </w:rPr>
        <w:t>名称：</w:t>
      </w:r>
    </w:p>
    <w:p>
      <w:pPr>
        <w:spacing w:line="360" w:lineRule="auto"/>
        <w:ind w:firstLine="315" w:firstLineChars="150"/>
        <w:rPr>
          <w:rFonts w:ascii="宋体" w:hAnsi="宋体" w:eastAsia="宋体" w:cs="Times New Roman"/>
          <w:color w:val="auto"/>
          <w:highlight w:val="none"/>
          <w:u w:val="single"/>
        </w:rPr>
      </w:pPr>
      <w:r>
        <w:rPr>
          <w:rFonts w:hint="eastAsia" w:ascii="宋体" w:hAnsi="宋体" w:eastAsia="宋体" w:cs="宋体"/>
          <w:color w:val="auto"/>
          <w:highlight w:val="none"/>
        </w:rPr>
        <w:t>帐户：</w:t>
      </w:r>
    </w:p>
    <w:p>
      <w:pPr>
        <w:autoSpaceDE w:val="0"/>
        <w:spacing w:line="360" w:lineRule="auto"/>
        <w:rPr>
          <w:rFonts w:ascii="宋体" w:hAnsi="宋体" w:eastAsia="宋体" w:cs="宋体"/>
          <w:color w:val="auto"/>
          <w:highlight w:val="none"/>
        </w:rPr>
      </w:pPr>
      <w:r>
        <w:rPr>
          <w:rFonts w:ascii="宋体" w:hAnsi="宋体" w:eastAsia="宋体" w:cs="宋体"/>
          <w:color w:val="auto"/>
          <w:highlight w:val="none"/>
        </w:rPr>
        <w:t>5</w:t>
      </w:r>
      <w:r>
        <w:rPr>
          <w:rFonts w:hint="eastAsia" w:ascii="宋体" w:hAnsi="宋体" w:eastAsia="宋体" w:cs="宋体"/>
          <w:color w:val="auto"/>
          <w:highlight w:val="none"/>
        </w:rPr>
        <w:t>、公司基本情况：</w:t>
      </w:r>
      <w:r>
        <w:rPr>
          <w:rFonts w:ascii="宋体" w:hAnsi="宋体" w:eastAsia="宋体" w:cs="宋体"/>
          <w:color w:val="auto"/>
          <w:highlight w:val="none"/>
        </w:rPr>
        <w:t xml:space="preserve"> </w:t>
      </w:r>
    </w:p>
    <w:p>
      <w:pPr>
        <w:spacing w:line="360" w:lineRule="auto"/>
        <w:rPr>
          <w:rFonts w:ascii="宋体" w:hAnsi="宋体" w:eastAsia="宋体" w:cs="Times New Roman"/>
          <w:color w:val="auto"/>
          <w:highlight w:val="none"/>
        </w:rPr>
      </w:pPr>
      <w:r>
        <w:rPr>
          <w:rFonts w:ascii="宋体" w:hAnsi="宋体" w:eastAsia="宋体" w:cs="宋体"/>
          <w:color w:val="auto"/>
          <w:highlight w:val="none"/>
        </w:rPr>
        <w:t>6</w:t>
      </w:r>
      <w:r>
        <w:rPr>
          <w:rFonts w:hint="eastAsia" w:ascii="宋体" w:hAnsi="宋体" w:eastAsia="宋体" w:cs="宋体"/>
          <w:color w:val="auto"/>
          <w:highlight w:val="none"/>
        </w:rPr>
        <w:t>、</w:t>
      </w:r>
      <w:r>
        <w:rPr>
          <w:rFonts w:hint="eastAsia" w:ascii="宋体" w:hAnsi="宋体" w:eastAsia="宋体" w:cs="宋体"/>
          <w:color w:val="auto"/>
          <w:kern w:val="0"/>
          <w:highlight w:val="none"/>
        </w:rPr>
        <w:t>供应商</w:t>
      </w:r>
      <w:r>
        <w:rPr>
          <w:rFonts w:hint="eastAsia" w:ascii="宋体" w:hAnsi="宋体" w:eastAsia="宋体" w:cs="宋体"/>
          <w:color w:val="auto"/>
          <w:highlight w:val="none"/>
        </w:rPr>
        <w:t>获得资质和荣誉证书复印件一览表（后附相关证书复印件加盖公章）</w:t>
      </w:r>
    </w:p>
    <w:tbl>
      <w:tblPr>
        <w:tblStyle w:val="90"/>
        <w:tblW w:w="9457"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65"/>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证书名称</w:t>
            </w:r>
          </w:p>
        </w:tc>
        <w:tc>
          <w:tcPr>
            <w:tcW w:w="2364"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发证单位</w:t>
            </w:r>
          </w:p>
        </w:tc>
        <w:tc>
          <w:tcPr>
            <w:tcW w:w="2364"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证书等级</w:t>
            </w:r>
          </w:p>
        </w:tc>
        <w:tc>
          <w:tcPr>
            <w:tcW w:w="2364"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证书有效期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Pr>
          <w:p>
            <w:pPr>
              <w:spacing w:line="360" w:lineRule="auto"/>
              <w:rPr>
                <w:rFonts w:ascii="宋体" w:hAnsi="宋体" w:eastAsia="宋体" w:cs="Times New Roman"/>
                <w:color w:val="auto"/>
                <w:highlight w:val="none"/>
              </w:rPr>
            </w:pPr>
          </w:p>
        </w:tc>
        <w:tc>
          <w:tcPr>
            <w:tcW w:w="2364" w:type="dxa"/>
          </w:tcPr>
          <w:p>
            <w:pPr>
              <w:spacing w:line="360" w:lineRule="auto"/>
              <w:rPr>
                <w:rFonts w:ascii="宋体" w:hAnsi="宋体" w:eastAsia="宋体" w:cs="Times New Roman"/>
                <w:color w:val="auto"/>
                <w:highlight w:val="none"/>
              </w:rPr>
            </w:pPr>
          </w:p>
        </w:tc>
        <w:tc>
          <w:tcPr>
            <w:tcW w:w="2364" w:type="dxa"/>
          </w:tcPr>
          <w:p>
            <w:pPr>
              <w:spacing w:line="360" w:lineRule="auto"/>
              <w:rPr>
                <w:rFonts w:ascii="宋体" w:hAnsi="宋体" w:eastAsia="宋体" w:cs="Times New Roman"/>
                <w:color w:val="auto"/>
                <w:highlight w:val="none"/>
              </w:rPr>
            </w:pPr>
          </w:p>
        </w:tc>
        <w:tc>
          <w:tcPr>
            <w:tcW w:w="2364" w:type="dxa"/>
          </w:tcPr>
          <w:p>
            <w:pPr>
              <w:spacing w:line="360" w:lineRule="auto"/>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Pr>
          <w:p>
            <w:pPr>
              <w:spacing w:line="360" w:lineRule="auto"/>
              <w:rPr>
                <w:rFonts w:ascii="宋体" w:hAnsi="宋体" w:eastAsia="宋体" w:cs="Times New Roman"/>
                <w:color w:val="auto"/>
                <w:highlight w:val="none"/>
              </w:rPr>
            </w:pPr>
          </w:p>
        </w:tc>
        <w:tc>
          <w:tcPr>
            <w:tcW w:w="2364" w:type="dxa"/>
          </w:tcPr>
          <w:p>
            <w:pPr>
              <w:spacing w:line="360" w:lineRule="auto"/>
              <w:rPr>
                <w:rFonts w:ascii="宋体" w:hAnsi="宋体" w:eastAsia="宋体" w:cs="Times New Roman"/>
                <w:color w:val="auto"/>
                <w:highlight w:val="none"/>
              </w:rPr>
            </w:pPr>
          </w:p>
        </w:tc>
        <w:tc>
          <w:tcPr>
            <w:tcW w:w="2364" w:type="dxa"/>
          </w:tcPr>
          <w:p>
            <w:pPr>
              <w:spacing w:line="360" w:lineRule="auto"/>
              <w:rPr>
                <w:rFonts w:ascii="宋体" w:hAnsi="宋体" w:eastAsia="宋体" w:cs="Times New Roman"/>
                <w:color w:val="auto"/>
                <w:highlight w:val="none"/>
              </w:rPr>
            </w:pPr>
          </w:p>
        </w:tc>
        <w:tc>
          <w:tcPr>
            <w:tcW w:w="2364" w:type="dxa"/>
          </w:tcPr>
          <w:p>
            <w:pPr>
              <w:spacing w:line="360" w:lineRule="auto"/>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365" w:type="dxa"/>
          </w:tcPr>
          <w:p>
            <w:pPr>
              <w:spacing w:line="360" w:lineRule="auto"/>
              <w:rPr>
                <w:rFonts w:ascii="宋体" w:hAnsi="宋体" w:eastAsia="宋体" w:cs="Times New Roman"/>
                <w:color w:val="auto"/>
                <w:highlight w:val="none"/>
              </w:rPr>
            </w:pPr>
          </w:p>
        </w:tc>
        <w:tc>
          <w:tcPr>
            <w:tcW w:w="2364" w:type="dxa"/>
          </w:tcPr>
          <w:p>
            <w:pPr>
              <w:spacing w:line="360" w:lineRule="auto"/>
              <w:rPr>
                <w:rFonts w:ascii="宋体" w:hAnsi="宋体" w:eastAsia="宋体" w:cs="Times New Roman"/>
                <w:color w:val="auto"/>
                <w:highlight w:val="none"/>
              </w:rPr>
            </w:pPr>
          </w:p>
        </w:tc>
        <w:tc>
          <w:tcPr>
            <w:tcW w:w="2364" w:type="dxa"/>
          </w:tcPr>
          <w:p>
            <w:pPr>
              <w:spacing w:line="360" w:lineRule="auto"/>
              <w:rPr>
                <w:rFonts w:ascii="宋体" w:hAnsi="宋体" w:eastAsia="宋体" w:cs="Times New Roman"/>
                <w:color w:val="auto"/>
                <w:highlight w:val="none"/>
              </w:rPr>
            </w:pPr>
          </w:p>
        </w:tc>
        <w:tc>
          <w:tcPr>
            <w:tcW w:w="2364" w:type="dxa"/>
          </w:tcPr>
          <w:p>
            <w:pPr>
              <w:spacing w:line="360" w:lineRule="auto"/>
              <w:rPr>
                <w:rFonts w:ascii="宋体" w:hAnsi="宋体" w:eastAsia="宋体" w:cs="Times New Roman"/>
                <w:color w:val="auto"/>
                <w:highlight w:val="none"/>
              </w:rPr>
            </w:pPr>
          </w:p>
        </w:tc>
      </w:tr>
    </w:tbl>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我</w:t>
      </w:r>
      <w:r>
        <w:rPr>
          <w:rFonts w:ascii="宋体" w:hAnsi="宋体" w:eastAsia="宋体" w:cs="宋体"/>
          <w:color w:val="auto"/>
          <w:highlight w:val="none"/>
        </w:rPr>
        <w:t>/</w:t>
      </w:r>
      <w:r>
        <w:rPr>
          <w:rFonts w:hint="eastAsia" w:ascii="宋体" w:hAnsi="宋体" w:eastAsia="宋体" w:cs="宋体"/>
          <w:color w:val="auto"/>
          <w:highlight w:val="none"/>
        </w:rPr>
        <w:t>我们声明以上所述准确无误，您有权进行您认为有必要的所有调查。</w:t>
      </w: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p>
    <w:p>
      <w:pPr>
        <w:spacing w:line="360" w:lineRule="auto"/>
        <w:rPr>
          <w:rFonts w:ascii="宋体" w:hAnsi="宋体" w:eastAsia="宋体" w:cs="宋体"/>
          <w:color w:val="auto"/>
          <w:highlight w:val="non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全称（加盖公章）</w:t>
      </w:r>
      <w:r>
        <w:rPr>
          <w:rFonts w:ascii="宋体" w:hAnsi="宋体" w:eastAsia="宋体" w:cs="宋体"/>
          <w:color w:val="auto"/>
          <w:highlight w:val="none"/>
        </w:rPr>
        <w:t>:</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法定代表或其授权代表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r>
        <w:rPr>
          <w:rFonts w:ascii="宋体" w:hAnsi="宋体" w:eastAsia="宋体" w:cs="Times New Roman"/>
          <w:color w:val="auto"/>
          <w:highlight w:val="none"/>
        </w:rPr>
        <w:br w:type="page"/>
      </w:r>
      <w:bookmarkStart w:id="343" w:name="_Toc81142098"/>
      <w:bookmarkStart w:id="344" w:name="_Toc109467914"/>
    </w:p>
    <w:p>
      <w:pPr>
        <w:spacing w:line="360" w:lineRule="auto"/>
        <w:rPr>
          <w:rFonts w:ascii="宋体" w:hAnsi="宋体" w:eastAsia="宋体" w:cs="Times New Roman"/>
          <w:color w:val="auto"/>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14  </w:t>
      </w:r>
      <w:r>
        <w:rPr>
          <w:rFonts w:hint="eastAsia" w:ascii="宋体" w:hAnsi="宋体" w:eastAsia="宋体" w:cs="宋体"/>
          <w:b/>
          <w:bCs/>
          <w:color w:val="auto"/>
          <w:kern w:val="0"/>
          <w:sz w:val="28"/>
          <w:szCs w:val="28"/>
          <w:highlight w:val="none"/>
        </w:rPr>
        <w:t>采购需求响应表</w:t>
      </w:r>
    </w:p>
    <w:p>
      <w:pPr>
        <w:spacing w:line="360" w:lineRule="auto"/>
        <w:ind w:right="482"/>
        <w:rPr>
          <w:rFonts w:ascii="宋体" w:hAnsi="宋体" w:eastAsia="宋体" w:cs="Times New Roman"/>
          <w:color w:val="auto"/>
          <w:highlight w:val="none"/>
        </w:rPr>
      </w:pPr>
    </w:p>
    <w:p>
      <w:pPr>
        <w:spacing w:line="360" w:lineRule="auto"/>
        <w:ind w:right="482"/>
        <w:rPr>
          <w:rFonts w:ascii="宋体" w:hAnsi="宋体" w:eastAsia="宋体" w:cs="宋体"/>
          <w:color w:val="auto"/>
          <w:highlight w:val="none"/>
        </w:rPr>
      </w:pPr>
      <w:r>
        <w:rPr>
          <w:rFonts w:hint="eastAsia" w:ascii="宋体" w:hAnsi="宋体" w:eastAsia="宋体" w:cs="宋体"/>
          <w:color w:val="auto"/>
          <w:highlight w:val="none"/>
        </w:rPr>
        <w:t>项目名称：</w:t>
      </w:r>
      <w:r>
        <w:rPr>
          <w:rFonts w:ascii="宋体" w:hAnsi="宋体" w:eastAsia="宋体" w:cs="宋体"/>
          <w:color w:val="auto"/>
          <w:highlight w:val="none"/>
        </w:rPr>
        <w:t xml:space="preserve"> </w:t>
      </w:r>
    </w:p>
    <w:p>
      <w:pPr>
        <w:spacing w:line="360" w:lineRule="auto"/>
        <w:ind w:right="482"/>
        <w:rPr>
          <w:rFonts w:ascii="宋体" w:hAnsi="宋体" w:eastAsia="宋体" w:cs="Times New Roman"/>
          <w:color w:val="auto"/>
          <w:highlight w:val="none"/>
        </w:rPr>
      </w:pPr>
      <w:r>
        <w:rPr>
          <w:rFonts w:hint="eastAsia" w:ascii="宋体" w:hAnsi="宋体" w:eastAsia="宋体" w:cs="宋体"/>
          <w:color w:val="auto"/>
          <w:highlight w:val="none"/>
        </w:rPr>
        <w:t>项目编号：</w:t>
      </w:r>
    </w:p>
    <w:p>
      <w:pPr>
        <w:spacing w:line="360" w:lineRule="auto"/>
        <w:rPr>
          <w:rFonts w:ascii="宋体" w:hAnsi="宋体" w:eastAsia="宋体" w:cs="Times New Roman"/>
          <w:color w:val="auto"/>
          <w:highlight w:val="none"/>
        </w:rPr>
      </w:pPr>
    </w:p>
    <w:tbl>
      <w:tblPr>
        <w:tblStyle w:val="90"/>
        <w:tblW w:w="9210" w:type="dxa"/>
        <w:tblInd w:w="2" w:type="dxa"/>
        <w:tblLayout w:type="fixed"/>
        <w:tblCellMar>
          <w:top w:w="0" w:type="dxa"/>
          <w:left w:w="30" w:type="dxa"/>
          <w:bottom w:w="0" w:type="dxa"/>
          <w:right w:w="30" w:type="dxa"/>
        </w:tblCellMar>
      </w:tblPr>
      <w:tblGrid>
        <w:gridCol w:w="930"/>
        <w:gridCol w:w="4680"/>
        <w:gridCol w:w="1080"/>
        <w:gridCol w:w="2520"/>
      </w:tblGrid>
      <w:tr>
        <w:tblPrEx>
          <w:tblLayout w:type="fixed"/>
          <w:tblCellMar>
            <w:top w:w="0" w:type="dxa"/>
            <w:left w:w="30" w:type="dxa"/>
            <w:bottom w:w="0" w:type="dxa"/>
            <w:right w:w="30" w:type="dxa"/>
          </w:tblCellMar>
        </w:tblPrEx>
        <w:trPr>
          <w:cantSplit/>
          <w:trHeight w:val="433" w:hRule="atLeast"/>
        </w:trPr>
        <w:tc>
          <w:tcPr>
            <w:tcW w:w="93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序号</w:t>
            </w:r>
          </w:p>
        </w:tc>
        <w:tc>
          <w:tcPr>
            <w:tcW w:w="4680" w:type="dxa"/>
            <w:tcBorders>
              <w:top w:val="single" w:color="auto" w:sz="4" w:space="0"/>
              <w:left w:val="single" w:color="auto" w:sz="4"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内容需求</w:t>
            </w:r>
          </w:p>
        </w:tc>
        <w:tc>
          <w:tcPr>
            <w:tcW w:w="108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是否响应</w:t>
            </w:r>
          </w:p>
        </w:tc>
        <w:tc>
          <w:tcPr>
            <w:tcW w:w="2520" w:type="dxa"/>
            <w:tcBorders>
              <w:top w:val="single" w:color="auto" w:sz="4" w:space="0"/>
              <w:left w:val="single" w:color="auto" w:sz="6" w:space="0"/>
              <w:bottom w:val="single" w:color="auto" w:sz="4" w:space="0"/>
              <w:right w:val="single" w:color="000000" w:sz="2" w:space="0"/>
            </w:tcBorders>
            <w:vAlign w:val="center"/>
          </w:tcPr>
          <w:p>
            <w:pPr>
              <w:autoSpaceDE w:val="0"/>
              <w:autoSpaceDN w:val="0"/>
              <w:adjustRightInd w:val="0"/>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差异</w:t>
            </w: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eastAsia="宋体" w:cs="宋体"/>
                <w:color w:val="auto"/>
                <w:highlight w:val="none"/>
              </w:rPr>
            </w:pPr>
            <w:r>
              <w:rPr>
                <w:rFonts w:ascii="宋体" w:hAnsi="宋体" w:eastAsia="宋体" w:cs="宋体"/>
                <w:color w:val="auto"/>
                <w:highlight w:val="none"/>
              </w:rPr>
              <w:t>1</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eastAsia="宋体" w:cs="Times New Roman"/>
                <w:color w:val="auto"/>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rFonts w:ascii="Times New Roman" w:hAnsi="Times New Roman" w:eastAsia="宋体" w:cs="Times New Roman"/>
                <w:color w:val="auto"/>
                <w:highlight w:val="none"/>
              </w:rPr>
            </w:pPr>
          </w:p>
        </w:tc>
        <w:tc>
          <w:tcPr>
            <w:tcW w:w="2520" w:type="dxa"/>
            <w:tcBorders>
              <w:top w:val="single" w:color="auto" w:sz="4" w:space="0"/>
              <w:left w:val="single" w:color="auto" w:sz="6" w:space="0"/>
              <w:bottom w:val="single" w:color="auto" w:sz="4" w:space="0"/>
              <w:right w:val="single" w:color="auto" w:sz="4" w:space="0"/>
            </w:tcBorders>
            <w:vAlign w:val="center"/>
          </w:tcPr>
          <w:p>
            <w:pPr>
              <w:autoSpaceDE w:val="0"/>
              <w:autoSpaceDN w:val="0"/>
              <w:adjustRightInd w:val="0"/>
              <w:spacing w:line="360" w:lineRule="auto"/>
              <w:jc w:val="center"/>
              <w:rPr>
                <w:rFonts w:ascii="宋体" w:hAnsi="宋体" w:eastAsia="宋体" w:cs="Times New Roman"/>
                <w:color w:val="auto"/>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eastAsia="宋体" w:cs="宋体"/>
                <w:color w:val="auto"/>
                <w:highlight w:val="none"/>
              </w:rPr>
            </w:pPr>
            <w:r>
              <w:rPr>
                <w:rFonts w:ascii="宋体" w:hAnsi="宋体" w:eastAsia="宋体" w:cs="宋体"/>
                <w:color w:val="auto"/>
                <w:highlight w:val="none"/>
              </w:rPr>
              <w:t>2</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eastAsia="宋体" w:cs="Times New Roman"/>
                <w:color w:val="auto"/>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rFonts w:ascii="Times New Roman" w:hAnsi="Times New Roman" w:eastAsia="宋体" w:cs="Times New Roman"/>
                <w:color w:val="auto"/>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rFonts w:ascii="Times New Roman" w:hAnsi="Times New Roman" w:eastAsia="宋体" w:cs="Times New Roman"/>
                <w:color w:val="auto"/>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eastAsia="宋体" w:cs="宋体"/>
                <w:color w:val="auto"/>
                <w:highlight w:val="none"/>
              </w:rPr>
            </w:pPr>
            <w:r>
              <w:rPr>
                <w:rFonts w:ascii="宋体" w:hAnsi="宋体" w:eastAsia="宋体" w:cs="宋体"/>
                <w:color w:val="auto"/>
                <w:highlight w:val="none"/>
              </w:rPr>
              <w:t>3</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eastAsia="宋体" w:cs="Times New Roman"/>
                <w:color w:val="auto"/>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rFonts w:ascii="Times New Roman" w:hAnsi="Times New Roman" w:eastAsia="宋体" w:cs="Times New Roman"/>
                <w:color w:val="auto"/>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rFonts w:ascii="Times New Roman" w:hAnsi="Times New Roman" w:eastAsia="宋体" w:cs="Times New Roman"/>
                <w:color w:val="auto"/>
                <w:highlight w:val="none"/>
              </w:rPr>
            </w:pPr>
          </w:p>
        </w:tc>
      </w:tr>
      <w:tr>
        <w:tblPrEx>
          <w:tblLayout w:type="fixed"/>
          <w:tblCellMar>
            <w:top w:w="0" w:type="dxa"/>
            <w:left w:w="30" w:type="dxa"/>
            <w:bottom w:w="0" w:type="dxa"/>
            <w:right w:w="30" w:type="dxa"/>
          </w:tblCellMar>
        </w:tblPrEx>
        <w:trPr>
          <w:trHeight w:val="433"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eastAsia="宋体" w:cs="宋体"/>
                <w:color w:val="auto"/>
                <w:highlight w:val="none"/>
              </w:rPr>
            </w:pPr>
            <w:r>
              <w:rPr>
                <w:rFonts w:ascii="宋体" w:hAnsi="宋体" w:eastAsia="宋体" w:cs="宋体"/>
                <w:color w:val="auto"/>
                <w:highlight w:val="none"/>
              </w:rPr>
              <w:t>4</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eastAsia="宋体" w:cs="Times New Roman"/>
                <w:color w:val="auto"/>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rFonts w:ascii="Times New Roman" w:hAnsi="Times New Roman" w:eastAsia="宋体" w:cs="Times New Roman"/>
                <w:color w:val="auto"/>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rFonts w:ascii="Times New Roman" w:hAnsi="Times New Roman" w:eastAsia="宋体" w:cs="Times New Roman"/>
                <w:color w:val="auto"/>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eastAsia="宋体" w:cs="宋体"/>
                <w:color w:val="auto"/>
                <w:highlight w:val="none"/>
              </w:rPr>
            </w:pPr>
            <w:r>
              <w:rPr>
                <w:rFonts w:ascii="宋体" w:hAnsi="宋体" w:eastAsia="宋体" w:cs="宋体"/>
                <w:color w:val="auto"/>
                <w:highlight w:val="none"/>
              </w:rPr>
              <w:t>5</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eastAsia="宋体" w:cs="Times New Roman"/>
                <w:color w:val="auto"/>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rFonts w:ascii="Times New Roman" w:hAnsi="Times New Roman" w:eastAsia="宋体" w:cs="Times New Roman"/>
                <w:color w:val="auto"/>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rFonts w:ascii="Times New Roman" w:hAnsi="Times New Roman" w:eastAsia="宋体" w:cs="Times New Roman"/>
                <w:color w:val="auto"/>
                <w:highlight w:val="none"/>
              </w:rPr>
            </w:pPr>
          </w:p>
        </w:tc>
      </w:tr>
      <w:tr>
        <w:tblPrEx>
          <w:tblLayout w:type="fixed"/>
          <w:tblCellMar>
            <w:top w:w="0" w:type="dxa"/>
            <w:left w:w="30" w:type="dxa"/>
            <w:bottom w:w="0" w:type="dxa"/>
            <w:right w:w="30" w:type="dxa"/>
          </w:tblCellMar>
        </w:tblPrEx>
        <w:trPr>
          <w:trHeight w:val="434" w:hRule="atLeast"/>
        </w:trPr>
        <w:tc>
          <w:tcPr>
            <w:tcW w:w="930" w:type="dxa"/>
            <w:tcBorders>
              <w:top w:val="single" w:color="auto" w:sz="4" w:space="0"/>
              <w:left w:val="single" w:color="auto" w:sz="4" w:space="0"/>
              <w:bottom w:val="single" w:color="auto" w:sz="4" w:space="0"/>
              <w:right w:val="single" w:color="auto" w:sz="6" w:space="0"/>
            </w:tcBorders>
            <w:vAlign w:val="center"/>
          </w:tcPr>
          <w:p>
            <w:pPr>
              <w:autoSpaceDE w:val="0"/>
              <w:autoSpaceDN w:val="0"/>
              <w:adjustRightInd w:val="0"/>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4680" w:type="dxa"/>
            <w:tcBorders>
              <w:top w:val="single" w:color="auto" w:sz="4" w:space="0"/>
              <w:left w:val="single" w:color="auto" w:sz="6" w:space="0"/>
              <w:bottom w:val="single" w:color="auto" w:sz="4" w:space="0"/>
              <w:right w:val="single" w:color="auto" w:sz="6" w:space="0"/>
            </w:tcBorders>
            <w:vAlign w:val="center"/>
          </w:tcPr>
          <w:p>
            <w:pPr>
              <w:autoSpaceDE w:val="0"/>
              <w:autoSpaceDN w:val="0"/>
              <w:adjustRightInd w:val="0"/>
              <w:spacing w:line="360" w:lineRule="auto"/>
              <w:rPr>
                <w:rFonts w:ascii="宋体" w:hAnsi="宋体" w:eastAsia="宋体" w:cs="Times New Roman"/>
                <w:color w:val="auto"/>
                <w:highlight w:val="none"/>
              </w:rPr>
            </w:pPr>
          </w:p>
        </w:tc>
        <w:tc>
          <w:tcPr>
            <w:tcW w:w="1080" w:type="dxa"/>
            <w:tcBorders>
              <w:top w:val="single" w:color="auto" w:sz="4" w:space="0"/>
              <w:left w:val="single" w:color="auto" w:sz="6" w:space="0"/>
              <w:bottom w:val="single" w:color="auto" w:sz="4" w:space="0"/>
              <w:right w:val="single" w:color="auto" w:sz="6" w:space="0"/>
            </w:tcBorders>
          </w:tcPr>
          <w:p>
            <w:pPr>
              <w:spacing w:line="360" w:lineRule="auto"/>
              <w:jc w:val="center"/>
              <w:rPr>
                <w:rFonts w:ascii="Times New Roman" w:hAnsi="Times New Roman" w:eastAsia="宋体" w:cs="Times New Roman"/>
                <w:color w:val="auto"/>
                <w:highlight w:val="none"/>
              </w:rPr>
            </w:pPr>
          </w:p>
        </w:tc>
        <w:tc>
          <w:tcPr>
            <w:tcW w:w="2520" w:type="dxa"/>
            <w:tcBorders>
              <w:top w:val="single" w:color="auto" w:sz="4" w:space="0"/>
              <w:left w:val="single" w:color="auto" w:sz="6" w:space="0"/>
              <w:bottom w:val="single" w:color="auto" w:sz="4" w:space="0"/>
              <w:right w:val="single" w:color="auto" w:sz="4" w:space="0"/>
            </w:tcBorders>
          </w:tcPr>
          <w:p>
            <w:pPr>
              <w:spacing w:line="360" w:lineRule="auto"/>
              <w:jc w:val="center"/>
              <w:rPr>
                <w:rFonts w:ascii="Times New Roman" w:hAnsi="Times New Roman" w:eastAsia="宋体" w:cs="Times New Roman"/>
                <w:color w:val="auto"/>
                <w:highlight w:val="none"/>
              </w:rPr>
            </w:pPr>
          </w:p>
        </w:tc>
      </w:tr>
    </w:tbl>
    <w:p>
      <w:pPr>
        <w:spacing w:line="360" w:lineRule="auto"/>
        <w:rPr>
          <w:rFonts w:ascii="宋体" w:hAnsi="宋体" w:eastAsia="宋体" w:cs="Times New Roman"/>
          <w:color w:val="auto"/>
          <w:highlight w:val="none"/>
        </w:rPr>
      </w:pP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供应商全称（盖公章）：</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法定代表人或授权代表（签字或签章）：</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宋体" w:hAnsi="宋体" w:eastAsia="宋体" w:cs="Times New Roman"/>
          <w:color w:val="auto"/>
          <w:highlight w:val="none"/>
        </w:rPr>
      </w:pPr>
    </w:p>
    <w:p>
      <w:pPr>
        <w:spacing w:line="360" w:lineRule="auto"/>
        <w:rPr>
          <w:rFonts w:ascii="宋体" w:hAnsi="宋体" w:eastAsia="宋体" w:cs="Times New Roman"/>
          <w:b/>
          <w:bCs/>
          <w:color w:val="auto"/>
          <w:highlight w:val="none"/>
        </w:rPr>
      </w:pPr>
      <w:r>
        <w:rPr>
          <w:rFonts w:hint="eastAsia" w:ascii="宋体" w:hAnsi="宋体" w:eastAsia="宋体" w:cs="宋体"/>
          <w:b/>
          <w:bCs/>
          <w:color w:val="auto"/>
          <w:highlight w:val="none"/>
        </w:rPr>
        <w:t>注：</w:t>
      </w:r>
      <w:r>
        <w:rPr>
          <w:rFonts w:ascii="宋体" w:hAnsi="宋体" w:eastAsia="宋体" w:cs="宋体"/>
          <w:b/>
          <w:bCs/>
          <w:color w:val="auto"/>
          <w:highlight w:val="none"/>
        </w:rPr>
        <w:t>1.</w:t>
      </w:r>
      <w:r>
        <w:rPr>
          <w:rFonts w:hint="eastAsia" w:ascii="宋体" w:hAnsi="宋体" w:eastAsia="宋体" w:cs="宋体"/>
          <w:b/>
          <w:bCs/>
          <w:color w:val="auto"/>
          <w:highlight w:val="none"/>
        </w:rPr>
        <w:t>本表格内容需对第三章“采购人需求书”内容进行响应填报。</w:t>
      </w:r>
    </w:p>
    <w:p>
      <w:pPr>
        <w:spacing w:line="360" w:lineRule="auto"/>
        <w:ind w:firstLine="413" w:firstLineChars="196"/>
        <w:jc w:val="left"/>
        <w:rPr>
          <w:rFonts w:ascii="宋体" w:hAnsi="宋体" w:eastAsia="宋体" w:cs="Times New Roman"/>
          <w:b/>
          <w:bCs/>
          <w:color w:val="auto"/>
          <w:highlight w:val="none"/>
        </w:rPr>
      </w:pPr>
      <w:r>
        <w:rPr>
          <w:rFonts w:ascii="宋体" w:hAnsi="宋体" w:eastAsia="宋体" w:cs="宋体"/>
          <w:b/>
          <w:bCs/>
          <w:color w:val="auto"/>
          <w:highlight w:val="none"/>
        </w:rPr>
        <w:t>2.</w:t>
      </w:r>
      <w:r>
        <w:rPr>
          <w:rFonts w:hint="eastAsia" w:ascii="宋体" w:hAnsi="宋体" w:eastAsia="宋体" w:cs="宋体"/>
          <w:b/>
          <w:bCs/>
          <w:color w:val="auto"/>
          <w:highlight w:val="none"/>
        </w:rPr>
        <w:t>采购人需求书中的服务要求仅为最低要求。供应商在遴选响应文件中必须列出具体报价响应内容。如果供应商只注明“符合”或“满足”，将被视为“不符合”，从而可能导致严重影响评审结果。</w:t>
      </w:r>
    </w:p>
    <w:p>
      <w:pPr>
        <w:spacing w:line="360" w:lineRule="auto"/>
        <w:ind w:firstLine="413" w:firstLineChars="196"/>
        <w:rPr>
          <w:rFonts w:ascii="宋体" w:hAnsi="宋体" w:eastAsia="宋体" w:cs="Times New Roman"/>
          <w:b/>
          <w:bCs/>
          <w:color w:val="auto"/>
          <w:highlight w:val="none"/>
        </w:rPr>
        <w:sectPr>
          <w:pgSz w:w="11906" w:h="16838"/>
          <w:pgMar w:top="567" w:right="1304" w:bottom="567" w:left="1361" w:header="567" w:footer="737" w:gutter="0"/>
          <w:cols w:space="720" w:num="1"/>
          <w:docGrid w:linePitch="312" w:charSpace="0"/>
        </w:sectPr>
      </w:pPr>
      <w:r>
        <w:rPr>
          <w:rFonts w:ascii="宋体" w:hAnsi="宋体" w:eastAsia="宋体" w:cs="宋体"/>
          <w:b/>
          <w:bCs/>
          <w:color w:val="auto"/>
          <w:highlight w:val="none"/>
        </w:rPr>
        <w:t>3.</w:t>
      </w:r>
      <w:r>
        <w:rPr>
          <w:rFonts w:hint="eastAsia" w:ascii="宋体" w:hAnsi="宋体" w:eastAsia="宋体" w:cs="宋体"/>
          <w:b/>
          <w:bCs/>
          <w:color w:val="auto"/>
          <w:highlight w:val="none"/>
        </w:rPr>
        <w:t>供应商没有在遴选响应文件中注明偏离（文字说明或在服务、商务偏离表注明）的参数、配置、条款视为供应商完全接受。</w:t>
      </w:r>
    </w:p>
    <w:p>
      <w:pPr>
        <w:spacing w:line="360" w:lineRule="auto"/>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15  </w:t>
      </w:r>
      <w:r>
        <w:rPr>
          <w:rFonts w:hint="eastAsia" w:ascii="宋体" w:hAnsi="宋体" w:eastAsia="宋体" w:cs="宋体"/>
          <w:b/>
          <w:bCs/>
          <w:color w:val="auto"/>
          <w:kern w:val="0"/>
          <w:sz w:val="28"/>
          <w:szCs w:val="28"/>
          <w:highlight w:val="none"/>
        </w:rPr>
        <w:t>合同条款响应一览表</w:t>
      </w:r>
    </w:p>
    <w:p>
      <w:pPr>
        <w:spacing w:line="360" w:lineRule="auto"/>
        <w:rPr>
          <w:rFonts w:ascii="宋体" w:hAnsi="宋体" w:eastAsia="宋体" w:cs="Times New Roman"/>
          <w:color w:val="auto"/>
          <w:sz w:val="24"/>
          <w:szCs w:val="24"/>
          <w:highlight w:val="none"/>
        </w:rPr>
      </w:pPr>
    </w:p>
    <w:p>
      <w:pPr>
        <w:spacing w:line="360" w:lineRule="auto"/>
        <w:ind w:left="945" w:hanging="945" w:hangingChars="450"/>
        <w:rPr>
          <w:rFonts w:ascii="宋体" w:hAnsi="宋体" w:eastAsia="宋体" w:cs="Times New Roman"/>
          <w:color w:val="auto"/>
          <w:highlight w:val="none"/>
        </w:rPr>
      </w:pPr>
      <w:r>
        <w:rPr>
          <w:rFonts w:hint="eastAsia" w:ascii="宋体" w:hAnsi="宋体" w:eastAsia="宋体" w:cs="宋体"/>
          <w:color w:val="auto"/>
          <w:highlight w:val="none"/>
        </w:rPr>
        <w:t>说明：</w:t>
      </w:r>
      <w:r>
        <w:rPr>
          <w:rFonts w:ascii="宋体" w:hAnsi="宋体" w:eastAsia="宋体" w:cs="宋体"/>
          <w:color w:val="auto"/>
          <w:highlight w:val="none"/>
        </w:rPr>
        <w:t>1</w:t>
      </w:r>
      <w:r>
        <w:rPr>
          <w:rFonts w:hint="eastAsia" w:ascii="宋体" w:hAnsi="宋体" w:eastAsia="宋体" w:cs="宋体"/>
          <w:color w:val="auto"/>
          <w:highlight w:val="none"/>
        </w:rPr>
        <w:t>、</w:t>
      </w: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必须对应公开遴选文件的第四章政府采购合同条款逐条应答并按要求填写下表。</w:t>
      </w:r>
    </w:p>
    <w:p>
      <w:pPr>
        <w:spacing w:line="360" w:lineRule="auto"/>
        <w:ind w:left="533" w:leftChars="254"/>
        <w:rPr>
          <w:rFonts w:ascii="宋体" w:hAnsi="宋体" w:eastAsia="宋体" w:cs="Times New Roman"/>
          <w:color w:val="auto"/>
          <w:highlight w:val="none"/>
        </w:rPr>
      </w:pPr>
      <w:r>
        <w:rPr>
          <w:rFonts w:ascii="宋体" w:hAnsi="宋体" w:eastAsia="宋体" w:cs="宋体"/>
          <w:color w:val="auto"/>
          <w:highlight w:val="none"/>
        </w:rPr>
        <w:t>2</w:t>
      </w:r>
      <w:r>
        <w:rPr>
          <w:rFonts w:hint="eastAsia" w:ascii="宋体" w:hAnsi="宋体" w:eastAsia="宋体" w:cs="宋体"/>
          <w:color w:val="auto"/>
          <w:highlight w:val="none"/>
        </w:rPr>
        <w:t>、对完全响应的条目在下表相应列中标注“○”。对有偏离的条目在下表相应列中标注“×”，并简述偏离内容。</w:t>
      </w:r>
    </w:p>
    <w:tbl>
      <w:tblPr>
        <w:tblStyle w:val="90"/>
        <w:tblW w:w="9437"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5"/>
        <w:gridCol w:w="5025"/>
        <w:gridCol w:w="1080"/>
        <w:gridCol w:w="1061"/>
        <w:gridCol w:w="13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21" w:hRule="atLeast"/>
        </w:trPr>
        <w:tc>
          <w:tcPr>
            <w:tcW w:w="915"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序号</w:t>
            </w:r>
          </w:p>
        </w:tc>
        <w:tc>
          <w:tcPr>
            <w:tcW w:w="5025"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合同条款条目</w:t>
            </w:r>
          </w:p>
        </w:tc>
        <w:tc>
          <w:tcPr>
            <w:tcW w:w="1080"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完全</w:t>
            </w:r>
          </w:p>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响应</w:t>
            </w:r>
          </w:p>
        </w:tc>
        <w:tc>
          <w:tcPr>
            <w:tcW w:w="1061"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有偏离</w:t>
            </w:r>
          </w:p>
        </w:tc>
        <w:tc>
          <w:tcPr>
            <w:tcW w:w="1356"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偏离简述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1</w:t>
            </w:r>
          </w:p>
        </w:tc>
        <w:tc>
          <w:tcPr>
            <w:tcW w:w="5025" w:type="dxa"/>
            <w:vAlign w:val="center"/>
          </w:tcPr>
          <w:p>
            <w:pPr>
              <w:spacing w:line="360" w:lineRule="auto"/>
              <w:rPr>
                <w:rFonts w:ascii="宋体" w:hAnsi="宋体" w:eastAsia="宋体" w:cs="Times New Roman"/>
                <w:color w:val="auto"/>
                <w:highlight w:val="none"/>
              </w:rPr>
            </w:pPr>
          </w:p>
        </w:tc>
        <w:tc>
          <w:tcPr>
            <w:tcW w:w="1080" w:type="dxa"/>
            <w:vAlign w:val="center"/>
          </w:tcPr>
          <w:p>
            <w:pPr>
              <w:spacing w:line="360" w:lineRule="auto"/>
              <w:jc w:val="center"/>
              <w:rPr>
                <w:rFonts w:ascii="宋体" w:hAnsi="宋体" w:eastAsia="宋体" w:cs="Times New Roman"/>
                <w:color w:val="auto"/>
                <w:highlight w:val="none"/>
              </w:rPr>
            </w:pPr>
          </w:p>
        </w:tc>
        <w:tc>
          <w:tcPr>
            <w:tcW w:w="1061" w:type="dxa"/>
            <w:vAlign w:val="center"/>
          </w:tcPr>
          <w:p>
            <w:pPr>
              <w:spacing w:line="360" w:lineRule="auto"/>
              <w:jc w:val="center"/>
              <w:rPr>
                <w:rFonts w:ascii="宋体" w:hAnsi="宋体" w:eastAsia="宋体" w:cs="Times New Roman"/>
                <w:color w:val="auto"/>
                <w:highlight w:val="none"/>
              </w:rPr>
            </w:pPr>
          </w:p>
        </w:tc>
        <w:tc>
          <w:tcPr>
            <w:tcW w:w="1356" w:type="dxa"/>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2</w:t>
            </w:r>
          </w:p>
        </w:tc>
        <w:tc>
          <w:tcPr>
            <w:tcW w:w="5025" w:type="dxa"/>
            <w:vAlign w:val="center"/>
          </w:tcPr>
          <w:p>
            <w:pPr>
              <w:spacing w:line="360" w:lineRule="auto"/>
              <w:rPr>
                <w:rFonts w:ascii="宋体" w:hAnsi="宋体" w:eastAsia="宋体" w:cs="Times New Roman"/>
                <w:color w:val="auto"/>
                <w:highlight w:val="none"/>
              </w:rPr>
            </w:pPr>
          </w:p>
        </w:tc>
        <w:tc>
          <w:tcPr>
            <w:tcW w:w="1080" w:type="dxa"/>
            <w:vAlign w:val="center"/>
          </w:tcPr>
          <w:p>
            <w:pPr>
              <w:spacing w:line="360" w:lineRule="auto"/>
              <w:jc w:val="center"/>
              <w:rPr>
                <w:rFonts w:ascii="宋体" w:hAnsi="宋体" w:eastAsia="宋体" w:cs="Times New Roman"/>
                <w:color w:val="auto"/>
                <w:highlight w:val="none"/>
              </w:rPr>
            </w:pPr>
          </w:p>
        </w:tc>
        <w:tc>
          <w:tcPr>
            <w:tcW w:w="1061" w:type="dxa"/>
            <w:vAlign w:val="center"/>
          </w:tcPr>
          <w:p>
            <w:pPr>
              <w:spacing w:line="360" w:lineRule="auto"/>
              <w:jc w:val="center"/>
              <w:rPr>
                <w:rFonts w:ascii="宋体" w:hAnsi="宋体" w:eastAsia="宋体" w:cs="Times New Roman"/>
                <w:color w:val="auto"/>
                <w:highlight w:val="none"/>
              </w:rPr>
            </w:pPr>
          </w:p>
        </w:tc>
        <w:tc>
          <w:tcPr>
            <w:tcW w:w="1356" w:type="dxa"/>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3</w:t>
            </w:r>
          </w:p>
        </w:tc>
        <w:tc>
          <w:tcPr>
            <w:tcW w:w="5025" w:type="dxa"/>
            <w:vAlign w:val="center"/>
          </w:tcPr>
          <w:p>
            <w:pPr>
              <w:spacing w:line="360" w:lineRule="auto"/>
              <w:rPr>
                <w:rFonts w:ascii="宋体" w:hAnsi="宋体" w:eastAsia="宋体" w:cs="Times New Roman"/>
                <w:color w:val="auto"/>
                <w:highlight w:val="none"/>
              </w:rPr>
            </w:pPr>
          </w:p>
        </w:tc>
        <w:tc>
          <w:tcPr>
            <w:tcW w:w="1080" w:type="dxa"/>
            <w:vAlign w:val="center"/>
          </w:tcPr>
          <w:p>
            <w:pPr>
              <w:spacing w:line="360" w:lineRule="auto"/>
              <w:jc w:val="center"/>
              <w:rPr>
                <w:rFonts w:ascii="宋体" w:hAnsi="宋体" w:eastAsia="宋体" w:cs="Times New Roman"/>
                <w:color w:val="auto"/>
                <w:highlight w:val="none"/>
              </w:rPr>
            </w:pPr>
          </w:p>
        </w:tc>
        <w:tc>
          <w:tcPr>
            <w:tcW w:w="1061" w:type="dxa"/>
            <w:vAlign w:val="center"/>
          </w:tcPr>
          <w:p>
            <w:pPr>
              <w:spacing w:line="360" w:lineRule="auto"/>
              <w:jc w:val="center"/>
              <w:rPr>
                <w:rFonts w:ascii="宋体" w:hAnsi="宋体" w:eastAsia="宋体" w:cs="Times New Roman"/>
                <w:color w:val="auto"/>
                <w:highlight w:val="none"/>
              </w:rPr>
            </w:pPr>
          </w:p>
        </w:tc>
        <w:tc>
          <w:tcPr>
            <w:tcW w:w="1356" w:type="dxa"/>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4</w:t>
            </w:r>
          </w:p>
        </w:tc>
        <w:tc>
          <w:tcPr>
            <w:tcW w:w="5025" w:type="dxa"/>
            <w:vAlign w:val="center"/>
          </w:tcPr>
          <w:p>
            <w:pPr>
              <w:spacing w:line="360" w:lineRule="auto"/>
              <w:rPr>
                <w:rFonts w:ascii="宋体" w:hAnsi="宋体" w:eastAsia="宋体" w:cs="Times New Roman"/>
                <w:color w:val="auto"/>
                <w:highlight w:val="none"/>
              </w:rPr>
            </w:pPr>
          </w:p>
        </w:tc>
        <w:tc>
          <w:tcPr>
            <w:tcW w:w="1080" w:type="dxa"/>
            <w:vAlign w:val="center"/>
          </w:tcPr>
          <w:p>
            <w:pPr>
              <w:spacing w:line="360" w:lineRule="auto"/>
              <w:jc w:val="center"/>
              <w:rPr>
                <w:rFonts w:ascii="宋体" w:hAnsi="宋体" w:eastAsia="宋体" w:cs="Times New Roman"/>
                <w:color w:val="auto"/>
                <w:highlight w:val="none"/>
              </w:rPr>
            </w:pPr>
          </w:p>
        </w:tc>
        <w:tc>
          <w:tcPr>
            <w:tcW w:w="1061" w:type="dxa"/>
            <w:vAlign w:val="center"/>
          </w:tcPr>
          <w:p>
            <w:pPr>
              <w:spacing w:line="360" w:lineRule="auto"/>
              <w:jc w:val="center"/>
              <w:rPr>
                <w:rFonts w:ascii="宋体" w:hAnsi="宋体" w:eastAsia="宋体" w:cs="Times New Roman"/>
                <w:color w:val="auto"/>
                <w:highlight w:val="none"/>
              </w:rPr>
            </w:pPr>
          </w:p>
        </w:tc>
        <w:tc>
          <w:tcPr>
            <w:tcW w:w="1356" w:type="dxa"/>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5</w:t>
            </w:r>
          </w:p>
        </w:tc>
        <w:tc>
          <w:tcPr>
            <w:tcW w:w="5025" w:type="dxa"/>
            <w:vAlign w:val="center"/>
          </w:tcPr>
          <w:p>
            <w:pPr>
              <w:spacing w:line="360" w:lineRule="auto"/>
              <w:rPr>
                <w:rFonts w:ascii="宋体" w:hAnsi="宋体" w:eastAsia="宋体" w:cs="Times New Roman"/>
                <w:color w:val="auto"/>
                <w:highlight w:val="none"/>
              </w:rPr>
            </w:pPr>
          </w:p>
        </w:tc>
        <w:tc>
          <w:tcPr>
            <w:tcW w:w="1080" w:type="dxa"/>
            <w:vAlign w:val="center"/>
          </w:tcPr>
          <w:p>
            <w:pPr>
              <w:spacing w:line="360" w:lineRule="auto"/>
              <w:jc w:val="center"/>
              <w:rPr>
                <w:rFonts w:ascii="宋体" w:hAnsi="宋体" w:eastAsia="宋体" w:cs="Times New Roman"/>
                <w:color w:val="auto"/>
                <w:highlight w:val="none"/>
              </w:rPr>
            </w:pPr>
          </w:p>
        </w:tc>
        <w:tc>
          <w:tcPr>
            <w:tcW w:w="1061" w:type="dxa"/>
            <w:vAlign w:val="center"/>
          </w:tcPr>
          <w:p>
            <w:pPr>
              <w:spacing w:line="360" w:lineRule="auto"/>
              <w:jc w:val="center"/>
              <w:textAlignment w:val="center"/>
              <w:rPr>
                <w:rFonts w:ascii="宋体" w:hAnsi="宋体" w:eastAsia="宋体" w:cs="Times New Roman"/>
                <w:snapToGrid w:val="0"/>
                <w:color w:val="auto"/>
                <w:highlight w:val="none"/>
              </w:rPr>
            </w:pPr>
          </w:p>
        </w:tc>
        <w:tc>
          <w:tcPr>
            <w:tcW w:w="1356" w:type="dxa"/>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6</w:t>
            </w:r>
          </w:p>
        </w:tc>
        <w:tc>
          <w:tcPr>
            <w:tcW w:w="5025" w:type="dxa"/>
            <w:vAlign w:val="center"/>
          </w:tcPr>
          <w:p>
            <w:pPr>
              <w:spacing w:line="360" w:lineRule="auto"/>
              <w:rPr>
                <w:rFonts w:ascii="宋体" w:hAnsi="宋体" w:eastAsia="宋体" w:cs="Times New Roman"/>
                <w:color w:val="auto"/>
                <w:highlight w:val="none"/>
              </w:rPr>
            </w:pPr>
          </w:p>
        </w:tc>
        <w:tc>
          <w:tcPr>
            <w:tcW w:w="1080" w:type="dxa"/>
            <w:vAlign w:val="center"/>
          </w:tcPr>
          <w:p>
            <w:pPr>
              <w:spacing w:line="360" w:lineRule="auto"/>
              <w:jc w:val="center"/>
              <w:rPr>
                <w:rFonts w:ascii="宋体" w:hAnsi="宋体" w:eastAsia="宋体" w:cs="Times New Roman"/>
                <w:color w:val="auto"/>
                <w:highlight w:val="none"/>
              </w:rPr>
            </w:pPr>
          </w:p>
        </w:tc>
        <w:tc>
          <w:tcPr>
            <w:tcW w:w="1061" w:type="dxa"/>
            <w:vAlign w:val="center"/>
          </w:tcPr>
          <w:p>
            <w:pPr>
              <w:spacing w:line="360" w:lineRule="auto"/>
              <w:jc w:val="center"/>
              <w:rPr>
                <w:rFonts w:ascii="宋体" w:hAnsi="宋体" w:eastAsia="宋体" w:cs="Times New Roman"/>
                <w:color w:val="auto"/>
                <w:highlight w:val="none"/>
              </w:rPr>
            </w:pPr>
          </w:p>
        </w:tc>
        <w:tc>
          <w:tcPr>
            <w:tcW w:w="1356" w:type="dxa"/>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7</w:t>
            </w:r>
          </w:p>
        </w:tc>
        <w:tc>
          <w:tcPr>
            <w:tcW w:w="5025" w:type="dxa"/>
            <w:vAlign w:val="center"/>
          </w:tcPr>
          <w:p>
            <w:pPr>
              <w:spacing w:line="360" w:lineRule="auto"/>
              <w:rPr>
                <w:rFonts w:ascii="宋体" w:hAnsi="宋体" w:eastAsia="宋体" w:cs="Times New Roman"/>
                <w:color w:val="auto"/>
                <w:highlight w:val="none"/>
              </w:rPr>
            </w:pPr>
          </w:p>
        </w:tc>
        <w:tc>
          <w:tcPr>
            <w:tcW w:w="1080" w:type="dxa"/>
            <w:vAlign w:val="center"/>
          </w:tcPr>
          <w:p>
            <w:pPr>
              <w:spacing w:line="360" w:lineRule="auto"/>
              <w:jc w:val="center"/>
              <w:rPr>
                <w:rFonts w:ascii="宋体" w:hAnsi="宋体" w:eastAsia="宋体" w:cs="Times New Roman"/>
                <w:color w:val="auto"/>
                <w:highlight w:val="none"/>
              </w:rPr>
            </w:pPr>
          </w:p>
        </w:tc>
        <w:tc>
          <w:tcPr>
            <w:tcW w:w="1061" w:type="dxa"/>
            <w:vAlign w:val="center"/>
          </w:tcPr>
          <w:p>
            <w:pPr>
              <w:spacing w:line="360" w:lineRule="auto"/>
              <w:jc w:val="center"/>
              <w:rPr>
                <w:rFonts w:ascii="宋体" w:hAnsi="宋体" w:eastAsia="宋体" w:cs="Times New Roman"/>
                <w:color w:val="auto"/>
                <w:highlight w:val="none"/>
              </w:rPr>
            </w:pPr>
          </w:p>
        </w:tc>
        <w:tc>
          <w:tcPr>
            <w:tcW w:w="1356" w:type="dxa"/>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8</w:t>
            </w:r>
          </w:p>
        </w:tc>
        <w:tc>
          <w:tcPr>
            <w:tcW w:w="5025" w:type="dxa"/>
            <w:vAlign w:val="center"/>
          </w:tcPr>
          <w:p>
            <w:pPr>
              <w:spacing w:line="360" w:lineRule="auto"/>
              <w:rPr>
                <w:rFonts w:ascii="宋体" w:hAnsi="宋体" w:eastAsia="宋体" w:cs="Times New Roman"/>
                <w:color w:val="auto"/>
                <w:highlight w:val="none"/>
              </w:rPr>
            </w:pPr>
          </w:p>
        </w:tc>
        <w:tc>
          <w:tcPr>
            <w:tcW w:w="1080" w:type="dxa"/>
            <w:vAlign w:val="center"/>
          </w:tcPr>
          <w:p>
            <w:pPr>
              <w:spacing w:line="360" w:lineRule="auto"/>
              <w:jc w:val="center"/>
              <w:rPr>
                <w:rFonts w:ascii="宋体" w:hAnsi="宋体" w:eastAsia="宋体" w:cs="Times New Roman"/>
                <w:color w:val="auto"/>
                <w:highlight w:val="none"/>
              </w:rPr>
            </w:pPr>
          </w:p>
        </w:tc>
        <w:tc>
          <w:tcPr>
            <w:tcW w:w="1061" w:type="dxa"/>
            <w:vAlign w:val="center"/>
          </w:tcPr>
          <w:p>
            <w:pPr>
              <w:spacing w:line="360" w:lineRule="auto"/>
              <w:jc w:val="center"/>
              <w:rPr>
                <w:rFonts w:ascii="宋体" w:hAnsi="宋体" w:eastAsia="宋体" w:cs="Times New Roman"/>
                <w:color w:val="auto"/>
                <w:highlight w:val="none"/>
              </w:rPr>
            </w:pPr>
          </w:p>
        </w:tc>
        <w:tc>
          <w:tcPr>
            <w:tcW w:w="1356" w:type="dxa"/>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9</w:t>
            </w:r>
          </w:p>
        </w:tc>
        <w:tc>
          <w:tcPr>
            <w:tcW w:w="5025" w:type="dxa"/>
            <w:vAlign w:val="center"/>
          </w:tcPr>
          <w:p>
            <w:pPr>
              <w:spacing w:line="360" w:lineRule="auto"/>
              <w:rPr>
                <w:rFonts w:ascii="宋体" w:hAnsi="宋体" w:eastAsia="宋体" w:cs="Times New Roman"/>
                <w:color w:val="auto"/>
                <w:highlight w:val="none"/>
              </w:rPr>
            </w:pPr>
          </w:p>
        </w:tc>
        <w:tc>
          <w:tcPr>
            <w:tcW w:w="1080" w:type="dxa"/>
            <w:vAlign w:val="center"/>
          </w:tcPr>
          <w:p>
            <w:pPr>
              <w:spacing w:line="360" w:lineRule="auto"/>
              <w:jc w:val="center"/>
              <w:rPr>
                <w:rFonts w:ascii="宋体" w:hAnsi="宋体" w:eastAsia="宋体" w:cs="Times New Roman"/>
                <w:color w:val="auto"/>
                <w:highlight w:val="none"/>
              </w:rPr>
            </w:pPr>
          </w:p>
        </w:tc>
        <w:tc>
          <w:tcPr>
            <w:tcW w:w="1061" w:type="dxa"/>
            <w:vAlign w:val="center"/>
          </w:tcPr>
          <w:p>
            <w:pPr>
              <w:spacing w:line="360" w:lineRule="auto"/>
              <w:jc w:val="center"/>
              <w:rPr>
                <w:rFonts w:ascii="宋体" w:hAnsi="宋体" w:eastAsia="宋体" w:cs="Times New Roman"/>
                <w:color w:val="auto"/>
                <w:highlight w:val="none"/>
              </w:rPr>
            </w:pPr>
          </w:p>
        </w:tc>
        <w:tc>
          <w:tcPr>
            <w:tcW w:w="1356" w:type="dxa"/>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15"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10</w:t>
            </w:r>
          </w:p>
        </w:tc>
        <w:tc>
          <w:tcPr>
            <w:tcW w:w="5025" w:type="dxa"/>
            <w:vAlign w:val="center"/>
          </w:tcPr>
          <w:p>
            <w:pPr>
              <w:spacing w:line="360" w:lineRule="auto"/>
              <w:rPr>
                <w:rFonts w:ascii="宋体" w:hAnsi="宋体" w:eastAsia="宋体" w:cs="Times New Roman"/>
                <w:color w:val="auto"/>
                <w:highlight w:val="none"/>
              </w:rPr>
            </w:pPr>
          </w:p>
        </w:tc>
        <w:tc>
          <w:tcPr>
            <w:tcW w:w="1080" w:type="dxa"/>
            <w:vAlign w:val="center"/>
          </w:tcPr>
          <w:p>
            <w:pPr>
              <w:spacing w:line="360" w:lineRule="auto"/>
              <w:jc w:val="center"/>
              <w:rPr>
                <w:rFonts w:ascii="宋体" w:hAnsi="宋体" w:eastAsia="宋体" w:cs="Times New Roman"/>
                <w:color w:val="auto"/>
                <w:highlight w:val="none"/>
              </w:rPr>
            </w:pPr>
          </w:p>
        </w:tc>
        <w:tc>
          <w:tcPr>
            <w:tcW w:w="1061" w:type="dxa"/>
            <w:vAlign w:val="center"/>
          </w:tcPr>
          <w:p>
            <w:pPr>
              <w:spacing w:line="360" w:lineRule="auto"/>
              <w:jc w:val="center"/>
              <w:rPr>
                <w:rFonts w:ascii="宋体" w:hAnsi="宋体" w:eastAsia="宋体" w:cs="Times New Roman"/>
                <w:color w:val="auto"/>
                <w:highlight w:val="none"/>
              </w:rPr>
            </w:pPr>
          </w:p>
        </w:tc>
        <w:tc>
          <w:tcPr>
            <w:tcW w:w="1356" w:type="dxa"/>
            <w:vAlign w:val="center"/>
          </w:tcPr>
          <w:p>
            <w:pPr>
              <w:spacing w:line="360" w:lineRule="auto"/>
              <w:jc w:val="center"/>
              <w:rPr>
                <w:rFonts w:ascii="宋体" w:hAnsi="宋体" w:eastAsia="宋体" w:cs="Times New Roman"/>
                <w:color w:val="auto"/>
                <w:highlight w:val="none"/>
              </w:rPr>
            </w:pPr>
          </w:p>
        </w:tc>
      </w:tr>
    </w:tbl>
    <w:p>
      <w:pPr>
        <w:spacing w:line="360" w:lineRule="auto"/>
        <w:rPr>
          <w:rFonts w:ascii="宋体" w:hAnsi="宋体" w:eastAsia="宋体" w:cs="Times New Roman"/>
          <w:color w:val="auto"/>
          <w:sz w:val="24"/>
          <w:szCs w:val="24"/>
          <w:highlight w:val="none"/>
        </w:rPr>
      </w:pPr>
    </w:p>
    <w:p>
      <w:pPr>
        <w:spacing w:line="360" w:lineRule="auto"/>
        <w:rPr>
          <w:rFonts w:ascii="宋体" w:hAnsi="宋体" w:eastAsia="宋体" w:cs="Times New Roman"/>
          <w:b/>
          <w:bCs/>
          <w:color w:val="auto"/>
          <w:highlight w:val="none"/>
        </w:rPr>
      </w:pPr>
      <w:r>
        <w:rPr>
          <w:rFonts w:hint="eastAsia" w:ascii="宋体" w:hAnsi="宋体" w:eastAsia="宋体" w:cs="宋体"/>
          <w:b/>
          <w:bCs/>
          <w:color w:val="auto"/>
          <w:highlight w:val="none"/>
        </w:rPr>
        <w:t>注：供应商对公开遴选文件的合同（样本）不允许实质性偏离，否则将视为不响应。</w:t>
      </w:r>
    </w:p>
    <w:p>
      <w:pPr>
        <w:spacing w:line="360" w:lineRule="auto"/>
        <w:rPr>
          <w:rFonts w:ascii="宋体" w:hAnsi="宋体" w:eastAsia="宋体" w:cs="Times New Roman"/>
          <w:b/>
          <w:bCs/>
          <w:color w:val="auto"/>
          <w:sz w:val="24"/>
          <w:szCs w:val="24"/>
          <w:highlight w:val="none"/>
        </w:rPr>
      </w:pPr>
    </w:p>
    <w:p>
      <w:pPr>
        <w:spacing w:line="360" w:lineRule="auto"/>
        <w:rPr>
          <w:rFonts w:ascii="宋体" w:hAnsi="宋体" w:eastAsia="宋体" w:cs="Times New Roman"/>
          <w:color w:val="auto"/>
          <w:highlight w:val="non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全称（盖公章）：</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法定代表人或授权代表（签字或签章）：</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ind w:firstLine="413" w:firstLineChars="196"/>
        <w:rPr>
          <w:rFonts w:ascii="宋体" w:hAnsi="宋体" w:eastAsia="宋体" w:cs="Times New Roman"/>
          <w:b/>
          <w:bCs/>
          <w:color w:val="auto"/>
          <w:highlight w:val="none"/>
        </w:rPr>
        <w:sectPr>
          <w:pgSz w:w="11906" w:h="16838"/>
          <w:pgMar w:top="567" w:right="1304" w:bottom="567" w:left="1361" w:header="567" w:footer="737" w:gutter="0"/>
          <w:cols w:space="720" w:num="1"/>
          <w:docGrid w:linePitch="312" w:charSpace="0"/>
        </w:sectPr>
      </w:pPr>
    </w:p>
    <w:p>
      <w:pPr>
        <w:spacing w:line="360" w:lineRule="auto"/>
        <w:ind w:firstLine="413" w:firstLineChars="196"/>
        <w:rPr>
          <w:rFonts w:ascii="宋体" w:hAnsi="宋体" w:eastAsia="宋体" w:cs="Times New Roman"/>
          <w:b/>
          <w:bCs/>
          <w:color w:val="auto"/>
          <w:kern w:val="0"/>
          <w:highlight w:val="none"/>
        </w:rPr>
      </w:pPr>
    </w:p>
    <w:bookmarkEnd w:id="343"/>
    <w:bookmarkEnd w:id="344"/>
    <w:p>
      <w:pPr>
        <w:spacing w:line="360" w:lineRule="auto"/>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16  </w:t>
      </w:r>
      <w:r>
        <w:rPr>
          <w:rFonts w:hint="eastAsia" w:ascii="宋体" w:hAnsi="宋体" w:eastAsia="宋体" w:cs="宋体"/>
          <w:b/>
          <w:bCs/>
          <w:color w:val="auto"/>
          <w:kern w:val="0"/>
          <w:sz w:val="28"/>
          <w:szCs w:val="28"/>
          <w:highlight w:val="none"/>
        </w:rPr>
        <w:t>同类项目业绩一览表</w:t>
      </w:r>
    </w:p>
    <w:p>
      <w:pPr>
        <w:spacing w:line="360" w:lineRule="auto"/>
        <w:ind w:right="482"/>
        <w:rPr>
          <w:rFonts w:ascii="宋体" w:hAnsi="宋体" w:eastAsia="宋体" w:cs="Times New Roman"/>
          <w:color w:val="auto"/>
          <w:highlight w:val="none"/>
        </w:rPr>
      </w:pPr>
    </w:p>
    <w:p>
      <w:pPr>
        <w:spacing w:line="360" w:lineRule="auto"/>
        <w:ind w:right="482"/>
        <w:rPr>
          <w:rFonts w:ascii="宋体" w:hAnsi="宋体" w:eastAsia="宋体" w:cs="宋体"/>
          <w:color w:val="auto"/>
          <w:highlight w:val="none"/>
        </w:rPr>
      </w:pPr>
      <w:r>
        <w:rPr>
          <w:rFonts w:hint="eastAsia" w:ascii="宋体" w:hAnsi="宋体" w:eastAsia="宋体" w:cs="宋体"/>
          <w:color w:val="auto"/>
          <w:highlight w:val="none"/>
        </w:rPr>
        <w:t>项目名称：</w:t>
      </w:r>
      <w:r>
        <w:rPr>
          <w:rFonts w:ascii="宋体" w:hAnsi="宋体" w:eastAsia="宋体" w:cs="宋体"/>
          <w:color w:val="auto"/>
          <w:highlight w:val="none"/>
        </w:rPr>
        <w:t xml:space="preserve"> </w:t>
      </w:r>
    </w:p>
    <w:p>
      <w:pPr>
        <w:spacing w:line="360" w:lineRule="auto"/>
        <w:rPr>
          <w:rFonts w:ascii="宋体" w:hAnsi="宋体" w:eastAsia="宋体" w:cs="Times New Roman"/>
          <w:color w:val="auto"/>
          <w:highlight w:val="none"/>
        </w:rPr>
      </w:pPr>
      <w:r>
        <w:rPr>
          <w:rFonts w:hint="eastAsia" w:ascii="Times New Roman" w:hAnsi="宋体" w:eastAsia="宋体" w:cs="宋体"/>
          <w:color w:val="auto"/>
          <w:highlight w:val="none"/>
        </w:rPr>
        <w:t>项目编</w:t>
      </w:r>
      <w:r>
        <w:rPr>
          <w:rFonts w:hint="eastAsia" w:ascii="宋体" w:hAnsi="宋体" w:eastAsia="宋体" w:cs="宋体"/>
          <w:color w:val="auto"/>
          <w:highlight w:val="none"/>
        </w:rPr>
        <w:t>号：</w:t>
      </w:r>
      <w:r>
        <w:rPr>
          <w:rFonts w:ascii="宋体" w:hAnsi="宋体" w:eastAsia="宋体" w:cs="宋体"/>
          <w:color w:val="auto"/>
          <w:highlight w:val="none"/>
        </w:rPr>
        <w:t xml:space="preserve"> </w:t>
      </w:r>
    </w:p>
    <w:tbl>
      <w:tblPr>
        <w:tblStyle w:val="90"/>
        <w:tblW w:w="9375"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
        <w:gridCol w:w="1234"/>
        <w:gridCol w:w="1234"/>
        <w:gridCol w:w="1240"/>
        <w:gridCol w:w="2203"/>
        <w:gridCol w:w="1240"/>
        <w:gridCol w:w="13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序号</w:t>
            </w:r>
          </w:p>
        </w:tc>
        <w:tc>
          <w:tcPr>
            <w:tcW w:w="1234"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业主名称</w:t>
            </w:r>
          </w:p>
        </w:tc>
        <w:tc>
          <w:tcPr>
            <w:tcW w:w="1234"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项目名称</w:t>
            </w:r>
          </w:p>
        </w:tc>
        <w:tc>
          <w:tcPr>
            <w:tcW w:w="1240"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项目内容</w:t>
            </w:r>
          </w:p>
        </w:tc>
        <w:tc>
          <w:tcPr>
            <w:tcW w:w="2203"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合同总价</w:t>
            </w:r>
          </w:p>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（单位</w:t>
            </w:r>
            <w:r>
              <w:rPr>
                <w:rFonts w:ascii="宋体" w:hAnsi="宋体" w:eastAsia="宋体" w:cs="宋体"/>
                <w:color w:val="auto"/>
                <w:highlight w:val="none"/>
              </w:rPr>
              <w:t>/</w:t>
            </w:r>
            <w:r>
              <w:rPr>
                <w:rFonts w:hint="eastAsia" w:ascii="宋体" w:hAnsi="宋体" w:eastAsia="宋体" w:cs="宋体"/>
                <w:color w:val="auto"/>
                <w:highlight w:val="none"/>
              </w:rPr>
              <w:t>万元）</w:t>
            </w:r>
          </w:p>
        </w:tc>
        <w:tc>
          <w:tcPr>
            <w:tcW w:w="1240"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签约及完成时间</w:t>
            </w:r>
          </w:p>
        </w:tc>
        <w:tc>
          <w:tcPr>
            <w:tcW w:w="1371"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单位联系人及电话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1</w:t>
            </w:r>
          </w:p>
        </w:tc>
        <w:tc>
          <w:tcPr>
            <w:tcW w:w="1234" w:type="dxa"/>
            <w:vAlign w:val="center"/>
          </w:tcPr>
          <w:p>
            <w:pPr>
              <w:spacing w:line="360" w:lineRule="auto"/>
              <w:jc w:val="center"/>
              <w:rPr>
                <w:rFonts w:ascii="宋体" w:hAnsi="宋体" w:eastAsia="宋体" w:cs="宋体"/>
                <w:color w:val="auto"/>
                <w:highlight w:val="none"/>
              </w:rPr>
            </w:pPr>
          </w:p>
        </w:tc>
        <w:tc>
          <w:tcPr>
            <w:tcW w:w="1234" w:type="dxa"/>
          </w:tcPr>
          <w:p>
            <w:pPr>
              <w:spacing w:line="360" w:lineRule="auto"/>
              <w:jc w:val="center"/>
              <w:rPr>
                <w:rFonts w:ascii="宋体" w:hAnsi="宋体" w:eastAsia="宋体" w:cs="宋体"/>
                <w:color w:val="auto"/>
                <w:highlight w:val="none"/>
              </w:rPr>
            </w:pPr>
          </w:p>
        </w:tc>
        <w:tc>
          <w:tcPr>
            <w:tcW w:w="1240" w:type="dxa"/>
            <w:vAlign w:val="center"/>
          </w:tcPr>
          <w:p>
            <w:pPr>
              <w:spacing w:line="360" w:lineRule="auto"/>
              <w:jc w:val="center"/>
              <w:rPr>
                <w:rFonts w:ascii="宋体" w:hAnsi="宋体" w:eastAsia="宋体" w:cs="宋体"/>
                <w:color w:val="auto"/>
                <w:highlight w:val="none"/>
              </w:rPr>
            </w:pPr>
          </w:p>
        </w:tc>
        <w:tc>
          <w:tcPr>
            <w:tcW w:w="2203" w:type="dxa"/>
            <w:vAlign w:val="center"/>
          </w:tcPr>
          <w:p>
            <w:pPr>
              <w:spacing w:line="360" w:lineRule="auto"/>
              <w:jc w:val="center"/>
              <w:rPr>
                <w:rFonts w:ascii="宋体" w:hAnsi="宋体" w:eastAsia="宋体" w:cs="宋体"/>
                <w:color w:val="auto"/>
                <w:highlight w:val="none"/>
              </w:rPr>
            </w:pPr>
          </w:p>
        </w:tc>
        <w:tc>
          <w:tcPr>
            <w:tcW w:w="1240" w:type="dxa"/>
            <w:vAlign w:val="center"/>
          </w:tcPr>
          <w:p>
            <w:pPr>
              <w:spacing w:line="360" w:lineRule="auto"/>
              <w:jc w:val="center"/>
              <w:rPr>
                <w:rFonts w:ascii="宋体" w:hAnsi="宋体" w:eastAsia="宋体" w:cs="宋体"/>
                <w:color w:val="auto"/>
                <w:highlight w:val="none"/>
              </w:rPr>
            </w:pPr>
          </w:p>
        </w:tc>
        <w:tc>
          <w:tcPr>
            <w:tcW w:w="1371" w:type="dxa"/>
            <w:vAlign w:val="center"/>
          </w:tcPr>
          <w:p>
            <w:pPr>
              <w:spacing w:line="360" w:lineRule="auto"/>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2</w:t>
            </w:r>
          </w:p>
        </w:tc>
        <w:tc>
          <w:tcPr>
            <w:tcW w:w="1234" w:type="dxa"/>
            <w:vAlign w:val="center"/>
          </w:tcPr>
          <w:p>
            <w:pPr>
              <w:spacing w:line="360" w:lineRule="auto"/>
              <w:jc w:val="center"/>
              <w:rPr>
                <w:rFonts w:ascii="宋体" w:hAnsi="宋体" w:eastAsia="宋体" w:cs="宋体"/>
                <w:color w:val="auto"/>
                <w:highlight w:val="none"/>
              </w:rPr>
            </w:pPr>
          </w:p>
        </w:tc>
        <w:tc>
          <w:tcPr>
            <w:tcW w:w="1234" w:type="dxa"/>
          </w:tcPr>
          <w:p>
            <w:pPr>
              <w:spacing w:line="360" w:lineRule="auto"/>
              <w:jc w:val="center"/>
              <w:rPr>
                <w:rFonts w:ascii="宋体" w:hAnsi="宋体" w:eastAsia="宋体" w:cs="宋体"/>
                <w:color w:val="auto"/>
                <w:highlight w:val="none"/>
              </w:rPr>
            </w:pPr>
          </w:p>
        </w:tc>
        <w:tc>
          <w:tcPr>
            <w:tcW w:w="1240" w:type="dxa"/>
            <w:vAlign w:val="center"/>
          </w:tcPr>
          <w:p>
            <w:pPr>
              <w:spacing w:line="360" w:lineRule="auto"/>
              <w:jc w:val="center"/>
              <w:rPr>
                <w:rFonts w:ascii="宋体" w:hAnsi="宋体" w:eastAsia="宋体" w:cs="宋体"/>
                <w:color w:val="auto"/>
                <w:highlight w:val="none"/>
              </w:rPr>
            </w:pPr>
          </w:p>
        </w:tc>
        <w:tc>
          <w:tcPr>
            <w:tcW w:w="2203" w:type="dxa"/>
            <w:vAlign w:val="center"/>
          </w:tcPr>
          <w:p>
            <w:pPr>
              <w:spacing w:line="360" w:lineRule="auto"/>
              <w:jc w:val="center"/>
              <w:rPr>
                <w:rFonts w:ascii="宋体" w:hAnsi="宋体" w:eastAsia="宋体" w:cs="宋体"/>
                <w:color w:val="auto"/>
                <w:highlight w:val="none"/>
              </w:rPr>
            </w:pPr>
          </w:p>
        </w:tc>
        <w:tc>
          <w:tcPr>
            <w:tcW w:w="1240" w:type="dxa"/>
            <w:vAlign w:val="center"/>
          </w:tcPr>
          <w:p>
            <w:pPr>
              <w:spacing w:line="360" w:lineRule="auto"/>
              <w:jc w:val="center"/>
              <w:rPr>
                <w:rFonts w:ascii="宋体" w:hAnsi="宋体" w:eastAsia="宋体" w:cs="宋体"/>
                <w:color w:val="auto"/>
                <w:highlight w:val="none"/>
              </w:rPr>
            </w:pPr>
          </w:p>
        </w:tc>
        <w:tc>
          <w:tcPr>
            <w:tcW w:w="1371" w:type="dxa"/>
            <w:vAlign w:val="center"/>
          </w:tcPr>
          <w:p>
            <w:pPr>
              <w:spacing w:line="360" w:lineRule="auto"/>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3</w:t>
            </w:r>
          </w:p>
        </w:tc>
        <w:tc>
          <w:tcPr>
            <w:tcW w:w="1234" w:type="dxa"/>
            <w:vAlign w:val="center"/>
          </w:tcPr>
          <w:p>
            <w:pPr>
              <w:spacing w:line="360" w:lineRule="auto"/>
              <w:jc w:val="center"/>
              <w:rPr>
                <w:rFonts w:ascii="宋体" w:hAnsi="宋体" w:eastAsia="宋体" w:cs="宋体"/>
                <w:color w:val="auto"/>
                <w:highlight w:val="none"/>
              </w:rPr>
            </w:pPr>
          </w:p>
        </w:tc>
        <w:tc>
          <w:tcPr>
            <w:tcW w:w="1234" w:type="dxa"/>
          </w:tcPr>
          <w:p>
            <w:pPr>
              <w:spacing w:line="360" w:lineRule="auto"/>
              <w:jc w:val="center"/>
              <w:rPr>
                <w:rFonts w:ascii="宋体" w:hAnsi="宋体" w:eastAsia="宋体" w:cs="宋体"/>
                <w:color w:val="auto"/>
                <w:highlight w:val="none"/>
              </w:rPr>
            </w:pPr>
          </w:p>
        </w:tc>
        <w:tc>
          <w:tcPr>
            <w:tcW w:w="1240" w:type="dxa"/>
            <w:vAlign w:val="center"/>
          </w:tcPr>
          <w:p>
            <w:pPr>
              <w:spacing w:line="360" w:lineRule="auto"/>
              <w:jc w:val="center"/>
              <w:rPr>
                <w:rFonts w:ascii="宋体" w:hAnsi="宋体" w:eastAsia="宋体" w:cs="宋体"/>
                <w:color w:val="auto"/>
                <w:highlight w:val="none"/>
              </w:rPr>
            </w:pPr>
          </w:p>
        </w:tc>
        <w:tc>
          <w:tcPr>
            <w:tcW w:w="2203" w:type="dxa"/>
            <w:vAlign w:val="center"/>
          </w:tcPr>
          <w:p>
            <w:pPr>
              <w:spacing w:line="360" w:lineRule="auto"/>
              <w:jc w:val="center"/>
              <w:rPr>
                <w:rFonts w:ascii="宋体" w:hAnsi="宋体" w:eastAsia="宋体" w:cs="宋体"/>
                <w:color w:val="auto"/>
                <w:highlight w:val="none"/>
              </w:rPr>
            </w:pPr>
          </w:p>
        </w:tc>
        <w:tc>
          <w:tcPr>
            <w:tcW w:w="1240" w:type="dxa"/>
            <w:vAlign w:val="center"/>
          </w:tcPr>
          <w:p>
            <w:pPr>
              <w:spacing w:line="360" w:lineRule="auto"/>
              <w:jc w:val="center"/>
              <w:rPr>
                <w:rFonts w:ascii="宋体" w:hAnsi="宋体" w:eastAsia="宋体" w:cs="宋体"/>
                <w:color w:val="auto"/>
                <w:highlight w:val="none"/>
              </w:rPr>
            </w:pPr>
          </w:p>
        </w:tc>
        <w:tc>
          <w:tcPr>
            <w:tcW w:w="1371" w:type="dxa"/>
            <w:vAlign w:val="center"/>
          </w:tcPr>
          <w:p>
            <w:pPr>
              <w:spacing w:line="360" w:lineRule="auto"/>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7" w:hRule="atLeast"/>
          <w:jc w:val="center"/>
        </w:trPr>
        <w:tc>
          <w:tcPr>
            <w:tcW w:w="853"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4</w:t>
            </w:r>
          </w:p>
        </w:tc>
        <w:tc>
          <w:tcPr>
            <w:tcW w:w="1234" w:type="dxa"/>
            <w:vAlign w:val="center"/>
          </w:tcPr>
          <w:p>
            <w:pPr>
              <w:spacing w:line="360" w:lineRule="auto"/>
              <w:jc w:val="center"/>
              <w:rPr>
                <w:rFonts w:ascii="宋体" w:hAnsi="宋体" w:eastAsia="宋体" w:cs="宋体"/>
                <w:color w:val="auto"/>
                <w:highlight w:val="none"/>
              </w:rPr>
            </w:pPr>
          </w:p>
        </w:tc>
        <w:tc>
          <w:tcPr>
            <w:tcW w:w="1234" w:type="dxa"/>
          </w:tcPr>
          <w:p>
            <w:pPr>
              <w:spacing w:line="360" w:lineRule="auto"/>
              <w:jc w:val="center"/>
              <w:rPr>
                <w:rFonts w:ascii="宋体" w:hAnsi="宋体" w:eastAsia="宋体" w:cs="宋体"/>
                <w:color w:val="auto"/>
                <w:highlight w:val="none"/>
              </w:rPr>
            </w:pPr>
          </w:p>
        </w:tc>
        <w:tc>
          <w:tcPr>
            <w:tcW w:w="1240" w:type="dxa"/>
            <w:vAlign w:val="center"/>
          </w:tcPr>
          <w:p>
            <w:pPr>
              <w:spacing w:line="360" w:lineRule="auto"/>
              <w:jc w:val="center"/>
              <w:rPr>
                <w:rFonts w:ascii="宋体" w:hAnsi="宋体" w:eastAsia="宋体" w:cs="宋体"/>
                <w:color w:val="auto"/>
                <w:highlight w:val="none"/>
              </w:rPr>
            </w:pPr>
          </w:p>
        </w:tc>
        <w:tc>
          <w:tcPr>
            <w:tcW w:w="2203" w:type="dxa"/>
            <w:vAlign w:val="center"/>
          </w:tcPr>
          <w:p>
            <w:pPr>
              <w:spacing w:line="360" w:lineRule="auto"/>
              <w:jc w:val="center"/>
              <w:rPr>
                <w:rFonts w:ascii="宋体" w:hAnsi="宋体" w:eastAsia="宋体" w:cs="宋体"/>
                <w:color w:val="auto"/>
                <w:highlight w:val="none"/>
              </w:rPr>
            </w:pPr>
          </w:p>
        </w:tc>
        <w:tc>
          <w:tcPr>
            <w:tcW w:w="1240" w:type="dxa"/>
            <w:vAlign w:val="center"/>
          </w:tcPr>
          <w:p>
            <w:pPr>
              <w:spacing w:line="360" w:lineRule="auto"/>
              <w:jc w:val="center"/>
              <w:rPr>
                <w:rFonts w:ascii="宋体" w:hAnsi="宋体" w:eastAsia="宋体" w:cs="宋体"/>
                <w:color w:val="auto"/>
                <w:highlight w:val="none"/>
              </w:rPr>
            </w:pPr>
          </w:p>
        </w:tc>
        <w:tc>
          <w:tcPr>
            <w:tcW w:w="1371" w:type="dxa"/>
            <w:vAlign w:val="center"/>
          </w:tcPr>
          <w:p>
            <w:pPr>
              <w:spacing w:line="360" w:lineRule="auto"/>
              <w:jc w:val="center"/>
              <w:rPr>
                <w:rFonts w:ascii="宋体" w:hAnsi="宋体" w:eastAsia="宋体" w:cs="宋体"/>
                <w:color w:val="auto"/>
                <w:highlight w:val="none"/>
              </w:rPr>
            </w:pPr>
          </w:p>
        </w:tc>
      </w:tr>
    </w:tbl>
    <w:p>
      <w:pPr>
        <w:spacing w:line="360" w:lineRule="auto"/>
        <w:rPr>
          <w:rFonts w:ascii="宋体" w:hAnsi="宋体" w:eastAsia="宋体" w:cs="Times New Roman"/>
          <w:b/>
          <w:bCs/>
          <w:color w:val="auto"/>
          <w:highlight w:val="none"/>
        </w:rPr>
      </w:pPr>
    </w:p>
    <w:p>
      <w:pPr>
        <w:spacing w:line="360" w:lineRule="auto"/>
        <w:rPr>
          <w:rFonts w:ascii="宋体" w:hAnsi="宋体" w:eastAsia="宋体" w:cs="Times New Roman"/>
          <w:b/>
          <w:bCs/>
          <w:color w:val="auto"/>
          <w:highlight w:val="none"/>
        </w:rPr>
      </w:pPr>
      <w:r>
        <w:rPr>
          <w:rFonts w:hint="eastAsia" w:ascii="宋体" w:hAnsi="宋体" w:eastAsia="宋体" w:cs="宋体"/>
          <w:b/>
          <w:bCs/>
          <w:color w:val="auto"/>
          <w:highlight w:val="none"/>
        </w:rPr>
        <w:t>注：请附上</w:t>
      </w:r>
      <w:r>
        <w:rPr>
          <w:rFonts w:ascii="宋体" w:hAnsi="宋体" w:eastAsia="宋体" w:cs="宋体"/>
          <w:b/>
          <w:bCs/>
          <w:color w:val="auto"/>
          <w:highlight w:val="none"/>
        </w:rPr>
        <w:t>2018</w:t>
      </w:r>
      <w:r>
        <w:rPr>
          <w:rFonts w:hint="eastAsia" w:ascii="宋体" w:hAnsi="宋体" w:eastAsia="宋体" w:cs="宋体"/>
          <w:b/>
          <w:bCs/>
          <w:color w:val="auto"/>
          <w:highlight w:val="none"/>
        </w:rPr>
        <w:t>年</w:t>
      </w:r>
      <w:r>
        <w:rPr>
          <w:rFonts w:ascii="宋体" w:hAnsi="宋体" w:eastAsia="宋体" w:cs="宋体"/>
          <w:b/>
          <w:bCs/>
          <w:color w:val="auto"/>
          <w:highlight w:val="none"/>
        </w:rPr>
        <w:t>1</w:t>
      </w:r>
      <w:r>
        <w:rPr>
          <w:rFonts w:hint="eastAsia" w:ascii="宋体" w:hAnsi="宋体" w:eastAsia="宋体" w:cs="宋体"/>
          <w:b/>
          <w:bCs/>
          <w:color w:val="auto"/>
          <w:highlight w:val="none"/>
        </w:rPr>
        <w:t>月</w:t>
      </w:r>
      <w:r>
        <w:rPr>
          <w:rFonts w:ascii="宋体" w:hAnsi="宋体" w:eastAsia="宋体" w:cs="宋体"/>
          <w:b/>
          <w:bCs/>
          <w:color w:val="auto"/>
          <w:highlight w:val="none"/>
        </w:rPr>
        <w:t>1</w:t>
      </w:r>
      <w:r>
        <w:rPr>
          <w:rFonts w:hint="eastAsia" w:ascii="宋体" w:hAnsi="宋体" w:eastAsia="宋体" w:cs="宋体"/>
          <w:b/>
          <w:bCs/>
          <w:color w:val="auto"/>
          <w:highlight w:val="none"/>
        </w:rPr>
        <w:t>日至今合同或协议或委托书及其对应的至少一份用户满意度反馈表作为同类监测业绩证明资料。</w:t>
      </w:r>
    </w:p>
    <w:p>
      <w:pPr>
        <w:spacing w:line="360" w:lineRule="auto"/>
        <w:ind w:left="632" w:hanging="632" w:hangingChars="300"/>
        <w:rPr>
          <w:rFonts w:ascii="宋体" w:hAnsi="宋体" w:eastAsia="宋体" w:cs="Times New Roman"/>
          <w:b/>
          <w:bCs/>
          <w:color w:val="auto"/>
          <w:highlight w:val="none"/>
        </w:rPr>
      </w:pPr>
    </w:p>
    <w:p>
      <w:pPr>
        <w:spacing w:line="360" w:lineRule="auto"/>
        <w:rPr>
          <w:rFonts w:ascii="宋体" w:hAnsi="宋体" w:eastAsia="宋体" w:cs="Times New Roman"/>
          <w:color w:val="auto"/>
          <w:highlight w:val="none"/>
        </w:rPr>
      </w:pPr>
    </w:p>
    <w:p>
      <w:pPr>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全称（盖公章）：</w:t>
      </w:r>
    </w:p>
    <w:p>
      <w:pPr>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法定代表人或授权代表（签字或签章）：</w:t>
      </w:r>
    </w:p>
    <w:p>
      <w:pPr>
        <w:adjustRightInd w:val="0"/>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宋体" w:hAnsi="宋体" w:eastAsia="宋体" w:cs="Times New Roman"/>
          <w:color w:val="auto"/>
          <w:highlight w:val="none"/>
        </w:rPr>
      </w:pPr>
      <w:r>
        <w:rPr>
          <w:rFonts w:ascii="宋体" w:hAnsi="宋体" w:eastAsia="宋体" w:cs="Times New Roman"/>
          <w:color w:val="auto"/>
          <w:highlight w:val="none"/>
        </w:rPr>
        <w:br w:type="page"/>
      </w:r>
    </w:p>
    <w:p>
      <w:pPr>
        <w:spacing w:line="360" w:lineRule="auto"/>
        <w:rPr>
          <w:rFonts w:ascii="黑体" w:hAnsi="宋体" w:eastAsia="黑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17  </w:t>
      </w:r>
      <w:r>
        <w:rPr>
          <w:rFonts w:hint="eastAsia" w:ascii="黑体" w:hAnsi="宋体" w:eastAsia="黑体" w:cs="黑体"/>
          <w:b/>
          <w:bCs/>
          <w:color w:val="auto"/>
          <w:kern w:val="0"/>
          <w:sz w:val="28"/>
          <w:szCs w:val="28"/>
          <w:highlight w:val="none"/>
        </w:rPr>
        <w:t>技术服务方案</w:t>
      </w:r>
    </w:p>
    <w:p>
      <w:pPr>
        <w:spacing w:line="360" w:lineRule="auto"/>
        <w:ind w:right="482"/>
        <w:rPr>
          <w:rFonts w:ascii="宋体" w:hAnsi="宋体" w:eastAsia="宋体" w:cs="Times New Roman"/>
          <w:color w:val="auto"/>
          <w:highlight w:val="none"/>
        </w:rPr>
      </w:pPr>
      <w:r>
        <w:rPr>
          <w:rFonts w:hint="eastAsia" w:ascii="宋体" w:hAnsi="宋体" w:eastAsia="宋体" w:cs="宋体"/>
          <w:color w:val="auto"/>
          <w:highlight w:val="none"/>
        </w:rPr>
        <w:t>项目名称：</w:t>
      </w:r>
    </w:p>
    <w:p>
      <w:pPr>
        <w:spacing w:line="360" w:lineRule="auto"/>
        <w:ind w:right="482"/>
        <w:rPr>
          <w:rFonts w:ascii="宋体" w:hAnsi="宋体" w:eastAsia="宋体" w:cs="Times New Roman"/>
          <w:color w:val="auto"/>
          <w:highlight w:val="none"/>
        </w:rPr>
      </w:pPr>
      <w:r>
        <w:rPr>
          <w:rFonts w:hint="eastAsia" w:ascii="宋体" w:hAnsi="宋体" w:eastAsia="宋体" w:cs="宋体"/>
          <w:color w:val="auto"/>
          <w:highlight w:val="none"/>
        </w:rPr>
        <w:t>项目编号：</w:t>
      </w:r>
    </w:p>
    <w:p>
      <w:pPr>
        <w:spacing w:line="360" w:lineRule="auto"/>
        <w:rPr>
          <w:rFonts w:ascii="黑体" w:hAnsi="宋体" w:eastAsia="黑体" w:cs="Times New Roman"/>
          <w:b/>
          <w:bCs/>
          <w:color w:val="auto"/>
          <w:kern w:val="0"/>
          <w:sz w:val="28"/>
          <w:szCs w:val="28"/>
          <w:highlight w:val="none"/>
        </w:rPr>
      </w:pPr>
    </w:p>
    <w:p>
      <w:pPr>
        <w:spacing w:line="360" w:lineRule="auto"/>
        <w:ind w:left="618" w:hanging="618"/>
        <w:rPr>
          <w:rFonts w:ascii="宋体" w:hAnsi="宋体" w:eastAsia="宋体" w:cs="Times New Roman"/>
          <w:color w:val="auto"/>
          <w:highlight w:val="none"/>
        </w:rPr>
      </w:pPr>
      <w:r>
        <w:rPr>
          <w:rFonts w:ascii="宋体" w:hAnsi="宋体" w:eastAsia="宋体" w:cs="宋体"/>
          <w:color w:val="auto"/>
          <w:highlight w:val="none"/>
        </w:rPr>
        <w:t>[</w:t>
      </w:r>
      <w:r>
        <w:rPr>
          <w:rFonts w:hint="eastAsia" w:ascii="宋体" w:hAnsi="宋体" w:eastAsia="宋体" w:cs="宋体"/>
          <w:color w:val="auto"/>
          <w:highlight w:val="none"/>
        </w:rPr>
        <w:t>说明</w:t>
      </w:r>
      <w:r>
        <w:rPr>
          <w:rFonts w:ascii="宋体" w:hAnsi="宋体" w:eastAsia="宋体" w:cs="宋体"/>
          <w:color w:val="auto"/>
          <w:highlight w:val="none"/>
        </w:rPr>
        <w:t>]</w:t>
      </w:r>
      <w:r>
        <w:rPr>
          <w:rFonts w:hint="eastAsia" w:ascii="宋体" w:hAnsi="宋体" w:eastAsia="宋体" w:cs="宋体"/>
          <w:color w:val="auto"/>
          <w:highlight w:val="none"/>
        </w:rPr>
        <w:t>供应商应按照公开遴选文件的要求，根据采购人需求要求内容做出全面响应并编制服务方案。其内容应包括但不限于：</w:t>
      </w:r>
    </w:p>
    <w:p>
      <w:pPr>
        <w:spacing w:line="360" w:lineRule="auto"/>
        <w:ind w:left="618" w:hanging="618"/>
        <w:rPr>
          <w:rFonts w:ascii="宋体" w:hAnsi="宋体" w:eastAsia="宋体" w:cs="Times New Roman"/>
          <w:color w:val="auto"/>
          <w:highlight w:val="none"/>
        </w:rPr>
      </w:pPr>
    </w:p>
    <w:p>
      <w:pPr>
        <w:numPr>
          <w:ilvl w:val="0"/>
          <w:numId w:val="11"/>
        </w:numPr>
        <w:spacing w:line="360" w:lineRule="auto"/>
        <w:ind w:left="420" w:leftChars="200" w:firstLine="105" w:firstLineChars="50"/>
        <w:rPr>
          <w:rFonts w:ascii="Times New Roman" w:hAnsi="Times New Roman" w:eastAsia="宋体" w:cs="Times New Roman"/>
          <w:color w:val="auto"/>
          <w:highlight w:val="none"/>
        </w:rPr>
      </w:pPr>
      <w:r>
        <w:rPr>
          <w:rFonts w:hint="eastAsia" w:ascii="Times New Roman" w:hAnsi="Times New Roman" w:eastAsia="宋体" w:cs="宋体"/>
          <w:color w:val="auto"/>
          <w:highlight w:val="none"/>
        </w:rPr>
        <w:t>技术服务方案评价；</w:t>
      </w:r>
    </w:p>
    <w:p>
      <w:pPr>
        <w:numPr>
          <w:ilvl w:val="0"/>
          <w:numId w:val="11"/>
        </w:numPr>
        <w:spacing w:line="360" w:lineRule="auto"/>
        <w:ind w:left="420" w:leftChars="200" w:firstLine="105" w:firstLineChars="50"/>
        <w:rPr>
          <w:rFonts w:ascii="Times New Roman" w:hAnsi="Times New Roman" w:eastAsia="宋体" w:cs="Times New Roman"/>
          <w:color w:val="auto"/>
          <w:highlight w:val="none"/>
        </w:rPr>
      </w:pPr>
      <w:r>
        <w:rPr>
          <w:rFonts w:hint="eastAsia" w:ascii="Times New Roman" w:hAnsi="Times New Roman" w:eastAsia="宋体" w:cs="宋体"/>
          <w:color w:val="auto"/>
          <w:highlight w:val="none"/>
        </w:rPr>
        <w:t>质控要求；</w:t>
      </w:r>
    </w:p>
    <w:p>
      <w:pPr>
        <w:numPr>
          <w:ilvl w:val="0"/>
          <w:numId w:val="11"/>
        </w:numPr>
        <w:spacing w:line="360" w:lineRule="auto"/>
        <w:ind w:left="420" w:leftChars="200" w:firstLine="105" w:firstLineChars="50"/>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rPr>
        <w:t>项目负责人资历和经验；</w:t>
      </w:r>
    </w:p>
    <w:p>
      <w:pPr>
        <w:numPr>
          <w:ilvl w:val="0"/>
          <w:numId w:val="11"/>
        </w:numPr>
        <w:spacing w:line="360" w:lineRule="auto"/>
        <w:ind w:left="420" w:leftChars="200" w:firstLine="105" w:firstLineChars="50"/>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rPr>
        <w:t>人员技术水平（不含项目负责人）</w:t>
      </w:r>
      <w:r>
        <w:rPr>
          <w:rFonts w:hint="eastAsia" w:ascii="Times New Roman" w:hAnsi="Times New Roman" w:eastAsia="宋体" w:cs="宋体"/>
          <w:color w:val="auto"/>
          <w:highlight w:val="none"/>
          <w:lang w:eastAsia="zh-CN"/>
        </w:rPr>
        <w:t>；</w:t>
      </w:r>
    </w:p>
    <w:p>
      <w:pPr>
        <w:numPr>
          <w:ilvl w:val="0"/>
          <w:numId w:val="11"/>
        </w:numPr>
        <w:spacing w:line="360" w:lineRule="auto"/>
        <w:ind w:left="420" w:leftChars="200" w:firstLine="105" w:firstLineChars="50"/>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rPr>
        <w:t>实验室能力考核</w:t>
      </w:r>
      <w:r>
        <w:rPr>
          <w:rFonts w:hint="eastAsia" w:ascii="Times New Roman" w:hAnsi="Times New Roman" w:eastAsia="宋体" w:cs="宋体"/>
          <w:color w:val="auto"/>
          <w:highlight w:val="none"/>
          <w:lang w:eastAsia="zh-CN"/>
        </w:rPr>
        <w:t>；</w:t>
      </w:r>
    </w:p>
    <w:p>
      <w:pPr>
        <w:numPr>
          <w:ilvl w:val="0"/>
          <w:numId w:val="11"/>
        </w:numPr>
        <w:spacing w:line="360" w:lineRule="auto"/>
        <w:ind w:left="420" w:leftChars="200" w:firstLine="105" w:firstLineChars="50"/>
        <w:rPr>
          <w:rFonts w:hint="eastAsia" w:ascii="Times New Roman" w:hAnsi="Times New Roman" w:eastAsia="宋体" w:cs="宋体"/>
          <w:color w:val="auto"/>
          <w:highlight w:val="none"/>
        </w:rPr>
      </w:pPr>
      <w:r>
        <w:rPr>
          <w:rFonts w:hint="eastAsia" w:ascii="Times New Roman" w:hAnsi="Times New Roman" w:eastAsia="宋体" w:cs="宋体"/>
          <w:color w:val="auto"/>
          <w:highlight w:val="none"/>
        </w:rPr>
        <w:t>供应商认为对遴选有利的其他资料。</w:t>
      </w:r>
    </w:p>
    <w:p>
      <w:pPr>
        <w:spacing w:after="120"/>
        <w:rPr>
          <w:rFonts w:ascii="Times New Roman" w:hAnsi="Times New Roman" w:eastAsia="宋体" w:cs="Times New Roman"/>
          <w:color w:val="auto"/>
          <w:highlight w:val="none"/>
        </w:rPr>
      </w:pPr>
      <w:r>
        <w:rPr>
          <w:rFonts w:ascii="宋体" w:hAnsi="宋体" w:eastAsia="宋体" w:cs="宋体"/>
          <w:color w:val="auto"/>
          <w:highlight w:val="none"/>
        </w:rPr>
        <w:t xml:space="preserve">   </w:t>
      </w:r>
    </w:p>
    <w:p>
      <w:pPr>
        <w:spacing w:line="360" w:lineRule="auto"/>
        <w:ind w:firstLine="480"/>
        <w:rPr>
          <w:rFonts w:ascii="宋体" w:hAnsi="宋体" w:eastAsia="宋体" w:cs="Times New Roman"/>
          <w:b/>
          <w:bCs/>
          <w:color w:val="auto"/>
          <w:sz w:val="24"/>
          <w:szCs w:val="24"/>
          <w:highlight w:val="none"/>
        </w:rPr>
      </w:pPr>
    </w:p>
    <w:p>
      <w:pPr>
        <w:spacing w:line="360" w:lineRule="auto"/>
        <w:ind w:firstLine="4956" w:firstLineChars="2360"/>
        <w:rPr>
          <w:rFonts w:ascii="宋体" w:hAnsi="宋体" w:eastAsia="宋体" w:cs="Times New Roman"/>
          <w:color w:val="auto"/>
          <w:highlight w:val="non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全称（盖公章）：</w:t>
      </w:r>
    </w:p>
    <w:p>
      <w:pPr>
        <w:spacing w:line="360" w:lineRule="auto"/>
        <w:ind w:right="420" w:firstLine="4935" w:firstLineChars="2350"/>
        <w:rPr>
          <w:rFonts w:ascii="宋体" w:hAnsi="宋体" w:eastAsia="宋体" w:cs="Times New Roman"/>
          <w:color w:val="auto"/>
          <w:highlight w:val="none"/>
        </w:rPr>
      </w:pPr>
      <w:r>
        <w:rPr>
          <w:rFonts w:hint="eastAsia" w:ascii="宋体" w:hAnsi="宋体" w:eastAsia="宋体" w:cs="宋体"/>
          <w:color w:val="auto"/>
          <w:highlight w:val="none"/>
        </w:rPr>
        <w:t>法定代表人或授权代表（签字或签章）：</w:t>
      </w:r>
    </w:p>
    <w:p>
      <w:pPr>
        <w:spacing w:line="360" w:lineRule="auto"/>
        <w:jc w:val="center"/>
        <w:rPr>
          <w:rFonts w:ascii="宋体" w:hAnsi="宋体" w:eastAsia="宋体" w:cs="Times New Roman"/>
          <w:b/>
          <w:bCs/>
          <w:color w:val="auto"/>
          <w:kern w:val="0"/>
          <w:sz w:val="28"/>
          <w:szCs w:val="28"/>
          <w:highlight w:val="none"/>
        </w:rPr>
      </w:pPr>
      <w:r>
        <w:rPr>
          <w:rFonts w:ascii="宋体" w:hAnsi="宋体" w:eastAsia="宋体" w:cs="宋体"/>
          <w:color w:val="auto"/>
          <w:highlight w:val="none"/>
        </w:rPr>
        <w:t xml:space="preserve">                               </w:t>
      </w: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spacing w:line="360" w:lineRule="auto"/>
        <w:rPr>
          <w:rFonts w:ascii="宋体" w:hAnsi="宋体" w:eastAsia="宋体" w:cs="Times New Roman"/>
          <w:b/>
          <w:bCs/>
          <w:color w:val="auto"/>
          <w:kern w:val="0"/>
          <w:sz w:val="28"/>
          <w:szCs w:val="28"/>
          <w:highlight w:val="none"/>
        </w:rPr>
      </w:pPr>
    </w:p>
    <w:p>
      <w:pPr>
        <w:rPr>
          <w:rFonts w:ascii="宋体" w:hAnsi="宋体" w:eastAsia="宋体" w:cs="Times New Roman"/>
          <w:b/>
          <w:bCs/>
          <w:color w:val="auto"/>
          <w:kern w:val="0"/>
          <w:sz w:val="28"/>
          <w:szCs w:val="28"/>
          <w:highlight w:val="none"/>
        </w:rPr>
      </w:pPr>
      <w:r>
        <w:rPr>
          <w:rFonts w:ascii="宋体" w:hAnsi="宋体" w:eastAsia="宋体" w:cs="Times New Roman"/>
          <w:b/>
          <w:bCs/>
          <w:color w:val="auto"/>
          <w:kern w:val="0"/>
          <w:sz w:val="28"/>
          <w:szCs w:val="28"/>
          <w:highlight w:val="none"/>
        </w:rPr>
        <w:br w:type="page"/>
      </w:r>
    </w:p>
    <w:p>
      <w:pPr>
        <w:widowControl/>
        <w:jc w:val="left"/>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18 </w:t>
      </w:r>
      <w:r>
        <w:rPr>
          <w:rFonts w:hint="eastAsia" w:ascii="宋体" w:hAnsi="宋体" w:eastAsia="宋体" w:cs="宋体"/>
          <w:b/>
          <w:bCs/>
          <w:color w:val="auto"/>
          <w:kern w:val="0"/>
          <w:sz w:val="28"/>
          <w:szCs w:val="28"/>
          <w:highlight w:val="none"/>
        </w:rPr>
        <w:t>拟派本项目负责人及主要人员情况表</w:t>
      </w:r>
    </w:p>
    <w:p>
      <w:pPr>
        <w:spacing w:line="360" w:lineRule="auto"/>
        <w:rPr>
          <w:rFonts w:ascii="宋体" w:hAnsi="宋体" w:eastAsia="宋体" w:cs="宋体"/>
          <w:color w:val="auto"/>
          <w:kern w:val="28"/>
          <w:highlight w:val="none"/>
        </w:rPr>
      </w:pPr>
      <w:r>
        <w:rPr>
          <w:rFonts w:hint="eastAsia" w:ascii="宋体" w:hAnsi="宋体" w:eastAsia="宋体" w:cs="宋体"/>
          <w:color w:val="auto"/>
          <w:highlight w:val="none"/>
        </w:rPr>
        <w:t>项目名称</w:t>
      </w:r>
      <w:r>
        <w:rPr>
          <w:rFonts w:hint="eastAsia" w:ascii="宋体" w:hAnsi="宋体" w:eastAsia="宋体" w:cs="宋体"/>
          <w:color w:val="auto"/>
          <w:kern w:val="28"/>
          <w:highlight w:val="none"/>
        </w:rPr>
        <w:t>：</w:t>
      </w:r>
      <w:r>
        <w:rPr>
          <w:rFonts w:ascii="宋体" w:hAnsi="宋体" w:eastAsia="宋体" w:cs="宋体"/>
          <w:color w:val="auto"/>
          <w:kern w:val="28"/>
          <w:highlight w:val="none"/>
        </w:rPr>
        <w:t xml:space="preserve">                                                 </w:t>
      </w:r>
    </w:p>
    <w:p>
      <w:pPr>
        <w:spacing w:line="360" w:lineRule="auto"/>
        <w:rPr>
          <w:rFonts w:ascii="Times New Roman" w:hAnsi="Times New Roman" w:eastAsia="宋体" w:cs="Times New Roman"/>
          <w:color w:val="auto"/>
          <w:highlight w:val="none"/>
        </w:rPr>
      </w:pPr>
      <w:r>
        <w:rPr>
          <w:rFonts w:hint="eastAsia" w:ascii="Times New Roman" w:hAnsi="Times New Roman" w:eastAsia="宋体" w:cs="宋体"/>
          <w:color w:val="auto"/>
          <w:highlight w:val="none"/>
        </w:rPr>
        <w:t>项目编号：</w:t>
      </w:r>
    </w:p>
    <w:tbl>
      <w:tblPr>
        <w:tblStyle w:val="90"/>
        <w:tblW w:w="8977" w:type="dxa"/>
        <w:tblInd w:w="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71"/>
        <w:gridCol w:w="1071"/>
        <w:gridCol w:w="216"/>
        <w:gridCol w:w="660"/>
        <w:gridCol w:w="204"/>
        <w:gridCol w:w="461"/>
        <w:gridCol w:w="619"/>
        <w:gridCol w:w="894"/>
        <w:gridCol w:w="184"/>
        <w:gridCol w:w="329"/>
        <w:gridCol w:w="774"/>
        <w:gridCol w:w="694"/>
        <w:gridCol w:w="152"/>
        <w:gridCol w:w="342"/>
        <w:gridCol w:w="12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8977" w:type="dxa"/>
            <w:gridSpan w:val="16"/>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拟派项目负责人资料情况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7" w:hRule="atLeast"/>
        </w:trPr>
        <w:tc>
          <w:tcPr>
            <w:tcW w:w="1089"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姓名</w:t>
            </w:r>
          </w:p>
        </w:tc>
        <w:tc>
          <w:tcPr>
            <w:tcW w:w="1287" w:type="dxa"/>
            <w:gridSpan w:val="2"/>
            <w:vAlign w:val="center"/>
          </w:tcPr>
          <w:p>
            <w:pPr>
              <w:spacing w:line="360" w:lineRule="auto"/>
              <w:jc w:val="center"/>
              <w:rPr>
                <w:rFonts w:ascii="宋体" w:hAnsi="宋体" w:eastAsia="宋体" w:cs="Times New Roman"/>
                <w:color w:val="auto"/>
                <w:highlight w:val="none"/>
              </w:rPr>
            </w:pPr>
          </w:p>
        </w:tc>
        <w:tc>
          <w:tcPr>
            <w:tcW w:w="1325"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性别</w:t>
            </w:r>
          </w:p>
        </w:tc>
        <w:tc>
          <w:tcPr>
            <w:tcW w:w="1697" w:type="dxa"/>
            <w:gridSpan w:val="3"/>
            <w:vAlign w:val="center"/>
          </w:tcPr>
          <w:p>
            <w:pPr>
              <w:spacing w:line="360" w:lineRule="auto"/>
              <w:jc w:val="center"/>
              <w:rPr>
                <w:rFonts w:ascii="宋体" w:hAnsi="宋体" w:eastAsia="宋体" w:cs="Times New Roman"/>
                <w:color w:val="auto"/>
                <w:highlight w:val="none"/>
              </w:rPr>
            </w:pPr>
          </w:p>
        </w:tc>
        <w:tc>
          <w:tcPr>
            <w:tcW w:w="1797"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年龄</w:t>
            </w:r>
          </w:p>
        </w:tc>
        <w:tc>
          <w:tcPr>
            <w:tcW w:w="1782" w:type="dxa"/>
            <w:gridSpan w:val="3"/>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3" w:hRule="atLeast"/>
        </w:trPr>
        <w:tc>
          <w:tcPr>
            <w:tcW w:w="1089"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职务</w:t>
            </w:r>
          </w:p>
        </w:tc>
        <w:tc>
          <w:tcPr>
            <w:tcW w:w="1287" w:type="dxa"/>
            <w:gridSpan w:val="2"/>
            <w:vAlign w:val="center"/>
          </w:tcPr>
          <w:p>
            <w:pPr>
              <w:spacing w:line="360" w:lineRule="auto"/>
              <w:jc w:val="center"/>
              <w:rPr>
                <w:rFonts w:ascii="宋体" w:hAnsi="宋体" w:eastAsia="宋体" w:cs="Times New Roman"/>
                <w:color w:val="auto"/>
                <w:highlight w:val="none"/>
              </w:rPr>
            </w:pPr>
          </w:p>
        </w:tc>
        <w:tc>
          <w:tcPr>
            <w:tcW w:w="1325"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职称</w:t>
            </w:r>
          </w:p>
        </w:tc>
        <w:tc>
          <w:tcPr>
            <w:tcW w:w="1697" w:type="dxa"/>
            <w:gridSpan w:val="3"/>
            <w:vAlign w:val="center"/>
          </w:tcPr>
          <w:p>
            <w:pPr>
              <w:spacing w:line="360" w:lineRule="auto"/>
              <w:jc w:val="center"/>
              <w:rPr>
                <w:rFonts w:ascii="宋体" w:hAnsi="宋体" w:eastAsia="宋体" w:cs="Times New Roman"/>
                <w:color w:val="auto"/>
                <w:highlight w:val="none"/>
              </w:rPr>
            </w:pPr>
          </w:p>
        </w:tc>
        <w:tc>
          <w:tcPr>
            <w:tcW w:w="1797"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学历</w:t>
            </w:r>
          </w:p>
        </w:tc>
        <w:tc>
          <w:tcPr>
            <w:tcW w:w="1782" w:type="dxa"/>
            <w:gridSpan w:val="3"/>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7" w:hRule="atLeast"/>
        </w:trPr>
        <w:tc>
          <w:tcPr>
            <w:tcW w:w="1089"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电话</w:t>
            </w:r>
          </w:p>
        </w:tc>
        <w:tc>
          <w:tcPr>
            <w:tcW w:w="7888" w:type="dxa"/>
            <w:gridSpan w:val="14"/>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1" w:hRule="atLeast"/>
        </w:trPr>
        <w:tc>
          <w:tcPr>
            <w:tcW w:w="1089"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参加工作时间</w:t>
            </w:r>
          </w:p>
        </w:tc>
        <w:tc>
          <w:tcPr>
            <w:tcW w:w="1287" w:type="dxa"/>
            <w:gridSpan w:val="2"/>
            <w:vAlign w:val="center"/>
          </w:tcPr>
          <w:p>
            <w:pPr>
              <w:spacing w:line="360" w:lineRule="auto"/>
              <w:jc w:val="center"/>
              <w:rPr>
                <w:rFonts w:ascii="宋体" w:hAnsi="宋体" w:eastAsia="宋体" w:cs="Times New Roman"/>
                <w:color w:val="auto"/>
                <w:highlight w:val="none"/>
              </w:rPr>
            </w:pPr>
          </w:p>
        </w:tc>
        <w:tc>
          <w:tcPr>
            <w:tcW w:w="4819" w:type="dxa"/>
            <w:gridSpan w:val="9"/>
            <w:vAlign w:val="center"/>
          </w:tcPr>
          <w:p>
            <w:pPr>
              <w:pStyle w:val="153"/>
              <w:widowControl w:val="0"/>
              <w:pBdr>
                <w:bottom w:val="none" w:color="auto" w:sz="0" w:space="0"/>
                <w:right w:val="none" w:color="auto" w:sz="0" w:space="0"/>
              </w:pBdr>
              <w:spacing w:before="0" w:beforeAutospacing="0" w:after="0" w:afterAutospacing="0" w:line="360" w:lineRule="auto"/>
              <w:jc w:val="both"/>
              <w:rPr>
                <w:rFonts w:ascii="宋体" w:eastAsia="宋体" w:cs="Times New Roman"/>
                <w:color w:val="auto"/>
                <w:kern w:val="2"/>
                <w:sz w:val="21"/>
                <w:szCs w:val="21"/>
                <w:highlight w:val="none"/>
              </w:rPr>
            </w:pPr>
            <w:r>
              <w:rPr>
                <w:rFonts w:hint="eastAsia" w:ascii="宋体" w:eastAsia="宋体" w:cs="宋体"/>
                <w:color w:val="auto"/>
                <w:kern w:val="2"/>
                <w:sz w:val="21"/>
                <w:szCs w:val="21"/>
                <w:highlight w:val="none"/>
              </w:rPr>
              <w:t>从事</w:t>
            </w:r>
            <w:r>
              <w:rPr>
                <w:rFonts w:hint="eastAsia" w:ascii="宋体" w:eastAsia="宋体" w:cs="宋体"/>
                <w:color w:val="auto"/>
                <w:sz w:val="21"/>
                <w:szCs w:val="21"/>
                <w:highlight w:val="none"/>
              </w:rPr>
              <w:t>同类</w:t>
            </w:r>
            <w:r>
              <w:rPr>
                <w:rFonts w:hint="eastAsia" w:ascii="宋体" w:eastAsia="宋体" w:cs="宋体"/>
                <w:color w:val="auto"/>
                <w:kern w:val="2"/>
                <w:sz w:val="21"/>
                <w:szCs w:val="21"/>
                <w:highlight w:val="none"/>
              </w:rPr>
              <w:t>项目年限</w:t>
            </w:r>
          </w:p>
        </w:tc>
        <w:tc>
          <w:tcPr>
            <w:tcW w:w="1782" w:type="dxa"/>
            <w:gridSpan w:val="3"/>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6" w:hRule="atLeast"/>
        </w:trPr>
        <w:tc>
          <w:tcPr>
            <w:tcW w:w="1089"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具有认证资质</w:t>
            </w:r>
          </w:p>
        </w:tc>
        <w:tc>
          <w:tcPr>
            <w:tcW w:w="7888" w:type="dxa"/>
            <w:gridSpan w:val="14"/>
            <w:vAlign w:val="center"/>
          </w:tcPr>
          <w:p>
            <w:pPr>
              <w:spacing w:line="360" w:lineRule="auto"/>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1" w:hRule="atLeast"/>
        </w:trPr>
        <w:tc>
          <w:tcPr>
            <w:tcW w:w="8977" w:type="dxa"/>
            <w:gridSpan w:val="16"/>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已完成的部分同类项目情况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4" w:hRule="atLeast"/>
        </w:trPr>
        <w:tc>
          <w:tcPr>
            <w:tcW w:w="1018"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项目</w:t>
            </w:r>
          </w:p>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单位</w:t>
            </w:r>
          </w:p>
        </w:tc>
        <w:tc>
          <w:tcPr>
            <w:tcW w:w="2018" w:type="dxa"/>
            <w:gridSpan w:val="4"/>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项目名称</w:t>
            </w:r>
          </w:p>
        </w:tc>
        <w:tc>
          <w:tcPr>
            <w:tcW w:w="2178" w:type="dxa"/>
            <w:gridSpan w:val="4"/>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主要工作内容</w:t>
            </w:r>
          </w:p>
        </w:tc>
        <w:tc>
          <w:tcPr>
            <w:tcW w:w="1287"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项目金额</w:t>
            </w:r>
          </w:p>
        </w:tc>
        <w:tc>
          <w:tcPr>
            <w:tcW w:w="1188"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完工日期</w:t>
            </w:r>
          </w:p>
        </w:tc>
        <w:tc>
          <w:tcPr>
            <w:tcW w:w="1288"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成果质量</w:t>
            </w:r>
          </w:p>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等级评定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69" w:hRule="atLeast"/>
        </w:trPr>
        <w:tc>
          <w:tcPr>
            <w:tcW w:w="1018"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1</w:t>
            </w:r>
          </w:p>
        </w:tc>
        <w:tc>
          <w:tcPr>
            <w:tcW w:w="2018" w:type="dxa"/>
            <w:gridSpan w:val="4"/>
            <w:vAlign w:val="center"/>
          </w:tcPr>
          <w:p>
            <w:pPr>
              <w:spacing w:line="360" w:lineRule="auto"/>
              <w:jc w:val="center"/>
              <w:rPr>
                <w:rFonts w:ascii="宋体" w:hAnsi="宋体" w:eastAsia="宋体" w:cs="宋体"/>
                <w:color w:val="auto"/>
                <w:highlight w:val="none"/>
              </w:rPr>
            </w:pPr>
          </w:p>
        </w:tc>
        <w:tc>
          <w:tcPr>
            <w:tcW w:w="2178" w:type="dxa"/>
            <w:gridSpan w:val="4"/>
            <w:vAlign w:val="center"/>
          </w:tcPr>
          <w:p>
            <w:pPr>
              <w:spacing w:line="360" w:lineRule="auto"/>
              <w:jc w:val="center"/>
              <w:rPr>
                <w:rFonts w:ascii="宋体" w:hAnsi="宋体" w:eastAsia="宋体" w:cs="宋体"/>
                <w:color w:val="auto"/>
                <w:highlight w:val="none"/>
              </w:rPr>
            </w:pPr>
          </w:p>
        </w:tc>
        <w:tc>
          <w:tcPr>
            <w:tcW w:w="1287" w:type="dxa"/>
            <w:gridSpan w:val="3"/>
            <w:vAlign w:val="center"/>
          </w:tcPr>
          <w:p>
            <w:pPr>
              <w:spacing w:line="360" w:lineRule="auto"/>
              <w:jc w:val="center"/>
              <w:rPr>
                <w:rFonts w:ascii="宋体" w:hAnsi="宋体" w:eastAsia="宋体" w:cs="宋体"/>
                <w:color w:val="auto"/>
                <w:highlight w:val="none"/>
              </w:rPr>
            </w:pPr>
          </w:p>
        </w:tc>
        <w:tc>
          <w:tcPr>
            <w:tcW w:w="1188" w:type="dxa"/>
            <w:gridSpan w:val="3"/>
            <w:vAlign w:val="center"/>
          </w:tcPr>
          <w:p>
            <w:pPr>
              <w:spacing w:line="360" w:lineRule="auto"/>
              <w:jc w:val="center"/>
              <w:rPr>
                <w:rFonts w:ascii="宋体" w:hAnsi="宋体" w:eastAsia="宋体" w:cs="宋体"/>
                <w:color w:val="auto"/>
                <w:highlight w:val="none"/>
              </w:rPr>
            </w:pPr>
          </w:p>
        </w:tc>
        <w:tc>
          <w:tcPr>
            <w:tcW w:w="1288" w:type="dxa"/>
            <w:vAlign w:val="center"/>
          </w:tcPr>
          <w:p>
            <w:pPr>
              <w:spacing w:line="360" w:lineRule="auto"/>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rPr>
        <w:tc>
          <w:tcPr>
            <w:tcW w:w="1018"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2</w:t>
            </w:r>
          </w:p>
        </w:tc>
        <w:tc>
          <w:tcPr>
            <w:tcW w:w="2018" w:type="dxa"/>
            <w:gridSpan w:val="4"/>
            <w:vAlign w:val="center"/>
          </w:tcPr>
          <w:p>
            <w:pPr>
              <w:spacing w:line="360" w:lineRule="auto"/>
              <w:jc w:val="center"/>
              <w:rPr>
                <w:rFonts w:ascii="宋体" w:hAnsi="宋体" w:eastAsia="宋体" w:cs="宋体"/>
                <w:color w:val="auto"/>
                <w:highlight w:val="none"/>
              </w:rPr>
            </w:pPr>
          </w:p>
        </w:tc>
        <w:tc>
          <w:tcPr>
            <w:tcW w:w="2178" w:type="dxa"/>
            <w:gridSpan w:val="4"/>
            <w:vAlign w:val="center"/>
          </w:tcPr>
          <w:p>
            <w:pPr>
              <w:spacing w:line="360" w:lineRule="auto"/>
              <w:jc w:val="center"/>
              <w:rPr>
                <w:rFonts w:ascii="宋体" w:hAnsi="宋体" w:eastAsia="宋体" w:cs="宋体"/>
                <w:color w:val="auto"/>
                <w:highlight w:val="none"/>
              </w:rPr>
            </w:pPr>
          </w:p>
        </w:tc>
        <w:tc>
          <w:tcPr>
            <w:tcW w:w="1287" w:type="dxa"/>
            <w:gridSpan w:val="3"/>
            <w:vAlign w:val="center"/>
          </w:tcPr>
          <w:p>
            <w:pPr>
              <w:spacing w:line="360" w:lineRule="auto"/>
              <w:jc w:val="center"/>
              <w:rPr>
                <w:rFonts w:ascii="宋体" w:hAnsi="宋体" w:eastAsia="宋体" w:cs="宋体"/>
                <w:color w:val="auto"/>
                <w:highlight w:val="none"/>
              </w:rPr>
            </w:pPr>
          </w:p>
        </w:tc>
        <w:tc>
          <w:tcPr>
            <w:tcW w:w="1188" w:type="dxa"/>
            <w:gridSpan w:val="3"/>
            <w:vAlign w:val="center"/>
          </w:tcPr>
          <w:p>
            <w:pPr>
              <w:spacing w:line="360" w:lineRule="auto"/>
              <w:jc w:val="center"/>
              <w:rPr>
                <w:rFonts w:ascii="宋体" w:hAnsi="宋体" w:eastAsia="宋体" w:cs="宋体"/>
                <w:color w:val="auto"/>
                <w:highlight w:val="none"/>
              </w:rPr>
            </w:pPr>
          </w:p>
        </w:tc>
        <w:tc>
          <w:tcPr>
            <w:tcW w:w="1288" w:type="dxa"/>
            <w:vAlign w:val="center"/>
          </w:tcPr>
          <w:p>
            <w:pPr>
              <w:spacing w:line="360" w:lineRule="auto"/>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73" w:hRule="atLeast"/>
        </w:trPr>
        <w:tc>
          <w:tcPr>
            <w:tcW w:w="1018"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2018" w:type="dxa"/>
            <w:gridSpan w:val="4"/>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2178" w:type="dxa"/>
            <w:gridSpan w:val="4"/>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1287"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1188"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1288"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8977" w:type="dxa"/>
            <w:gridSpan w:val="16"/>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拟参与本项目专业技术人员情况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姓名</w:t>
            </w:r>
          </w:p>
        </w:tc>
        <w:tc>
          <w:tcPr>
            <w:tcW w:w="1142"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性别</w:t>
            </w:r>
          </w:p>
        </w:tc>
        <w:tc>
          <w:tcPr>
            <w:tcW w:w="1080"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年龄</w:t>
            </w:r>
          </w:p>
        </w:tc>
        <w:tc>
          <w:tcPr>
            <w:tcW w:w="1080"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职称</w:t>
            </w:r>
          </w:p>
        </w:tc>
        <w:tc>
          <w:tcPr>
            <w:tcW w:w="1407"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专业</w:t>
            </w:r>
          </w:p>
        </w:tc>
        <w:tc>
          <w:tcPr>
            <w:tcW w:w="1620"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学历</w:t>
            </w:r>
          </w:p>
        </w:tc>
        <w:tc>
          <w:tcPr>
            <w:tcW w:w="1630"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经验年限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1</w:t>
            </w:r>
          </w:p>
        </w:tc>
        <w:tc>
          <w:tcPr>
            <w:tcW w:w="1142" w:type="dxa"/>
            <w:gridSpan w:val="2"/>
            <w:vAlign w:val="center"/>
          </w:tcPr>
          <w:p>
            <w:pPr>
              <w:spacing w:line="360" w:lineRule="auto"/>
              <w:jc w:val="center"/>
              <w:rPr>
                <w:rFonts w:ascii="宋体" w:hAnsi="宋体" w:eastAsia="宋体" w:cs="宋体"/>
                <w:color w:val="auto"/>
                <w:highlight w:val="none"/>
              </w:rPr>
            </w:pPr>
          </w:p>
        </w:tc>
        <w:tc>
          <w:tcPr>
            <w:tcW w:w="1080" w:type="dxa"/>
            <w:gridSpan w:val="3"/>
            <w:vAlign w:val="center"/>
          </w:tcPr>
          <w:p>
            <w:pPr>
              <w:spacing w:line="360" w:lineRule="auto"/>
              <w:jc w:val="center"/>
              <w:rPr>
                <w:rFonts w:ascii="宋体" w:hAnsi="宋体" w:eastAsia="宋体" w:cs="宋体"/>
                <w:color w:val="auto"/>
                <w:highlight w:val="none"/>
              </w:rPr>
            </w:pPr>
          </w:p>
        </w:tc>
        <w:tc>
          <w:tcPr>
            <w:tcW w:w="1080" w:type="dxa"/>
            <w:gridSpan w:val="2"/>
            <w:vAlign w:val="center"/>
          </w:tcPr>
          <w:p>
            <w:pPr>
              <w:spacing w:line="360" w:lineRule="auto"/>
              <w:jc w:val="center"/>
              <w:rPr>
                <w:rFonts w:ascii="宋体" w:hAnsi="宋体" w:eastAsia="宋体" w:cs="宋体"/>
                <w:color w:val="auto"/>
                <w:highlight w:val="none"/>
              </w:rPr>
            </w:pPr>
          </w:p>
        </w:tc>
        <w:tc>
          <w:tcPr>
            <w:tcW w:w="1407" w:type="dxa"/>
            <w:gridSpan w:val="3"/>
            <w:vAlign w:val="center"/>
          </w:tcPr>
          <w:p>
            <w:pPr>
              <w:spacing w:line="360" w:lineRule="auto"/>
              <w:jc w:val="center"/>
              <w:rPr>
                <w:rFonts w:ascii="宋体" w:hAnsi="宋体" w:eastAsia="宋体" w:cs="宋体"/>
                <w:color w:val="auto"/>
                <w:highlight w:val="none"/>
              </w:rPr>
            </w:pPr>
          </w:p>
        </w:tc>
        <w:tc>
          <w:tcPr>
            <w:tcW w:w="1620" w:type="dxa"/>
            <w:gridSpan w:val="3"/>
            <w:vAlign w:val="center"/>
          </w:tcPr>
          <w:p>
            <w:pPr>
              <w:spacing w:line="360" w:lineRule="auto"/>
              <w:jc w:val="center"/>
              <w:rPr>
                <w:rFonts w:ascii="宋体" w:hAnsi="宋体" w:eastAsia="宋体" w:cs="宋体"/>
                <w:color w:val="auto"/>
                <w:highlight w:val="none"/>
              </w:rPr>
            </w:pPr>
          </w:p>
        </w:tc>
        <w:tc>
          <w:tcPr>
            <w:tcW w:w="1630" w:type="dxa"/>
            <w:gridSpan w:val="2"/>
            <w:vAlign w:val="center"/>
          </w:tcPr>
          <w:p>
            <w:pPr>
              <w:spacing w:line="360" w:lineRule="auto"/>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vAlign w:val="center"/>
          </w:tcPr>
          <w:p>
            <w:pPr>
              <w:spacing w:line="360" w:lineRule="auto"/>
              <w:jc w:val="center"/>
              <w:rPr>
                <w:rFonts w:ascii="宋体" w:hAnsi="宋体" w:eastAsia="宋体" w:cs="宋体"/>
                <w:color w:val="auto"/>
                <w:highlight w:val="none"/>
              </w:rPr>
            </w:pPr>
            <w:r>
              <w:rPr>
                <w:rFonts w:ascii="宋体" w:hAnsi="宋体" w:eastAsia="宋体" w:cs="宋体"/>
                <w:color w:val="auto"/>
                <w:highlight w:val="none"/>
              </w:rPr>
              <w:t>2</w:t>
            </w:r>
          </w:p>
        </w:tc>
        <w:tc>
          <w:tcPr>
            <w:tcW w:w="1142" w:type="dxa"/>
            <w:gridSpan w:val="2"/>
            <w:vAlign w:val="center"/>
          </w:tcPr>
          <w:p>
            <w:pPr>
              <w:spacing w:line="360" w:lineRule="auto"/>
              <w:jc w:val="center"/>
              <w:rPr>
                <w:rFonts w:ascii="宋体" w:hAnsi="宋体" w:eastAsia="宋体" w:cs="宋体"/>
                <w:color w:val="auto"/>
                <w:highlight w:val="none"/>
              </w:rPr>
            </w:pPr>
          </w:p>
        </w:tc>
        <w:tc>
          <w:tcPr>
            <w:tcW w:w="1080" w:type="dxa"/>
            <w:gridSpan w:val="3"/>
            <w:vAlign w:val="center"/>
          </w:tcPr>
          <w:p>
            <w:pPr>
              <w:spacing w:line="360" w:lineRule="auto"/>
              <w:jc w:val="center"/>
              <w:rPr>
                <w:rFonts w:ascii="宋体" w:hAnsi="宋体" w:eastAsia="宋体" w:cs="宋体"/>
                <w:color w:val="auto"/>
                <w:highlight w:val="none"/>
              </w:rPr>
            </w:pPr>
          </w:p>
        </w:tc>
        <w:tc>
          <w:tcPr>
            <w:tcW w:w="1080" w:type="dxa"/>
            <w:gridSpan w:val="2"/>
            <w:vAlign w:val="center"/>
          </w:tcPr>
          <w:p>
            <w:pPr>
              <w:spacing w:line="360" w:lineRule="auto"/>
              <w:jc w:val="center"/>
              <w:rPr>
                <w:rFonts w:ascii="宋体" w:hAnsi="宋体" w:eastAsia="宋体" w:cs="宋体"/>
                <w:color w:val="auto"/>
                <w:highlight w:val="none"/>
              </w:rPr>
            </w:pPr>
          </w:p>
        </w:tc>
        <w:tc>
          <w:tcPr>
            <w:tcW w:w="1407" w:type="dxa"/>
            <w:gridSpan w:val="3"/>
            <w:vAlign w:val="center"/>
          </w:tcPr>
          <w:p>
            <w:pPr>
              <w:spacing w:line="360" w:lineRule="auto"/>
              <w:jc w:val="center"/>
              <w:rPr>
                <w:rFonts w:ascii="宋体" w:hAnsi="宋体" w:eastAsia="宋体" w:cs="宋体"/>
                <w:color w:val="auto"/>
                <w:highlight w:val="none"/>
              </w:rPr>
            </w:pPr>
          </w:p>
        </w:tc>
        <w:tc>
          <w:tcPr>
            <w:tcW w:w="1620" w:type="dxa"/>
            <w:gridSpan w:val="3"/>
            <w:vAlign w:val="center"/>
          </w:tcPr>
          <w:p>
            <w:pPr>
              <w:spacing w:line="360" w:lineRule="auto"/>
              <w:jc w:val="center"/>
              <w:rPr>
                <w:rFonts w:ascii="宋体" w:hAnsi="宋体" w:eastAsia="宋体" w:cs="宋体"/>
                <w:color w:val="auto"/>
                <w:highlight w:val="none"/>
              </w:rPr>
            </w:pPr>
          </w:p>
        </w:tc>
        <w:tc>
          <w:tcPr>
            <w:tcW w:w="1630" w:type="dxa"/>
            <w:gridSpan w:val="2"/>
            <w:vAlign w:val="center"/>
          </w:tcPr>
          <w:p>
            <w:pPr>
              <w:spacing w:line="360" w:lineRule="auto"/>
              <w:jc w:val="center"/>
              <w:rPr>
                <w:rFonts w:ascii="宋体" w:hAnsi="宋体" w:eastAsia="宋体" w:cs="宋体"/>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58" w:hRule="atLeast"/>
        </w:trPr>
        <w:tc>
          <w:tcPr>
            <w:tcW w:w="1018" w:type="dxa"/>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1142"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1080"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1080"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1407"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1620" w:type="dxa"/>
            <w:gridSpan w:val="3"/>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c>
          <w:tcPr>
            <w:tcW w:w="1630" w:type="dxa"/>
            <w:gridSpan w:val="2"/>
            <w:vAlign w:val="center"/>
          </w:tcPr>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p>
            <w:pPr>
              <w:spacing w:line="360" w:lineRule="auto"/>
              <w:jc w:val="center"/>
              <w:rPr>
                <w:rFonts w:ascii="宋体" w:hAnsi="宋体" w:eastAsia="宋体" w:cs="Times New Roman"/>
                <w:color w:val="auto"/>
                <w:highlight w:val="none"/>
              </w:rPr>
            </w:pPr>
            <w:r>
              <w:rPr>
                <w:rFonts w:hint="eastAsia" w:ascii="宋体" w:hAnsi="宋体" w:eastAsia="宋体" w:cs="宋体"/>
                <w:color w:val="auto"/>
                <w:highlight w:val="none"/>
              </w:rPr>
              <w:t>…</w:t>
            </w:r>
          </w:p>
        </w:tc>
      </w:tr>
    </w:tbl>
    <w:p>
      <w:pPr>
        <w:spacing w:line="360" w:lineRule="auto"/>
        <w:rPr>
          <w:rFonts w:ascii="宋体" w:hAnsi="Courier New" w:eastAsia="宋体" w:cs="Times New Roman"/>
          <w:color w:val="auto"/>
          <w:highlight w:val="none"/>
        </w:rPr>
      </w:pPr>
    </w:p>
    <w:p>
      <w:pPr>
        <w:spacing w:before="120" w:line="360" w:lineRule="auto"/>
        <w:ind w:left="620" w:hanging="620" w:hangingChars="294"/>
        <w:rPr>
          <w:rFonts w:ascii="宋体" w:hAnsi="宋体" w:eastAsia="宋体" w:cs="Times New Roman"/>
          <w:b/>
          <w:bCs/>
          <w:color w:val="auto"/>
          <w:highlight w:val="none"/>
        </w:rPr>
      </w:pPr>
      <w:r>
        <w:rPr>
          <w:rFonts w:hint="eastAsia" w:ascii="宋体" w:hAnsi="宋体" w:eastAsia="宋体" w:cs="宋体"/>
          <w:b/>
          <w:bCs/>
          <w:color w:val="auto"/>
          <w:highlight w:val="none"/>
        </w:rPr>
        <w:t>注：</w:t>
      </w:r>
      <w:r>
        <w:rPr>
          <w:rFonts w:ascii="宋体" w:hAnsi="宋体" w:eastAsia="宋体" w:cs="宋体"/>
          <w:b/>
          <w:bCs/>
          <w:color w:val="auto"/>
          <w:highlight w:val="none"/>
        </w:rPr>
        <w:t>1.</w:t>
      </w:r>
      <w:r>
        <w:rPr>
          <w:rFonts w:hint="eastAsia" w:ascii="宋体" w:hAnsi="宋体" w:eastAsia="宋体" w:cs="宋体"/>
          <w:b/>
          <w:bCs/>
          <w:color w:val="auto"/>
          <w:highlight w:val="none"/>
        </w:rPr>
        <w:t>在合同执行期间，成交供应商须设立项目负责人和专业专职的主要技术及服务人员，并在上表中列明；</w:t>
      </w:r>
    </w:p>
    <w:p>
      <w:pPr>
        <w:spacing w:before="120" w:line="360" w:lineRule="auto"/>
        <w:ind w:left="618" w:leftChars="200" w:hanging="198" w:hangingChars="94"/>
        <w:rPr>
          <w:rFonts w:ascii="宋体" w:hAnsi="宋体" w:eastAsia="宋体" w:cs="Times New Roman"/>
          <w:b/>
          <w:bCs/>
          <w:color w:val="auto"/>
          <w:highlight w:val="none"/>
        </w:rPr>
      </w:pPr>
      <w:r>
        <w:rPr>
          <w:rFonts w:ascii="宋体" w:hAnsi="宋体" w:eastAsia="宋体" w:cs="宋体"/>
          <w:b/>
          <w:bCs/>
          <w:color w:val="auto"/>
          <w:highlight w:val="none"/>
        </w:rPr>
        <w:t>2.</w:t>
      </w:r>
      <w:r>
        <w:rPr>
          <w:rFonts w:hint="eastAsia" w:ascii="宋体" w:hAnsi="宋体" w:eastAsia="宋体" w:cs="宋体"/>
          <w:b/>
          <w:bCs/>
          <w:color w:val="auto"/>
          <w:highlight w:val="none"/>
        </w:rPr>
        <w:t>投标文件中需附人员的职称或资格证书复印件，及由</w:t>
      </w:r>
      <w:r>
        <w:rPr>
          <w:rFonts w:hint="eastAsia" w:ascii="宋体" w:hAnsi="宋体" w:eastAsia="宋体" w:cs="宋体"/>
          <w:b/>
          <w:bCs/>
          <w:color w:val="auto"/>
          <w:highlight w:val="none"/>
          <w:lang w:eastAsia="zh-CN"/>
        </w:rPr>
        <w:t>供应商</w:t>
      </w:r>
      <w:r>
        <w:rPr>
          <w:rFonts w:hint="eastAsia" w:ascii="宋体" w:hAnsi="宋体" w:eastAsia="宋体" w:cs="宋体"/>
          <w:b/>
          <w:bCs/>
          <w:color w:val="auto"/>
          <w:highlight w:val="none"/>
        </w:rPr>
        <w:t>为其购买社保证明文件或退休证明文件</w:t>
      </w:r>
      <w:r>
        <w:rPr>
          <w:rFonts w:ascii="宋体" w:hAnsi="宋体" w:eastAsia="宋体" w:cs="宋体"/>
          <w:b/>
          <w:bCs/>
          <w:color w:val="auto"/>
          <w:highlight w:val="none"/>
        </w:rPr>
        <w:t>(</w:t>
      </w:r>
      <w:r>
        <w:rPr>
          <w:rFonts w:hint="eastAsia" w:ascii="宋体" w:hAnsi="宋体" w:eastAsia="宋体" w:cs="宋体"/>
          <w:b/>
          <w:bCs/>
          <w:color w:val="auto"/>
          <w:highlight w:val="none"/>
        </w:rPr>
        <w:t>如是退休证明文件的需同时提供与</w:t>
      </w:r>
      <w:r>
        <w:rPr>
          <w:rFonts w:hint="eastAsia" w:ascii="宋体" w:hAnsi="宋体" w:eastAsia="宋体" w:cs="宋体"/>
          <w:b/>
          <w:bCs/>
          <w:color w:val="auto"/>
          <w:highlight w:val="none"/>
          <w:lang w:eastAsia="zh-CN"/>
        </w:rPr>
        <w:t>供应商</w:t>
      </w:r>
      <w:r>
        <w:rPr>
          <w:rFonts w:hint="eastAsia" w:ascii="宋体" w:hAnsi="宋体" w:eastAsia="宋体" w:cs="宋体"/>
          <w:b/>
          <w:bCs/>
          <w:color w:val="auto"/>
          <w:highlight w:val="none"/>
        </w:rPr>
        <w:t>签订的劳动合同</w:t>
      </w:r>
      <w:r>
        <w:rPr>
          <w:rFonts w:ascii="宋体" w:hAnsi="宋体" w:eastAsia="宋体" w:cs="宋体"/>
          <w:b/>
          <w:bCs/>
          <w:color w:val="auto"/>
          <w:highlight w:val="none"/>
        </w:rPr>
        <w:t>)</w:t>
      </w:r>
      <w:r>
        <w:rPr>
          <w:rFonts w:hint="eastAsia" w:ascii="宋体" w:hAnsi="宋体" w:eastAsia="宋体" w:cs="宋体"/>
          <w:b/>
          <w:bCs/>
          <w:color w:val="auto"/>
          <w:highlight w:val="none"/>
        </w:rPr>
        <w:t>，否则不得分。</w:t>
      </w:r>
    </w:p>
    <w:p>
      <w:pPr>
        <w:spacing w:line="360" w:lineRule="auto"/>
        <w:rPr>
          <w:rFonts w:ascii="宋体" w:hAnsi="宋体" w:eastAsia="宋体" w:cs="Times New Roman"/>
          <w:color w:val="auto"/>
          <w:kern w:val="0"/>
          <w:highlight w:val="none"/>
        </w:rPr>
      </w:pPr>
    </w:p>
    <w:p>
      <w:pPr>
        <w:spacing w:line="360" w:lineRule="auto"/>
        <w:rPr>
          <w:rFonts w:ascii="宋体" w:hAnsi="宋体" w:eastAsia="宋体" w:cs="宋体"/>
          <w:color w:val="auto"/>
          <w:highlight w:val="non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全称（加盖公章）</w:t>
      </w:r>
      <w:r>
        <w:rPr>
          <w:rFonts w:ascii="宋体" w:hAnsi="宋体" w:eastAsia="宋体" w:cs="宋体"/>
          <w:color w:val="auto"/>
          <w:highlight w:val="none"/>
        </w:rPr>
        <w:t>:</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法定代表或其授权代表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spacing w:line="360" w:lineRule="auto"/>
        <w:rPr>
          <w:rFonts w:ascii="宋体" w:hAnsi="宋体" w:eastAsia="宋体" w:cs="Times New Roman"/>
          <w:b/>
          <w:bCs/>
          <w:color w:val="auto"/>
          <w:kern w:val="0"/>
          <w:sz w:val="28"/>
          <w:szCs w:val="28"/>
          <w:highlight w:val="none"/>
        </w:rPr>
        <w:sectPr>
          <w:pgSz w:w="11906" w:h="16838"/>
          <w:pgMar w:top="567" w:right="1304" w:bottom="567" w:left="1361" w:header="567" w:footer="737" w:gutter="0"/>
          <w:cols w:space="720" w:num="1"/>
          <w:docGrid w:linePitch="312" w:charSpace="0"/>
        </w:sect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19 </w:t>
      </w:r>
      <w:r>
        <w:rPr>
          <w:rFonts w:hint="eastAsia" w:ascii="宋体" w:hAnsi="宋体" w:eastAsia="宋体" w:cs="宋体"/>
          <w:b/>
          <w:bCs/>
          <w:color w:val="auto"/>
          <w:kern w:val="0"/>
          <w:sz w:val="28"/>
          <w:szCs w:val="28"/>
          <w:highlight w:val="none"/>
        </w:rPr>
        <w:t>实质性条款响应一览表</w:t>
      </w:r>
    </w:p>
    <w:p>
      <w:pPr>
        <w:spacing w:line="360" w:lineRule="auto"/>
        <w:rPr>
          <w:rFonts w:ascii="宋体" w:hAnsi="宋体" w:eastAsia="宋体" w:cs="宋体"/>
          <w:color w:val="auto"/>
          <w:kern w:val="28"/>
          <w:highlight w:val="none"/>
        </w:rPr>
      </w:pPr>
      <w:r>
        <w:rPr>
          <w:rFonts w:hint="eastAsia" w:ascii="宋体" w:hAnsi="宋体" w:eastAsia="宋体" w:cs="宋体"/>
          <w:color w:val="auto"/>
          <w:highlight w:val="none"/>
        </w:rPr>
        <w:t>项目名称</w:t>
      </w:r>
      <w:r>
        <w:rPr>
          <w:rFonts w:hint="eastAsia" w:ascii="宋体" w:hAnsi="宋体" w:eastAsia="宋体" w:cs="宋体"/>
          <w:color w:val="auto"/>
          <w:kern w:val="28"/>
          <w:highlight w:val="none"/>
        </w:rPr>
        <w:t>：</w:t>
      </w:r>
      <w:r>
        <w:rPr>
          <w:rFonts w:ascii="宋体" w:hAnsi="宋体" w:eastAsia="宋体" w:cs="宋体"/>
          <w:color w:val="auto"/>
          <w:kern w:val="28"/>
          <w:highlight w:val="none"/>
        </w:rPr>
        <w:t xml:space="preserve">                                                </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项目编号：</w:t>
      </w:r>
    </w:p>
    <w:tbl>
      <w:tblPr>
        <w:tblStyle w:val="90"/>
        <w:tblW w:w="907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9"/>
        <w:gridCol w:w="6368"/>
        <w:gridCol w:w="637"/>
        <w:gridCol w:w="700"/>
        <w:gridCol w:w="6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6" w:hRule="atLeast"/>
          <w:jc w:val="center"/>
        </w:trPr>
        <w:tc>
          <w:tcPr>
            <w:tcW w:w="709" w:type="dxa"/>
            <w:vAlign w:val="center"/>
          </w:tcPr>
          <w:p>
            <w:pPr>
              <w:spacing w:before="240" w:line="360" w:lineRule="auto"/>
              <w:ind w:left="902" w:hanging="902"/>
              <w:jc w:val="center"/>
              <w:rPr>
                <w:rFonts w:ascii="宋体" w:hAnsi="宋体" w:eastAsia="宋体" w:cs="Times New Roman"/>
                <w:color w:val="auto"/>
                <w:highlight w:val="none"/>
              </w:rPr>
            </w:pPr>
            <w:r>
              <w:rPr>
                <w:rFonts w:hint="eastAsia" w:ascii="宋体" w:hAnsi="宋体" w:eastAsia="宋体" w:cs="宋体"/>
                <w:color w:val="auto"/>
                <w:highlight w:val="none"/>
              </w:rPr>
              <w:t>序号</w:t>
            </w:r>
          </w:p>
        </w:tc>
        <w:tc>
          <w:tcPr>
            <w:tcW w:w="6368" w:type="dxa"/>
            <w:tcBorders>
              <w:left w:val="single" w:color="000000" w:sz="4" w:space="0"/>
            </w:tcBorders>
            <w:vAlign w:val="center"/>
          </w:tcPr>
          <w:p>
            <w:pPr>
              <w:spacing w:before="240" w:line="360" w:lineRule="auto"/>
              <w:ind w:left="902" w:hanging="902"/>
              <w:jc w:val="center"/>
              <w:rPr>
                <w:rFonts w:ascii="宋体" w:hAnsi="宋体" w:eastAsia="宋体" w:cs="Times New Roman"/>
                <w:color w:val="auto"/>
                <w:highlight w:val="none"/>
              </w:rPr>
            </w:pPr>
            <w:r>
              <w:rPr>
                <w:rFonts w:hint="eastAsia" w:ascii="宋体" w:hAnsi="宋体" w:eastAsia="宋体" w:cs="宋体"/>
                <w:color w:val="auto"/>
                <w:highlight w:val="none"/>
              </w:rPr>
              <w:t>带“★”号响应内容</w:t>
            </w:r>
          </w:p>
        </w:tc>
        <w:tc>
          <w:tcPr>
            <w:tcW w:w="637" w:type="dxa"/>
            <w:vAlign w:val="center"/>
          </w:tcPr>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是否</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响应</w:t>
            </w:r>
          </w:p>
        </w:tc>
        <w:tc>
          <w:tcPr>
            <w:tcW w:w="700" w:type="dxa"/>
            <w:vAlign w:val="center"/>
          </w:tcPr>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偏离</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说明</w:t>
            </w:r>
          </w:p>
        </w:tc>
        <w:tc>
          <w:tcPr>
            <w:tcW w:w="658" w:type="dxa"/>
            <w:vAlign w:val="center"/>
          </w:tcPr>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响应</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5"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1</w:t>
            </w:r>
          </w:p>
        </w:tc>
        <w:tc>
          <w:tcPr>
            <w:tcW w:w="6368" w:type="dxa"/>
            <w:tcBorders>
              <w:left w:val="single" w:color="000000" w:sz="4" w:space="0"/>
            </w:tcBorders>
            <w:vAlign w:val="center"/>
          </w:tcPr>
          <w:p>
            <w:pPr>
              <w:widowControl/>
              <w:snapToGrid w:val="0"/>
              <w:spacing w:line="360" w:lineRule="auto"/>
              <w:rPr>
                <w:rFonts w:ascii="宋体" w:hAnsi="宋体" w:eastAsia="宋体" w:cs="Times New Roman"/>
                <w:color w:val="auto"/>
                <w:highlight w:val="none"/>
              </w:rPr>
            </w:pPr>
            <w:r>
              <w:rPr>
                <w:rFonts w:hint="eastAsia" w:ascii="宋体" w:hAnsi="宋体" w:eastAsia="宋体" w:cs="宋体"/>
                <w:color w:val="auto"/>
                <w:highlight w:val="none"/>
              </w:rPr>
              <w:t>★</w:t>
            </w:r>
            <w:r>
              <w:rPr>
                <w:rFonts w:hint="eastAsia" w:ascii="宋体" w:hAnsi="宋体" w:eastAsia="宋体" w:cs="宋体"/>
                <w:color w:val="auto"/>
                <w:kern w:val="0"/>
                <w:highlight w:val="none"/>
              </w:rPr>
              <w:t>公开遴选函</w:t>
            </w:r>
            <w:r>
              <w:rPr>
                <w:rFonts w:ascii="宋体" w:hAnsi="宋体" w:eastAsia="宋体" w:cs="宋体"/>
                <w:color w:val="auto"/>
                <w:kern w:val="0"/>
                <w:highlight w:val="none"/>
              </w:rPr>
              <w:t xml:space="preserve"> </w:t>
            </w:r>
            <w:r>
              <w:rPr>
                <w:rFonts w:hint="eastAsia" w:ascii="宋体" w:hAnsi="宋体" w:eastAsia="宋体" w:cs="宋体"/>
                <w:color w:val="auto"/>
                <w:kern w:val="0"/>
                <w:highlight w:val="none"/>
              </w:rPr>
              <w:t>（附件</w:t>
            </w:r>
            <w:r>
              <w:rPr>
                <w:rFonts w:ascii="宋体" w:hAnsi="宋体" w:eastAsia="宋体" w:cs="宋体"/>
                <w:color w:val="auto"/>
                <w:kern w:val="0"/>
                <w:highlight w:val="none"/>
              </w:rPr>
              <w:t>1)</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2</w:t>
            </w:r>
          </w:p>
        </w:tc>
        <w:tc>
          <w:tcPr>
            <w:tcW w:w="6368" w:type="dxa"/>
            <w:tcBorders>
              <w:left w:val="single" w:color="000000" w:sz="4" w:space="0"/>
            </w:tcBorders>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kern w:val="0"/>
                <w:highlight w:val="none"/>
              </w:rPr>
              <w:t>★具有独立承担民事责任的能力【提供法人或者其他组织的营业执照、组织机构代码证和税务登记证（或三证合一证明）等证明文件】</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4"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3</w:t>
            </w:r>
          </w:p>
        </w:tc>
        <w:tc>
          <w:tcPr>
            <w:tcW w:w="6368" w:type="dxa"/>
            <w:tcBorders>
              <w:left w:val="single" w:color="000000" w:sz="4" w:space="0"/>
            </w:tcBorders>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kern w:val="0"/>
                <w:highlight w:val="none"/>
              </w:rPr>
              <w:t>★具有良好的商业信誉和健全的财务会计制度【提供书面承诺声明】</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4</w:t>
            </w:r>
          </w:p>
        </w:tc>
        <w:tc>
          <w:tcPr>
            <w:tcW w:w="6368" w:type="dxa"/>
            <w:tcBorders>
              <w:left w:val="single" w:color="000000" w:sz="4" w:space="0"/>
            </w:tcBorders>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kern w:val="0"/>
                <w:highlight w:val="none"/>
              </w:rPr>
              <w:t>★具有履行合同所必需的设备和专业技术能力【提供履行合同所必需的设备清单以及技术人员的名单材料】</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5"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5</w:t>
            </w:r>
          </w:p>
        </w:tc>
        <w:tc>
          <w:tcPr>
            <w:tcW w:w="6368" w:type="dxa"/>
            <w:tcBorders>
              <w:left w:val="single" w:color="000000" w:sz="4" w:space="0"/>
            </w:tcBorders>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kern w:val="0"/>
                <w:highlight w:val="none"/>
              </w:rPr>
              <w:t>★有依法缴纳税收和社会保障资金的良好记录【提供书面承诺声明】</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6</w:t>
            </w:r>
          </w:p>
        </w:tc>
        <w:tc>
          <w:tcPr>
            <w:tcW w:w="6368" w:type="dxa"/>
            <w:tcBorders>
              <w:left w:val="single" w:color="000000" w:sz="4" w:space="0"/>
            </w:tcBorders>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kern w:val="0"/>
                <w:highlight w:val="none"/>
              </w:rPr>
              <w:t>★参加政府采购活动前三年内，在经营活动中没有重大违法记录【提供书面声明】</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3"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7</w:t>
            </w:r>
          </w:p>
        </w:tc>
        <w:tc>
          <w:tcPr>
            <w:tcW w:w="6368" w:type="dxa"/>
            <w:tcBorders>
              <w:left w:val="single" w:color="000000" w:sz="4" w:space="0"/>
            </w:tcBorders>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highlight w:val="none"/>
              </w:rPr>
              <w:t>★</w:t>
            </w:r>
            <w:r>
              <w:rPr>
                <w:rFonts w:hint="eastAsia" w:ascii="宋体" w:hAnsi="宋体" w:eastAsia="宋体" w:cs="宋体"/>
                <w:color w:val="auto"/>
                <w:kern w:val="0"/>
                <w:highlight w:val="none"/>
              </w:rPr>
              <w:t>供应商《公平竞争承诺书》原件</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8</w:t>
            </w:r>
          </w:p>
        </w:tc>
        <w:tc>
          <w:tcPr>
            <w:tcW w:w="6368" w:type="dxa"/>
            <w:tcBorders>
              <w:left w:val="single" w:color="000000" w:sz="4" w:space="0"/>
            </w:tcBorders>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highlight w:val="none"/>
              </w:rPr>
              <w:t>★供应商单位负责人为同一人或者存在直接控股、管理关系的不同供应商，不得参加同一合同项下的政府采购活动。为采购项目提供整体设计、规范编制或者项目管理、监理、检测等服务的供应商，不得再参加该采购项目的其他采购活动。【提供书面承诺证明材料】</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9</w:t>
            </w:r>
          </w:p>
        </w:tc>
        <w:tc>
          <w:tcPr>
            <w:tcW w:w="6368" w:type="dxa"/>
            <w:tcBorders>
              <w:left w:val="single" w:color="000000" w:sz="4" w:space="0"/>
            </w:tcBorders>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highlight w:val="none"/>
              </w:rPr>
              <w:t>★检验检测机构资质认定证书（包括附表中的授权签字人及领域表）</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10</w:t>
            </w:r>
          </w:p>
        </w:tc>
        <w:tc>
          <w:tcPr>
            <w:tcW w:w="6368" w:type="dxa"/>
            <w:tcBorders>
              <w:left w:val="single" w:color="000000" w:sz="4" w:space="0"/>
            </w:tcBorders>
            <w:vAlign w:val="center"/>
          </w:tcPr>
          <w:p>
            <w:pPr>
              <w:widowControl/>
              <w:snapToGrid w:val="0"/>
              <w:rPr>
                <w:rFonts w:ascii="宋体" w:hAnsi="宋体" w:eastAsia="宋体" w:cs="Times New Roman"/>
                <w:color w:val="auto"/>
                <w:highlight w:val="none"/>
              </w:rPr>
            </w:pPr>
            <w:r>
              <w:rPr>
                <w:rFonts w:hint="eastAsia" w:ascii="宋体" w:hAnsi="宋体" w:eastAsia="宋体" w:cs="宋体"/>
                <w:color w:val="auto"/>
                <w:highlight w:val="none"/>
              </w:rPr>
              <w:t>★本项目不接受联合体投标。【提供书面承诺证明材料】</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11</w:t>
            </w:r>
          </w:p>
        </w:tc>
        <w:tc>
          <w:tcPr>
            <w:tcW w:w="6368" w:type="dxa"/>
            <w:tcBorders>
              <w:left w:val="single" w:color="000000" w:sz="4" w:space="0"/>
            </w:tcBorders>
          </w:tcPr>
          <w:p>
            <w:pPr>
              <w:widowControl/>
              <w:snapToGrid w:val="0"/>
              <w:rPr>
                <w:rFonts w:hint="eastAsia" w:ascii="宋体" w:hAnsi="宋体" w:eastAsia="宋体" w:cs="宋体"/>
                <w:color w:val="auto"/>
                <w:highlight w:val="none"/>
              </w:rPr>
            </w:pPr>
            <w:r>
              <w:rPr>
                <w:rFonts w:hint="eastAsia" w:ascii="宋体" w:hAnsi="宋体" w:eastAsia="宋体" w:cs="宋体"/>
                <w:color w:val="auto"/>
                <w:highlight w:val="none"/>
              </w:rPr>
              <w:t>★本项目以各监测项目的单价的同一下浮率进行报价。结算时，各单价限价×（1-成交单价下浮率）=各监测项目的单价，然后据实结算。</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8"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12</w:t>
            </w:r>
          </w:p>
        </w:tc>
        <w:tc>
          <w:tcPr>
            <w:tcW w:w="6368" w:type="dxa"/>
            <w:tcBorders>
              <w:left w:val="single" w:color="000000" w:sz="4" w:space="0"/>
            </w:tcBorders>
          </w:tcPr>
          <w:p>
            <w:pPr>
              <w:widowControl/>
              <w:snapToGrid w:val="0"/>
              <w:rPr>
                <w:rFonts w:hint="eastAsia" w:ascii="宋体" w:hAnsi="宋体" w:eastAsia="宋体" w:cs="宋体"/>
                <w:color w:val="auto"/>
                <w:highlight w:val="none"/>
              </w:rPr>
            </w:pPr>
            <w:r>
              <w:rPr>
                <w:rFonts w:hint="eastAsia" w:ascii="宋体" w:hAnsi="宋体" w:eastAsia="宋体" w:cs="宋体"/>
                <w:color w:val="auto"/>
                <w:highlight w:val="none"/>
              </w:rPr>
              <w:t>★监测项目及单价限价中单价已包含该项目的采样、检测、人员、交通、税费等全部费用。采购人不再另外支付任何费用。</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13</w:t>
            </w:r>
          </w:p>
        </w:tc>
        <w:tc>
          <w:tcPr>
            <w:tcW w:w="6368" w:type="dxa"/>
            <w:tcBorders>
              <w:left w:val="single" w:color="000000" w:sz="4" w:space="0"/>
            </w:tcBorders>
          </w:tcPr>
          <w:p>
            <w:pPr>
              <w:widowControl/>
              <w:snapToGrid w:val="0"/>
              <w:rPr>
                <w:rFonts w:hint="eastAsia" w:ascii="宋体" w:hAnsi="宋体" w:eastAsia="宋体" w:cs="宋体"/>
                <w:color w:val="auto"/>
                <w:highlight w:val="none"/>
              </w:rPr>
            </w:pPr>
            <w:r>
              <w:rPr>
                <w:rFonts w:hint="eastAsia" w:ascii="宋体" w:hAnsi="宋体" w:eastAsia="宋体" w:cs="宋体"/>
                <w:color w:val="auto"/>
                <w:highlight w:val="none"/>
              </w:rPr>
              <w:t>★成交供应商应按照采购人的任务清单规定的时间节点，完成监测任务并出具监测报告，具体监测任务为采购人提供的“监督性监测单位监测工作（含应急监测）任务清单表”。</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14</w:t>
            </w:r>
          </w:p>
        </w:tc>
        <w:tc>
          <w:tcPr>
            <w:tcW w:w="6368" w:type="dxa"/>
            <w:tcBorders>
              <w:left w:val="single" w:color="000000" w:sz="4" w:space="0"/>
            </w:tcBorders>
          </w:tcPr>
          <w:p>
            <w:pPr>
              <w:widowControl/>
              <w:snapToGrid w:val="0"/>
              <w:rPr>
                <w:rFonts w:hint="eastAsia" w:ascii="宋体" w:hAnsi="宋体" w:eastAsia="宋体" w:cs="宋体"/>
                <w:color w:val="auto"/>
                <w:highlight w:val="none"/>
              </w:rPr>
            </w:pPr>
            <w:r>
              <w:rPr>
                <w:rFonts w:hint="eastAsia" w:ascii="宋体" w:hAnsi="宋体" w:eastAsia="宋体" w:cs="宋体"/>
                <w:color w:val="auto"/>
                <w:highlight w:val="none"/>
              </w:rPr>
              <w:t>★成交供应商需在“监督性监测单位监测工作（含应急监测）任务清单表”要求的完成时间内完成该批次监测任务，并全部提交本批次有效的监测报告，采购人原则上按批次据实进行结算。</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15</w:t>
            </w:r>
          </w:p>
        </w:tc>
        <w:tc>
          <w:tcPr>
            <w:tcW w:w="6368" w:type="dxa"/>
            <w:tcBorders>
              <w:left w:val="single" w:color="000000" w:sz="4" w:space="0"/>
            </w:tcBorders>
          </w:tcPr>
          <w:p>
            <w:pPr>
              <w:widowControl/>
              <w:snapToGrid w:val="0"/>
              <w:rPr>
                <w:rFonts w:hint="eastAsia" w:ascii="宋体" w:hAnsi="宋体" w:eastAsia="宋体" w:cs="宋体"/>
                <w:color w:val="auto"/>
                <w:highlight w:val="none"/>
              </w:rPr>
            </w:pPr>
            <w:r>
              <w:rPr>
                <w:rFonts w:hint="eastAsia" w:ascii="宋体" w:hAnsi="宋体" w:eastAsia="宋体" w:cs="宋体"/>
                <w:color w:val="auto"/>
                <w:highlight w:val="none"/>
              </w:rPr>
              <w:t>★成交供应商开展监测工作后，原则上每周向采购人移交规定格式的纸质版有效的监测报告一式三份，对于中央生态环境保护督察交办案件相关应急监测任务应尽快提交监测报告，同时发送电子版监测报告（要求WORD 格式及加盖企业公章的PDF格式）至采购人，电子版监测报告需与纸质版监测报告保持一致；</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16</w:t>
            </w:r>
          </w:p>
        </w:tc>
        <w:tc>
          <w:tcPr>
            <w:tcW w:w="6368" w:type="dxa"/>
            <w:tcBorders>
              <w:left w:val="single" w:color="000000" w:sz="4" w:space="0"/>
            </w:tcBorders>
          </w:tcPr>
          <w:p>
            <w:pPr>
              <w:widowControl/>
              <w:snapToGrid w:val="0"/>
              <w:rPr>
                <w:rFonts w:hint="eastAsia" w:ascii="宋体" w:hAnsi="宋体" w:eastAsia="宋体" w:cs="宋体"/>
                <w:color w:val="auto"/>
                <w:highlight w:val="none"/>
              </w:rPr>
            </w:pPr>
            <w:r>
              <w:rPr>
                <w:rFonts w:hint="eastAsia" w:ascii="宋体" w:hAnsi="宋体" w:eastAsia="宋体" w:cs="宋体"/>
                <w:color w:val="auto"/>
                <w:highlight w:val="none"/>
              </w:rPr>
              <w:t>★成交供应商必须按照原广州市环境保护局2018年1月印发的《广州市环境保护局关于将我市环境监测社会化工作纳入常态管理的通知》要求，对所有完成的监督性监测服务项目的监测过程，及时自行在“广东省社会环境监测机构信息管理平台”上录入，并将录入情况每月5日前书面报告给采购人。</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jc w:val="center"/>
        </w:trPr>
        <w:tc>
          <w:tcPr>
            <w:tcW w:w="709" w:type="dxa"/>
            <w:vAlign w:val="center"/>
          </w:tcPr>
          <w:p>
            <w:pPr>
              <w:spacing w:before="240" w:line="360" w:lineRule="auto"/>
              <w:ind w:left="902" w:hanging="902"/>
              <w:jc w:val="center"/>
              <w:rPr>
                <w:rFonts w:ascii="宋体" w:hAnsi="宋体" w:eastAsia="宋体" w:cs="宋体"/>
                <w:color w:val="auto"/>
                <w:highlight w:val="none"/>
              </w:rPr>
            </w:pPr>
            <w:r>
              <w:rPr>
                <w:rFonts w:ascii="宋体" w:hAnsi="宋体" w:eastAsia="宋体" w:cs="宋体"/>
                <w:color w:val="auto"/>
                <w:highlight w:val="none"/>
              </w:rPr>
              <w:t>17</w:t>
            </w:r>
          </w:p>
        </w:tc>
        <w:tc>
          <w:tcPr>
            <w:tcW w:w="6368" w:type="dxa"/>
            <w:tcBorders>
              <w:left w:val="single" w:color="000000" w:sz="4" w:space="0"/>
            </w:tcBorders>
          </w:tcPr>
          <w:p>
            <w:pPr>
              <w:widowControl/>
              <w:snapToGrid w:val="0"/>
              <w:rPr>
                <w:rFonts w:hint="eastAsia" w:ascii="宋体" w:hAnsi="宋体" w:eastAsia="宋体" w:cs="宋体"/>
                <w:color w:val="auto"/>
                <w:highlight w:val="none"/>
              </w:rPr>
            </w:pPr>
            <w:r>
              <w:rPr>
                <w:rFonts w:hint="eastAsia" w:ascii="宋体" w:hAnsi="宋体" w:eastAsia="宋体" w:cs="宋体"/>
                <w:color w:val="auto"/>
                <w:highlight w:val="none"/>
              </w:rPr>
              <w:t>★成交供应商对监测单位的情况、样品的分析数据有保密责任，不得以任何方式泄露给被监测单位等第三方，并且该保密责任不因合同的终止或解除而失效。采购人保留对成交供应商违反本保密要求导致任何损失的追究权利。（成交供应商在签订合同时提供一份保密承诺函给采购人）</w:t>
            </w:r>
          </w:p>
        </w:tc>
        <w:tc>
          <w:tcPr>
            <w:tcW w:w="637" w:type="dxa"/>
            <w:vAlign w:val="center"/>
          </w:tcPr>
          <w:p>
            <w:pPr>
              <w:spacing w:before="240" w:line="360" w:lineRule="auto"/>
              <w:ind w:left="902" w:hanging="902"/>
              <w:jc w:val="center"/>
              <w:rPr>
                <w:rFonts w:ascii="宋体" w:hAnsi="宋体" w:eastAsia="宋体" w:cs="Times New Roman"/>
                <w:color w:val="auto"/>
                <w:highlight w:val="none"/>
              </w:rPr>
            </w:pPr>
          </w:p>
        </w:tc>
        <w:tc>
          <w:tcPr>
            <w:tcW w:w="700" w:type="dxa"/>
            <w:vAlign w:val="center"/>
          </w:tcPr>
          <w:p>
            <w:pPr>
              <w:spacing w:before="240" w:line="360" w:lineRule="auto"/>
              <w:ind w:left="902" w:hanging="902"/>
              <w:jc w:val="center"/>
              <w:rPr>
                <w:rFonts w:ascii="宋体" w:hAnsi="宋体" w:eastAsia="宋体" w:cs="Times New Roman"/>
                <w:color w:val="auto"/>
                <w:highlight w:val="none"/>
              </w:rPr>
            </w:pPr>
          </w:p>
        </w:tc>
        <w:tc>
          <w:tcPr>
            <w:tcW w:w="658" w:type="dxa"/>
            <w:vAlign w:val="center"/>
          </w:tcPr>
          <w:p>
            <w:pPr>
              <w:spacing w:before="240" w:line="360" w:lineRule="auto"/>
              <w:ind w:left="902" w:hanging="902"/>
              <w:jc w:val="center"/>
              <w:rPr>
                <w:rFonts w:ascii="宋体" w:hAnsi="宋体" w:eastAsia="宋体" w:cs="Times New Roman"/>
                <w:color w:val="auto"/>
                <w:highlight w:val="none"/>
              </w:rPr>
            </w:pPr>
          </w:p>
        </w:tc>
      </w:tr>
    </w:tbl>
    <w:p>
      <w:pPr>
        <w:spacing w:line="360" w:lineRule="auto"/>
        <w:rPr>
          <w:rFonts w:ascii="宋体" w:hAnsi="宋体" w:eastAsia="宋体" w:cs="Times New Roman"/>
          <w:b/>
          <w:bCs/>
          <w:color w:val="auto"/>
          <w:highlight w:val="none"/>
        </w:rPr>
      </w:pPr>
      <w:r>
        <w:rPr>
          <w:rFonts w:hint="eastAsia" w:ascii="宋体" w:hAnsi="宋体" w:eastAsia="宋体" w:cs="宋体"/>
          <w:b/>
          <w:bCs/>
          <w:color w:val="auto"/>
          <w:highlight w:val="none"/>
        </w:rPr>
        <w:t>说明：</w:t>
      </w:r>
      <w:r>
        <w:rPr>
          <w:rFonts w:ascii="宋体" w:hAnsi="宋体" w:eastAsia="宋体" w:cs="宋体"/>
          <w:b/>
          <w:bCs/>
          <w:color w:val="auto"/>
          <w:highlight w:val="none"/>
        </w:rPr>
        <w:t>1</w:t>
      </w:r>
      <w:r>
        <w:rPr>
          <w:rFonts w:hint="eastAsia" w:ascii="宋体" w:hAnsi="宋体" w:eastAsia="宋体" w:cs="宋体"/>
          <w:b/>
          <w:bCs/>
          <w:color w:val="auto"/>
          <w:highlight w:val="none"/>
        </w:rPr>
        <w:t>、供应商必须对应公开遴选文件的</w:t>
      </w:r>
      <w:r>
        <w:rPr>
          <w:rFonts w:ascii="宋体" w:hAnsi="宋体" w:eastAsia="宋体" w:cs="宋体"/>
          <w:b/>
          <w:bCs/>
          <w:color w:val="auto"/>
          <w:highlight w:val="none"/>
        </w:rPr>
        <w:t xml:space="preserve"> </w:t>
      </w:r>
      <w:r>
        <w:rPr>
          <w:rFonts w:hint="eastAsia" w:ascii="宋体" w:hAnsi="宋体" w:eastAsia="宋体" w:cs="宋体"/>
          <w:b/>
          <w:bCs/>
          <w:color w:val="auto"/>
          <w:highlight w:val="none"/>
        </w:rPr>
        <w:t>“★”号条款逐条应答并按要求填写下表。</w:t>
      </w:r>
    </w:p>
    <w:p>
      <w:pPr>
        <w:spacing w:line="360" w:lineRule="auto"/>
        <w:rPr>
          <w:rFonts w:ascii="宋体" w:hAnsi="宋体" w:eastAsia="宋体" w:cs="Times New Roman"/>
          <w:color w:val="auto"/>
          <w:highlight w:val="none"/>
        </w:rPr>
      </w:pPr>
      <w:r>
        <w:rPr>
          <w:rFonts w:ascii="宋体" w:hAnsi="宋体" w:eastAsia="宋体" w:cs="宋体"/>
          <w:b/>
          <w:bCs/>
          <w:color w:val="auto"/>
          <w:highlight w:val="none"/>
        </w:rPr>
        <w:t>2</w:t>
      </w:r>
      <w:r>
        <w:rPr>
          <w:rFonts w:hint="eastAsia" w:ascii="宋体" w:hAnsi="宋体" w:eastAsia="宋体" w:cs="宋体"/>
          <w:b/>
          <w:bCs/>
          <w:color w:val="auto"/>
          <w:highlight w:val="none"/>
        </w:rPr>
        <w:t>、对完全响应的条目在下表相应列中标注“○”。对有偏离的条目在下表相应列中标注“×”，并简述偏离内容。</w:t>
      </w:r>
    </w:p>
    <w:p>
      <w:pPr>
        <w:spacing w:line="360" w:lineRule="auto"/>
        <w:rPr>
          <w:rFonts w:ascii="宋体" w:hAnsi="宋体" w:eastAsia="宋体" w:cs="宋体"/>
          <w:color w:val="auto"/>
          <w:highlight w:val="none"/>
        </w:rPr>
      </w:pPr>
      <w:r>
        <w:rPr>
          <w:rFonts w:hint="eastAsia" w:ascii="宋体" w:hAnsi="宋体" w:eastAsia="宋体" w:cs="宋体"/>
          <w:color w:val="auto"/>
          <w:highlight w:val="none"/>
        </w:rPr>
        <w:t>供应商全称（加盖公章）</w:t>
      </w:r>
      <w:r>
        <w:rPr>
          <w:rFonts w:ascii="宋体" w:hAnsi="宋体" w:eastAsia="宋体" w:cs="宋体"/>
          <w:color w:val="auto"/>
          <w:highlight w:val="none"/>
        </w:rPr>
        <w:t>:</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法定代表人或其授权代表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spacing w:line="360" w:lineRule="auto"/>
        <w:rPr>
          <w:rFonts w:ascii="Times New Roman" w:hAnsi="宋体" w:eastAsia="宋体" w:cs="Times New Roman"/>
          <w:color w:val="auto"/>
          <w:highlight w:val="none"/>
        </w:rPr>
      </w:pPr>
      <w:r>
        <w:rPr>
          <w:rFonts w:hint="eastAsia" w:ascii="Times New Roman" w:hAnsi="宋体" w:eastAsia="宋体" w:cs="宋体"/>
          <w:color w:val="auto"/>
          <w:highlight w:val="none"/>
        </w:rPr>
        <w:t>日</w:t>
      </w:r>
      <w:r>
        <w:rPr>
          <w:rFonts w:ascii="Times New Roman" w:hAnsi="宋体" w:eastAsia="宋体" w:cs="Times New Roman"/>
          <w:color w:val="auto"/>
          <w:highlight w:val="none"/>
        </w:rPr>
        <w:t xml:space="preserve">    </w:t>
      </w:r>
      <w:r>
        <w:rPr>
          <w:rFonts w:hint="eastAsia" w:ascii="Times New Roman" w:hAnsi="宋体" w:eastAsia="宋体" w:cs="宋体"/>
          <w:color w:val="auto"/>
          <w:highlight w:val="none"/>
        </w:rPr>
        <w:t>期：</w:t>
      </w:r>
      <w:r>
        <w:rPr>
          <w:rFonts w:ascii="Times New Roman" w:hAnsi="宋体" w:eastAsia="宋体" w:cs="Times New Roman"/>
          <w:color w:val="auto"/>
          <w:highlight w:val="none"/>
        </w:rPr>
        <w:t xml:space="preserve">     </w:t>
      </w:r>
      <w:r>
        <w:rPr>
          <w:rFonts w:hint="eastAsia" w:ascii="Times New Roman" w:hAnsi="宋体" w:eastAsia="宋体" w:cs="宋体"/>
          <w:color w:val="auto"/>
          <w:highlight w:val="none"/>
        </w:rPr>
        <w:t>年</w:t>
      </w:r>
      <w:r>
        <w:rPr>
          <w:rFonts w:ascii="Times New Roman" w:hAnsi="宋体" w:eastAsia="宋体" w:cs="Times New Roman"/>
          <w:color w:val="auto"/>
          <w:highlight w:val="none"/>
        </w:rPr>
        <w:t xml:space="preserve">   </w:t>
      </w:r>
      <w:r>
        <w:rPr>
          <w:rFonts w:hint="eastAsia" w:ascii="Times New Roman" w:hAnsi="宋体" w:eastAsia="宋体" w:cs="宋体"/>
          <w:color w:val="auto"/>
          <w:highlight w:val="none"/>
        </w:rPr>
        <w:t>月</w:t>
      </w:r>
      <w:r>
        <w:rPr>
          <w:rFonts w:ascii="Times New Roman" w:hAnsi="宋体" w:eastAsia="宋体" w:cs="Times New Roman"/>
          <w:color w:val="auto"/>
          <w:highlight w:val="none"/>
        </w:rPr>
        <w:t xml:space="preserve">   </w:t>
      </w:r>
      <w:r>
        <w:rPr>
          <w:rFonts w:hint="eastAsia" w:ascii="Times New Roman" w:hAnsi="宋体" w:eastAsia="宋体" w:cs="宋体"/>
          <w:color w:val="auto"/>
          <w:highlight w:val="none"/>
        </w:rPr>
        <w:t>日</w:t>
      </w:r>
      <w:bookmarkEnd w:id="261"/>
      <w:bookmarkEnd w:id="320"/>
      <w:bookmarkEnd w:id="321"/>
      <w:bookmarkEnd w:id="322"/>
      <w:bookmarkEnd w:id="323"/>
      <w:bookmarkEnd w:id="324"/>
      <w:bookmarkEnd w:id="326"/>
      <w:bookmarkEnd w:id="327"/>
      <w:bookmarkEnd w:id="328"/>
      <w:bookmarkEnd w:id="329"/>
      <w:bookmarkEnd w:id="330"/>
      <w:bookmarkEnd w:id="331"/>
      <w:bookmarkEnd w:id="332"/>
      <w:bookmarkEnd w:id="333"/>
      <w:bookmarkEnd w:id="334"/>
    </w:p>
    <w:p>
      <w:pPr>
        <w:spacing w:line="360" w:lineRule="auto"/>
        <w:rPr>
          <w:rFonts w:ascii="Times New Roman" w:hAnsi="宋体" w:eastAsia="宋体" w:cs="Times New Roman"/>
          <w:color w:val="auto"/>
          <w:highlight w:val="none"/>
        </w:rPr>
      </w:pPr>
    </w:p>
    <w:p>
      <w:pPr>
        <w:spacing w:line="360" w:lineRule="auto"/>
        <w:rPr>
          <w:rFonts w:ascii="宋体" w:hAnsi="宋体" w:eastAsia="宋体" w:cs="Times New Roman"/>
          <w:b/>
          <w:bCs/>
          <w:color w:val="auto"/>
          <w:kern w:val="0"/>
          <w:sz w:val="28"/>
          <w:szCs w:val="28"/>
          <w:highlight w:val="none"/>
        </w:rPr>
      </w:pPr>
      <w:r>
        <w:rPr>
          <w:rFonts w:ascii="宋体" w:hAnsi="宋体" w:eastAsia="宋体" w:cs="Times New Roman"/>
          <w:b/>
          <w:bCs/>
          <w:color w:val="auto"/>
          <w:kern w:val="0"/>
          <w:sz w:val="24"/>
          <w:szCs w:val="24"/>
          <w:highlight w:val="none"/>
        </w:rPr>
        <w:br w:type="page"/>
      </w: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20  </w:t>
      </w:r>
      <w:r>
        <w:rPr>
          <w:rFonts w:hint="eastAsia" w:ascii="宋体" w:hAnsi="宋体" w:eastAsia="宋体" w:cs="宋体"/>
          <w:b/>
          <w:bCs/>
          <w:color w:val="auto"/>
          <w:kern w:val="0"/>
          <w:sz w:val="28"/>
          <w:szCs w:val="28"/>
          <w:highlight w:val="none"/>
        </w:rPr>
        <w:t>采购人配合的条件及伴随服务</w:t>
      </w:r>
    </w:p>
    <w:p>
      <w:pPr>
        <w:spacing w:line="360" w:lineRule="auto"/>
        <w:rPr>
          <w:rFonts w:ascii="黑体" w:hAnsi="宋体" w:eastAsia="黑体" w:cs="Times New Roman"/>
          <w:b/>
          <w:bCs/>
          <w:color w:val="auto"/>
          <w:kern w:val="0"/>
          <w:highlight w:val="none"/>
        </w:rPr>
      </w:pPr>
    </w:p>
    <w:p>
      <w:pPr>
        <w:spacing w:line="360" w:lineRule="auto"/>
        <w:ind w:firstLine="403"/>
        <w:rPr>
          <w:rFonts w:ascii="宋体" w:hAnsi="Times New Roman" w:eastAsia="宋体" w:cs="Times New Roman"/>
          <w:color w:val="auto"/>
          <w:highlight w:val="none"/>
        </w:rPr>
      </w:pPr>
      <w:r>
        <w:rPr>
          <w:rFonts w:hint="eastAsia" w:ascii="Times New Roman" w:hAnsi="Times New Roman" w:eastAsia="宋体" w:cs="宋体"/>
          <w:color w:val="auto"/>
          <w:highlight w:val="none"/>
        </w:rPr>
        <w:t>为配合本服务计划进度时间表所进行的各阶段工作，</w:t>
      </w:r>
      <w:r>
        <w:rPr>
          <w:rFonts w:hint="eastAsia" w:ascii="宋体" w:hAnsi="宋体" w:eastAsia="宋体" w:cs="宋体"/>
          <w:color w:val="auto"/>
          <w:kern w:val="0"/>
          <w:highlight w:val="none"/>
        </w:rPr>
        <w:t>供应商</w:t>
      </w:r>
      <w:r>
        <w:rPr>
          <w:rFonts w:hint="eastAsia" w:ascii="Times New Roman" w:hAnsi="Times New Roman" w:eastAsia="宋体" w:cs="宋体"/>
          <w:color w:val="auto"/>
          <w:highlight w:val="none"/>
        </w:rPr>
        <w:t>必须列明需要采购人配合的工作内容和具体要求。</w:t>
      </w:r>
    </w:p>
    <w:p>
      <w:pPr>
        <w:spacing w:line="360" w:lineRule="auto"/>
        <w:rPr>
          <w:rFonts w:ascii="黑体" w:hAnsi="宋体" w:eastAsia="黑体" w:cs="Times New Roman"/>
          <w:b/>
          <w:bCs/>
          <w:color w:val="auto"/>
          <w:kern w:val="0"/>
          <w:highlight w:val="none"/>
        </w:rPr>
      </w:pPr>
    </w:p>
    <w:p>
      <w:pPr>
        <w:spacing w:line="360" w:lineRule="auto"/>
        <w:rPr>
          <w:rFonts w:ascii="黑体" w:hAnsi="宋体" w:eastAsia="黑体" w:cs="Times New Roman"/>
          <w:b/>
          <w:bCs/>
          <w:color w:val="auto"/>
          <w:kern w:val="0"/>
          <w:highlight w:val="none"/>
        </w:rPr>
      </w:pPr>
    </w:p>
    <w:p>
      <w:pPr>
        <w:spacing w:line="360" w:lineRule="auto"/>
        <w:rPr>
          <w:rFonts w:ascii="黑体" w:hAnsi="宋体" w:eastAsia="黑体" w:cs="Times New Roman"/>
          <w:b/>
          <w:bCs/>
          <w:color w:val="auto"/>
          <w:kern w:val="0"/>
          <w:highlight w:val="none"/>
        </w:rPr>
      </w:pPr>
    </w:p>
    <w:p>
      <w:pPr>
        <w:spacing w:line="360" w:lineRule="auto"/>
        <w:rPr>
          <w:rFonts w:ascii="黑体" w:hAnsi="宋体" w:eastAsia="黑体" w:cs="Times New Roman"/>
          <w:b/>
          <w:bCs/>
          <w:color w:val="auto"/>
          <w:kern w:val="0"/>
          <w:highlight w:val="none"/>
        </w:rPr>
      </w:pPr>
    </w:p>
    <w:p>
      <w:pPr>
        <w:spacing w:line="360" w:lineRule="auto"/>
        <w:rPr>
          <w:rFonts w:ascii="黑体" w:hAnsi="宋体" w:eastAsia="黑体" w:cs="Times New Roman"/>
          <w:b/>
          <w:bCs/>
          <w:color w:val="auto"/>
          <w:kern w:val="0"/>
          <w:highlight w:val="none"/>
        </w:rPr>
      </w:pPr>
    </w:p>
    <w:p>
      <w:pPr>
        <w:spacing w:line="360" w:lineRule="auto"/>
        <w:rPr>
          <w:rFonts w:ascii="黑体" w:hAnsi="宋体" w:eastAsia="黑体" w:cs="Times New Roman"/>
          <w:b/>
          <w:bCs/>
          <w:color w:val="auto"/>
          <w:kern w:val="0"/>
          <w:highlight w:val="none"/>
        </w:rPr>
      </w:pPr>
    </w:p>
    <w:p>
      <w:pPr>
        <w:spacing w:line="360" w:lineRule="auto"/>
        <w:rPr>
          <w:rFonts w:ascii="黑体" w:hAnsi="宋体" w:eastAsia="黑体" w:cs="Times New Roman"/>
          <w:b/>
          <w:bCs/>
          <w:color w:val="auto"/>
          <w:kern w:val="0"/>
          <w:highlight w:val="none"/>
        </w:rPr>
      </w:pPr>
    </w:p>
    <w:p>
      <w:pPr>
        <w:spacing w:line="360" w:lineRule="auto"/>
        <w:rPr>
          <w:rFonts w:ascii="宋体" w:hAnsi="宋体" w:eastAsia="宋体" w:cs="宋体"/>
          <w:color w:val="auto"/>
          <w:highlight w:val="none"/>
        </w:rPr>
      </w:pPr>
      <w:r>
        <w:rPr>
          <w:rFonts w:hint="eastAsia" w:ascii="宋体" w:hAnsi="宋体" w:eastAsia="宋体" w:cs="宋体"/>
          <w:color w:val="auto"/>
          <w:kern w:val="0"/>
          <w:highlight w:val="none"/>
        </w:rPr>
        <w:t>供应商</w:t>
      </w:r>
      <w:r>
        <w:rPr>
          <w:rFonts w:hint="eastAsia" w:ascii="宋体" w:hAnsi="宋体" w:eastAsia="宋体" w:cs="宋体"/>
          <w:color w:val="auto"/>
          <w:highlight w:val="none"/>
        </w:rPr>
        <w:t>全称（加盖公章）</w:t>
      </w:r>
      <w:r>
        <w:rPr>
          <w:rFonts w:ascii="宋体" w:hAnsi="宋体" w:eastAsia="宋体" w:cs="宋体"/>
          <w:color w:val="auto"/>
          <w:highlight w:val="none"/>
        </w:rPr>
        <w:t>:</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法定代表或其授权代表</w:t>
      </w:r>
      <w:r>
        <w:rPr>
          <w:rFonts w:ascii="宋体" w:hAnsi="宋体" w:eastAsia="宋体" w:cs="宋体"/>
          <w:color w:val="auto"/>
          <w:highlight w:val="none"/>
        </w:rPr>
        <w:t>(</w:t>
      </w:r>
      <w:r>
        <w:rPr>
          <w:rFonts w:hint="eastAsia" w:ascii="宋体" w:hAnsi="宋体" w:eastAsia="宋体" w:cs="宋体"/>
          <w:color w:val="auto"/>
          <w:highlight w:val="none"/>
        </w:rPr>
        <w:t>签字或签章</w:t>
      </w:r>
      <w:r>
        <w:rPr>
          <w:rFonts w:ascii="宋体" w:hAnsi="宋体" w:eastAsia="宋体" w:cs="宋体"/>
          <w:color w:val="auto"/>
          <w:highlight w:val="none"/>
        </w:rPr>
        <w:t>)</w:t>
      </w:r>
      <w:r>
        <w:rPr>
          <w:rFonts w:hint="eastAsia" w:ascii="宋体" w:hAnsi="宋体" w:eastAsia="宋体" w:cs="宋体"/>
          <w:color w:val="auto"/>
          <w:highlight w:val="none"/>
        </w:rPr>
        <w:t>：</w:t>
      </w:r>
    </w:p>
    <w:p>
      <w:pPr>
        <w:spacing w:line="360" w:lineRule="auto"/>
        <w:rPr>
          <w:rFonts w:ascii="宋体" w:hAnsi="宋体" w:eastAsia="宋体" w:cs="Times New Roman"/>
          <w:color w:val="auto"/>
          <w:highlight w:val="none"/>
        </w:rPr>
      </w:pPr>
      <w:r>
        <w:rPr>
          <w:rFonts w:hint="eastAsia" w:ascii="宋体" w:hAnsi="宋体" w:eastAsia="宋体" w:cs="宋体"/>
          <w:color w:val="auto"/>
          <w:highlight w:val="none"/>
        </w:rPr>
        <w:t>日</w:t>
      </w:r>
      <w:r>
        <w:rPr>
          <w:rFonts w:ascii="宋体" w:hAnsi="宋体" w:eastAsia="宋体" w:cs="宋体"/>
          <w:color w:val="auto"/>
          <w:highlight w:val="none"/>
        </w:rPr>
        <w:t xml:space="preserve">    </w:t>
      </w:r>
      <w:r>
        <w:rPr>
          <w:rFonts w:hint="eastAsia" w:ascii="宋体" w:hAnsi="宋体" w:eastAsia="宋体" w:cs="宋体"/>
          <w:color w:val="auto"/>
          <w:highlight w:val="none"/>
        </w:rPr>
        <w:t>期：</w:t>
      </w:r>
      <w:r>
        <w:rPr>
          <w:rFonts w:ascii="宋体" w:hAnsi="宋体" w:eastAsia="宋体" w:cs="宋体"/>
          <w:color w:val="auto"/>
          <w:highlight w:val="none"/>
        </w:rPr>
        <w:t xml:space="preserve"> 2021</w:t>
      </w:r>
      <w:r>
        <w:rPr>
          <w:rFonts w:hint="eastAsia" w:ascii="宋体" w:hAnsi="宋体" w:eastAsia="宋体" w:cs="宋体"/>
          <w:color w:val="auto"/>
          <w:highlight w:val="none"/>
        </w:rPr>
        <w:t>年</w:t>
      </w:r>
      <w:r>
        <w:rPr>
          <w:rFonts w:ascii="宋体" w:hAnsi="宋体" w:eastAsia="宋体" w:cs="宋体"/>
          <w:color w:val="auto"/>
          <w:highlight w:val="none"/>
        </w:rPr>
        <w:t xml:space="preserve">  </w:t>
      </w:r>
      <w:r>
        <w:rPr>
          <w:rFonts w:hint="eastAsia" w:ascii="宋体" w:hAnsi="宋体" w:eastAsia="宋体" w:cs="宋体"/>
          <w:color w:val="auto"/>
          <w:highlight w:val="none"/>
        </w:rPr>
        <w:t>月</w:t>
      </w:r>
      <w:r>
        <w:rPr>
          <w:rFonts w:ascii="宋体" w:hAnsi="宋体" w:eastAsia="宋体" w:cs="宋体"/>
          <w:color w:val="auto"/>
          <w:highlight w:val="none"/>
        </w:rPr>
        <w:t xml:space="preserve">  </w:t>
      </w:r>
      <w:r>
        <w:rPr>
          <w:rFonts w:hint="eastAsia" w:ascii="宋体" w:hAnsi="宋体" w:eastAsia="宋体" w:cs="宋体"/>
          <w:color w:val="auto"/>
          <w:highlight w:val="none"/>
        </w:rPr>
        <w:t>日</w:t>
      </w: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spacing w:line="360" w:lineRule="auto"/>
        <w:rPr>
          <w:rFonts w:ascii="Times New Roman" w:hAnsi="宋体" w:eastAsia="宋体" w:cs="Times New Roman"/>
          <w:color w:val="auto"/>
          <w:highlight w:val="none"/>
        </w:rPr>
      </w:pPr>
    </w:p>
    <w:p>
      <w:pPr>
        <w:widowControl/>
        <w:jc w:val="left"/>
        <w:rPr>
          <w:rFonts w:ascii="宋体" w:hAnsi="宋体" w:eastAsia="宋体" w:cs="Times New Roman"/>
          <w:b/>
          <w:bCs/>
          <w:color w:val="auto"/>
          <w:kern w:val="0"/>
          <w:sz w:val="28"/>
          <w:szCs w:val="28"/>
          <w:highlight w:val="none"/>
        </w:rPr>
      </w:pPr>
      <w:r>
        <w:rPr>
          <w:rFonts w:hint="eastAsia" w:ascii="宋体" w:hAnsi="宋体" w:eastAsia="宋体" w:cs="宋体"/>
          <w:b/>
          <w:bCs/>
          <w:color w:val="auto"/>
          <w:kern w:val="0"/>
          <w:sz w:val="28"/>
          <w:szCs w:val="28"/>
          <w:highlight w:val="none"/>
        </w:rPr>
        <w:t>附件</w:t>
      </w:r>
      <w:r>
        <w:rPr>
          <w:rFonts w:ascii="宋体" w:hAnsi="宋体" w:eastAsia="宋体" w:cs="宋体"/>
          <w:b/>
          <w:bCs/>
          <w:color w:val="auto"/>
          <w:kern w:val="0"/>
          <w:sz w:val="28"/>
          <w:szCs w:val="28"/>
          <w:highlight w:val="none"/>
        </w:rPr>
        <w:t xml:space="preserve">21  </w:t>
      </w:r>
      <w:r>
        <w:rPr>
          <w:rFonts w:hint="eastAsia" w:ascii="宋体" w:hAnsi="宋体" w:eastAsia="宋体" w:cs="宋体"/>
          <w:b/>
          <w:bCs/>
          <w:color w:val="auto"/>
          <w:kern w:val="0"/>
          <w:sz w:val="28"/>
          <w:szCs w:val="28"/>
          <w:highlight w:val="none"/>
        </w:rPr>
        <w:t>供应商认为有必要说明的其他文件</w:t>
      </w:r>
    </w:p>
    <w:p>
      <w:pPr>
        <w:widowControl/>
        <w:snapToGrid w:val="0"/>
        <w:spacing w:line="360" w:lineRule="auto"/>
        <w:rPr>
          <w:rFonts w:ascii="宋体" w:hAnsi="Times New Roman" w:eastAsia="宋体" w:cs="Times New Roman"/>
          <w:color w:val="auto"/>
          <w:highlight w:val="none"/>
        </w:rPr>
      </w:pPr>
    </w:p>
    <w:p>
      <w:pPr>
        <w:spacing w:line="360" w:lineRule="auto"/>
        <w:rPr>
          <w:rFonts w:ascii="Times New Roman" w:hAnsi="宋体" w:eastAsia="宋体" w:cs="Times New Roman"/>
          <w:color w:val="auto"/>
          <w:highlight w:val="none"/>
        </w:rPr>
      </w:pPr>
    </w:p>
    <w:p>
      <w:pPr>
        <w:rPr>
          <w:rFonts w:cs="Times New Roman"/>
          <w:color w:val="auto"/>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ms Rmn">
    <w:altName w:val="Segoe Print"/>
    <w:panose1 w:val="02020603040505020304"/>
    <w:charset w:val="00"/>
    <w:family w:val="roman"/>
    <w:pitch w:val="default"/>
    <w:sig w:usb0="00000000" w:usb1="00000000" w:usb2="00000000" w:usb3="00000000" w:csb0="00000001" w:csb1="00000000"/>
  </w:font>
  <w:font w:name="楷体_GB2312">
    <w:altName w:val="楷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Microsoft YaHei UI">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文鼎CS书宋二">
    <w:altName w:val="宋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华康简标题宋">
    <w:altName w:val="宋体"/>
    <w:panose1 w:val="00000000000000000000"/>
    <w:charset w:val="86"/>
    <w:family w:val="modern"/>
    <w:pitch w:val="default"/>
    <w:sig w:usb0="00000000" w:usb1="00000000" w:usb2="00000010" w:usb3="00000000" w:csb0="00040000" w:csb1="00000000"/>
  </w:font>
  <w:font w:name="ZWAdobeF">
    <w:altName w:val="Segoe Print"/>
    <w:panose1 w:val="00000000000000000000"/>
    <w:charset w:val="00"/>
    <w:family w:val="auto"/>
    <w:pitch w:val="default"/>
    <w:sig w:usb0="00000000" w:usb1="00000000" w:usb2="00000000" w:usb3="00000000" w:csb0="400001FF" w:csb1="FFFF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7"/>
                          </w:pPr>
                          <w:r>
                            <w:fldChar w:fldCharType="begin"/>
                          </w:r>
                          <w:r>
                            <w:instrText xml:space="preserve"> PAGE  \* MERGEFORMAT </w:instrText>
                          </w:r>
                          <w:r>
                            <w:fldChar w:fldCharType="separate"/>
                          </w:r>
                          <w:r>
                            <w:t>35</w:t>
                          </w:r>
                          <w:r>
                            <w:fldChar w:fldCharType="end"/>
                          </w:r>
                        </w:p>
                      </w:txbxContent>
                    </wps:txbx>
                    <wps:bodyPr wrap="none" lIns="0" tIns="0" rIns="0" bIns="0" upright="1">
                      <a:spAutoFit/>
                    </wps:bodyPr>
                  </wps:wsp>
                </a:graphicData>
              </a:graphic>
            </wp:anchor>
          </w:drawing>
        </mc:Choice>
        <mc:Fallback>
          <w:pict>
            <v:shape id="文本框 1"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c17eWrgEAAEsD&#10;AAAOAAAAAAAAAAEAIAAAAB4BAABkcnMvZTJvRG9jLnhtbFBLBQYAAAAABgAGAFkBAAA+BQ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35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ind w:right="360" w:firstLine="270" w:firstLineChars="150"/>
    </w:pPr>
    <w: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14935" cy="1524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14935" cy="152400"/>
                      </a:xfrm>
                      <a:prstGeom prst="rect">
                        <a:avLst/>
                      </a:prstGeom>
                      <a:noFill/>
                      <a:ln>
                        <a:noFill/>
                      </a:ln>
                    </wps:spPr>
                    <wps:txbx>
                      <w:txbxContent>
                        <w:p>
                          <w:pPr>
                            <w:pStyle w:val="57"/>
                          </w:pP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2pt;width:9.05pt;mso-position-horizontal:right;mso-position-horizontal-relative:margin;mso-wrap-style:none;z-index:251662336;mso-width-relative:page;mso-height-relative:page;" filled="f" stroked="f" coordsize="21600,21600" o:gfxdata="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Rha1N0AAA&#10;AAMBAAAPAAAAAAAAAAEAIAAAACIAAABkcnMvZG93bnJldi54bWxQSwECFAAUAAAACACHTuJAp7Hq&#10;hLQBAABJAwAADgAAAAAAAAABACAAAAAfAQAAZHJzL2Uyb0RvYy54bWxQSwUGAAAAAAYABgBZAQAA&#10;RQUAAAAA&#10;">
              <v:fill on="f" focussize="0,0"/>
              <v:stroke on="f"/>
              <v:imagedata o:title=""/>
              <o:lock v:ext="edit" aspectratio="f"/>
              <v:textbox inset="0mm,0mm,0mm,0mm" style="mso-fit-shape-to-text:t;">
                <w:txbxContent>
                  <w:p>
                    <w:pPr>
                      <w:pStyle w:val="57"/>
                    </w:pP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rPr>
        <w:color w:val="000000"/>
      </w:rPr>
    </w:pPr>
    <w:r>
      <mc:AlternateContent>
        <mc:Choice Requires="wps">
          <w:drawing>
            <wp:anchor distT="0" distB="0" distL="114300" distR="114300" simplePos="0" relativeHeight="251664384" behindDoc="0" locked="0" layoutInCell="1" allowOverlap="1">
              <wp:simplePos x="0" y="0"/>
              <wp:positionH relativeFrom="margin">
                <wp:align>right</wp:align>
              </wp:positionH>
              <wp:positionV relativeFrom="paragraph">
                <wp:posOffset>0</wp:posOffset>
              </wp:positionV>
              <wp:extent cx="114935" cy="152400"/>
              <wp:effectExtent l="0" t="0" r="0" b="0"/>
              <wp:wrapNone/>
              <wp:docPr id="4" name="文本框 3"/>
              <wp:cNvGraphicFramePr/>
              <a:graphic xmlns:a="http://schemas.openxmlformats.org/drawingml/2006/main">
                <a:graphicData uri="http://schemas.microsoft.com/office/word/2010/wordprocessingShape">
                  <wps:wsp>
                    <wps:cNvSpPr txBox="1"/>
                    <wps:spPr>
                      <a:xfrm>
                        <a:off x="0" y="0"/>
                        <a:ext cx="114935" cy="152400"/>
                      </a:xfrm>
                      <a:prstGeom prst="rect">
                        <a:avLst/>
                      </a:prstGeom>
                      <a:noFill/>
                      <a:ln>
                        <a:noFill/>
                      </a:ln>
                    </wps:spPr>
                    <wps:txbx>
                      <w:txbxContent>
                        <w:p>
                          <w:pPr>
                            <w:pStyle w:val="57"/>
                            <w:rPr>
                              <w:rStyle w:val="94"/>
                            </w:rPr>
                          </w:pPr>
                        </w:p>
                      </w:txbxContent>
                    </wps:txbx>
                    <wps:bodyPr wrap="none" lIns="0" tIns="0" rIns="0" bIns="0" upright="1">
                      <a:spAutoFit/>
                    </wps:bodyPr>
                  </wps:wsp>
                </a:graphicData>
              </a:graphic>
            </wp:anchor>
          </w:drawing>
        </mc:Choice>
        <mc:Fallback>
          <w:pict>
            <v:shape id="文本框 3" o:spid="_x0000_s1026" o:spt="202" type="#_x0000_t202" style="position:absolute;left:0pt;margin-top:0pt;height:12pt;width:9.05pt;mso-position-horizontal:right;mso-position-horizontal-relative:margin;mso-wrap-style:none;z-index:251664384;mso-width-relative:page;mso-height-relative:page;" filled="f" stroked="f" coordsize="21600,21600" o:gfxdata="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Rha1N0AAA&#10;AAMBAAAPAAAAAAAAAAEAIAAAACIAAABkcnMvZG93bnJldi54bWxQSwECFAAUAAAACACHTuJAbsqP&#10;7rQBAABJAwAADgAAAAAAAAABACAAAAAfAQAAZHJzL2Uyb0RvYy54bWxQSwUGAAAAAAYABgBZAQAA&#10;RQ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t xml:space="preserve">  </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rPr>
    </w:pPr>
    <w:r>
      <mc:AlternateContent>
        <mc:Choice Requires="wps">
          <w:drawing>
            <wp:anchor distT="0" distB="0" distL="114300" distR="114300" simplePos="0" relativeHeight="251666432"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7"/>
                          </w:pPr>
                          <w:r>
                            <w:fldChar w:fldCharType="begin"/>
                          </w:r>
                          <w:r>
                            <w:instrText xml:space="preserve"> PAGE  \* MERGEFORMAT </w:instrText>
                          </w:r>
                          <w:r>
                            <w:fldChar w:fldCharType="separate"/>
                          </w:r>
                          <w:r>
                            <w:t>2</w:t>
                          </w:r>
                          <w:r>
                            <w:fldChar w:fldCharType="end"/>
                          </w:r>
                        </w:p>
                      </w:txbxContent>
                    </wps:txbx>
                    <wps:bodyPr wrap="none" lIns="0" tIns="0" rIns="0" bIns="0" upright="1">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">
              <v:fill on="f" focussize="0,0"/>
              <v:stroke on="f"/>
              <v:imagedata o:title=""/>
              <o:lock v:ext="edit" aspectratio="f"/>
              <v:textbox inset="0mm,0mm,0mm,0mm" style="mso-fit-shape-to-text:t;">
                <w:txbxContent>
                  <w:p>
                    <w:pPr>
                      <w:pStyle w:val="57"/>
                    </w:pPr>
                    <w:r>
                      <w:fldChar w:fldCharType="begin"/>
                    </w:r>
                    <w:r>
                      <w:instrText xml:space="preserve"> PAGE  \* MERGEFORMAT </w:instrText>
                    </w:r>
                    <w:r>
                      <w:fldChar w:fldCharType="separate"/>
                    </w:r>
                    <w:r>
                      <w:t>2</w:t>
                    </w:r>
                    <w:r>
                      <w:fldChar w:fldCharType="end"/>
                    </w:r>
                  </w:p>
                </w:txbxContent>
              </v:textbox>
            </v:shape>
          </w:pict>
        </mc:Fallback>
      </mc:AlternateContent>
    </w:r>
    <w:r>
      <w:rPr>
        <w:rFonts w:hint="eastAsia" w:ascii="宋体" w:hAnsi="宋体" w:cs="宋体"/>
      </w:rPr>
      <w:t>广州市司法局广州地铁普法宣传公益广告发布项目</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1" w:firstLine="90" w:firstLineChars="50"/>
      <w:jc w:val="center"/>
    </w:pPr>
    <w:r>
      <mc:AlternateContent>
        <mc:Choice Requires="wps">
          <w:drawing>
            <wp:anchor distT="0" distB="0" distL="114300" distR="114300" simplePos="0" relativeHeight="251668480" behindDoc="0" locked="0" layoutInCell="1" allowOverlap="1">
              <wp:simplePos x="0" y="0"/>
              <wp:positionH relativeFrom="margin">
                <wp:align>right</wp:align>
              </wp:positionH>
              <wp:positionV relativeFrom="paragraph">
                <wp:posOffset>0</wp:posOffset>
              </wp:positionV>
              <wp:extent cx="114935" cy="152400"/>
              <wp:effectExtent l="0" t="0" r="0" b="0"/>
              <wp:wrapNone/>
              <wp:docPr id="6" name="文本框 5"/>
              <wp:cNvGraphicFramePr/>
              <a:graphic xmlns:a="http://schemas.openxmlformats.org/drawingml/2006/main">
                <a:graphicData uri="http://schemas.microsoft.com/office/word/2010/wordprocessingShape">
                  <wps:wsp>
                    <wps:cNvSpPr txBox="1"/>
                    <wps:spPr>
                      <a:xfrm>
                        <a:off x="0" y="0"/>
                        <a:ext cx="114935" cy="152400"/>
                      </a:xfrm>
                      <a:prstGeom prst="rect">
                        <a:avLst/>
                      </a:prstGeom>
                      <a:noFill/>
                      <a:ln>
                        <a:noFill/>
                      </a:ln>
                    </wps:spPr>
                    <wps:txbx>
                      <w:txbxContent>
                        <w:p>
                          <w:pPr>
                            <w:pStyle w:val="57"/>
                            <w:rPr>
                              <w:rStyle w:val="94"/>
                            </w:rPr>
                          </w:pP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2pt;width:9.05pt;mso-position-horizontal:right;mso-position-horizontal-relative:margin;mso-wrap-style:none;z-index:251668480;mso-width-relative:page;mso-height-relative:page;" filled="f" stroked="f" coordsize="21600,21600" o:gfxdata="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BRha1N0AAA&#10;AAMBAAAPAAAAAAAAAAEAIAAAACIAAABkcnMvZG93bnJldi54bWxQSwECFAAUAAAACACHTuJAjF3i&#10;oLQBAABJAwAADgAAAAAAAAABACAAAAAfAQAAZHJzL2Uyb0RvYy54bWxQSwUGAAAAAAYABgBZAQAA&#10;RQUAAAAA&#10;">
              <v:fill on="f" focussize="0,0"/>
              <v:stroke on="f"/>
              <v:imagedata o:title=""/>
              <o:lock v:ext="edit" aspectratio="f"/>
              <v:textbox inset="0mm,0mm,0mm,0mm" style="mso-fit-shape-to-text:t;">
                <w:txbxContent>
                  <w:p>
                    <w:pPr>
                      <w:pStyle w:val="57"/>
                      <w:rPr>
                        <w:rStyle w:val="94"/>
                      </w:rPr>
                    </w:pPr>
                  </w:p>
                </w:txbxContent>
              </v:textbox>
            </v:shape>
          </w:pict>
        </mc:Fallback>
      </mc:AlternateContent>
    </w:r>
    <w:r>
      <w:rPr>
        <w:rStyle w:val="94"/>
      </w:rPr>
      <w:fldChar w:fldCharType="begin"/>
    </w:r>
    <w:r>
      <w:rPr>
        <w:rStyle w:val="94"/>
      </w:rPr>
      <w:instrText xml:space="preserve"> PAGE </w:instrText>
    </w:r>
    <w:r>
      <w:rPr>
        <w:rStyle w:val="94"/>
      </w:rPr>
      <w:fldChar w:fldCharType="separate"/>
    </w:r>
    <w:r>
      <w:rPr>
        <w:rStyle w:val="94"/>
      </w:rPr>
      <w:t>46</w:t>
    </w:r>
    <w:r>
      <w:rPr>
        <w:rStyle w:val="94"/>
      </w:rPr>
      <w:fldChar w:fldCharType="end"/>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7"/>
      <w:pBdr>
        <w:top w:val="single" w:color="auto" w:sz="4" w:space="1"/>
      </w:pBdr>
      <w:tabs>
        <w:tab w:val="right" w:pos="8400"/>
        <w:tab w:val="clear" w:pos="8306"/>
      </w:tabs>
      <w:ind w:right="360"/>
      <w:rPr>
        <w:color w:val="000000"/>
      </w:rPr>
    </w:pPr>
    <w:r>
      <mc:AlternateContent>
        <mc:Choice Requires="wps">
          <w:drawing>
            <wp:anchor distT="0" distB="0" distL="114300" distR="114300" simplePos="0" relativeHeight="251670528" behindDoc="0" locked="0" layoutInCell="1" allowOverlap="1">
              <wp:simplePos x="0" y="0"/>
              <wp:positionH relativeFrom="margin">
                <wp:posOffset>2709545</wp:posOffset>
              </wp:positionH>
              <wp:positionV relativeFrom="paragraph">
                <wp:posOffset>-9525</wp:posOffset>
              </wp:positionV>
              <wp:extent cx="57785" cy="152400"/>
              <wp:effectExtent l="0" t="0" r="0" b="0"/>
              <wp:wrapNone/>
              <wp:docPr id="7" name="文本框 6"/>
              <wp:cNvGraphicFramePr/>
              <a:graphic xmlns:a="http://schemas.openxmlformats.org/drawingml/2006/main">
                <a:graphicData uri="http://schemas.microsoft.com/office/word/2010/wordprocessingShape">
                  <wps:wsp>
                    <wps:cNvSpPr txBox="1"/>
                    <wps:spPr>
                      <a:xfrm>
                        <a:off x="0" y="0"/>
                        <a:ext cx="57785" cy="152400"/>
                      </a:xfrm>
                      <a:prstGeom prst="rect">
                        <a:avLst/>
                      </a:prstGeom>
                      <a:noFill/>
                      <a:ln>
                        <a:noFill/>
                      </a:ln>
                    </wps:spPr>
                    <wps:txbx>
                      <w:txbxContent>
                        <w:p>
                          <w:pPr>
                            <w:pStyle w:val="57"/>
                            <w:jc w:val="center"/>
                          </w:pPr>
                          <w:r>
                            <w:fldChar w:fldCharType="begin"/>
                          </w:r>
                          <w:r>
                            <w:instrText xml:space="preserve"> PAGE  \* MERGEFORMAT </w:instrText>
                          </w:r>
                          <w:r>
                            <w:fldChar w:fldCharType="separate"/>
                          </w:r>
                          <w:r>
                            <w:t>1</w:t>
                          </w:r>
                          <w:r>
                            <w:fldChar w:fldCharType="end"/>
                          </w:r>
                        </w:p>
                      </w:txbxContent>
                    </wps:txbx>
                    <wps:bodyPr wrap="none" lIns="0" tIns="0" rIns="0" bIns="0" upright="1">
                      <a:spAutoFit/>
                    </wps:bodyPr>
                  </wps:wsp>
                </a:graphicData>
              </a:graphic>
            </wp:anchor>
          </w:drawing>
        </mc:Choice>
        <mc:Fallback>
          <w:pict>
            <v:shape id="文本框 6" o:spid="_x0000_s1026" o:spt="202" type="#_x0000_t202" style="position:absolute;left:0pt;margin-left:213.35pt;margin-top:-0.75pt;height:12pt;width:4.55pt;mso-position-horizontal-relative:margin;mso-wrap-style:none;z-index:251670528;mso-width-relative:page;mso-height-relative:page;" filled="f" stroked="f" coordsize="21600,21600" o:gfxdata="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2yraUNcAAAAJAQAADwAAAAAAAAABACAAAAAiAAAAZHJzL2Rvd25yZXYueG1sUEsBAhQAFAAAAAgA&#10;h07iQI4kFBe0AQAASAMAAA4AAAAAAAAAAQAgAAAAJgEAAGRycy9lMm9Eb2MueG1sUEsFBgAAAAAG&#10;AAYAWQEAAEwFAAAAAA==&#10;">
              <v:fill on="f" focussize="0,0"/>
              <v:stroke on="f"/>
              <v:imagedata o:title=""/>
              <o:lock v:ext="edit" aspectratio="f"/>
              <v:textbox inset="0mm,0mm,0mm,0mm" style="mso-fit-shape-to-text:t;">
                <w:txbxContent>
                  <w:p>
                    <w:pPr>
                      <w:pStyle w:val="57"/>
                      <w:jc w:val="center"/>
                    </w:pPr>
                    <w:r>
                      <w:fldChar w:fldCharType="begin"/>
                    </w:r>
                    <w:r>
                      <w:instrText xml:space="preserve"> PAGE  \* MERGEFORMAT </w:instrText>
                    </w:r>
                    <w:r>
                      <w:fldChar w:fldCharType="separate"/>
                    </w:r>
                    <w:r>
                      <w:t>1</w:t>
                    </w:r>
                    <w:r>
                      <w:fldChar w:fldCharType="end"/>
                    </w:r>
                  </w:p>
                </w:txbxContent>
              </v:textbox>
            </v:shape>
          </w:pict>
        </mc:Fallback>
      </mc:AlternateContent>
    </w:r>
    <w: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9"/>
      <w:pBdr>
        <w:bottom w:val="none" w:color="auto" w:sz="0" w:space="0"/>
      </w:pBdr>
      <w:jc w:val="left"/>
    </w:pPr>
    <w:r>
      <w:drawing>
        <wp:inline distT="0" distB="0" distL="114300" distR="114300">
          <wp:extent cx="876300" cy="247650"/>
          <wp:effectExtent l="0" t="0" r="0" b="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
                  <a:stretch>
                    <a:fillRect/>
                  </a:stretch>
                </pic:blipFill>
                <pic:spPr>
                  <a:xfrm>
                    <a:off x="0" y="0"/>
                    <a:ext cx="876300" cy="24765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cs="Times New Roman"/>
      </w:rPr>
    </w:pPr>
    <w:r>
      <w:rPr>
        <w:rFonts w:cs="Times New Roman"/>
      </w:rPr>
      <w:drawing>
        <wp:inline distT="0" distB="0" distL="114300" distR="114300">
          <wp:extent cx="876300" cy="247650"/>
          <wp:effectExtent l="0" t="0" r="0" b="0"/>
          <wp:docPr id="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3"/>
                  <pic:cNvPicPr>
                    <a:picLocks noChangeAspect="1"/>
                  </pic:cNvPicPr>
                </pic:nvPicPr>
                <pic:blipFill>
                  <a:blip r:embed="rId1"/>
                  <a:stretch>
                    <a:fillRect/>
                  </a:stretch>
                </pic:blipFill>
                <pic:spPr>
                  <a:xfrm>
                    <a:off x="0" y="0"/>
                    <a:ext cx="876300" cy="24765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1"/>
      <w:rPr>
        <w:rFonts w:ascii="宋体" w:eastAsia="宋体" w:cs="Times New Roman"/>
      </w:rPr>
    </w:pPr>
    <w:r>
      <w:rPr>
        <w:rFonts w:cs="Times New Roman"/>
      </w:rPr>
      <w:drawing>
        <wp:inline distT="0" distB="0" distL="114300" distR="114300">
          <wp:extent cx="876300" cy="247650"/>
          <wp:effectExtent l="0" t="0" r="0" b="0"/>
          <wp:docPr id="10"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pic:cNvPicPr>
                    <a:picLocks noChangeAspect="1"/>
                  </pic:cNvPicPr>
                </pic:nvPicPr>
                <pic:blipFill>
                  <a:blip r:embed="rId1"/>
                  <a:stretch>
                    <a:fillRect/>
                  </a:stretch>
                </pic:blipFill>
                <pic:spPr>
                  <a:xfrm>
                    <a:off x="0" y="0"/>
                    <a:ext cx="876300" cy="247650"/>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eastAsia="宋体" w:cs="Times New Roman"/>
      </w:rPr>
    </w:pPr>
    <w:r>
      <w:rPr>
        <w:rFonts w:cs="Times New Roman"/>
      </w:rPr>
      <w:drawing>
        <wp:inline distT="0" distB="0" distL="114300" distR="114300">
          <wp:extent cx="876300" cy="247650"/>
          <wp:effectExtent l="0" t="0" r="0" b="0"/>
          <wp:docPr id="1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4"/>
                  <pic:cNvPicPr>
                    <a:picLocks noChangeAspect="1"/>
                  </pic:cNvPicPr>
                </pic:nvPicPr>
                <pic:blipFill>
                  <a:blip r:embed="rId1"/>
                  <a:stretch>
                    <a:fillRect/>
                  </a:stretch>
                </pic:blipFill>
                <pic:spPr>
                  <a:xfrm>
                    <a:off x="0" y="0"/>
                    <a:ext cx="876300" cy="247650"/>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right="420"/>
      <w:rPr>
        <w:rFonts w:ascii="宋体" w:eastAsia="宋体" w:cs="Times New Roman"/>
      </w:rPr>
    </w:pPr>
    <w:r>
      <w:rPr>
        <w:rFonts w:cs="Times New Roman"/>
      </w:rPr>
      <w:drawing>
        <wp:inline distT="0" distB="0" distL="114300" distR="114300">
          <wp:extent cx="876300" cy="247650"/>
          <wp:effectExtent l="0" t="0" r="0" b="0"/>
          <wp:docPr id="12"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5"/>
                  <pic:cNvPicPr>
                    <a:picLocks noChangeAspect="1"/>
                  </pic:cNvPicPr>
                </pic:nvPicPr>
                <pic:blipFill>
                  <a:blip r:embed="rId1"/>
                  <a:stretch>
                    <a:fillRect/>
                  </a:stretch>
                </pic:blipFill>
                <pic:spPr>
                  <a:xfrm>
                    <a:off x="0" y="0"/>
                    <a:ext cx="876300" cy="2476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410F89"/>
    <w:multiLevelType w:val="singleLevel"/>
    <w:tmpl w:val="8C410F89"/>
    <w:lvl w:ilvl="0" w:tentative="0">
      <w:start w:val="1"/>
      <w:numFmt w:val="decimal"/>
      <w:suff w:val="space"/>
      <w:lvlText w:val="(%1)"/>
      <w:lvlJc w:val="left"/>
    </w:lvl>
  </w:abstractNum>
  <w:abstractNum w:abstractNumId="1">
    <w:nsid w:val="0000000A"/>
    <w:multiLevelType w:val="multilevel"/>
    <w:tmpl w:val="0000000A"/>
    <w:lvl w:ilvl="0" w:tentative="0">
      <w:start w:val="1"/>
      <w:numFmt w:val="japaneseCounting"/>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0000001C"/>
    <w:multiLevelType w:val="multilevel"/>
    <w:tmpl w:val="0000001C"/>
    <w:lvl w:ilvl="0" w:tentative="0">
      <w:start w:val="5"/>
      <w:numFmt w:val="chineseCounting"/>
      <w:suff w:val="nothing"/>
      <w:lvlText w:val="%1、"/>
      <w:lvlJc w:val="left"/>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3406D0D"/>
    <w:multiLevelType w:val="multilevel"/>
    <w:tmpl w:val="03406D0D"/>
    <w:lvl w:ilvl="0" w:tentative="0">
      <w:start w:val="1"/>
      <w:numFmt w:val="decimal"/>
      <w:lvlText w:val="（%1）"/>
      <w:lvlJc w:val="left"/>
      <w:pPr>
        <w:tabs>
          <w:tab w:val="left" w:pos="1261"/>
        </w:tabs>
        <w:ind w:left="1261" w:hanging="420"/>
      </w:pPr>
      <w:rPr>
        <w:rFonts w:hint="eastAsia"/>
      </w:rPr>
    </w:lvl>
    <w:lvl w:ilvl="1" w:tentative="0">
      <w:start w:val="1"/>
      <w:numFmt w:val="decimal"/>
      <w:lvlText w:val="%2、"/>
      <w:lvlJc w:val="left"/>
      <w:pPr>
        <w:tabs>
          <w:tab w:val="left" w:pos="1981"/>
        </w:tabs>
        <w:ind w:left="1981" w:hanging="720"/>
      </w:pPr>
      <w:rPr>
        <w:rFonts w:hint="eastAsia"/>
        <w:b/>
        <w:bCs/>
        <w:i w:val="0"/>
        <w:iCs w:val="0"/>
      </w:rPr>
    </w:lvl>
    <w:lvl w:ilvl="2" w:tentative="0">
      <w:start w:val="1"/>
      <w:numFmt w:val="decimal"/>
      <w:lvlText w:val="(%3)"/>
      <w:lvlJc w:val="left"/>
      <w:pPr>
        <w:tabs>
          <w:tab w:val="left" w:pos="360"/>
        </w:tabs>
        <w:ind w:left="360" w:hanging="360"/>
      </w:pPr>
      <w:rPr>
        <w:rFonts w:hint="default"/>
      </w:rPr>
    </w:lvl>
    <w:lvl w:ilvl="3" w:tentative="0">
      <w:start w:val="1"/>
      <w:numFmt w:val="decimal"/>
      <w:lvlText w:val="%4."/>
      <w:lvlJc w:val="left"/>
      <w:pPr>
        <w:tabs>
          <w:tab w:val="left" w:pos="946"/>
        </w:tabs>
        <w:ind w:left="946" w:hanging="420"/>
      </w:pPr>
      <w:rPr>
        <w:rFonts w:hint="eastAsia"/>
      </w:rPr>
    </w:lvl>
    <w:lvl w:ilvl="4" w:tentative="0">
      <w:start w:val="1"/>
      <w:numFmt w:val="lowerLetter"/>
      <w:lvlText w:val="%5)"/>
      <w:lvlJc w:val="left"/>
      <w:pPr>
        <w:tabs>
          <w:tab w:val="left" w:pos="2941"/>
        </w:tabs>
        <w:ind w:left="2941" w:hanging="420"/>
      </w:pPr>
    </w:lvl>
    <w:lvl w:ilvl="5" w:tentative="0">
      <w:start w:val="1"/>
      <w:numFmt w:val="lowerRoman"/>
      <w:lvlText w:val="%6."/>
      <w:lvlJc w:val="right"/>
      <w:pPr>
        <w:tabs>
          <w:tab w:val="left" w:pos="3361"/>
        </w:tabs>
        <w:ind w:left="3361" w:hanging="420"/>
      </w:pPr>
    </w:lvl>
    <w:lvl w:ilvl="6" w:tentative="0">
      <w:start w:val="1"/>
      <w:numFmt w:val="decimal"/>
      <w:lvlText w:val="%7."/>
      <w:lvlJc w:val="left"/>
      <w:pPr>
        <w:tabs>
          <w:tab w:val="left" w:pos="3781"/>
        </w:tabs>
        <w:ind w:left="3781" w:hanging="420"/>
      </w:pPr>
    </w:lvl>
    <w:lvl w:ilvl="7" w:tentative="0">
      <w:start w:val="1"/>
      <w:numFmt w:val="lowerLetter"/>
      <w:lvlText w:val="%8)"/>
      <w:lvlJc w:val="left"/>
      <w:pPr>
        <w:tabs>
          <w:tab w:val="left" w:pos="4201"/>
        </w:tabs>
        <w:ind w:left="4201" w:hanging="420"/>
      </w:pPr>
    </w:lvl>
    <w:lvl w:ilvl="8" w:tentative="0">
      <w:start w:val="1"/>
      <w:numFmt w:val="lowerRoman"/>
      <w:lvlText w:val="%9."/>
      <w:lvlJc w:val="right"/>
      <w:pPr>
        <w:tabs>
          <w:tab w:val="left" w:pos="4621"/>
        </w:tabs>
        <w:ind w:left="4621" w:hanging="420"/>
      </w:pPr>
    </w:lvl>
  </w:abstractNum>
  <w:abstractNum w:abstractNumId="4">
    <w:nsid w:val="1D027DEC"/>
    <w:multiLevelType w:val="multilevel"/>
    <w:tmpl w:val="1D027DEC"/>
    <w:lvl w:ilvl="0" w:tentative="0">
      <w:start w:val="1"/>
      <w:numFmt w:val="chineseCountingThousand"/>
      <w:lvlText w:val="%1"/>
      <w:lvlJc w:val="left"/>
      <w:pPr>
        <w:tabs>
          <w:tab w:val="left" w:pos="420"/>
        </w:tabs>
        <w:ind w:left="420" w:hanging="420"/>
      </w:pPr>
      <w:rPr>
        <w:rFonts w:hint="eastAsia" w:ascii="黑体" w:hAnsi="宋体" w:eastAsia="黑体"/>
        <w:b/>
        <w:bCs/>
        <w:i w:val="0"/>
        <w:iCs w:val="0"/>
        <w:sz w:val="30"/>
        <w:szCs w:val="30"/>
      </w:rPr>
    </w:lvl>
    <w:lvl w:ilvl="1" w:tentative="0">
      <w:start w:val="1"/>
      <w:numFmt w:val="decimal"/>
      <w:lvlText w:val="附件1-%2"/>
      <w:lvlJc w:val="left"/>
      <w:pPr>
        <w:tabs>
          <w:tab w:val="left" w:pos="1260"/>
        </w:tabs>
        <w:ind w:left="1260" w:hanging="840"/>
      </w:pPr>
      <w:rPr>
        <w:rFonts w:hint="eastAsia" w:ascii="宋体" w:hAnsi="宋体" w:eastAsia="宋体"/>
        <w:b/>
        <w:bCs/>
        <w:i w:val="0"/>
        <w:iCs w:val="0"/>
        <w:sz w:val="28"/>
        <w:szCs w:val="28"/>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5">
    <w:nsid w:val="1FDA3539"/>
    <w:multiLevelType w:val="multilevel"/>
    <w:tmpl w:val="1FDA3539"/>
    <w:lvl w:ilvl="0" w:tentative="0">
      <w:start w:val="1"/>
      <w:numFmt w:val="decimal"/>
      <w:lvlText w:val="%1."/>
      <w:lvlJc w:val="left"/>
      <w:pPr>
        <w:tabs>
          <w:tab w:val="left" w:pos="0"/>
        </w:tabs>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6">
    <w:nsid w:val="393EFDE8"/>
    <w:multiLevelType w:val="singleLevel"/>
    <w:tmpl w:val="393EFDE8"/>
    <w:lvl w:ilvl="0" w:tentative="0">
      <w:start w:val="1"/>
      <w:numFmt w:val="decimal"/>
      <w:lvlText w:val="%1."/>
      <w:lvlJc w:val="left"/>
      <w:pPr>
        <w:tabs>
          <w:tab w:val="left" w:pos="312"/>
        </w:tabs>
      </w:pPr>
    </w:lvl>
  </w:abstractNum>
  <w:abstractNum w:abstractNumId="7">
    <w:nsid w:val="46C666F9"/>
    <w:multiLevelType w:val="multilevel"/>
    <w:tmpl w:val="46C666F9"/>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59031762"/>
    <w:multiLevelType w:val="multilevel"/>
    <w:tmpl w:val="59031762"/>
    <w:lvl w:ilvl="0" w:tentative="0">
      <w:start w:val="1"/>
      <w:numFmt w:val="decimal"/>
      <w:lvlText w:val="%1"/>
      <w:lvlJc w:val="left"/>
      <w:pPr>
        <w:tabs>
          <w:tab w:val="left" w:pos="425"/>
        </w:tabs>
        <w:ind w:left="425" w:hanging="425"/>
      </w:pPr>
      <w:rPr>
        <w:rFonts w:hint="eastAsia"/>
        <w:b/>
        <w:bCs/>
      </w:rPr>
    </w:lvl>
    <w:lvl w:ilvl="1" w:tentative="0">
      <w:start w:val="1"/>
      <w:numFmt w:val="decimal"/>
      <w:lvlText w:val="%1.%2."/>
      <w:lvlJc w:val="left"/>
      <w:pPr>
        <w:tabs>
          <w:tab w:val="left" w:pos="567"/>
        </w:tabs>
        <w:ind w:left="567" w:hanging="567"/>
      </w:pPr>
      <w:rPr>
        <w:rFonts w:hint="eastAsia"/>
        <w:b w:val="0"/>
        <w:bCs w:val="0"/>
        <w:dstrike w:val="0"/>
        <w:color w:val="auto"/>
        <w:sz w:val="21"/>
        <w:szCs w:val="21"/>
      </w:rPr>
    </w:lvl>
    <w:lvl w:ilvl="2" w:tentative="0">
      <w:start w:val="1"/>
      <w:numFmt w:val="decimal"/>
      <w:lvlText w:val="%1.%2.%3."/>
      <w:lvlJc w:val="left"/>
      <w:pPr>
        <w:tabs>
          <w:tab w:val="left" w:pos="709"/>
        </w:tabs>
        <w:ind w:left="709" w:hanging="709"/>
      </w:pPr>
      <w:rPr>
        <w:rFonts w:hint="eastAsia"/>
        <w:b w:val="0"/>
        <w:bCs w:val="0"/>
        <w:dstrike w:val="0"/>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abstractNum w:abstractNumId="9">
    <w:nsid w:val="763E7D68"/>
    <w:multiLevelType w:val="multilevel"/>
    <w:tmpl w:val="763E7D68"/>
    <w:lvl w:ilvl="0" w:tentative="0">
      <w:start w:val="1"/>
      <w:numFmt w:val="japaneseCounting"/>
      <w:lvlText w:val="%1、"/>
      <w:lvlJc w:val="left"/>
      <w:pPr>
        <w:ind w:left="600" w:hanging="600"/>
      </w:pPr>
      <w:rPr>
        <w:rFonts w:hint="default"/>
        <w:b/>
        <w:bCs/>
        <w:sz w:val="28"/>
        <w:szCs w:val="28"/>
      </w:rPr>
    </w:lvl>
    <w:lvl w:ilvl="1" w:tentative="0">
      <w:start w:val="1"/>
      <w:numFmt w:val="decimal"/>
      <w:lvlText w:val="%2、"/>
      <w:lvlJc w:val="left"/>
      <w:pPr>
        <w:tabs>
          <w:tab w:val="left" w:pos="1125"/>
        </w:tabs>
        <w:ind w:left="1125" w:hanging="705"/>
      </w:pPr>
      <w:rPr>
        <w:rFonts w:hint="default"/>
        <w:b/>
        <w:bCs/>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7DB56DF2"/>
    <w:multiLevelType w:val="multilevel"/>
    <w:tmpl w:val="7DB56DF2"/>
    <w:lvl w:ilvl="0" w:tentative="0">
      <w:start w:val="1"/>
      <w:numFmt w:val="decimal"/>
      <w:lvlText w:val="%1"/>
      <w:lvlJc w:val="left"/>
      <w:pPr>
        <w:tabs>
          <w:tab w:val="left" w:pos="425"/>
        </w:tabs>
        <w:ind w:left="425" w:hanging="425"/>
      </w:pPr>
      <w:rPr>
        <w:rFonts w:hint="eastAsia"/>
      </w:rPr>
    </w:lvl>
    <w:lvl w:ilvl="1" w:tentative="0">
      <w:start w:val="1"/>
      <w:numFmt w:val="decimal"/>
      <w:lvlText w:val="%1.%2."/>
      <w:lvlJc w:val="left"/>
      <w:pPr>
        <w:tabs>
          <w:tab w:val="left" w:pos="567"/>
        </w:tabs>
        <w:ind w:left="567" w:hanging="567"/>
      </w:pPr>
      <w:rPr>
        <w:rFonts w:hint="eastAsia" w:ascii="宋体" w:hAnsi="宋体" w:eastAsia="宋体"/>
        <w:b w:val="0"/>
        <w:bCs w:val="0"/>
        <w:dstrike w:val="0"/>
        <w:color w:val="auto"/>
      </w:rPr>
    </w:lvl>
    <w:lvl w:ilvl="2" w:tentative="0">
      <w:start w:val="1"/>
      <w:numFmt w:val="decimal"/>
      <w:lvlText w:val="%1.%2.%3."/>
      <w:lvlJc w:val="left"/>
      <w:pPr>
        <w:tabs>
          <w:tab w:val="left" w:pos="709"/>
        </w:tabs>
        <w:ind w:left="709" w:hanging="709"/>
      </w:pPr>
      <w:rPr>
        <w:rFonts w:hint="eastAsia" w:ascii="宋体" w:hAnsi="宋体" w:eastAsia="宋体"/>
        <w:sz w:val="21"/>
        <w:szCs w:val="21"/>
      </w:rPr>
    </w:lvl>
    <w:lvl w:ilvl="3" w:tentative="0">
      <w:start w:val="1"/>
      <w:numFmt w:val="decimal"/>
      <w:lvlText w:val="%1.%2.%3.%4."/>
      <w:lvlJc w:val="left"/>
      <w:pPr>
        <w:tabs>
          <w:tab w:val="left" w:pos="851"/>
        </w:tabs>
        <w:ind w:left="851" w:hanging="851"/>
      </w:pPr>
      <w:rPr>
        <w:rFonts w:hint="eastAsia"/>
        <w:dstrike w:val="0"/>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1"/>
    <w:lvlOverride w:ilvl="0">
      <w:startOverride w:val="1"/>
    </w:lvlOverride>
  </w:num>
  <w:num w:numId="2">
    <w:abstractNumId w:val="3"/>
  </w:num>
  <w:num w:numId="3">
    <w:abstractNumId w:val="9"/>
  </w:num>
  <w:num w:numId="4">
    <w:abstractNumId w:val="8"/>
  </w:num>
  <w:num w:numId="5">
    <w:abstractNumId w:val="7"/>
  </w:num>
  <w:num w:numId="6">
    <w:abstractNumId w:val="2"/>
  </w:num>
  <w:num w:numId="7">
    <w:abstractNumId w:val="10"/>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1"/>
  <w:bordersDoNotSurroundFooter w:val="1"/>
  <w:documentProtection w:enforcement="0"/>
  <w:defaultTabStop w:val="420"/>
  <w:doNotHyphenateCaps/>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61BB"/>
    <w:rsid w:val="000264B0"/>
    <w:rsid w:val="000573EA"/>
    <w:rsid w:val="000B145A"/>
    <w:rsid w:val="00126555"/>
    <w:rsid w:val="001310D3"/>
    <w:rsid w:val="001732B8"/>
    <w:rsid w:val="00181176"/>
    <w:rsid w:val="001C6023"/>
    <w:rsid w:val="001C62FA"/>
    <w:rsid w:val="001E2A9F"/>
    <w:rsid w:val="001E7E22"/>
    <w:rsid w:val="00222335"/>
    <w:rsid w:val="002255F7"/>
    <w:rsid w:val="002329A7"/>
    <w:rsid w:val="00305D26"/>
    <w:rsid w:val="00371122"/>
    <w:rsid w:val="004B2BE2"/>
    <w:rsid w:val="004D2CE9"/>
    <w:rsid w:val="004F686C"/>
    <w:rsid w:val="00510D40"/>
    <w:rsid w:val="00513BE8"/>
    <w:rsid w:val="005B0BC1"/>
    <w:rsid w:val="005C1A82"/>
    <w:rsid w:val="00613D71"/>
    <w:rsid w:val="0078130D"/>
    <w:rsid w:val="007B261F"/>
    <w:rsid w:val="00861297"/>
    <w:rsid w:val="008B47E6"/>
    <w:rsid w:val="009261BB"/>
    <w:rsid w:val="00A07662"/>
    <w:rsid w:val="00A22795"/>
    <w:rsid w:val="00A32E79"/>
    <w:rsid w:val="00B40CAF"/>
    <w:rsid w:val="00B474B8"/>
    <w:rsid w:val="00BA771F"/>
    <w:rsid w:val="00BB7D33"/>
    <w:rsid w:val="00C61B55"/>
    <w:rsid w:val="00C749EC"/>
    <w:rsid w:val="00CD37E3"/>
    <w:rsid w:val="00D01032"/>
    <w:rsid w:val="00D2130B"/>
    <w:rsid w:val="00E227DE"/>
    <w:rsid w:val="00E25D07"/>
    <w:rsid w:val="00E402B3"/>
    <w:rsid w:val="00E535A7"/>
    <w:rsid w:val="00EE2C12"/>
    <w:rsid w:val="00FB1DB6"/>
    <w:rsid w:val="00FC3A12"/>
    <w:rsid w:val="11660548"/>
    <w:rsid w:val="17AD2860"/>
    <w:rsid w:val="18842D53"/>
    <w:rsid w:val="2CC8159F"/>
    <w:rsid w:val="31BF01C3"/>
    <w:rsid w:val="35050CE2"/>
    <w:rsid w:val="46A36C1A"/>
    <w:rsid w:val="482E5532"/>
    <w:rsid w:val="526B3FAB"/>
    <w:rsid w:val="5F9350B7"/>
    <w:rsid w:val="6C8B0772"/>
    <w:rsid w:val="7936171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等线" w:hAnsi="等线" w:eastAsia="等线"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nhideWhenUsed="0" w:uiPriority="99" w:name="index 1"/>
    <w:lsdException w:unhideWhenUsed="0" w:uiPriority="99" w:name="index 2"/>
    <w:lsdException w:unhideWhenUsed="0" w:uiPriority="99" w:name="index 3"/>
    <w:lsdException w:unhideWhenUsed="0" w:uiPriority="99" w:name="index 4"/>
    <w:lsdException w:unhideWhenUsed="0" w:uiPriority="99" w:name="index 5"/>
    <w:lsdException w:unhideWhenUsed="0" w:uiPriority="99" w:name="index 6"/>
    <w:lsdException w:unhideWhenUsed="0" w:uiPriority="99" w:name="index 7"/>
    <w:lsdException w:unhideWhenUsed="0" w:uiPriority="99" w:name="index 8"/>
    <w:lsdException w:unhideWhenUsed="0" w:uiPriority="99" w:name="index 9"/>
    <w:lsdException w:unhideWhenUsed="0" w:uiPriority="99" w:name="toc 1"/>
    <w:lsdException w:unhideWhenUsed="0" w:uiPriority="99" w:name="toc 2"/>
    <w:lsdException w:unhideWhenUsed="0" w:uiPriority="99" w:name="toc 3"/>
    <w:lsdException w:unhideWhenUsed="0" w:uiPriority="99" w:name="toc 4"/>
    <w:lsdException w:unhideWhenUsed="0" w:uiPriority="99" w:name="toc 5"/>
    <w:lsdException w:unhideWhenUsed="0" w:uiPriority="99" w:name="toc 6"/>
    <w:lsdException w:qFormat="1" w:unhideWhenUsed="0" w:uiPriority="99" w:name="toc 7"/>
    <w:lsdException w:unhideWhenUsed="0" w:uiPriority="99" w:name="toc 8"/>
    <w:lsdException w:unhideWhenUsed="0" w:uiPriority="99" w:name="toc 9"/>
    <w:lsdException w:unhideWhenUsed="0" w:uiPriority="99" w:semiHidden="0" w:name="Normal Indent"/>
    <w:lsdException w:unhideWhenUsed="0" w:uiPriority="99" w:name="footnote text"/>
    <w:lsdException w:unhideWhenUsed="0" w:uiPriority="99" w:name="annotation text"/>
    <w:lsdException w:unhideWhenUsed="0" w:uiPriority="99" w:semiHidden="0" w:name="header"/>
    <w:lsdException w:qFormat="1" w:unhideWhenUsed="0" w:uiPriority="99" w:semiHidden="0" w:name="footer"/>
    <w:lsdException w:unhideWhenUsed="0" w:uiPriority="99" w:name="index heading"/>
    <w:lsdException w:qFormat="1" w:unhideWhenUsed="0" w:uiPriority="99" w:semiHidden="0" w:name="caption"/>
    <w:lsdException w:unhideWhenUsed="0" w:uiPriority="99" w:name="table of figures"/>
    <w:lsdException w:unhideWhenUsed="0" w:uiPriority="99" w:semiHidden="0" w:name="envelope address"/>
    <w:lsdException w:unhideWhenUsed="0" w:uiPriority="99" w:semiHidden="0" w:name="envelope return"/>
    <w:lsdException w:uiPriority="99" w:name="footnote reference" w:locked="1"/>
    <w:lsdException w:unhideWhenUsed="0" w:uiPriority="99" w:name="annotation reference"/>
    <w:lsdException w:uiPriority="99" w:name="line number" w:locked="1"/>
    <w:lsdException w:unhideWhenUsed="0" w:uiPriority="99" w:semiHidden="0" w:name="page number"/>
    <w:lsdException w:uiPriority="99" w:name="endnote reference" w:locked="1"/>
    <w:lsdException w:unhideWhenUsed="0" w:uiPriority="99" w:name="endnote text"/>
    <w:lsdException w:qFormat="1" w:unhideWhenUsed="0" w:uiPriority="99" w:name="table of authorities"/>
    <w:lsdException w:qFormat="1" w:unhideWhenUsed="0" w:uiPriority="99" w:name="macro"/>
    <w:lsdException w:unhideWhenUsed="0" w:uiPriority="99"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qFormat="1"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qFormat="1" w:unhideWhenUsed="0" w:uiPriority="99" w:semiHidden="0" w:name="List Bullet 4"/>
    <w:lsdException w:unhideWhenUsed="0" w:uiPriority="99" w:semiHidden="0" w:name="List Bullet 5"/>
    <w:lsdException w:qFormat="1"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99" w:semiHidden="0" w:name="Title"/>
    <w:lsdException w:unhideWhenUsed="0" w:uiPriority="99" w:semiHidden="0" w:name="Closing"/>
    <w:lsdException w:unhideWhenUsed="0" w:uiPriority="99" w:semiHidden="0" w:name="Signature"/>
    <w:lsdException w:uiPriority="1" w:name="Default Paragraph Font"/>
    <w:lsdException w:unhideWhenUsed="0" w:uiPriority="99" w:semiHidden="0" w:name="Body Text"/>
    <w:lsdException w:unhideWhenUsed="0" w:uiPriority="99" w:semiHidden="0" w:name="Body Text Indent"/>
    <w:lsdException w:qFormat="1" w:unhideWhenUsed="0" w:uiPriority="99" w:semiHidden="0" w:name="List Continue"/>
    <w:lsdException w:unhideWhenUsed="0" w:uiPriority="99" w:semiHidden="0" w:name="List Continue 2"/>
    <w:lsdException w:unhideWhenUsed="0" w:uiPriority="99" w:semiHidden="0" w:name="List Continue 3"/>
    <w:lsdException w:qFormat="1" w:unhideWhenUsed="0" w:uiPriority="99" w:semiHidden="0" w:name="List Continue 4"/>
    <w:lsdException w:unhideWhenUsed="0" w:uiPriority="99" w:semiHidden="0" w:name="List Continue 5"/>
    <w:lsdException w:unhideWhenUsed="0" w:uiPriority="99" w:semiHidden="0" w:name="Message Header"/>
    <w:lsdException w:qFormat="1" w:unhideWhenUsed="0" w:uiPriority="99"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qFormat="1"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unhideWhenUsed="0" w:uiPriority="99" w:semiHidden="0" w:name="Hyperlink"/>
    <w:lsdException w:uiPriority="99" w:name="FollowedHyperlink" w:locked="1"/>
    <w:lsdException w:qFormat="1" w:unhideWhenUsed="0" w:uiPriority="99" w:semiHidden="0" w:name="Strong"/>
    <w:lsdException w:qFormat="1" w:unhideWhenUsed="0" w:uiPriority="20" w:semiHidden="0" w:name="Emphasis" w:locked="1"/>
    <w:lsdException w:unhideWhenUsed="0" w:uiPriority="99" w:name="Document Map"/>
    <w:lsdException w:unhideWhenUsed="0" w:uiPriority="99" w:semiHidden="0" w:name="Plain Text"/>
    <w:lsdException w:qFormat="1" w:unhideWhenUsed="0" w:uiPriority="99" w:semiHidden="0" w:name="E-mail Signature"/>
    <w:lsdException w:unhideWhenUsed="0" w:uiPriority="99" w:semiHidden="0" w:name="Normal (Web)"/>
    <w:lsdException w:uiPriority="99" w:name="HTML Acronym" w:locked="1"/>
    <w:lsdException w:unhideWhenUsed="0" w:uiPriority="99" w:semiHidden="0" w:name="HTML Address"/>
    <w:lsdException w:uiPriority="99" w:name="HTML Cite" w:locked="1"/>
    <w:lsdException w:uiPriority="99" w:name="HTML Code" w:locked="1"/>
    <w:lsdException w:uiPriority="99" w:name="HTML Definition" w:locked="1"/>
    <w:lsdException w:uiPriority="99" w:name="HTML Keyboard" w:locked="1"/>
    <w:lsdException w:unhideWhenUsed="0" w:uiPriority="99" w:semiHidden="0" w:name="HTML Preformatted"/>
    <w:lsdException w:uiPriority="99" w:name="HTML Sample" w:locked="1"/>
    <w:lsdException w:uiPriority="99" w:name="HTML Typewriter" w:locked="1"/>
    <w:lsdException w:uiPriority="99" w:name="HTML Variable" w:locked="1"/>
    <w:lsdException w:qFormat="1" w:uiPriority="99" w:name="Normal Table"/>
    <w:lsdException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nhideWhenUsed="0" w:uiPriority="99" w:name="Balloon Text"/>
    <w:lsdException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等线" w:hAnsi="等线" w:eastAsia="等线" w:cs="等线"/>
      <w:kern w:val="2"/>
      <w:sz w:val="21"/>
      <w:szCs w:val="21"/>
      <w:lang w:val="en-US" w:eastAsia="zh-CN" w:bidi="ar-SA"/>
    </w:rPr>
  </w:style>
  <w:style w:type="paragraph" w:styleId="4">
    <w:name w:val="heading 1"/>
    <w:basedOn w:val="1"/>
    <w:next w:val="1"/>
    <w:link w:val="97"/>
    <w:qFormat/>
    <w:uiPriority w:val="99"/>
    <w:pPr>
      <w:keepNext/>
      <w:spacing w:line="360" w:lineRule="auto"/>
      <w:ind w:right="-441" w:rightChars="-210"/>
      <w:jc w:val="center"/>
      <w:outlineLvl w:val="0"/>
    </w:pPr>
    <w:rPr>
      <w:rFonts w:ascii="宋体" w:hAnsi="宋体" w:eastAsia="宋体" w:cs="宋体"/>
      <w:b/>
      <w:bCs/>
      <w:sz w:val="48"/>
      <w:szCs w:val="48"/>
    </w:rPr>
  </w:style>
  <w:style w:type="paragraph" w:styleId="5">
    <w:name w:val="heading 2"/>
    <w:basedOn w:val="1"/>
    <w:next w:val="1"/>
    <w:link w:val="98"/>
    <w:qFormat/>
    <w:uiPriority w:val="99"/>
    <w:pPr>
      <w:keepNext/>
      <w:keepLines/>
      <w:adjustRightInd w:val="0"/>
      <w:spacing w:beforeLines="20" w:afterLines="20" w:line="360" w:lineRule="auto"/>
      <w:textAlignment w:val="baseline"/>
      <w:outlineLvl w:val="1"/>
    </w:pPr>
    <w:rPr>
      <w:rFonts w:ascii="宋体" w:hAnsi="宋体" w:eastAsia="宋体" w:cs="宋体"/>
      <w:b/>
      <w:bCs/>
      <w:kern w:val="0"/>
      <w:sz w:val="30"/>
      <w:szCs w:val="30"/>
    </w:rPr>
  </w:style>
  <w:style w:type="paragraph" w:styleId="6">
    <w:name w:val="heading 3"/>
    <w:basedOn w:val="1"/>
    <w:next w:val="1"/>
    <w:link w:val="99"/>
    <w:qFormat/>
    <w:uiPriority w:val="99"/>
    <w:pPr>
      <w:keepNext/>
      <w:keepLines/>
      <w:adjustRightInd w:val="0"/>
      <w:spacing w:before="40" w:after="40" w:line="360" w:lineRule="auto"/>
      <w:textAlignment w:val="baseline"/>
      <w:outlineLvl w:val="2"/>
    </w:pPr>
    <w:rPr>
      <w:rFonts w:ascii="宋体" w:hAnsi="宋体" w:eastAsia="宋体" w:cs="宋体"/>
      <w:b/>
      <w:bCs/>
      <w:kern w:val="0"/>
      <w:sz w:val="28"/>
      <w:szCs w:val="28"/>
    </w:rPr>
  </w:style>
  <w:style w:type="paragraph" w:styleId="7">
    <w:name w:val="heading 4"/>
    <w:basedOn w:val="1"/>
    <w:next w:val="1"/>
    <w:link w:val="100"/>
    <w:qFormat/>
    <w:uiPriority w:val="99"/>
    <w:pPr>
      <w:keepNext/>
      <w:keepLines/>
      <w:spacing w:before="280" w:after="290" w:line="376" w:lineRule="auto"/>
      <w:outlineLvl w:val="3"/>
    </w:pPr>
    <w:rPr>
      <w:rFonts w:ascii="Arial" w:hAnsi="Arial" w:eastAsia="黑体" w:cs="Arial"/>
      <w:b/>
      <w:bCs/>
      <w:sz w:val="28"/>
      <w:szCs w:val="28"/>
    </w:rPr>
  </w:style>
  <w:style w:type="paragraph" w:styleId="8">
    <w:name w:val="heading 5"/>
    <w:basedOn w:val="1"/>
    <w:next w:val="1"/>
    <w:link w:val="101"/>
    <w:qFormat/>
    <w:uiPriority w:val="99"/>
    <w:pPr>
      <w:widowControl/>
      <w:tabs>
        <w:tab w:val="left" w:pos="709"/>
        <w:tab w:val="left" w:pos="1008"/>
      </w:tabs>
      <w:spacing w:before="240" w:afterLines="50"/>
      <w:ind w:left="1008" w:hanging="1008"/>
      <w:outlineLvl w:val="4"/>
    </w:pPr>
    <w:rPr>
      <w:rFonts w:ascii="Arial" w:hAnsi="Arial" w:eastAsia="宋体" w:cs="Arial"/>
      <w:kern w:val="0"/>
      <w:sz w:val="22"/>
      <w:szCs w:val="22"/>
    </w:rPr>
  </w:style>
  <w:style w:type="paragraph" w:styleId="9">
    <w:name w:val="heading 6"/>
    <w:basedOn w:val="1"/>
    <w:next w:val="1"/>
    <w:link w:val="102"/>
    <w:qFormat/>
    <w:uiPriority w:val="99"/>
    <w:pPr>
      <w:widowControl/>
      <w:tabs>
        <w:tab w:val="left" w:pos="709"/>
        <w:tab w:val="left" w:pos="1152"/>
      </w:tabs>
      <w:spacing w:before="240" w:afterLines="50"/>
      <w:ind w:left="1152" w:hanging="1152"/>
      <w:outlineLvl w:val="5"/>
    </w:pPr>
    <w:rPr>
      <w:rFonts w:ascii="Times New Roman" w:hAnsi="Arial" w:eastAsia="宋体" w:cs="Times New Roman"/>
      <w:i/>
      <w:iCs/>
      <w:kern w:val="0"/>
      <w:sz w:val="22"/>
      <w:szCs w:val="22"/>
    </w:rPr>
  </w:style>
  <w:style w:type="paragraph" w:styleId="10">
    <w:name w:val="heading 7"/>
    <w:basedOn w:val="1"/>
    <w:next w:val="1"/>
    <w:link w:val="103"/>
    <w:qFormat/>
    <w:uiPriority w:val="99"/>
    <w:pPr>
      <w:widowControl/>
      <w:tabs>
        <w:tab w:val="left" w:pos="709"/>
        <w:tab w:val="left" w:pos="1296"/>
      </w:tabs>
      <w:spacing w:before="240" w:afterLines="50"/>
      <w:ind w:left="1296" w:hanging="1296"/>
      <w:outlineLvl w:val="6"/>
    </w:pPr>
    <w:rPr>
      <w:rFonts w:ascii="Arial" w:hAnsi="Arial" w:eastAsia="宋体" w:cs="Arial"/>
      <w:kern w:val="0"/>
      <w:sz w:val="20"/>
      <w:szCs w:val="20"/>
    </w:rPr>
  </w:style>
  <w:style w:type="paragraph" w:styleId="11">
    <w:name w:val="heading 8"/>
    <w:basedOn w:val="1"/>
    <w:next w:val="1"/>
    <w:link w:val="104"/>
    <w:qFormat/>
    <w:uiPriority w:val="99"/>
    <w:pPr>
      <w:widowControl/>
      <w:tabs>
        <w:tab w:val="left" w:pos="709"/>
        <w:tab w:val="left" w:pos="1440"/>
      </w:tabs>
      <w:spacing w:before="240" w:afterLines="50"/>
      <w:ind w:left="1440" w:hanging="1440"/>
      <w:outlineLvl w:val="7"/>
    </w:pPr>
    <w:rPr>
      <w:rFonts w:ascii="Arial" w:hAnsi="Arial" w:eastAsia="宋体" w:cs="Arial"/>
      <w:i/>
      <w:iCs/>
      <w:kern w:val="0"/>
      <w:sz w:val="20"/>
      <w:szCs w:val="20"/>
    </w:rPr>
  </w:style>
  <w:style w:type="paragraph" w:styleId="12">
    <w:name w:val="heading 9"/>
    <w:basedOn w:val="1"/>
    <w:next w:val="1"/>
    <w:link w:val="105"/>
    <w:qFormat/>
    <w:uiPriority w:val="99"/>
    <w:pPr>
      <w:widowControl/>
      <w:tabs>
        <w:tab w:val="left" w:pos="709"/>
        <w:tab w:val="left" w:pos="1584"/>
      </w:tabs>
      <w:spacing w:before="240" w:afterLines="50"/>
      <w:ind w:left="1584" w:hanging="1584"/>
      <w:outlineLvl w:val="8"/>
    </w:pPr>
    <w:rPr>
      <w:rFonts w:ascii="Arial" w:hAnsi="Arial" w:eastAsia="宋体" w:cs="Arial"/>
      <w:b/>
      <w:bCs/>
      <w:i/>
      <w:iCs/>
      <w:kern w:val="0"/>
      <w:sz w:val="18"/>
      <w:szCs w:val="18"/>
    </w:rPr>
  </w:style>
  <w:style w:type="character" w:default="1" w:styleId="92">
    <w:name w:val="Default Paragraph Font"/>
    <w:semiHidden/>
    <w:unhideWhenUsed/>
    <w:uiPriority w:val="1"/>
  </w:style>
  <w:style w:type="table" w:default="1" w:styleId="90">
    <w:name w:val="Normal Table"/>
    <w:semiHidden/>
    <w:unhideWhenUsed/>
    <w:qFormat/>
    <w:uiPriority w:val="99"/>
    <w:tblPr>
      <w:tblLayout w:type="fixed"/>
      <w:tblCellMar>
        <w:top w:w="0" w:type="dxa"/>
        <w:left w:w="108" w:type="dxa"/>
        <w:bottom w:w="0" w:type="dxa"/>
        <w:right w:w="108" w:type="dxa"/>
      </w:tblCellMar>
    </w:tblPr>
  </w:style>
  <w:style w:type="paragraph" w:customStyle="1" w:styleId="2">
    <w:name w:val="样式 宋体 小四 行距: 1.5 倍行距"/>
    <w:basedOn w:val="1"/>
    <w:qFormat/>
    <w:uiPriority w:val="99"/>
    <w:rPr>
      <w:rFonts w:ascii="宋体" w:hAnsi="宋体" w:eastAsia="宋体" w:cs="宋体"/>
      <w:sz w:val="28"/>
      <w:szCs w:val="28"/>
    </w:rPr>
  </w:style>
  <w:style w:type="paragraph" w:styleId="3">
    <w:name w:val="macro"/>
    <w:link w:val="106"/>
    <w:semiHidden/>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宋体" w:cs="Courier New"/>
      <w:kern w:val="2"/>
      <w:sz w:val="24"/>
      <w:szCs w:val="24"/>
      <w:lang w:val="en-US" w:eastAsia="zh-CN" w:bidi="ar-SA"/>
    </w:rPr>
  </w:style>
  <w:style w:type="paragraph" w:styleId="13">
    <w:name w:val="List 3"/>
    <w:basedOn w:val="1"/>
    <w:qFormat/>
    <w:uiPriority w:val="99"/>
    <w:pPr>
      <w:ind w:left="100" w:leftChars="400" w:hanging="200" w:hangingChars="200"/>
    </w:pPr>
    <w:rPr>
      <w:rFonts w:ascii="Times New Roman" w:hAnsi="Times New Roman" w:eastAsia="宋体" w:cs="Times New Roman"/>
    </w:rPr>
  </w:style>
  <w:style w:type="paragraph" w:styleId="14">
    <w:name w:val="toc 7"/>
    <w:basedOn w:val="1"/>
    <w:next w:val="1"/>
    <w:semiHidden/>
    <w:qFormat/>
    <w:uiPriority w:val="99"/>
    <w:pPr>
      <w:ind w:left="1260"/>
      <w:jc w:val="left"/>
    </w:pPr>
    <w:rPr>
      <w:rFonts w:ascii="Times New Roman" w:hAnsi="Times New Roman" w:eastAsia="宋体" w:cs="Times New Roman"/>
      <w:sz w:val="18"/>
      <w:szCs w:val="18"/>
    </w:rPr>
  </w:style>
  <w:style w:type="paragraph" w:styleId="15">
    <w:name w:val="List Number 2"/>
    <w:basedOn w:val="1"/>
    <w:qFormat/>
    <w:uiPriority w:val="99"/>
    <w:pPr>
      <w:tabs>
        <w:tab w:val="left" w:pos="780"/>
      </w:tabs>
      <w:ind w:left="780" w:hanging="360"/>
    </w:pPr>
    <w:rPr>
      <w:rFonts w:ascii="Times New Roman" w:hAnsi="Times New Roman" w:eastAsia="宋体" w:cs="Times New Roman"/>
    </w:rPr>
  </w:style>
  <w:style w:type="paragraph" w:styleId="16">
    <w:name w:val="table of authorities"/>
    <w:basedOn w:val="1"/>
    <w:next w:val="1"/>
    <w:semiHidden/>
    <w:qFormat/>
    <w:uiPriority w:val="99"/>
    <w:pPr>
      <w:ind w:left="420" w:leftChars="200"/>
    </w:pPr>
    <w:rPr>
      <w:rFonts w:ascii="Times New Roman" w:hAnsi="Times New Roman" w:eastAsia="宋体" w:cs="Times New Roman"/>
    </w:rPr>
  </w:style>
  <w:style w:type="paragraph" w:styleId="17">
    <w:name w:val="Note Heading"/>
    <w:basedOn w:val="1"/>
    <w:next w:val="1"/>
    <w:link w:val="107"/>
    <w:qFormat/>
    <w:uiPriority w:val="99"/>
    <w:pPr>
      <w:jc w:val="center"/>
    </w:pPr>
    <w:rPr>
      <w:rFonts w:ascii="Times New Roman" w:hAnsi="Times New Roman" w:eastAsia="宋体" w:cs="Times New Roman"/>
    </w:rPr>
  </w:style>
  <w:style w:type="paragraph" w:styleId="18">
    <w:name w:val="List Bullet 4"/>
    <w:basedOn w:val="1"/>
    <w:qFormat/>
    <w:uiPriority w:val="99"/>
    <w:pPr>
      <w:tabs>
        <w:tab w:val="left" w:pos="1620"/>
      </w:tabs>
      <w:ind w:left="1620" w:hanging="360"/>
    </w:pPr>
    <w:rPr>
      <w:rFonts w:ascii="Times New Roman" w:hAnsi="Times New Roman" w:eastAsia="宋体" w:cs="Times New Roman"/>
    </w:rPr>
  </w:style>
  <w:style w:type="paragraph" w:styleId="19">
    <w:name w:val="index 8"/>
    <w:basedOn w:val="1"/>
    <w:next w:val="1"/>
    <w:semiHidden/>
    <w:uiPriority w:val="99"/>
    <w:pPr>
      <w:ind w:left="1400" w:leftChars="1400"/>
    </w:pPr>
    <w:rPr>
      <w:rFonts w:ascii="Times New Roman" w:hAnsi="Times New Roman" w:eastAsia="宋体" w:cs="Times New Roman"/>
    </w:rPr>
  </w:style>
  <w:style w:type="paragraph" w:styleId="20">
    <w:name w:val="E-mail Signature"/>
    <w:basedOn w:val="1"/>
    <w:link w:val="108"/>
    <w:qFormat/>
    <w:uiPriority w:val="99"/>
    <w:rPr>
      <w:rFonts w:ascii="Times New Roman" w:hAnsi="Times New Roman" w:eastAsia="宋体" w:cs="Times New Roman"/>
    </w:rPr>
  </w:style>
  <w:style w:type="paragraph" w:styleId="21">
    <w:name w:val="List Number"/>
    <w:basedOn w:val="1"/>
    <w:uiPriority w:val="99"/>
    <w:pPr>
      <w:tabs>
        <w:tab w:val="left" w:pos="360"/>
      </w:tabs>
      <w:ind w:left="360" w:hanging="360"/>
    </w:pPr>
    <w:rPr>
      <w:rFonts w:ascii="Times New Roman" w:hAnsi="Times New Roman" w:eastAsia="宋体" w:cs="Times New Roman"/>
    </w:rPr>
  </w:style>
  <w:style w:type="paragraph" w:styleId="22">
    <w:name w:val="Normal Indent"/>
    <w:basedOn w:val="1"/>
    <w:link w:val="142"/>
    <w:uiPriority w:val="99"/>
    <w:pPr>
      <w:widowControl/>
      <w:ind w:firstLine="420"/>
      <w:jc w:val="left"/>
    </w:pPr>
  </w:style>
  <w:style w:type="paragraph" w:styleId="23">
    <w:name w:val="caption"/>
    <w:basedOn w:val="1"/>
    <w:next w:val="1"/>
    <w:qFormat/>
    <w:uiPriority w:val="99"/>
    <w:rPr>
      <w:rFonts w:ascii="Arial" w:hAnsi="Arial" w:eastAsia="黑体" w:cs="Arial"/>
      <w:sz w:val="20"/>
      <w:szCs w:val="20"/>
    </w:rPr>
  </w:style>
  <w:style w:type="paragraph" w:styleId="24">
    <w:name w:val="index 5"/>
    <w:basedOn w:val="1"/>
    <w:next w:val="1"/>
    <w:semiHidden/>
    <w:uiPriority w:val="99"/>
    <w:pPr>
      <w:ind w:left="800" w:leftChars="800"/>
    </w:pPr>
    <w:rPr>
      <w:rFonts w:ascii="Times New Roman" w:hAnsi="Times New Roman" w:eastAsia="宋体" w:cs="Times New Roman"/>
    </w:rPr>
  </w:style>
  <w:style w:type="paragraph" w:styleId="25">
    <w:name w:val="List Bullet"/>
    <w:basedOn w:val="1"/>
    <w:uiPriority w:val="99"/>
    <w:pPr>
      <w:tabs>
        <w:tab w:val="left" w:pos="358"/>
        <w:tab w:val="left" w:pos="1261"/>
      </w:tabs>
      <w:autoSpaceDE w:val="0"/>
      <w:autoSpaceDN w:val="0"/>
      <w:adjustRightInd w:val="0"/>
      <w:snapToGrid w:val="0"/>
      <w:spacing w:line="360" w:lineRule="auto"/>
      <w:ind w:left="480" w:hanging="480" w:hangingChars="200"/>
      <w:textAlignment w:val="baseline"/>
    </w:pPr>
    <w:rPr>
      <w:rFonts w:ascii="宋体" w:hAnsi="Tms Rmn" w:eastAsia="宋体" w:cs="宋体"/>
      <w:color w:val="000000"/>
      <w:kern w:val="24"/>
      <w:sz w:val="24"/>
      <w:szCs w:val="24"/>
    </w:rPr>
  </w:style>
  <w:style w:type="paragraph" w:styleId="26">
    <w:name w:val="envelope address"/>
    <w:basedOn w:val="1"/>
    <w:uiPriority w:val="99"/>
    <w:pPr>
      <w:framePr w:w="7920" w:h="1980" w:hRule="exact" w:hSpace="180" w:wrap="around" w:vAnchor="margin" w:hAnchor="page" w:xAlign="center" w:yAlign="bottom"/>
      <w:snapToGrid w:val="0"/>
      <w:ind w:left="100" w:leftChars="1400"/>
    </w:pPr>
    <w:rPr>
      <w:rFonts w:ascii="Arial" w:hAnsi="Arial" w:eastAsia="宋体" w:cs="Arial"/>
      <w:sz w:val="24"/>
      <w:szCs w:val="24"/>
    </w:rPr>
  </w:style>
  <w:style w:type="paragraph" w:styleId="27">
    <w:name w:val="Document Map"/>
    <w:basedOn w:val="1"/>
    <w:link w:val="109"/>
    <w:semiHidden/>
    <w:uiPriority w:val="99"/>
    <w:pPr>
      <w:shd w:val="clear" w:color="auto" w:fill="000080"/>
    </w:pPr>
    <w:rPr>
      <w:rFonts w:ascii="Times New Roman" w:hAnsi="Times New Roman" w:eastAsia="宋体" w:cs="Times New Roman"/>
      <w:kern w:val="0"/>
      <w:sz w:val="20"/>
      <w:szCs w:val="20"/>
      <w:shd w:val="clear" w:color="auto" w:fill="000080"/>
    </w:rPr>
  </w:style>
  <w:style w:type="paragraph" w:styleId="28">
    <w:name w:val="toa heading"/>
    <w:basedOn w:val="1"/>
    <w:next w:val="1"/>
    <w:semiHidden/>
    <w:uiPriority w:val="99"/>
    <w:pPr>
      <w:spacing w:before="120"/>
    </w:pPr>
    <w:rPr>
      <w:rFonts w:ascii="Arial" w:hAnsi="Arial" w:eastAsia="宋体" w:cs="Arial"/>
      <w:sz w:val="24"/>
      <w:szCs w:val="24"/>
    </w:rPr>
  </w:style>
  <w:style w:type="paragraph" w:styleId="29">
    <w:name w:val="annotation text"/>
    <w:basedOn w:val="1"/>
    <w:link w:val="110"/>
    <w:semiHidden/>
    <w:uiPriority w:val="99"/>
    <w:pPr>
      <w:jc w:val="left"/>
    </w:pPr>
    <w:rPr>
      <w:rFonts w:ascii="Times New Roman" w:hAnsi="Times New Roman" w:eastAsia="宋体" w:cs="Times New Roman"/>
      <w:kern w:val="0"/>
      <w:sz w:val="20"/>
      <w:szCs w:val="20"/>
    </w:rPr>
  </w:style>
  <w:style w:type="paragraph" w:styleId="30">
    <w:name w:val="index 6"/>
    <w:basedOn w:val="1"/>
    <w:next w:val="1"/>
    <w:semiHidden/>
    <w:uiPriority w:val="99"/>
    <w:pPr>
      <w:ind w:left="1000" w:leftChars="1000"/>
    </w:pPr>
    <w:rPr>
      <w:rFonts w:ascii="Times New Roman" w:hAnsi="Times New Roman" w:eastAsia="宋体" w:cs="Times New Roman"/>
    </w:rPr>
  </w:style>
  <w:style w:type="paragraph" w:styleId="31">
    <w:name w:val="Salutation"/>
    <w:basedOn w:val="1"/>
    <w:next w:val="1"/>
    <w:link w:val="111"/>
    <w:uiPriority w:val="99"/>
    <w:rPr>
      <w:rFonts w:ascii="Times New Roman" w:hAnsi="Times New Roman" w:eastAsia="宋体" w:cs="Times New Roman"/>
    </w:rPr>
  </w:style>
  <w:style w:type="paragraph" w:styleId="32">
    <w:name w:val="Body Text 3"/>
    <w:basedOn w:val="1"/>
    <w:link w:val="112"/>
    <w:uiPriority w:val="99"/>
    <w:pPr>
      <w:widowControl/>
      <w:jc w:val="left"/>
    </w:pPr>
    <w:rPr>
      <w:rFonts w:ascii="Times New Roman" w:hAnsi="Times New Roman" w:eastAsia="宋体" w:cs="Times New Roman"/>
      <w:kern w:val="0"/>
      <w:sz w:val="24"/>
      <w:szCs w:val="24"/>
    </w:rPr>
  </w:style>
  <w:style w:type="paragraph" w:styleId="33">
    <w:name w:val="Closing"/>
    <w:basedOn w:val="1"/>
    <w:link w:val="113"/>
    <w:uiPriority w:val="99"/>
    <w:pPr>
      <w:ind w:left="100" w:leftChars="2100"/>
    </w:pPr>
    <w:rPr>
      <w:rFonts w:ascii="Times New Roman" w:hAnsi="Times New Roman" w:eastAsia="宋体" w:cs="Times New Roman"/>
    </w:rPr>
  </w:style>
  <w:style w:type="paragraph" w:styleId="34">
    <w:name w:val="List Bullet 3"/>
    <w:basedOn w:val="1"/>
    <w:uiPriority w:val="99"/>
    <w:pPr>
      <w:tabs>
        <w:tab w:val="left" w:pos="905"/>
      </w:tabs>
      <w:ind w:left="905" w:hanging="425"/>
    </w:pPr>
    <w:rPr>
      <w:rFonts w:ascii="Times New Roman" w:hAnsi="Times New Roman" w:eastAsia="宋体" w:cs="Times New Roman"/>
      <w:sz w:val="24"/>
      <w:szCs w:val="24"/>
    </w:rPr>
  </w:style>
  <w:style w:type="paragraph" w:styleId="35">
    <w:name w:val="Body Text"/>
    <w:basedOn w:val="1"/>
    <w:link w:val="114"/>
    <w:uiPriority w:val="99"/>
    <w:pPr>
      <w:spacing w:after="120"/>
    </w:pPr>
    <w:rPr>
      <w:rFonts w:ascii="Times New Roman" w:hAnsi="Times New Roman" w:eastAsia="宋体" w:cs="Times New Roman"/>
      <w:kern w:val="0"/>
      <w:sz w:val="20"/>
      <w:szCs w:val="20"/>
    </w:rPr>
  </w:style>
  <w:style w:type="paragraph" w:styleId="36">
    <w:name w:val="Body Text Indent"/>
    <w:basedOn w:val="1"/>
    <w:link w:val="115"/>
    <w:uiPriority w:val="99"/>
    <w:pPr>
      <w:ind w:firstLine="360"/>
    </w:pPr>
    <w:rPr>
      <w:rFonts w:ascii="Arial" w:hAnsi="Arial" w:eastAsia="宋体" w:cs="Arial"/>
      <w:kern w:val="0"/>
      <w:sz w:val="20"/>
      <w:szCs w:val="20"/>
    </w:rPr>
  </w:style>
  <w:style w:type="paragraph" w:styleId="37">
    <w:name w:val="List Number 3"/>
    <w:basedOn w:val="1"/>
    <w:uiPriority w:val="99"/>
    <w:pPr>
      <w:tabs>
        <w:tab w:val="left" w:pos="1200"/>
      </w:tabs>
      <w:ind w:left="1200" w:hanging="360"/>
    </w:pPr>
    <w:rPr>
      <w:rFonts w:ascii="Times New Roman" w:hAnsi="Times New Roman" w:eastAsia="宋体" w:cs="Times New Roman"/>
    </w:rPr>
  </w:style>
  <w:style w:type="paragraph" w:styleId="38">
    <w:name w:val="List 2"/>
    <w:basedOn w:val="1"/>
    <w:uiPriority w:val="99"/>
    <w:pPr>
      <w:ind w:left="100" w:leftChars="200" w:hanging="200" w:hangingChars="200"/>
    </w:pPr>
    <w:rPr>
      <w:rFonts w:ascii="Times New Roman" w:hAnsi="Times New Roman" w:eastAsia="宋体" w:cs="Times New Roman"/>
    </w:rPr>
  </w:style>
  <w:style w:type="paragraph" w:styleId="39">
    <w:name w:val="List Continue"/>
    <w:basedOn w:val="1"/>
    <w:qFormat/>
    <w:uiPriority w:val="99"/>
    <w:pPr>
      <w:spacing w:after="120"/>
      <w:ind w:left="420" w:leftChars="200"/>
    </w:pPr>
    <w:rPr>
      <w:rFonts w:ascii="Times New Roman" w:hAnsi="Times New Roman" w:eastAsia="宋体" w:cs="Times New Roman"/>
    </w:rPr>
  </w:style>
  <w:style w:type="paragraph" w:styleId="40">
    <w:name w:val="Block Text"/>
    <w:basedOn w:val="1"/>
    <w:uiPriority w:val="99"/>
    <w:pPr>
      <w:spacing w:after="120"/>
      <w:ind w:left="1440" w:leftChars="700" w:right="1440" w:rightChars="700"/>
    </w:pPr>
    <w:rPr>
      <w:rFonts w:ascii="Times New Roman" w:hAnsi="Times New Roman" w:eastAsia="宋体" w:cs="Times New Roman"/>
    </w:rPr>
  </w:style>
  <w:style w:type="paragraph" w:styleId="41">
    <w:name w:val="List Bullet 2"/>
    <w:basedOn w:val="1"/>
    <w:uiPriority w:val="99"/>
    <w:pPr>
      <w:tabs>
        <w:tab w:val="left" w:pos="780"/>
      </w:tabs>
      <w:ind w:left="780" w:hanging="360"/>
    </w:pPr>
    <w:rPr>
      <w:rFonts w:ascii="Times New Roman" w:hAnsi="Times New Roman" w:eastAsia="宋体" w:cs="Times New Roman"/>
    </w:rPr>
  </w:style>
  <w:style w:type="paragraph" w:styleId="42">
    <w:name w:val="HTML Address"/>
    <w:basedOn w:val="1"/>
    <w:link w:val="116"/>
    <w:uiPriority w:val="99"/>
    <w:rPr>
      <w:rFonts w:ascii="Times New Roman" w:hAnsi="Times New Roman" w:eastAsia="宋体" w:cs="Times New Roman"/>
      <w:i/>
      <w:iCs/>
    </w:rPr>
  </w:style>
  <w:style w:type="paragraph" w:styleId="43">
    <w:name w:val="index 4"/>
    <w:basedOn w:val="1"/>
    <w:next w:val="1"/>
    <w:semiHidden/>
    <w:uiPriority w:val="99"/>
    <w:pPr>
      <w:ind w:left="600" w:leftChars="600"/>
    </w:pPr>
    <w:rPr>
      <w:rFonts w:ascii="Times New Roman" w:hAnsi="Times New Roman" w:eastAsia="宋体" w:cs="Times New Roman"/>
    </w:rPr>
  </w:style>
  <w:style w:type="paragraph" w:styleId="44">
    <w:name w:val="toc 5"/>
    <w:basedOn w:val="1"/>
    <w:next w:val="1"/>
    <w:semiHidden/>
    <w:uiPriority w:val="99"/>
    <w:pPr>
      <w:ind w:left="840"/>
      <w:jc w:val="left"/>
    </w:pPr>
    <w:rPr>
      <w:rFonts w:ascii="Times New Roman" w:hAnsi="Times New Roman" w:eastAsia="宋体" w:cs="Times New Roman"/>
      <w:sz w:val="18"/>
      <w:szCs w:val="18"/>
    </w:rPr>
  </w:style>
  <w:style w:type="paragraph" w:styleId="45">
    <w:name w:val="toc 3"/>
    <w:basedOn w:val="1"/>
    <w:next w:val="1"/>
    <w:semiHidden/>
    <w:uiPriority w:val="99"/>
    <w:pPr>
      <w:ind w:left="420"/>
      <w:jc w:val="left"/>
    </w:pPr>
    <w:rPr>
      <w:rFonts w:ascii="Times New Roman" w:hAnsi="Times New Roman" w:eastAsia="宋体" w:cs="Times New Roman"/>
      <w:i/>
      <w:iCs/>
      <w:sz w:val="20"/>
      <w:szCs w:val="20"/>
    </w:rPr>
  </w:style>
  <w:style w:type="paragraph" w:styleId="46">
    <w:name w:val="Plain Text"/>
    <w:basedOn w:val="1"/>
    <w:next w:val="47"/>
    <w:link w:val="117"/>
    <w:uiPriority w:val="99"/>
    <w:rPr>
      <w:rFonts w:ascii="宋体" w:hAnsi="Courier New" w:eastAsia="宋体" w:cs="宋体"/>
      <w:kern w:val="0"/>
      <w:sz w:val="20"/>
      <w:szCs w:val="20"/>
    </w:rPr>
  </w:style>
  <w:style w:type="paragraph" w:customStyle="1" w:styleId="47">
    <w:name w:val="Default"/>
    <w:uiPriority w:val="99"/>
    <w:pPr>
      <w:widowControl w:val="0"/>
      <w:autoSpaceDE w:val="0"/>
      <w:autoSpaceDN w:val="0"/>
      <w:adjustRightInd w:val="0"/>
    </w:pPr>
    <w:rPr>
      <w:rFonts w:ascii="宋体" w:hAnsi="Calibri" w:eastAsia="宋体" w:cs="宋体"/>
      <w:color w:val="000000"/>
      <w:kern w:val="0"/>
      <w:sz w:val="24"/>
      <w:szCs w:val="24"/>
      <w:lang w:val="en-US" w:eastAsia="zh-CN" w:bidi="ar-SA"/>
    </w:rPr>
  </w:style>
  <w:style w:type="paragraph" w:styleId="48">
    <w:name w:val="List Bullet 5"/>
    <w:basedOn w:val="1"/>
    <w:uiPriority w:val="99"/>
    <w:pPr>
      <w:tabs>
        <w:tab w:val="left" w:pos="2040"/>
      </w:tabs>
      <w:ind w:left="2040" w:hanging="360"/>
    </w:pPr>
    <w:rPr>
      <w:rFonts w:ascii="Times New Roman" w:hAnsi="Times New Roman" w:eastAsia="宋体" w:cs="Times New Roman"/>
    </w:rPr>
  </w:style>
  <w:style w:type="paragraph" w:styleId="49">
    <w:name w:val="List Number 4"/>
    <w:basedOn w:val="1"/>
    <w:uiPriority w:val="99"/>
    <w:pPr>
      <w:tabs>
        <w:tab w:val="left" w:pos="1620"/>
      </w:tabs>
      <w:ind w:left="1620" w:hanging="360"/>
    </w:pPr>
    <w:rPr>
      <w:rFonts w:ascii="Times New Roman" w:hAnsi="Times New Roman" w:eastAsia="宋体" w:cs="Times New Roman"/>
    </w:rPr>
  </w:style>
  <w:style w:type="paragraph" w:styleId="50">
    <w:name w:val="toc 8"/>
    <w:basedOn w:val="1"/>
    <w:next w:val="1"/>
    <w:semiHidden/>
    <w:uiPriority w:val="99"/>
    <w:pPr>
      <w:ind w:left="1470"/>
      <w:jc w:val="left"/>
    </w:pPr>
    <w:rPr>
      <w:rFonts w:ascii="Times New Roman" w:hAnsi="Times New Roman" w:eastAsia="宋体" w:cs="Times New Roman"/>
      <w:sz w:val="18"/>
      <w:szCs w:val="18"/>
    </w:rPr>
  </w:style>
  <w:style w:type="paragraph" w:styleId="51">
    <w:name w:val="index 3"/>
    <w:basedOn w:val="1"/>
    <w:next w:val="1"/>
    <w:semiHidden/>
    <w:uiPriority w:val="99"/>
    <w:pPr>
      <w:ind w:left="400" w:leftChars="400"/>
    </w:pPr>
    <w:rPr>
      <w:rFonts w:ascii="Times New Roman" w:hAnsi="Times New Roman" w:eastAsia="宋体" w:cs="Times New Roman"/>
    </w:rPr>
  </w:style>
  <w:style w:type="paragraph" w:styleId="52">
    <w:name w:val="Date"/>
    <w:basedOn w:val="1"/>
    <w:next w:val="1"/>
    <w:link w:val="118"/>
    <w:uiPriority w:val="99"/>
    <w:pPr>
      <w:autoSpaceDE w:val="0"/>
      <w:autoSpaceDN w:val="0"/>
      <w:adjustRightInd w:val="0"/>
      <w:spacing w:line="312" w:lineRule="atLeast"/>
      <w:textAlignment w:val="baseline"/>
    </w:pPr>
    <w:rPr>
      <w:rFonts w:ascii="Times New Roman" w:hAnsi="Times New Roman" w:eastAsia="宋体" w:cs="Times New Roman"/>
      <w:kern w:val="0"/>
      <w:sz w:val="32"/>
      <w:szCs w:val="32"/>
    </w:rPr>
  </w:style>
  <w:style w:type="paragraph" w:styleId="53">
    <w:name w:val="Body Text Indent 2"/>
    <w:basedOn w:val="1"/>
    <w:link w:val="119"/>
    <w:uiPriority w:val="99"/>
    <w:pPr>
      <w:spacing w:line="360" w:lineRule="auto"/>
      <w:ind w:left="718" w:leftChars="342"/>
    </w:pPr>
    <w:rPr>
      <w:rFonts w:ascii="宋体" w:hAnsi="宋体" w:eastAsia="宋体" w:cs="宋体"/>
      <w:sz w:val="24"/>
      <w:szCs w:val="24"/>
    </w:rPr>
  </w:style>
  <w:style w:type="paragraph" w:styleId="54">
    <w:name w:val="endnote text"/>
    <w:basedOn w:val="1"/>
    <w:link w:val="120"/>
    <w:semiHidden/>
    <w:uiPriority w:val="99"/>
    <w:pPr>
      <w:snapToGrid w:val="0"/>
      <w:jc w:val="left"/>
    </w:pPr>
    <w:rPr>
      <w:rFonts w:ascii="Times New Roman" w:hAnsi="Times New Roman" w:eastAsia="宋体" w:cs="Times New Roman"/>
    </w:rPr>
  </w:style>
  <w:style w:type="paragraph" w:styleId="55">
    <w:name w:val="List Continue 5"/>
    <w:basedOn w:val="1"/>
    <w:uiPriority w:val="99"/>
    <w:pPr>
      <w:spacing w:after="120"/>
      <w:ind w:left="2100" w:leftChars="1000"/>
    </w:pPr>
    <w:rPr>
      <w:rFonts w:ascii="Times New Roman" w:hAnsi="Times New Roman" w:eastAsia="宋体" w:cs="Times New Roman"/>
    </w:rPr>
  </w:style>
  <w:style w:type="paragraph" w:styleId="56">
    <w:name w:val="Balloon Text"/>
    <w:basedOn w:val="1"/>
    <w:link w:val="121"/>
    <w:semiHidden/>
    <w:uiPriority w:val="99"/>
    <w:rPr>
      <w:rFonts w:ascii="Times New Roman" w:hAnsi="Times New Roman" w:eastAsia="宋体" w:cs="Times New Roman"/>
      <w:kern w:val="0"/>
      <w:sz w:val="18"/>
      <w:szCs w:val="18"/>
    </w:rPr>
  </w:style>
  <w:style w:type="paragraph" w:styleId="57">
    <w:name w:val="footer"/>
    <w:basedOn w:val="1"/>
    <w:link w:val="122"/>
    <w:qFormat/>
    <w:uiPriority w:val="99"/>
    <w:pPr>
      <w:tabs>
        <w:tab w:val="center" w:pos="4153"/>
        <w:tab w:val="right" w:pos="8306"/>
      </w:tabs>
      <w:adjustRightInd w:val="0"/>
      <w:spacing w:line="240" w:lineRule="atLeast"/>
      <w:jc w:val="left"/>
      <w:textAlignment w:val="baseline"/>
    </w:pPr>
    <w:rPr>
      <w:rFonts w:ascii="Times New Roman" w:hAnsi="Times New Roman" w:eastAsia="宋体" w:cs="Times New Roman"/>
      <w:kern w:val="0"/>
      <w:sz w:val="18"/>
      <w:szCs w:val="18"/>
    </w:rPr>
  </w:style>
  <w:style w:type="paragraph" w:styleId="58">
    <w:name w:val="envelope return"/>
    <w:basedOn w:val="1"/>
    <w:uiPriority w:val="99"/>
    <w:pPr>
      <w:snapToGrid w:val="0"/>
    </w:pPr>
    <w:rPr>
      <w:rFonts w:ascii="Arial" w:hAnsi="Arial" w:eastAsia="宋体" w:cs="Arial"/>
    </w:rPr>
  </w:style>
  <w:style w:type="paragraph" w:styleId="59">
    <w:name w:val="header"/>
    <w:basedOn w:val="1"/>
    <w:link w:val="123"/>
    <w:uiPriority w:val="99"/>
    <w:pPr>
      <w:pBdr>
        <w:bottom w:val="single" w:color="auto" w:sz="6" w:space="1"/>
      </w:pBdr>
      <w:tabs>
        <w:tab w:val="center" w:pos="4153"/>
        <w:tab w:val="right" w:pos="8306"/>
      </w:tabs>
      <w:snapToGrid w:val="0"/>
      <w:jc w:val="center"/>
    </w:pPr>
    <w:rPr>
      <w:rFonts w:ascii="Times New Roman" w:hAnsi="Times New Roman" w:eastAsia="宋体" w:cs="Times New Roman"/>
      <w:kern w:val="0"/>
      <w:sz w:val="18"/>
      <w:szCs w:val="18"/>
    </w:rPr>
  </w:style>
  <w:style w:type="paragraph" w:styleId="60">
    <w:name w:val="Signature"/>
    <w:basedOn w:val="1"/>
    <w:link w:val="124"/>
    <w:uiPriority w:val="99"/>
    <w:pPr>
      <w:ind w:left="100" w:leftChars="2100"/>
    </w:pPr>
    <w:rPr>
      <w:rFonts w:ascii="Times New Roman" w:hAnsi="Times New Roman" w:eastAsia="宋体" w:cs="Times New Roman"/>
    </w:rPr>
  </w:style>
  <w:style w:type="paragraph" w:styleId="61">
    <w:name w:val="toc 1"/>
    <w:basedOn w:val="1"/>
    <w:next w:val="1"/>
    <w:semiHidden/>
    <w:uiPriority w:val="99"/>
    <w:pPr>
      <w:spacing w:before="120" w:after="120"/>
      <w:jc w:val="left"/>
    </w:pPr>
    <w:rPr>
      <w:rFonts w:ascii="Times New Roman" w:hAnsi="Times New Roman" w:eastAsia="宋体" w:cs="Times New Roman"/>
      <w:b/>
      <w:bCs/>
      <w:caps/>
      <w:sz w:val="20"/>
      <w:szCs w:val="20"/>
    </w:rPr>
  </w:style>
  <w:style w:type="paragraph" w:styleId="62">
    <w:name w:val="List Continue 4"/>
    <w:basedOn w:val="1"/>
    <w:qFormat/>
    <w:uiPriority w:val="99"/>
    <w:pPr>
      <w:spacing w:after="120"/>
      <w:ind w:left="1680" w:leftChars="800"/>
    </w:pPr>
    <w:rPr>
      <w:rFonts w:ascii="Times New Roman" w:hAnsi="Times New Roman" w:eastAsia="宋体" w:cs="Times New Roman"/>
    </w:rPr>
  </w:style>
  <w:style w:type="paragraph" w:styleId="63">
    <w:name w:val="toc 4"/>
    <w:basedOn w:val="1"/>
    <w:next w:val="1"/>
    <w:semiHidden/>
    <w:uiPriority w:val="99"/>
    <w:pPr>
      <w:ind w:left="630"/>
      <w:jc w:val="left"/>
    </w:pPr>
    <w:rPr>
      <w:rFonts w:ascii="Times New Roman" w:hAnsi="Times New Roman" w:eastAsia="宋体" w:cs="Times New Roman"/>
      <w:sz w:val="18"/>
      <w:szCs w:val="18"/>
    </w:rPr>
  </w:style>
  <w:style w:type="paragraph" w:styleId="64">
    <w:name w:val="index heading"/>
    <w:basedOn w:val="1"/>
    <w:next w:val="65"/>
    <w:semiHidden/>
    <w:uiPriority w:val="99"/>
    <w:rPr>
      <w:rFonts w:ascii="Arial" w:hAnsi="Arial" w:eastAsia="宋体" w:cs="Arial"/>
      <w:b/>
      <w:bCs/>
    </w:rPr>
  </w:style>
  <w:style w:type="paragraph" w:styleId="65">
    <w:name w:val="index 1"/>
    <w:basedOn w:val="1"/>
    <w:next w:val="1"/>
    <w:semiHidden/>
    <w:uiPriority w:val="99"/>
    <w:rPr>
      <w:rFonts w:ascii="Times New Roman" w:hAnsi="Times New Roman" w:eastAsia="宋体" w:cs="Times New Roman"/>
    </w:rPr>
  </w:style>
  <w:style w:type="paragraph" w:styleId="66">
    <w:name w:val="Subtitle"/>
    <w:basedOn w:val="1"/>
    <w:link w:val="125"/>
    <w:qFormat/>
    <w:uiPriority w:val="99"/>
    <w:pPr>
      <w:spacing w:before="240" w:after="60" w:line="312" w:lineRule="auto"/>
      <w:jc w:val="center"/>
      <w:outlineLvl w:val="1"/>
    </w:pPr>
    <w:rPr>
      <w:rFonts w:ascii="Arial" w:hAnsi="Arial" w:eastAsia="宋体" w:cs="Arial"/>
      <w:b/>
      <w:bCs/>
      <w:kern w:val="28"/>
      <w:sz w:val="32"/>
      <w:szCs w:val="32"/>
    </w:rPr>
  </w:style>
  <w:style w:type="paragraph" w:styleId="67">
    <w:name w:val="List Number 5"/>
    <w:basedOn w:val="1"/>
    <w:uiPriority w:val="99"/>
    <w:pPr>
      <w:tabs>
        <w:tab w:val="left" w:pos="2040"/>
      </w:tabs>
      <w:ind w:left="2040" w:hanging="360"/>
    </w:pPr>
    <w:rPr>
      <w:rFonts w:ascii="Times New Roman" w:hAnsi="Times New Roman" w:eastAsia="宋体" w:cs="Times New Roman"/>
    </w:rPr>
  </w:style>
  <w:style w:type="paragraph" w:styleId="68">
    <w:name w:val="List"/>
    <w:basedOn w:val="1"/>
    <w:uiPriority w:val="99"/>
    <w:pPr>
      <w:tabs>
        <w:tab w:val="left" w:pos="360"/>
        <w:tab w:val="left" w:pos="709"/>
      </w:tabs>
      <w:spacing w:line="300" w:lineRule="auto"/>
      <w:ind w:left="363" w:hanging="170"/>
    </w:pPr>
    <w:rPr>
      <w:rFonts w:ascii="Times New Roman" w:hAnsi="Times New Roman" w:eastAsia="宋体" w:cs="Times New Roman"/>
      <w:spacing w:val="20"/>
    </w:rPr>
  </w:style>
  <w:style w:type="paragraph" w:styleId="69">
    <w:name w:val="footnote text"/>
    <w:basedOn w:val="1"/>
    <w:link w:val="126"/>
    <w:semiHidden/>
    <w:uiPriority w:val="99"/>
    <w:pPr>
      <w:snapToGrid w:val="0"/>
      <w:jc w:val="left"/>
    </w:pPr>
    <w:rPr>
      <w:rFonts w:ascii="Times New Roman" w:hAnsi="Times New Roman" w:eastAsia="宋体" w:cs="Times New Roman"/>
      <w:sz w:val="18"/>
      <w:szCs w:val="18"/>
    </w:rPr>
  </w:style>
  <w:style w:type="paragraph" w:styleId="70">
    <w:name w:val="toc 6"/>
    <w:basedOn w:val="1"/>
    <w:next w:val="1"/>
    <w:semiHidden/>
    <w:uiPriority w:val="99"/>
    <w:pPr>
      <w:ind w:left="1050"/>
      <w:jc w:val="left"/>
    </w:pPr>
    <w:rPr>
      <w:rFonts w:ascii="Times New Roman" w:hAnsi="Times New Roman" w:eastAsia="宋体" w:cs="Times New Roman"/>
      <w:sz w:val="18"/>
      <w:szCs w:val="18"/>
    </w:rPr>
  </w:style>
  <w:style w:type="paragraph" w:styleId="71">
    <w:name w:val="List 5"/>
    <w:basedOn w:val="1"/>
    <w:uiPriority w:val="99"/>
    <w:pPr>
      <w:ind w:left="100" w:leftChars="800" w:hanging="200" w:hangingChars="200"/>
    </w:pPr>
    <w:rPr>
      <w:rFonts w:ascii="Times New Roman" w:hAnsi="Times New Roman" w:eastAsia="宋体" w:cs="Times New Roman"/>
    </w:rPr>
  </w:style>
  <w:style w:type="paragraph" w:styleId="72">
    <w:name w:val="Body Text Indent 3"/>
    <w:basedOn w:val="1"/>
    <w:link w:val="127"/>
    <w:uiPriority w:val="99"/>
    <w:pPr>
      <w:spacing w:line="360" w:lineRule="auto"/>
      <w:ind w:firstLine="480" w:firstLineChars="200"/>
    </w:pPr>
    <w:rPr>
      <w:rFonts w:ascii="宋体" w:hAnsi="宋体" w:eastAsia="宋体" w:cs="宋体"/>
      <w:sz w:val="24"/>
      <w:szCs w:val="24"/>
    </w:rPr>
  </w:style>
  <w:style w:type="paragraph" w:styleId="73">
    <w:name w:val="index 7"/>
    <w:basedOn w:val="1"/>
    <w:next w:val="1"/>
    <w:semiHidden/>
    <w:uiPriority w:val="99"/>
    <w:pPr>
      <w:ind w:left="1200" w:leftChars="1200"/>
    </w:pPr>
    <w:rPr>
      <w:rFonts w:ascii="Times New Roman" w:hAnsi="Times New Roman" w:eastAsia="宋体" w:cs="Times New Roman"/>
    </w:rPr>
  </w:style>
  <w:style w:type="paragraph" w:styleId="74">
    <w:name w:val="index 9"/>
    <w:basedOn w:val="1"/>
    <w:next w:val="1"/>
    <w:semiHidden/>
    <w:uiPriority w:val="99"/>
    <w:pPr>
      <w:ind w:left="1600" w:leftChars="1600"/>
    </w:pPr>
    <w:rPr>
      <w:rFonts w:ascii="Times New Roman" w:hAnsi="Times New Roman" w:eastAsia="宋体" w:cs="Times New Roman"/>
    </w:rPr>
  </w:style>
  <w:style w:type="paragraph" w:styleId="75">
    <w:name w:val="table of figures"/>
    <w:basedOn w:val="1"/>
    <w:next w:val="1"/>
    <w:semiHidden/>
    <w:uiPriority w:val="99"/>
    <w:pPr>
      <w:ind w:left="200" w:leftChars="200" w:hanging="200" w:hangingChars="200"/>
    </w:pPr>
    <w:rPr>
      <w:rFonts w:ascii="Times New Roman" w:hAnsi="Times New Roman" w:eastAsia="宋体" w:cs="Times New Roman"/>
    </w:rPr>
  </w:style>
  <w:style w:type="paragraph" w:styleId="76">
    <w:name w:val="toc 2"/>
    <w:basedOn w:val="1"/>
    <w:next w:val="1"/>
    <w:semiHidden/>
    <w:uiPriority w:val="99"/>
    <w:pPr>
      <w:ind w:left="210"/>
      <w:jc w:val="left"/>
    </w:pPr>
    <w:rPr>
      <w:rFonts w:ascii="Times New Roman" w:hAnsi="Times New Roman" w:eastAsia="宋体" w:cs="Times New Roman"/>
      <w:smallCaps/>
      <w:sz w:val="20"/>
      <w:szCs w:val="20"/>
    </w:rPr>
  </w:style>
  <w:style w:type="paragraph" w:styleId="77">
    <w:name w:val="toc 9"/>
    <w:basedOn w:val="1"/>
    <w:next w:val="1"/>
    <w:semiHidden/>
    <w:uiPriority w:val="99"/>
    <w:pPr>
      <w:ind w:left="1680"/>
      <w:jc w:val="left"/>
    </w:pPr>
    <w:rPr>
      <w:rFonts w:ascii="Times New Roman" w:hAnsi="Times New Roman" w:eastAsia="宋体" w:cs="Times New Roman"/>
      <w:sz w:val="18"/>
      <w:szCs w:val="18"/>
    </w:rPr>
  </w:style>
  <w:style w:type="paragraph" w:styleId="78">
    <w:name w:val="Body Text 2"/>
    <w:basedOn w:val="1"/>
    <w:link w:val="128"/>
    <w:uiPriority w:val="99"/>
    <w:rPr>
      <w:rFonts w:ascii="Times New Roman" w:hAnsi="Times New Roman" w:eastAsia="宋体" w:cs="Times New Roman"/>
      <w:kern w:val="0"/>
      <w:sz w:val="18"/>
      <w:szCs w:val="18"/>
    </w:rPr>
  </w:style>
  <w:style w:type="paragraph" w:styleId="79">
    <w:name w:val="List 4"/>
    <w:basedOn w:val="1"/>
    <w:uiPriority w:val="99"/>
    <w:pPr>
      <w:ind w:left="100" w:leftChars="600" w:hanging="200" w:hangingChars="200"/>
    </w:pPr>
    <w:rPr>
      <w:rFonts w:ascii="Times New Roman" w:hAnsi="Times New Roman" w:eastAsia="宋体" w:cs="Times New Roman"/>
    </w:rPr>
  </w:style>
  <w:style w:type="paragraph" w:styleId="80">
    <w:name w:val="List Continue 2"/>
    <w:basedOn w:val="1"/>
    <w:uiPriority w:val="99"/>
    <w:pPr>
      <w:spacing w:after="120"/>
      <w:ind w:left="840" w:leftChars="400"/>
    </w:pPr>
    <w:rPr>
      <w:rFonts w:ascii="Times New Roman" w:hAnsi="Times New Roman" w:eastAsia="宋体" w:cs="Times New Roman"/>
    </w:rPr>
  </w:style>
  <w:style w:type="paragraph" w:styleId="81">
    <w:name w:val="Message Header"/>
    <w:basedOn w:val="1"/>
    <w:link w:val="129"/>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eastAsia="宋体" w:cs="Arial"/>
      <w:sz w:val="24"/>
      <w:szCs w:val="24"/>
    </w:rPr>
  </w:style>
  <w:style w:type="paragraph" w:styleId="82">
    <w:name w:val="HTML Preformatted"/>
    <w:basedOn w:val="1"/>
    <w:link w:val="130"/>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黑体"/>
      <w:kern w:val="0"/>
      <w:sz w:val="20"/>
      <w:szCs w:val="20"/>
    </w:rPr>
  </w:style>
  <w:style w:type="paragraph" w:styleId="83">
    <w:name w:val="Normal (Web)"/>
    <w:basedOn w:val="1"/>
    <w:uiPriority w:val="99"/>
    <w:pPr>
      <w:widowControl/>
      <w:spacing w:before="100" w:beforeAutospacing="1" w:after="100" w:afterAutospacing="1"/>
      <w:jc w:val="left"/>
    </w:pPr>
    <w:rPr>
      <w:rFonts w:ascii="宋体" w:hAnsi="宋体" w:eastAsia="宋体" w:cs="宋体"/>
      <w:kern w:val="0"/>
      <w:sz w:val="24"/>
      <w:szCs w:val="24"/>
    </w:rPr>
  </w:style>
  <w:style w:type="paragraph" w:styleId="84">
    <w:name w:val="List Continue 3"/>
    <w:basedOn w:val="1"/>
    <w:uiPriority w:val="99"/>
    <w:pPr>
      <w:spacing w:after="120"/>
      <w:ind w:left="1260" w:leftChars="600"/>
    </w:pPr>
    <w:rPr>
      <w:rFonts w:ascii="Times New Roman" w:hAnsi="Times New Roman" w:eastAsia="宋体" w:cs="Times New Roman"/>
    </w:rPr>
  </w:style>
  <w:style w:type="paragraph" w:styleId="85">
    <w:name w:val="index 2"/>
    <w:basedOn w:val="1"/>
    <w:next w:val="1"/>
    <w:semiHidden/>
    <w:uiPriority w:val="99"/>
    <w:pPr>
      <w:ind w:left="200" w:leftChars="200"/>
    </w:pPr>
    <w:rPr>
      <w:rFonts w:ascii="Times New Roman" w:hAnsi="Times New Roman" w:eastAsia="宋体" w:cs="Times New Roman"/>
    </w:rPr>
  </w:style>
  <w:style w:type="paragraph" w:styleId="86">
    <w:name w:val="Title"/>
    <w:basedOn w:val="1"/>
    <w:link w:val="131"/>
    <w:qFormat/>
    <w:uiPriority w:val="99"/>
    <w:pPr>
      <w:spacing w:before="240" w:after="60"/>
      <w:jc w:val="center"/>
      <w:outlineLvl w:val="0"/>
    </w:pPr>
    <w:rPr>
      <w:rFonts w:ascii="Arial" w:hAnsi="Arial" w:eastAsia="宋体" w:cs="Arial"/>
      <w:b/>
      <w:bCs/>
      <w:kern w:val="0"/>
      <w:sz w:val="32"/>
      <w:szCs w:val="32"/>
    </w:rPr>
  </w:style>
  <w:style w:type="paragraph" w:styleId="87">
    <w:name w:val="annotation subject"/>
    <w:basedOn w:val="29"/>
    <w:next w:val="29"/>
    <w:link w:val="132"/>
    <w:semiHidden/>
    <w:uiPriority w:val="99"/>
    <w:rPr>
      <w:b/>
      <w:bCs/>
    </w:rPr>
  </w:style>
  <w:style w:type="paragraph" w:styleId="88">
    <w:name w:val="Body Text First Indent"/>
    <w:basedOn w:val="35"/>
    <w:link w:val="133"/>
    <w:uiPriority w:val="99"/>
    <w:pPr>
      <w:widowControl/>
      <w:ind w:firstLine="420" w:firstLineChars="100"/>
      <w:jc w:val="left"/>
    </w:pPr>
    <w:rPr>
      <w:rFonts w:ascii="楷体_GB2312" w:eastAsia="楷体_GB2312" w:cs="楷体_GB2312"/>
      <w:b/>
      <w:bCs/>
      <w:sz w:val="30"/>
      <w:szCs w:val="30"/>
    </w:rPr>
  </w:style>
  <w:style w:type="paragraph" w:styleId="89">
    <w:name w:val="Body Text First Indent 2"/>
    <w:basedOn w:val="36"/>
    <w:link w:val="134"/>
    <w:uiPriority w:val="99"/>
    <w:pPr>
      <w:spacing w:after="120"/>
      <w:ind w:left="420" w:leftChars="200" w:firstLine="420" w:firstLineChars="200"/>
    </w:pPr>
    <w:rPr>
      <w:rFonts w:ascii="Times New Roman" w:hAnsi="Times New Roman" w:cs="Times New Roman"/>
    </w:rPr>
  </w:style>
  <w:style w:type="table" w:styleId="91">
    <w:name w:val="Table Grid"/>
    <w:basedOn w:val="90"/>
    <w:uiPriority w:val="99"/>
    <w:pPr>
      <w:widowControl w:val="0"/>
      <w:jc w:val="both"/>
    </w:pPr>
    <w:rPr>
      <w:rFonts w:cs="等线"/>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93">
    <w:name w:val="Strong"/>
    <w:basedOn w:val="92"/>
    <w:qFormat/>
    <w:uiPriority w:val="99"/>
    <w:rPr>
      <w:rFonts w:eastAsia="黑体"/>
      <w:b/>
      <w:bCs/>
      <w:sz w:val="44"/>
      <w:szCs w:val="44"/>
    </w:rPr>
  </w:style>
  <w:style w:type="character" w:styleId="94">
    <w:name w:val="page number"/>
    <w:basedOn w:val="92"/>
    <w:uiPriority w:val="99"/>
  </w:style>
  <w:style w:type="character" w:styleId="95">
    <w:name w:val="Hyperlink"/>
    <w:basedOn w:val="92"/>
    <w:uiPriority w:val="99"/>
    <w:rPr>
      <w:color w:val="0000FF"/>
      <w:u w:val="single"/>
    </w:rPr>
  </w:style>
  <w:style w:type="character" w:styleId="96">
    <w:name w:val="annotation reference"/>
    <w:basedOn w:val="92"/>
    <w:semiHidden/>
    <w:uiPriority w:val="99"/>
    <w:rPr>
      <w:sz w:val="21"/>
      <w:szCs w:val="21"/>
    </w:rPr>
  </w:style>
  <w:style w:type="character" w:customStyle="1" w:styleId="97">
    <w:name w:val="标题 1 字符"/>
    <w:basedOn w:val="92"/>
    <w:link w:val="4"/>
    <w:qFormat/>
    <w:locked/>
    <w:uiPriority w:val="99"/>
    <w:rPr>
      <w:rFonts w:ascii="宋体" w:hAnsi="宋体" w:eastAsia="宋体" w:cs="宋体"/>
      <w:b/>
      <w:bCs/>
      <w:sz w:val="24"/>
      <w:szCs w:val="24"/>
    </w:rPr>
  </w:style>
  <w:style w:type="character" w:customStyle="1" w:styleId="98">
    <w:name w:val="标题 2 字符"/>
    <w:basedOn w:val="92"/>
    <w:link w:val="5"/>
    <w:qFormat/>
    <w:locked/>
    <w:uiPriority w:val="99"/>
    <w:rPr>
      <w:rFonts w:ascii="宋体" w:hAnsi="宋体" w:eastAsia="宋体" w:cs="宋体"/>
      <w:b/>
      <w:bCs/>
      <w:kern w:val="0"/>
      <w:sz w:val="20"/>
      <w:szCs w:val="20"/>
    </w:rPr>
  </w:style>
  <w:style w:type="character" w:customStyle="1" w:styleId="99">
    <w:name w:val="标题 3 字符"/>
    <w:basedOn w:val="92"/>
    <w:link w:val="6"/>
    <w:qFormat/>
    <w:locked/>
    <w:uiPriority w:val="99"/>
    <w:rPr>
      <w:rFonts w:ascii="宋体" w:hAnsi="宋体" w:eastAsia="宋体" w:cs="宋体"/>
      <w:b/>
      <w:bCs/>
      <w:kern w:val="0"/>
      <w:sz w:val="20"/>
      <w:szCs w:val="20"/>
    </w:rPr>
  </w:style>
  <w:style w:type="character" w:customStyle="1" w:styleId="100">
    <w:name w:val="标题 4 字符"/>
    <w:basedOn w:val="92"/>
    <w:link w:val="7"/>
    <w:qFormat/>
    <w:locked/>
    <w:uiPriority w:val="99"/>
    <w:rPr>
      <w:rFonts w:ascii="Arial" w:hAnsi="Arial" w:eastAsia="黑体" w:cs="Arial"/>
      <w:b/>
      <w:bCs/>
      <w:sz w:val="28"/>
      <w:szCs w:val="28"/>
    </w:rPr>
  </w:style>
  <w:style w:type="character" w:customStyle="1" w:styleId="101">
    <w:name w:val="标题 5 字符"/>
    <w:basedOn w:val="92"/>
    <w:link w:val="8"/>
    <w:qFormat/>
    <w:locked/>
    <w:uiPriority w:val="99"/>
    <w:rPr>
      <w:rFonts w:ascii="Arial" w:hAnsi="Arial" w:eastAsia="宋体" w:cs="Arial"/>
      <w:kern w:val="0"/>
      <w:sz w:val="20"/>
      <w:szCs w:val="20"/>
    </w:rPr>
  </w:style>
  <w:style w:type="character" w:customStyle="1" w:styleId="102">
    <w:name w:val="标题 6 字符"/>
    <w:basedOn w:val="92"/>
    <w:link w:val="9"/>
    <w:qFormat/>
    <w:locked/>
    <w:uiPriority w:val="99"/>
    <w:rPr>
      <w:rFonts w:ascii="Times New Roman" w:hAnsi="Arial" w:eastAsia="宋体" w:cs="Times New Roman"/>
      <w:i/>
      <w:iCs/>
      <w:kern w:val="0"/>
      <w:sz w:val="20"/>
      <w:szCs w:val="20"/>
    </w:rPr>
  </w:style>
  <w:style w:type="character" w:customStyle="1" w:styleId="103">
    <w:name w:val="标题 7 字符"/>
    <w:basedOn w:val="92"/>
    <w:link w:val="10"/>
    <w:qFormat/>
    <w:locked/>
    <w:uiPriority w:val="99"/>
    <w:rPr>
      <w:rFonts w:ascii="Arial" w:hAnsi="Arial" w:eastAsia="宋体" w:cs="Arial"/>
      <w:kern w:val="0"/>
      <w:sz w:val="20"/>
      <w:szCs w:val="20"/>
    </w:rPr>
  </w:style>
  <w:style w:type="character" w:customStyle="1" w:styleId="104">
    <w:name w:val="标题 8 字符"/>
    <w:basedOn w:val="92"/>
    <w:link w:val="11"/>
    <w:qFormat/>
    <w:locked/>
    <w:uiPriority w:val="99"/>
    <w:rPr>
      <w:rFonts w:ascii="Arial" w:hAnsi="Arial" w:eastAsia="宋体" w:cs="Arial"/>
      <w:i/>
      <w:iCs/>
      <w:kern w:val="0"/>
      <w:sz w:val="20"/>
      <w:szCs w:val="20"/>
    </w:rPr>
  </w:style>
  <w:style w:type="character" w:customStyle="1" w:styleId="105">
    <w:name w:val="标题 9 字符"/>
    <w:basedOn w:val="92"/>
    <w:link w:val="12"/>
    <w:qFormat/>
    <w:locked/>
    <w:uiPriority w:val="99"/>
    <w:rPr>
      <w:rFonts w:ascii="Arial" w:hAnsi="Arial" w:eastAsia="宋体" w:cs="Arial"/>
      <w:b/>
      <w:bCs/>
      <w:i/>
      <w:iCs/>
      <w:kern w:val="0"/>
      <w:sz w:val="20"/>
      <w:szCs w:val="20"/>
    </w:rPr>
  </w:style>
  <w:style w:type="character" w:customStyle="1" w:styleId="106">
    <w:name w:val="宏文本 字符"/>
    <w:basedOn w:val="92"/>
    <w:link w:val="3"/>
    <w:semiHidden/>
    <w:qFormat/>
    <w:locked/>
    <w:uiPriority w:val="99"/>
    <w:rPr>
      <w:rFonts w:ascii="Courier New" w:hAnsi="Courier New" w:eastAsia="宋体" w:cs="Courier New"/>
      <w:kern w:val="2"/>
      <w:sz w:val="24"/>
      <w:szCs w:val="24"/>
      <w:lang w:val="en-US" w:eastAsia="zh-CN"/>
    </w:rPr>
  </w:style>
  <w:style w:type="character" w:customStyle="1" w:styleId="107">
    <w:name w:val="注释标题 字符"/>
    <w:basedOn w:val="92"/>
    <w:link w:val="17"/>
    <w:qFormat/>
    <w:locked/>
    <w:uiPriority w:val="99"/>
    <w:rPr>
      <w:rFonts w:ascii="Times New Roman" w:hAnsi="Times New Roman" w:eastAsia="宋体" w:cs="Times New Roman"/>
      <w:sz w:val="24"/>
      <w:szCs w:val="24"/>
    </w:rPr>
  </w:style>
  <w:style w:type="character" w:customStyle="1" w:styleId="108">
    <w:name w:val="电子邮件签名 字符"/>
    <w:basedOn w:val="92"/>
    <w:link w:val="20"/>
    <w:qFormat/>
    <w:locked/>
    <w:uiPriority w:val="99"/>
    <w:rPr>
      <w:rFonts w:ascii="Times New Roman" w:hAnsi="Times New Roman" w:eastAsia="宋体" w:cs="Times New Roman"/>
      <w:sz w:val="24"/>
      <w:szCs w:val="24"/>
    </w:rPr>
  </w:style>
  <w:style w:type="character" w:customStyle="1" w:styleId="109">
    <w:name w:val="文档结构图 字符"/>
    <w:basedOn w:val="92"/>
    <w:link w:val="27"/>
    <w:locked/>
    <w:uiPriority w:val="99"/>
    <w:rPr>
      <w:sz w:val="24"/>
      <w:szCs w:val="24"/>
      <w:shd w:val="clear" w:color="auto" w:fill="000080"/>
    </w:rPr>
  </w:style>
  <w:style w:type="character" w:customStyle="1" w:styleId="110">
    <w:name w:val="批注文字 字符"/>
    <w:basedOn w:val="92"/>
    <w:link w:val="29"/>
    <w:semiHidden/>
    <w:qFormat/>
    <w:locked/>
    <w:uiPriority w:val="99"/>
    <w:rPr>
      <w:rFonts w:eastAsia="宋体"/>
      <w:sz w:val="24"/>
      <w:szCs w:val="24"/>
    </w:rPr>
  </w:style>
  <w:style w:type="character" w:customStyle="1" w:styleId="111">
    <w:name w:val="称呼 字符"/>
    <w:basedOn w:val="92"/>
    <w:link w:val="31"/>
    <w:locked/>
    <w:uiPriority w:val="99"/>
    <w:rPr>
      <w:rFonts w:ascii="Times New Roman" w:hAnsi="Times New Roman" w:eastAsia="宋体" w:cs="Times New Roman"/>
      <w:sz w:val="24"/>
      <w:szCs w:val="24"/>
    </w:rPr>
  </w:style>
  <w:style w:type="character" w:customStyle="1" w:styleId="112">
    <w:name w:val="正文文本 3 字符"/>
    <w:basedOn w:val="92"/>
    <w:link w:val="32"/>
    <w:locked/>
    <w:uiPriority w:val="99"/>
    <w:rPr>
      <w:sz w:val="24"/>
      <w:szCs w:val="24"/>
    </w:rPr>
  </w:style>
  <w:style w:type="character" w:customStyle="1" w:styleId="113">
    <w:name w:val="结束语 字符"/>
    <w:basedOn w:val="92"/>
    <w:link w:val="33"/>
    <w:locked/>
    <w:uiPriority w:val="99"/>
    <w:rPr>
      <w:rFonts w:ascii="Times New Roman" w:hAnsi="Times New Roman" w:eastAsia="宋体" w:cs="Times New Roman"/>
      <w:sz w:val="24"/>
      <w:szCs w:val="24"/>
    </w:rPr>
  </w:style>
  <w:style w:type="character" w:customStyle="1" w:styleId="114">
    <w:name w:val="正文文本 字符"/>
    <w:basedOn w:val="92"/>
    <w:link w:val="35"/>
    <w:locked/>
    <w:uiPriority w:val="99"/>
    <w:rPr>
      <w:rFonts w:eastAsia="宋体"/>
      <w:sz w:val="24"/>
      <w:szCs w:val="24"/>
    </w:rPr>
  </w:style>
  <w:style w:type="character" w:customStyle="1" w:styleId="115">
    <w:name w:val="正文文本缩进 字符"/>
    <w:basedOn w:val="92"/>
    <w:link w:val="36"/>
    <w:locked/>
    <w:uiPriority w:val="99"/>
    <w:rPr>
      <w:rFonts w:ascii="Arial" w:hAnsi="Arial" w:eastAsia="宋体" w:cs="Arial"/>
      <w:sz w:val="24"/>
      <w:szCs w:val="24"/>
    </w:rPr>
  </w:style>
  <w:style w:type="character" w:customStyle="1" w:styleId="116">
    <w:name w:val="HTML 地址 字符"/>
    <w:basedOn w:val="92"/>
    <w:link w:val="42"/>
    <w:locked/>
    <w:uiPriority w:val="99"/>
    <w:rPr>
      <w:rFonts w:ascii="Times New Roman" w:hAnsi="Times New Roman" w:eastAsia="宋体" w:cs="Times New Roman"/>
      <w:i/>
      <w:iCs/>
      <w:sz w:val="24"/>
      <w:szCs w:val="24"/>
    </w:rPr>
  </w:style>
  <w:style w:type="character" w:customStyle="1" w:styleId="117">
    <w:name w:val="纯文本 字符"/>
    <w:basedOn w:val="92"/>
    <w:link w:val="46"/>
    <w:locked/>
    <w:uiPriority w:val="99"/>
    <w:rPr>
      <w:rFonts w:ascii="宋体" w:hAnsi="Courier New" w:eastAsia="宋体" w:cs="宋体"/>
    </w:rPr>
  </w:style>
  <w:style w:type="character" w:customStyle="1" w:styleId="118">
    <w:name w:val="日期 字符"/>
    <w:basedOn w:val="92"/>
    <w:link w:val="52"/>
    <w:locked/>
    <w:uiPriority w:val="99"/>
    <w:rPr>
      <w:rFonts w:ascii="Times New Roman" w:hAnsi="Times New Roman" w:eastAsia="宋体" w:cs="Times New Roman"/>
      <w:kern w:val="0"/>
      <w:sz w:val="20"/>
      <w:szCs w:val="20"/>
    </w:rPr>
  </w:style>
  <w:style w:type="character" w:customStyle="1" w:styleId="119">
    <w:name w:val="正文文本缩进 2 字符"/>
    <w:basedOn w:val="92"/>
    <w:link w:val="53"/>
    <w:locked/>
    <w:uiPriority w:val="99"/>
    <w:rPr>
      <w:rFonts w:ascii="宋体" w:hAnsi="宋体" w:eastAsia="宋体" w:cs="宋体"/>
      <w:sz w:val="24"/>
      <w:szCs w:val="24"/>
    </w:rPr>
  </w:style>
  <w:style w:type="character" w:customStyle="1" w:styleId="120">
    <w:name w:val="尾注文本 字符"/>
    <w:basedOn w:val="92"/>
    <w:link w:val="54"/>
    <w:semiHidden/>
    <w:qFormat/>
    <w:locked/>
    <w:uiPriority w:val="99"/>
    <w:rPr>
      <w:rFonts w:ascii="Times New Roman" w:hAnsi="Times New Roman" w:eastAsia="宋体" w:cs="Times New Roman"/>
      <w:sz w:val="24"/>
      <w:szCs w:val="24"/>
    </w:rPr>
  </w:style>
  <w:style w:type="character" w:customStyle="1" w:styleId="121">
    <w:name w:val="批注框文本 字符"/>
    <w:basedOn w:val="92"/>
    <w:link w:val="56"/>
    <w:locked/>
    <w:uiPriority w:val="99"/>
    <w:rPr>
      <w:sz w:val="18"/>
      <w:szCs w:val="18"/>
    </w:rPr>
  </w:style>
  <w:style w:type="character" w:customStyle="1" w:styleId="122">
    <w:name w:val="页脚 字符"/>
    <w:basedOn w:val="92"/>
    <w:link w:val="57"/>
    <w:locked/>
    <w:uiPriority w:val="99"/>
    <w:rPr>
      <w:sz w:val="18"/>
      <w:szCs w:val="18"/>
    </w:rPr>
  </w:style>
  <w:style w:type="character" w:customStyle="1" w:styleId="123">
    <w:name w:val="页眉 字符"/>
    <w:basedOn w:val="92"/>
    <w:link w:val="59"/>
    <w:locked/>
    <w:uiPriority w:val="99"/>
    <w:rPr>
      <w:sz w:val="18"/>
      <w:szCs w:val="18"/>
    </w:rPr>
  </w:style>
  <w:style w:type="character" w:customStyle="1" w:styleId="124">
    <w:name w:val="签名 字符"/>
    <w:basedOn w:val="92"/>
    <w:link w:val="60"/>
    <w:qFormat/>
    <w:locked/>
    <w:uiPriority w:val="99"/>
    <w:rPr>
      <w:rFonts w:ascii="Times New Roman" w:hAnsi="Times New Roman" w:eastAsia="宋体" w:cs="Times New Roman"/>
      <w:sz w:val="24"/>
      <w:szCs w:val="24"/>
    </w:rPr>
  </w:style>
  <w:style w:type="character" w:customStyle="1" w:styleId="125">
    <w:name w:val="副标题 字符"/>
    <w:basedOn w:val="92"/>
    <w:link w:val="66"/>
    <w:locked/>
    <w:uiPriority w:val="99"/>
    <w:rPr>
      <w:rFonts w:ascii="Arial" w:hAnsi="Arial" w:eastAsia="宋体" w:cs="Arial"/>
      <w:b/>
      <w:bCs/>
      <w:kern w:val="28"/>
      <w:sz w:val="32"/>
      <w:szCs w:val="32"/>
    </w:rPr>
  </w:style>
  <w:style w:type="character" w:customStyle="1" w:styleId="126">
    <w:name w:val="脚注文本 字符"/>
    <w:basedOn w:val="92"/>
    <w:link w:val="69"/>
    <w:semiHidden/>
    <w:locked/>
    <w:uiPriority w:val="99"/>
    <w:rPr>
      <w:rFonts w:ascii="Times New Roman" w:hAnsi="Times New Roman" w:eastAsia="宋体" w:cs="Times New Roman"/>
      <w:sz w:val="18"/>
      <w:szCs w:val="18"/>
    </w:rPr>
  </w:style>
  <w:style w:type="character" w:customStyle="1" w:styleId="127">
    <w:name w:val="正文文本缩进 3 字符"/>
    <w:basedOn w:val="92"/>
    <w:link w:val="72"/>
    <w:locked/>
    <w:uiPriority w:val="99"/>
    <w:rPr>
      <w:rFonts w:ascii="宋体" w:hAnsi="宋体" w:eastAsia="宋体" w:cs="宋体"/>
      <w:sz w:val="24"/>
      <w:szCs w:val="24"/>
    </w:rPr>
  </w:style>
  <w:style w:type="character" w:customStyle="1" w:styleId="128">
    <w:name w:val="正文文本 2 字符"/>
    <w:basedOn w:val="92"/>
    <w:link w:val="78"/>
    <w:locked/>
    <w:uiPriority w:val="99"/>
    <w:rPr>
      <w:sz w:val="24"/>
      <w:szCs w:val="24"/>
    </w:rPr>
  </w:style>
  <w:style w:type="character" w:customStyle="1" w:styleId="129">
    <w:name w:val="信息标题 字符"/>
    <w:basedOn w:val="92"/>
    <w:link w:val="81"/>
    <w:locked/>
    <w:uiPriority w:val="99"/>
    <w:rPr>
      <w:rFonts w:ascii="Arial" w:hAnsi="Arial" w:eastAsia="宋体" w:cs="Arial"/>
      <w:sz w:val="24"/>
      <w:szCs w:val="24"/>
      <w:shd w:val="pct20" w:color="auto" w:fill="auto"/>
    </w:rPr>
  </w:style>
  <w:style w:type="character" w:customStyle="1" w:styleId="130">
    <w:name w:val="HTML 预设格式 字符"/>
    <w:basedOn w:val="92"/>
    <w:link w:val="82"/>
    <w:locked/>
    <w:uiPriority w:val="99"/>
    <w:rPr>
      <w:rFonts w:ascii="黑体" w:hAnsi="Courier New" w:eastAsia="黑体" w:cs="黑体"/>
      <w:kern w:val="0"/>
      <w:sz w:val="20"/>
      <w:szCs w:val="20"/>
    </w:rPr>
  </w:style>
  <w:style w:type="character" w:customStyle="1" w:styleId="131">
    <w:name w:val="标题 字符"/>
    <w:basedOn w:val="92"/>
    <w:link w:val="86"/>
    <w:locked/>
    <w:uiPriority w:val="99"/>
    <w:rPr>
      <w:rFonts w:ascii="Arial" w:hAnsi="Arial" w:cs="Arial"/>
      <w:b/>
      <w:bCs/>
      <w:sz w:val="32"/>
      <w:szCs w:val="32"/>
    </w:rPr>
  </w:style>
  <w:style w:type="character" w:customStyle="1" w:styleId="132">
    <w:name w:val="批注主题 字符"/>
    <w:basedOn w:val="110"/>
    <w:link w:val="87"/>
    <w:locked/>
    <w:uiPriority w:val="99"/>
    <w:rPr>
      <w:rFonts w:eastAsia="宋体"/>
      <w:b/>
      <w:bCs/>
      <w:sz w:val="24"/>
      <w:szCs w:val="24"/>
    </w:rPr>
  </w:style>
  <w:style w:type="character" w:customStyle="1" w:styleId="133">
    <w:name w:val="正文文本首行缩进 字符"/>
    <w:basedOn w:val="114"/>
    <w:link w:val="88"/>
    <w:locked/>
    <w:uiPriority w:val="99"/>
    <w:rPr>
      <w:rFonts w:ascii="楷体_GB2312" w:eastAsia="楷体_GB2312" w:cs="楷体_GB2312"/>
      <w:b/>
      <w:bCs/>
      <w:sz w:val="24"/>
      <w:szCs w:val="24"/>
    </w:rPr>
  </w:style>
  <w:style w:type="character" w:customStyle="1" w:styleId="134">
    <w:name w:val="正文文本首行缩进 2 字符"/>
    <w:basedOn w:val="135"/>
    <w:link w:val="89"/>
    <w:locked/>
    <w:uiPriority w:val="99"/>
    <w:rPr>
      <w:rFonts w:ascii="Times New Roman" w:hAnsi="Times New Roman" w:eastAsia="宋体" w:cs="Times New Roman"/>
      <w:sz w:val="24"/>
      <w:szCs w:val="24"/>
    </w:rPr>
  </w:style>
  <w:style w:type="character" w:customStyle="1" w:styleId="135">
    <w:name w:val="正文文本缩进 字符1"/>
    <w:basedOn w:val="92"/>
    <w:semiHidden/>
    <w:uiPriority w:val="99"/>
  </w:style>
  <w:style w:type="character" w:customStyle="1" w:styleId="136">
    <w:name w:val="页脚2 Char"/>
    <w:link w:val="137"/>
    <w:locked/>
    <w:uiPriority w:val="99"/>
    <w:rPr>
      <w:rFonts w:ascii="宋体" w:hAnsi="宋体" w:eastAsia="宋体" w:cs="宋体"/>
      <w:sz w:val="18"/>
      <w:szCs w:val="18"/>
    </w:rPr>
  </w:style>
  <w:style w:type="paragraph" w:customStyle="1" w:styleId="137">
    <w:name w:val="页脚2"/>
    <w:basedOn w:val="1"/>
    <w:link w:val="136"/>
    <w:uiPriority w:val="99"/>
    <w:pPr>
      <w:widowControl/>
      <w:pBdr>
        <w:top w:val="single" w:color="auto" w:sz="6" w:space="0"/>
      </w:pBdr>
      <w:jc w:val="right"/>
      <w:textAlignment w:val="center"/>
    </w:pPr>
    <w:rPr>
      <w:rFonts w:ascii="宋体" w:hAnsi="宋体" w:eastAsia="宋体" w:cs="宋体"/>
      <w:kern w:val="0"/>
      <w:sz w:val="18"/>
      <w:szCs w:val="18"/>
    </w:rPr>
  </w:style>
  <w:style w:type="character" w:customStyle="1" w:styleId="138">
    <w:name w:val="p141_0"/>
    <w:uiPriority w:val="99"/>
    <w:rPr>
      <w:sz w:val="21"/>
      <w:szCs w:val="21"/>
    </w:rPr>
  </w:style>
  <w:style w:type="character" w:customStyle="1" w:styleId="139">
    <w:name w:val="font31"/>
    <w:basedOn w:val="92"/>
    <w:uiPriority w:val="99"/>
    <w:rPr>
      <w:rFonts w:ascii="宋体" w:hAnsi="宋体" w:eastAsia="宋体" w:cs="宋体"/>
      <w:color w:val="000000"/>
      <w:sz w:val="24"/>
      <w:szCs w:val="24"/>
      <w:u w:val="none"/>
    </w:rPr>
  </w:style>
  <w:style w:type="character" w:customStyle="1" w:styleId="140">
    <w:name w:val="列表段落 字符"/>
    <w:link w:val="141"/>
    <w:locked/>
    <w:uiPriority w:val="99"/>
    <w:rPr>
      <w:rFonts w:ascii="Calibri" w:hAnsi="Calibri" w:cs="Calibri"/>
    </w:rPr>
  </w:style>
  <w:style w:type="paragraph" w:styleId="141">
    <w:name w:val="List Paragraph"/>
    <w:basedOn w:val="1"/>
    <w:link w:val="140"/>
    <w:qFormat/>
    <w:uiPriority w:val="99"/>
    <w:pPr>
      <w:ind w:firstLine="420" w:firstLineChars="200"/>
    </w:pPr>
    <w:rPr>
      <w:rFonts w:ascii="Calibri" w:hAnsi="Calibri" w:cs="Calibri"/>
      <w:kern w:val="0"/>
      <w:sz w:val="20"/>
      <w:szCs w:val="20"/>
    </w:rPr>
  </w:style>
  <w:style w:type="character" w:customStyle="1" w:styleId="142">
    <w:name w:val="正文缩进 字符"/>
    <w:link w:val="22"/>
    <w:locked/>
    <w:uiPriority w:val="99"/>
  </w:style>
  <w:style w:type="paragraph" w:customStyle="1" w:styleId="143">
    <w:name w:val="Char Char Char Char Char Char1 Char"/>
    <w:basedOn w:val="1"/>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144">
    <w:name w:val="样式4"/>
    <w:basedOn w:val="1"/>
    <w:uiPriority w:val="99"/>
    <w:pPr>
      <w:tabs>
        <w:tab w:val="left" w:pos="2328"/>
      </w:tabs>
      <w:ind w:left="2328" w:hanging="708"/>
    </w:pPr>
    <w:rPr>
      <w:rFonts w:ascii="Times New Roman" w:hAnsi="Times New Roman" w:eastAsia="宋体" w:cs="Times New Roman"/>
    </w:rPr>
  </w:style>
  <w:style w:type="paragraph" w:customStyle="1" w:styleId="145">
    <w:name w:val="Table Paragraph"/>
    <w:basedOn w:val="1"/>
    <w:uiPriority w:val="99"/>
    <w:pPr>
      <w:jc w:val="left"/>
    </w:pPr>
    <w:rPr>
      <w:rFonts w:ascii="Calibri" w:hAnsi="Calibri" w:eastAsia="宋体" w:cs="Calibri"/>
      <w:kern w:val="0"/>
      <w:sz w:val="22"/>
      <w:szCs w:val="22"/>
      <w:lang w:eastAsia="en-US"/>
    </w:rPr>
  </w:style>
  <w:style w:type="paragraph" w:customStyle="1" w:styleId="146">
    <w:name w:val="样式"/>
    <w:basedOn w:val="1"/>
    <w:next w:val="36"/>
    <w:uiPriority w:val="99"/>
    <w:pPr>
      <w:jc w:val="center"/>
    </w:pPr>
    <w:rPr>
      <w:rFonts w:ascii="宋体" w:hAnsi="宋体" w:eastAsia="宋体" w:cs="宋体"/>
      <w:color w:val="FF0000"/>
      <w:sz w:val="24"/>
      <w:szCs w:val="24"/>
    </w:rPr>
  </w:style>
  <w:style w:type="character" w:customStyle="1" w:styleId="147">
    <w:name w:val="正文文本 3 字符1"/>
    <w:basedOn w:val="92"/>
    <w:semiHidden/>
    <w:uiPriority w:val="99"/>
    <w:rPr>
      <w:sz w:val="16"/>
      <w:szCs w:val="16"/>
    </w:rPr>
  </w:style>
  <w:style w:type="paragraph" w:customStyle="1" w:styleId="148">
    <w:name w:val="Char"/>
    <w:basedOn w:val="1"/>
    <w:uiPriority w:val="99"/>
    <w:pPr>
      <w:adjustRightInd w:val="0"/>
      <w:spacing w:line="360" w:lineRule="auto"/>
    </w:pPr>
    <w:rPr>
      <w:rFonts w:ascii="Times New Roman" w:hAnsi="Times New Roman" w:eastAsia="宋体" w:cs="Times New Roman"/>
      <w:kern w:val="0"/>
      <w:sz w:val="24"/>
      <w:szCs w:val="24"/>
    </w:rPr>
  </w:style>
  <w:style w:type="paragraph" w:customStyle="1" w:styleId="149">
    <w:name w:val="Char1 Char Char Char"/>
    <w:basedOn w:val="1"/>
    <w:uiPriority w:val="99"/>
    <w:rPr>
      <w:rFonts w:ascii="Times New Roman" w:hAnsi="Times New Roman" w:eastAsia="宋体" w:cs="Times New Roman"/>
    </w:rPr>
  </w:style>
  <w:style w:type="character" w:customStyle="1" w:styleId="150">
    <w:name w:val="页眉 字符1"/>
    <w:basedOn w:val="92"/>
    <w:semiHidden/>
    <w:uiPriority w:val="99"/>
    <w:rPr>
      <w:sz w:val="18"/>
      <w:szCs w:val="18"/>
    </w:rPr>
  </w:style>
  <w:style w:type="paragraph" w:customStyle="1" w:styleId="151">
    <w:name w:val="正文 New New New New New New"/>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152">
    <w:name w:val="_Style 3"/>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153">
    <w:name w:val="xl24"/>
    <w:basedOn w:val="1"/>
    <w:uiPriority w:val="99"/>
    <w:pPr>
      <w:widowControl/>
      <w:pBdr>
        <w:bottom w:val="single" w:color="auto" w:sz="4" w:space="0"/>
        <w:right w:val="single" w:color="auto" w:sz="4" w:space="0"/>
      </w:pBdr>
      <w:spacing w:before="100" w:beforeAutospacing="1" w:after="100" w:afterAutospacing="1"/>
      <w:jc w:val="center"/>
      <w:textAlignment w:val="center"/>
    </w:pPr>
    <w:rPr>
      <w:rFonts w:ascii="楷体_GB2312" w:hAnsi="宋体" w:eastAsia="楷体_GB2312" w:cs="楷体_GB2312"/>
      <w:kern w:val="0"/>
      <w:sz w:val="24"/>
      <w:szCs w:val="24"/>
    </w:rPr>
  </w:style>
  <w:style w:type="paragraph" w:customStyle="1" w:styleId="154">
    <w:name w:val="Char Char Char Char Char Char1 Char1"/>
    <w:basedOn w:val="1"/>
    <w:uiPriority w:val="99"/>
    <w:pPr>
      <w:widowControl/>
      <w:spacing w:after="160" w:line="240" w:lineRule="exact"/>
      <w:jc w:val="left"/>
    </w:pPr>
    <w:rPr>
      <w:rFonts w:ascii="Arial" w:hAnsi="Arial" w:eastAsia="楷体_GB2312" w:cs="Arial"/>
      <w:b/>
      <w:bCs/>
      <w:kern w:val="0"/>
      <w:sz w:val="24"/>
      <w:szCs w:val="24"/>
      <w:lang w:eastAsia="en-US"/>
    </w:rPr>
  </w:style>
  <w:style w:type="paragraph" w:customStyle="1" w:styleId="155">
    <w:name w:val="正文_1"/>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156">
    <w:name w:val="xl29"/>
    <w:basedOn w:val="1"/>
    <w:uiPriority w:val="99"/>
    <w:pPr>
      <w:widowControl/>
      <w:spacing w:before="100" w:beforeAutospacing="1" w:after="100" w:afterAutospacing="1"/>
      <w:jc w:val="center"/>
    </w:pPr>
    <w:rPr>
      <w:rFonts w:ascii="宋体" w:hAnsi="宋体" w:eastAsia="宋体" w:cs="宋体"/>
      <w:kern w:val="0"/>
      <w:sz w:val="28"/>
      <w:szCs w:val="28"/>
    </w:rPr>
  </w:style>
  <w:style w:type="character" w:customStyle="1" w:styleId="157">
    <w:name w:val="正文文本 字符1"/>
    <w:basedOn w:val="92"/>
    <w:semiHidden/>
    <w:uiPriority w:val="99"/>
  </w:style>
  <w:style w:type="paragraph" w:customStyle="1" w:styleId="158">
    <w:name w:val="正文_0"/>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159">
    <w:name w:val="Char Char Char Char"/>
    <w:basedOn w:val="1"/>
    <w:uiPriority w:val="99"/>
    <w:pPr>
      <w:widowControl/>
      <w:spacing w:after="160" w:line="240" w:lineRule="exact"/>
      <w:jc w:val="left"/>
    </w:pPr>
    <w:rPr>
      <w:rFonts w:ascii="Times New Roman" w:hAnsi="Times New Roman" w:eastAsia="宋体" w:cs="Times New Roman"/>
    </w:rPr>
  </w:style>
  <w:style w:type="paragraph" w:customStyle="1" w:styleId="160">
    <w:name w:val="Char Char Char1 Char"/>
    <w:basedOn w:val="1"/>
    <w:uiPriority w:val="99"/>
    <w:pPr>
      <w:tabs>
        <w:tab w:val="left" w:pos="425"/>
      </w:tabs>
      <w:ind w:left="425" w:hanging="425"/>
    </w:pPr>
    <w:rPr>
      <w:rFonts w:ascii="Times New Roman" w:hAnsi="Times New Roman" w:eastAsia="仿宋_GB2312" w:cs="Times New Roman"/>
      <w:kern w:val="24"/>
      <w:sz w:val="24"/>
      <w:szCs w:val="24"/>
    </w:rPr>
  </w:style>
  <w:style w:type="paragraph" w:customStyle="1" w:styleId="161">
    <w:name w:val="Char1 Char Char Char2"/>
    <w:basedOn w:val="1"/>
    <w:uiPriority w:val="99"/>
    <w:pPr>
      <w:widowControl/>
      <w:spacing w:after="160" w:line="240" w:lineRule="exact"/>
      <w:jc w:val="left"/>
    </w:pPr>
    <w:rPr>
      <w:rFonts w:ascii="Verdana" w:hAnsi="Verdana" w:eastAsia="宋体" w:cs="Verdana"/>
      <w:kern w:val="0"/>
      <w:sz w:val="20"/>
      <w:szCs w:val="20"/>
      <w:lang w:eastAsia="en-US"/>
    </w:rPr>
  </w:style>
  <w:style w:type="paragraph" w:customStyle="1" w:styleId="162">
    <w:name w:val="Char Char Char"/>
    <w:basedOn w:val="1"/>
    <w:uiPriority w:val="99"/>
    <w:rPr>
      <w:rFonts w:ascii="宋体" w:hAnsi="宋体" w:eastAsia="宋体" w:cs="宋体"/>
      <w:b/>
      <w:bCs/>
      <w:sz w:val="28"/>
      <w:szCs w:val="28"/>
    </w:rPr>
  </w:style>
  <w:style w:type="paragraph" w:customStyle="1" w:styleId="163">
    <w:name w:val="表格和图形名称"/>
    <w:basedOn w:val="1"/>
    <w:next w:val="1"/>
    <w:uiPriority w:val="99"/>
    <w:pPr>
      <w:widowControl/>
      <w:spacing w:afterLines="50" w:line="360" w:lineRule="auto"/>
      <w:jc w:val="center"/>
    </w:pPr>
    <w:rPr>
      <w:rFonts w:ascii="Times New Roman" w:hAnsi="Times New Roman" w:eastAsia="宋体" w:cs="Times New Roman"/>
      <w:kern w:val="0"/>
    </w:rPr>
  </w:style>
  <w:style w:type="paragraph" w:customStyle="1" w:styleId="164">
    <w:name w:val="Char Char Char Char1"/>
    <w:basedOn w:val="1"/>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165">
    <w:name w:val="段"/>
    <w:uiPriority w:val="99"/>
    <w:pPr>
      <w:tabs>
        <w:tab w:val="center" w:pos="4201"/>
        <w:tab w:val="right" w:leader="dot" w:pos="9298"/>
      </w:tabs>
      <w:autoSpaceDE w:val="0"/>
      <w:autoSpaceDN w:val="0"/>
      <w:ind w:firstLine="420" w:firstLineChars="200"/>
      <w:jc w:val="both"/>
    </w:pPr>
    <w:rPr>
      <w:rFonts w:ascii="宋体" w:hAnsi="Times New Roman" w:eastAsia="宋体" w:cs="宋体"/>
      <w:kern w:val="0"/>
      <w:sz w:val="21"/>
      <w:szCs w:val="21"/>
      <w:lang w:val="en-US" w:eastAsia="zh-CN" w:bidi="ar-SA"/>
    </w:rPr>
  </w:style>
  <w:style w:type="paragraph" w:customStyle="1" w:styleId="166">
    <w:name w:val="表"/>
    <w:basedOn w:val="1"/>
    <w:uiPriority w:val="99"/>
    <w:pPr>
      <w:spacing w:line="460" w:lineRule="exact"/>
    </w:pPr>
    <w:rPr>
      <w:rFonts w:ascii="宋体" w:hAnsi="宋体" w:eastAsia="宋体" w:cs="宋体"/>
      <w:b/>
      <w:bCs/>
    </w:rPr>
  </w:style>
  <w:style w:type="character" w:customStyle="1" w:styleId="167">
    <w:name w:val="正文文本首行缩进 字符1"/>
    <w:basedOn w:val="157"/>
    <w:semiHidden/>
    <w:uiPriority w:val="99"/>
  </w:style>
  <w:style w:type="paragraph" w:customStyle="1" w:styleId="168">
    <w:name w:val="正文_0_0"/>
    <w:uiPriority w:val="99"/>
    <w:rPr>
      <w:rFonts w:ascii="Times New Roman" w:hAnsi="Times New Roman" w:eastAsia="宋体" w:cs="Times New Roman"/>
      <w:kern w:val="0"/>
      <w:sz w:val="21"/>
      <w:szCs w:val="21"/>
      <w:lang w:val="en-US" w:eastAsia="zh-CN" w:bidi="ar-SA"/>
    </w:rPr>
  </w:style>
  <w:style w:type="paragraph" w:customStyle="1" w:styleId="169">
    <w:name w:val="Char2"/>
    <w:basedOn w:val="1"/>
    <w:uiPriority w:val="99"/>
    <w:rPr>
      <w:rFonts w:ascii="Tahoma" w:hAnsi="Tahoma" w:eastAsia="宋体" w:cs="Tahoma"/>
      <w:sz w:val="24"/>
      <w:szCs w:val="24"/>
    </w:rPr>
  </w:style>
  <w:style w:type="paragraph" w:customStyle="1" w:styleId="170">
    <w:name w:val="Char Char2 Char"/>
    <w:basedOn w:val="1"/>
    <w:uiPriority w:val="99"/>
    <w:rPr>
      <w:rFonts w:ascii="Times New Roman" w:hAnsi="Times New Roman" w:eastAsia="宋体" w:cs="Times New Roman"/>
    </w:rPr>
  </w:style>
  <w:style w:type="paragraph" w:customStyle="1" w:styleId="171">
    <w:name w:val="列出段落1"/>
    <w:basedOn w:val="1"/>
    <w:uiPriority w:val="99"/>
    <w:pPr>
      <w:ind w:firstLine="420" w:firstLineChars="200"/>
    </w:pPr>
    <w:rPr>
      <w:rFonts w:ascii="Times New Roman" w:hAnsi="Times New Roman" w:eastAsia="宋体" w:cs="Times New Roman"/>
    </w:rPr>
  </w:style>
  <w:style w:type="character" w:customStyle="1" w:styleId="172">
    <w:name w:val="批注框文本 字符1"/>
    <w:basedOn w:val="92"/>
    <w:semiHidden/>
    <w:uiPriority w:val="99"/>
    <w:rPr>
      <w:sz w:val="18"/>
      <w:szCs w:val="18"/>
    </w:rPr>
  </w:style>
  <w:style w:type="paragraph" w:customStyle="1" w:styleId="173">
    <w:name w:val="xl30"/>
    <w:basedOn w:val="1"/>
    <w:uiPriority w:val="99"/>
    <w:pPr>
      <w:widowControl/>
      <w:pBdr>
        <w:left w:val="single" w:color="auto" w:sz="4" w:space="0"/>
        <w:right w:val="single" w:color="auto" w:sz="4" w:space="0"/>
      </w:pBdr>
      <w:spacing w:before="100" w:beforeAutospacing="1" w:after="100" w:afterAutospacing="1"/>
      <w:jc w:val="center"/>
      <w:textAlignment w:val="center"/>
    </w:pPr>
    <w:rPr>
      <w:rFonts w:hAnsi="Times New Roman"/>
      <w:kern w:val="0"/>
      <w:sz w:val="20"/>
      <w:szCs w:val="20"/>
    </w:rPr>
  </w:style>
  <w:style w:type="paragraph" w:customStyle="1" w:styleId="174">
    <w:name w:val="Char Char Char Char Char Char Char Char Char Char1"/>
    <w:basedOn w:val="1"/>
    <w:uiPriority w:val="99"/>
    <w:rPr>
      <w:rFonts w:ascii="Tahoma" w:hAnsi="Tahoma" w:eastAsia="宋体" w:cs="Tahoma"/>
      <w:sz w:val="24"/>
      <w:szCs w:val="24"/>
    </w:rPr>
  </w:style>
  <w:style w:type="paragraph" w:customStyle="1" w:styleId="175">
    <w:name w:val="Char1 Char Char Char1"/>
    <w:basedOn w:val="1"/>
    <w:uiPriority w:val="99"/>
    <w:pPr>
      <w:ind w:left="420" w:hanging="420"/>
    </w:pPr>
    <w:rPr>
      <w:rFonts w:ascii="Times New Roman" w:hAnsi="Times New Roman" w:eastAsia="宋体" w:cs="Times New Roman"/>
      <w:sz w:val="24"/>
      <w:szCs w:val="24"/>
    </w:rPr>
  </w:style>
  <w:style w:type="paragraph" w:customStyle="1" w:styleId="176">
    <w:name w:val="Style Body Text + 12 pt"/>
    <w:basedOn w:val="35"/>
    <w:uiPriority w:val="99"/>
    <w:pPr>
      <w:widowControl/>
      <w:tabs>
        <w:tab w:val="left" w:pos="2487"/>
      </w:tabs>
      <w:spacing w:before="120"/>
      <w:ind w:left="2487" w:hanging="360"/>
    </w:pPr>
    <w:rPr>
      <w:sz w:val="24"/>
      <w:szCs w:val="24"/>
      <w:lang w:val="zh-CN"/>
    </w:rPr>
  </w:style>
  <w:style w:type="paragraph" w:customStyle="1" w:styleId="177">
    <w:name w:val="正文_1_1"/>
    <w:uiPriority w:val="99"/>
    <w:pPr>
      <w:widowControl w:val="0"/>
      <w:jc w:val="both"/>
    </w:pPr>
    <w:rPr>
      <w:rFonts w:ascii="Calibri" w:hAnsi="Calibri" w:eastAsia="宋体" w:cs="Calibri"/>
      <w:kern w:val="2"/>
      <w:sz w:val="21"/>
      <w:szCs w:val="21"/>
      <w:lang w:val="en-US" w:eastAsia="zh-CN" w:bidi="ar-SA"/>
    </w:rPr>
  </w:style>
  <w:style w:type="paragraph" w:customStyle="1" w:styleId="178">
    <w:name w:val="List Paragraph1"/>
    <w:basedOn w:val="1"/>
    <w:uiPriority w:val="99"/>
    <w:pPr>
      <w:ind w:firstLine="420" w:firstLineChars="200"/>
    </w:pPr>
    <w:rPr>
      <w:rFonts w:ascii="Times New Roman" w:hAnsi="Times New Roman" w:eastAsia="宋体" w:cs="Times New Roman"/>
    </w:rPr>
  </w:style>
  <w:style w:type="paragraph" w:customStyle="1" w:styleId="179">
    <w:name w:val="标准"/>
    <w:basedOn w:val="1"/>
    <w:uiPriority w:val="99"/>
    <w:pPr>
      <w:overflowPunct w:val="0"/>
      <w:autoSpaceDE w:val="0"/>
      <w:autoSpaceDN w:val="0"/>
      <w:adjustRightInd w:val="0"/>
      <w:spacing w:line="240" w:lineRule="atLeast"/>
      <w:textAlignment w:val="baseline"/>
    </w:pPr>
    <w:rPr>
      <w:rFonts w:ascii="Times New Roman" w:hAnsi="Times New Roman" w:eastAsia="楷体_GB2312" w:cs="Times New Roman"/>
      <w:kern w:val="0"/>
      <w:sz w:val="24"/>
      <w:szCs w:val="24"/>
    </w:rPr>
  </w:style>
  <w:style w:type="paragraph" w:customStyle="1" w:styleId="180">
    <w:name w:val="tabletext"/>
    <w:basedOn w:val="1"/>
    <w:uiPriority w:val="99"/>
    <w:pPr>
      <w:widowControl/>
      <w:spacing w:before="100" w:beforeAutospacing="1" w:after="100" w:afterAutospacing="1" w:line="268" w:lineRule="atLeast"/>
      <w:jc w:val="left"/>
    </w:pPr>
    <w:rPr>
      <w:rFonts w:ascii="Arial Unicode MS" w:hAnsi="Arial Unicode MS" w:cs="Arial Unicode MS"/>
      <w:kern w:val="0"/>
      <w:sz w:val="20"/>
      <w:szCs w:val="20"/>
    </w:rPr>
  </w:style>
  <w:style w:type="paragraph" w:customStyle="1" w:styleId="181">
    <w:name w:val="Char Char Char Char Char Char Char Char Char Char"/>
    <w:basedOn w:val="1"/>
    <w:uiPriority w:val="99"/>
    <w:rPr>
      <w:rFonts w:ascii="Tahoma" w:hAnsi="Tahoma" w:eastAsia="宋体" w:cs="Tahoma"/>
      <w:sz w:val="24"/>
      <w:szCs w:val="24"/>
    </w:rPr>
  </w:style>
  <w:style w:type="paragraph" w:customStyle="1" w:styleId="182">
    <w:name w:val="样式1"/>
    <w:basedOn w:val="1"/>
    <w:uiPriority w:val="99"/>
    <w:pPr>
      <w:spacing w:line="440" w:lineRule="atLeast"/>
      <w:outlineLvl w:val="0"/>
    </w:pPr>
    <w:rPr>
      <w:rFonts w:ascii="宋体" w:hAnsi="宋体" w:eastAsia="宋体" w:cs="宋体"/>
      <w:sz w:val="24"/>
      <w:szCs w:val="24"/>
    </w:rPr>
  </w:style>
  <w:style w:type="paragraph" w:customStyle="1" w:styleId="183">
    <w:name w:val="标题 4_0"/>
    <w:basedOn w:val="155"/>
    <w:next w:val="155"/>
    <w:uiPriority w:val="99"/>
    <w:pPr>
      <w:keepNext/>
      <w:keepLines/>
      <w:spacing w:before="280" w:after="290" w:line="376" w:lineRule="auto"/>
      <w:outlineLvl w:val="3"/>
    </w:pPr>
    <w:rPr>
      <w:rFonts w:ascii="Cambria" w:hAnsi="Cambria" w:cs="Cambria"/>
      <w:b/>
      <w:bCs/>
      <w:sz w:val="28"/>
      <w:szCs w:val="28"/>
    </w:rPr>
  </w:style>
  <w:style w:type="paragraph" w:customStyle="1" w:styleId="184">
    <w:name w:val="Char Char Char Char Char Char Char1"/>
    <w:basedOn w:val="1"/>
    <w:uiPriority w:val="99"/>
    <w:pPr>
      <w:widowControl/>
      <w:spacing w:after="160" w:line="240" w:lineRule="exact"/>
      <w:jc w:val="left"/>
    </w:pPr>
    <w:rPr>
      <w:rFonts w:ascii="Verdana" w:hAnsi="Verdana" w:eastAsia="仿宋_GB2312" w:cs="Verdana"/>
      <w:kern w:val="0"/>
      <w:sz w:val="24"/>
      <w:szCs w:val="24"/>
      <w:lang w:eastAsia="en-US"/>
    </w:rPr>
  </w:style>
  <w:style w:type="character" w:customStyle="1" w:styleId="185">
    <w:name w:val="纯文本 字符1"/>
    <w:basedOn w:val="92"/>
    <w:semiHidden/>
    <w:uiPriority w:val="99"/>
    <w:rPr>
      <w:rFonts w:ascii="等线" w:hAnsi="Courier New" w:cs="等线"/>
    </w:rPr>
  </w:style>
  <w:style w:type="paragraph" w:customStyle="1" w:styleId="186">
    <w:name w:val="130"/>
    <w:basedOn w:val="1"/>
    <w:uiPriority w:val="99"/>
    <w:pPr>
      <w:widowControl/>
      <w:spacing w:before="100" w:beforeAutospacing="1" w:after="100" w:afterAutospacing="1" w:line="324" w:lineRule="auto"/>
      <w:jc w:val="left"/>
    </w:pPr>
    <w:rPr>
      <w:rFonts w:ascii="宋体" w:hAnsi="宋体" w:eastAsia="宋体" w:cs="宋体"/>
      <w:color w:val="000000"/>
      <w:kern w:val="0"/>
      <w:sz w:val="24"/>
      <w:szCs w:val="24"/>
    </w:rPr>
  </w:style>
  <w:style w:type="paragraph" w:customStyle="1" w:styleId="187">
    <w:name w:val="qw"/>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88">
    <w:name w:val="列出段落11"/>
    <w:basedOn w:val="1"/>
    <w:uiPriority w:val="99"/>
    <w:pPr>
      <w:ind w:firstLine="420" w:firstLineChars="200"/>
    </w:pPr>
    <w:rPr>
      <w:rFonts w:ascii="Calibri" w:hAnsi="Calibri" w:eastAsia="宋体" w:cs="Calibri"/>
    </w:rPr>
  </w:style>
  <w:style w:type="paragraph" w:customStyle="1" w:styleId="189">
    <w:name w:val="正文1"/>
    <w:basedOn w:val="1"/>
    <w:uiPriority w:val="99"/>
    <w:pPr>
      <w:adjustRightInd w:val="0"/>
      <w:spacing w:line="312" w:lineRule="atLeast"/>
    </w:pPr>
    <w:rPr>
      <w:rFonts w:ascii="Times New Roman" w:hAnsi="Times New Roman" w:eastAsia="宋体" w:cs="Times New Roman"/>
      <w:kern w:val="0"/>
      <w:sz w:val="28"/>
      <w:szCs w:val="28"/>
    </w:rPr>
  </w:style>
  <w:style w:type="paragraph" w:customStyle="1" w:styleId="190">
    <w:name w:val="Char Char Char1"/>
    <w:basedOn w:val="1"/>
    <w:uiPriority w:val="99"/>
    <w:rPr>
      <w:rFonts w:ascii="宋体" w:hAnsi="宋体" w:eastAsia="宋体" w:cs="宋体"/>
      <w:b/>
      <w:bCs/>
      <w:sz w:val="28"/>
      <w:szCs w:val="28"/>
    </w:rPr>
  </w:style>
  <w:style w:type="character" w:customStyle="1" w:styleId="191">
    <w:name w:val="文档结构图 字符1"/>
    <w:basedOn w:val="92"/>
    <w:semiHidden/>
    <w:uiPriority w:val="99"/>
    <w:rPr>
      <w:rFonts w:ascii="Microsoft YaHei UI" w:eastAsia="Microsoft YaHei UI" w:cs="Microsoft YaHei UI"/>
      <w:sz w:val="18"/>
      <w:szCs w:val="18"/>
    </w:rPr>
  </w:style>
  <w:style w:type="character" w:customStyle="1" w:styleId="192">
    <w:name w:val="批注文字 字符1"/>
    <w:basedOn w:val="92"/>
    <w:semiHidden/>
    <w:uiPriority w:val="99"/>
  </w:style>
  <w:style w:type="character" w:customStyle="1" w:styleId="193">
    <w:name w:val="标题 字符1"/>
    <w:basedOn w:val="92"/>
    <w:uiPriority w:val="99"/>
    <w:rPr>
      <w:rFonts w:ascii="等线 Light" w:hAnsi="等线 Light" w:eastAsia="等线 Light" w:cs="等线 Light"/>
      <w:b/>
      <w:bCs/>
      <w:sz w:val="32"/>
      <w:szCs w:val="32"/>
    </w:rPr>
  </w:style>
  <w:style w:type="paragraph" w:customStyle="1" w:styleId="194">
    <w:name w:val="Char Char1 Char Char Char Char1"/>
    <w:basedOn w:val="1"/>
    <w:uiPriority w:val="99"/>
    <w:pPr>
      <w:widowControl/>
      <w:spacing w:after="160" w:line="240" w:lineRule="exact"/>
      <w:jc w:val="left"/>
    </w:pPr>
    <w:rPr>
      <w:rFonts w:ascii="Arial" w:hAnsi="Arial" w:eastAsia="宋体" w:cs="Arial"/>
      <w:kern w:val="0"/>
      <w:sz w:val="20"/>
      <w:szCs w:val="20"/>
      <w:lang w:eastAsia="en-US"/>
    </w:rPr>
  </w:style>
  <w:style w:type="character" w:customStyle="1" w:styleId="195">
    <w:name w:val="页脚 字符1"/>
    <w:basedOn w:val="92"/>
    <w:semiHidden/>
    <w:uiPriority w:val="99"/>
    <w:rPr>
      <w:sz w:val="18"/>
      <w:szCs w:val="18"/>
    </w:rPr>
  </w:style>
  <w:style w:type="paragraph" w:customStyle="1" w:styleId="196">
    <w:name w:val="排列"/>
    <w:basedOn w:val="68"/>
    <w:next w:val="68"/>
    <w:uiPriority w:val="99"/>
    <w:pPr>
      <w:tabs>
        <w:tab w:val="left" w:pos="1261"/>
        <w:tab w:val="clear" w:pos="360"/>
      </w:tabs>
      <w:ind w:left="1261" w:hanging="420"/>
    </w:pPr>
  </w:style>
  <w:style w:type="paragraph" w:customStyle="1" w:styleId="197">
    <w:name w:val="样式 样式 正文首行缩进 + (符号) 宋体 + 左侧:  2 字符 首行缩进:  2 字符"/>
    <w:basedOn w:val="1"/>
    <w:uiPriority w:val="99"/>
    <w:pPr>
      <w:spacing w:line="360" w:lineRule="auto"/>
      <w:ind w:firstLine="200" w:firstLineChars="200"/>
      <w:jc w:val="left"/>
    </w:pPr>
    <w:rPr>
      <w:rFonts w:ascii="Times New Roman" w:hAnsi="宋体" w:eastAsia="宋体" w:cs="Times New Roman"/>
      <w:kern w:val="0"/>
      <w:lang w:eastAsia="en-US"/>
    </w:rPr>
  </w:style>
  <w:style w:type="paragraph" w:customStyle="1" w:styleId="198">
    <w:name w:val="正文_0_0_0"/>
    <w:uiPriority w:val="99"/>
    <w:pPr>
      <w:widowControl w:val="0"/>
      <w:ind w:firstLine="200" w:firstLineChars="200"/>
      <w:jc w:val="both"/>
    </w:pPr>
    <w:rPr>
      <w:rFonts w:ascii="Times New Roman" w:hAnsi="Times New Roman" w:eastAsia="仿宋_GB2312" w:cs="Times New Roman"/>
      <w:kern w:val="2"/>
      <w:sz w:val="28"/>
      <w:szCs w:val="28"/>
      <w:lang w:val="en-US" w:eastAsia="zh-CN" w:bidi="ar-SA"/>
    </w:rPr>
  </w:style>
  <w:style w:type="paragraph" w:customStyle="1" w:styleId="199">
    <w:name w:val="修订1"/>
    <w:semiHidden/>
    <w:uiPriority w:val="99"/>
    <w:rPr>
      <w:rFonts w:ascii="Times New Roman" w:hAnsi="Times New Roman" w:eastAsia="宋体" w:cs="Times New Roman"/>
      <w:kern w:val="2"/>
      <w:sz w:val="21"/>
      <w:szCs w:val="21"/>
      <w:lang w:val="en-US" w:eastAsia="zh-CN" w:bidi="ar-SA"/>
    </w:rPr>
  </w:style>
  <w:style w:type="character" w:customStyle="1" w:styleId="200">
    <w:name w:val="正文文本 2 字符1"/>
    <w:basedOn w:val="92"/>
    <w:semiHidden/>
    <w:uiPriority w:val="99"/>
  </w:style>
  <w:style w:type="paragraph" w:customStyle="1" w:styleId="201">
    <w:name w:val="Char Char2 Char1"/>
    <w:basedOn w:val="1"/>
    <w:uiPriority w:val="99"/>
    <w:rPr>
      <w:rFonts w:ascii="Times New Roman" w:hAnsi="Times New Roman" w:eastAsia="宋体" w:cs="Times New Roman"/>
    </w:rPr>
  </w:style>
  <w:style w:type="paragraph" w:customStyle="1" w:styleId="202">
    <w:name w:val="xl25"/>
    <w:basedOn w:val="1"/>
    <w:uiPriority w:val="99"/>
    <w:pPr>
      <w:widowControl/>
      <w:pBdr>
        <w:bottom w:val="single" w:color="auto" w:sz="4" w:space="0"/>
        <w:right w:val="single" w:color="auto" w:sz="4" w:space="0"/>
      </w:pBdr>
      <w:spacing w:before="100" w:beforeAutospacing="1" w:after="100" w:afterAutospacing="1"/>
      <w:jc w:val="center"/>
    </w:pPr>
    <w:rPr>
      <w:rFonts w:ascii="宋体" w:hAnsi="宋体" w:eastAsia="宋体" w:cs="宋体"/>
      <w:kern w:val="0"/>
    </w:rPr>
  </w:style>
  <w:style w:type="paragraph" w:customStyle="1" w:styleId="203">
    <w:name w:val="样式 小四 段前: 5 磅 段后: 5 磅 首行缩进:  2 字符"/>
    <w:basedOn w:val="1"/>
    <w:uiPriority w:val="99"/>
    <w:pPr>
      <w:spacing w:line="360" w:lineRule="auto"/>
    </w:pPr>
    <w:rPr>
      <w:rFonts w:ascii="宋体" w:hAnsi="宋体" w:eastAsia="宋体" w:cs="宋体"/>
      <w:color w:val="000000"/>
      <w:sz w:val="24"/>
      <w:szCs w:val="24"/>
    </w:rPr>
  </w:style>
  <w:style w:type="paragraph" w:customStyle="1" w:styleId="204">
    <w:name w:val="默认段落字体 Para Char Char Char Char Char Char Char"/>
    <w:basedOn w:val="1"/>
    <w:uiPriority w:val="99"/>
    <w:rPr>
      <w:rFonts w:ascii="Tahoma" w:hAnsi="Tahoma" w:eastAsia="宋体" w:cs="Tahoma"/>
      <w:sz w:val="24"/>
      <w:szCs w:val="24"/>
    </w:rPr>
  </w:style>
  <w:style w:type="paragraph" w:customStyle="1" w:styleId="205">
    <w:name w:val="Char Char1 Char Char Char Char"/>
    <w:basedOn w:val="1"/>
    <w:uiPriority w:val="99"/>
    <w:pPr>
      <w:widowControl/>
      <w:spacing w:after="160" w:line="240" w:lineRule="exact"/>
      <w:jc w:val="left"/>
    </w:pPr>
    <w:rPr>
      <w:rFonts w:ascii="Arial" w:hAnsi="Arial" w:eastAsia="宋体" w:cs="Arial"/>
      <w:kern w:val="0"/>
      <w:sz w:val="20"/>
      <w:szCs w:val="20"/>
      <w:lang w:eastAsia="en-US"/>
    </w:rPr>
  </w:style>
  <w:style w:type="paragraph" w:customStyle="1" w:styleId="206">
    <w:name w:val="Char1"/>
    <w:basedOn w:val="1"/>
    <w:uiPriority w:val="99"/>
    <w:pPr>
      <w:widowControl/>
      <w:spacing w:after="160" w:line="240" w:lineRule="exact"/>
      <w:jc w:val="left"/>
    </w:pPr>
    <w:rPr>
      <w:rFonts w:ascii="Verdana" w:hAnsi="Verdana" w:eastAsia="楷体_GB2312" w:cs="Verdana"/>
      <w:b/>
      <w:bCs/>
      <w:i/>
      <w:iCs/>
      <w:color w:val="000000"/>
      <w:kern w:val="0"/>
      <w:sz w:val="20"/>
      <w:szCs w:val="20"/>
      <w:lang w:eastAsia="en-US"/>
    </w:rPr>
  </w:style>
  <w:style w:type="paragraph" w:customStyle="1" w:styleId="207">
    <w:name w:val="Blockquote"/>
    <w:basedOn w:val="1"/>
    <w:uiPriority w:val="99"/>
    <w:pPr>
      <w:autoSpaceDE w:val="0"/>
      <w:autoSpaceDN w:val="0"/>
      <w:adjustRightInd w:val="0"/>
      <w:spacing w:before="100" w:after="100"/>
      <w:ind w:left="360" w:right="360"/>
      <w:jc w:val="left"/>
    </w:pPr>
    <w:rPr>
      <w:rFonts w:ascii="Times New Roman" w:hAnsi="Times New Roman" w:eastAsia="宋体" w:cs="Times New Roman"/>
      <w:kern w:val="0"/>
      <w:sz w:val="24"/>
      <w:szCs w:val="24"/>
    </w:rPr>
  </w:style>
  <w:style w:type="paragraph" w:customStyle="1" w:styleId="208">
    <w:name w:val="p1215"/>
    <w:basedOn w:val="1"/>
    <w:uiPriority w:val="99"/>
    <w:pPr>
      <w:widowControl/>
      <w:spacing w:before="100" w:beforeAutospacing="1" w:after="100" w:afterAutospacing="1"/>
      <w:jc w:val="left"/>
    </w:pPr>
    <w:rPr>
      <w:rFonts w:ascii="宋体" w:hAnsi="宋体" w:eastAsia="宋体" w:cs="宋体"/>
      <w:color w:val="003399"/>
      <w:kern w:val="0"/>
      <w:sz w:val="24"/>
      <w:szCs w:val="24"/>
    </w:rPr>
  </w:style>
  <w:style w:type="character" w:customStyle="1" w:styleId="209">
    <w:name w:val="批注主题 字符1"/>
    <w:basedOn w:val="192"/>
    <w:semiHidden/>
    <w:uiPriority w:val="99"/>
    <w:rPr>
      <w:b/>
      <w:bCs/>
    </w:rPr>
  </w:style>
  <w:style w:type="paragraph" w:customStyle="1" w:styleId="210">
    <w:name w:val="封面2"/>
    <w:basedOn w:val="1"/>
    <w:uiPriority w:val="99"/>
    <w:pPr>
      <w:spacing w:line="360" w:lineRule="auto"/>
      <w:jc w:val="center"/>
    </w:pPr>
    <w:rPr>
      <w:rFonts w:ascii="黑体" w:hAnsi="宋体" w:eastAsia="黑体" w:cs="黑体"/>
      <w:b/>
      <w:bCs/>
      <w:spacing w:val="-30"/>
      <w:sz w:val="96"/>
      <w:szCs w:val="96"/>
    </w:rPr>
  </w:style>
  <w:style w:type="paragraph" w:customStyle="1" w:styleId="211">
    <w:name w:val="Char Char Char Char Char Char Char"/>
    <w:basedOn w:val="1"/>
    <w:uiPriority w:val="99"/>
    <w:pPr>
      <w:widowControl/>
      <w:spacing w:after="160" w:line="240" w:lineRule="exact"/>
      <w:jc w:val="left"/>
    </w:pPr>
    <w:rPr>
      <w:rFonts w:ascii="Verdana" w:hAnsi="Verdana" w:eastAsia="仿宋_GB2312" w:cs="Verdana"/>
      <w:kern w:val="0"/>
      <w:sz w:val="24"/>
      <w:szCs w:val="24"/>
      <w:lang w:eastAsia="en-US"/>
    </w:rPr>
  </w:style>
  <w:style w:type="paragraph" w:customStyle="1" w:styleId="212">
    <w:name w:val="图"/>
    <w:basedOn w:val="1"/>
    <w:uiPriority w:val="99"/>
    <w:pPr>
      <w:keepNext/>
      <w:adjustRightInd w:val="0"/>
      <w:spacing w:before="60" w:after="60" w:line="300" w:lineRule="auto"/>
      <w:jc w:val="center"/>
      <w:textAlignment w:val="center"/>
    </w:pPr>
    <w:rPr>
      <w:rFonts w:ascii="Times New Roman" w:hAnsi="Times New Roman" w:eastAsia="宋体" w:cs="Times New Roman"/>
      <w:spacing w:val="20"/>
      <w:kern w:val="0"/>
      <w:sz w:val="24"/>
      <w:szCs w:val="24"/>
    </w:rPr>
  </w:style>
  <w:style w:type="paragraph" w:customStyle="1" w:styleId="213">
    <w:name w:val="Char Char Char Char Char Char Char Char Char Char Char Char Char1"/>
    <w:basedOn w:val="27"/>
    <w:uiPriority w:val="99"/>
  </w:style>
  <w:style w:type="paragraph" w:customStyle="1" w:styleId="214">
    <w:name w:val="Char Char Char Char Char Char Char Char Char Char Char Char Char"/>
    <w:basedOn w:val="27"/>
    <w:uiPriority w:val="99"/>
  </w:style>
  <w:style w:type="paragraph" w:customStyle="1" w:styleId="215">
    <w:name w:val="内正文"/>
    <w:basedOn w:val="1"/>
    <w:uiPriority w:val="99"/>
    <w:pPr>
      <w:ind w:firstLine="420"/>
    </w:pPr>
    <w:rPr>
      <w:rFonts w:ascii="Times New Roman" w:hAnsi="Times New Roman" w:eastAsia="文鼎CS书宋二" w:cs="Times New Roman"/>
    </w:rPr>
  </w:style>
  <w:style w:type="paragraph" w:customStyle="1" w:styleId="216">
    <w:name w:val="5"/>
    <w:basedOn w:val="1"/>
    <w:qFormat/>
    <w:uiPriority w:val="99"/>
    <w:rPr>
      <w:rFonts w:ascii="Tahoma" w:hAnsi="Tahoma" w:eastAsia="宋体" w:cs="Tahoma"/>
      <w:sz w:val="24"/>
      <w:szCs w:val="24"/>
    </w:rPr>
  </w:style>
  <w:style w:type="paragraph" w:customStyle="1" w:styleId="217">
    <w:name w:val="xl47"/>
    <w:basedOn w:val="1"/>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eastAsia="宋体" w:cs="宋体"/>
      <w:b/>
      <w:bCs/>
      <w:kern w:val="0"/>
      <w:sz w:val="36"/>
      <w:szCs w:val="36"/>
    </w:rPr>
  </w:style>
  <w:style w:type="table" w:customStyle="1" w:styleId="218">
    <w:name w:val="网格型1"/>
    <w:uiPriority w:val="99"/>
    <w:rPr>
      <w:rFonts w:ascii="Calibri" w:hAnsi="Calibri"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customStyle="1" w:styleId="219">
    <w:name w:val="网格型2"/>
    <w:uiPriority w:val="99"/>
    <w:pPr>
      <w:spacing w:beforeAutospacing="1" w:afterAutospacing="1"/>
    </w:pPr>
    <w:rPr>
      <w:rFonts w:ascii="Calibri" w:hAnsi="Calibri" w:cs="Calibri"/>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header" Target="header5.xml"/><Relationship Id="rId12" Type="http://schemas.openxmlformats.org/officeDocument/2006/relationships/header" Target="header4.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header4.xml.rels><?xml version="1.0" encoding="UTF-8" standalone="yes"?>
<Relationships xmlns="http://schemas.openxmlformats.org/package/2006/relationships"><Relationship Id="rId1" Type="http://schemas.openxmlformats.org/officeDocument/2006/relationships/image" Target="media/image1.png"/></Relationships>
</file>

<file path=word/_rels/header5.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74</Pages>
  <Words>6657</Words>
  <Characters>37947</Characters>
  <Lines>316</Lines>
  <Paragraphs>89</Paragraphs>
  <TotalTime>5</TotalTime>
  <ScaleCrop>false</ScaleCrop>
  <LinksUpToDate>false</LinksUpToDate>
  <CharactersWithSpaces>44515</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2021-06-16T02:38:00Z</dcterms:created>
  <dc:creator>prhlawyer@126.com</dc:creator>
  <cp:lastModifiedBy>小笼包</cp:lastModifiedBy>
  <dcterms:modified xsi:type="dcterms:W3CDTF">2021-07-26T08:17:24Z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29267F9A2864433EBF8DCFCD71FD1381</vt:lpwstr>
  </property>
</Properties>
</file>