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bidi w:val="0"/>
        <w:spacing w:line="360" w:lineRule="auto"/>
        <w:jc w:val="center"/>
        <w:textAlignment w:val="auto"/>
        <w:rPr>
          <w:rFonts w:hint="eastAsia" w:asciiTheme="minorEastAsia" w:hAnsiTheme="minorEastAsia" w:eastAsiaTheme="minorEastAsia" w:cstheme="minorEastAsia"/>
          <w:b/>
          <w:bCs/>
          <w:color w:val="auto"/>
          <w:kern w:val="28"/>
          <w:sz w:val="32"/>
          <w:szCs w:val="32"/>
          <w:highlight w:val="none"/>
          <w:lang w:eastAsia="zh-CN"/>
        </w:rPr>
      </w:pPr>
      <w:bookmarkStart w:id="0" w:name="_GoBack"/>
      <w:r>
        <w:rPr>
          <w:rFonts w:hint="eastAsia" w:asciiTheme="minorEastAsia" w:hAnsiTheme="minorEastAsia" w:eastAsiaTheme="minorEastAsia" w:cstheme="minorEastAsia"/>
          <w:b/>
          <w:bCs/>
          <w:color w:val="auto"/>
          <w:kern w:val="28"/>
          <w:sz w:val="32"/>
          <w:szCs w:val="32"/>
          <w:highlight w:val="none"/>
          <w:lang w:eastAsia="zh-CN"/>
        </w:rPr>
        <w:t>荔湾区2025年资源收集中心、环卫工具房、环卫驿站采购项目</w:t>
      </w:r>
    </w:p>
    <w:p>
      <w:pPr>
        <w:keepNext w:val="0"/>
        <w:keepLines w:val="0"/>
        <w:pageBreakBefore w:val="0"/>
        <w:widowControl/>
        <w:kinsoku/>
        <w:wordWrap/>
        <w:overflowPunct/>
        <w:topLinePunct w:val="0"/>
        <w:bidi w:val="0"/>
        <w:spacing w:line="360" w:lineRule="auto"/>
        <w:jc w:val="center"/>
        <w:textAlignment w:val="auto"/>
        <w:rPr>
          <w:rFonts w:hint="eastAsia" w:asciiTheme="minorEastAsia" w:hAnsiTheme="minorEastAsia" w:eastAsiaTheme="minorEastAsia" w:cstheme="minorEastAsia"/>
          <w:b/>
          <w:bCs/>
          <w:color w:val="auto"/>
          <w:w w:val="100"/>
          <w:kern w:val="28"/>
          <w:sz w:val="32"/>
          <w:szCs w:val="32"/>
          <w:highlight w:val="none"/>
        </w:rPr>
      </w:pPr>
      <w:r>
        <w:rPr>
          <w:rFonts w:hint="eastAsia" w:asciiTheme="minorEastAsia" w:hAnsiTheme="minorEastAsia" w:eastAsiaTheme="minorEastAsia" w:cstheme="minorEastAsia"/>
          <w:b/>
          <w:bCs/>
          <w:color w:val="auto"/>
          <w:kern w:val="28"/>
          <w:sz w:val="32"/>
          <w:szCs w:val="32"/>
          <w:highlight w:val="none"/>
          <w:lang w:val="en-US" w:eastAsia="zh-CN"/>
        </w:rPr>
        <w:t>采购</w:t>
      </w:r>
      <w:r>
        <w:rPr>
          <w:rFonts w:hint="eastAsia" w:asciiTheme="minorEastAsia" w:hAnsiTheme="minorEastAsia" w:eastAsiaTheme="minorEastAsia" w:cstheme="minorEastAsia"/>
          <w:b/>
          <w:bCs/>
          <w:color w:val="auto"/>
          <w:kern w:val="28"/>
          <w:sz w:val="32"/>
          <w:szCs w:val="32"/>
          <w:highlight w:val="none"/>
        </w:rPr>
        <w:t>需求征求意见</w:t>
      </w:r>
      <w:r>
        <w:rPr>
          <w:rFonts w:hint="eastAsia" w:asciiTheme="minorEastAsia" w:hAnsiTheme="minorEastAsia" w:eastAsiaTheme="minorEastAsia" w:cstheme="minorEastAsia"/>
          <w:b/>
          <w:bCs/>
          <w:color w:val="auto"/>
          <w:kern w:val="28"/>
          <w:sz w:val="32"/>
          <w:szCs w:val="32"/>
          <w:highlight w:val="none"/>
          <w:lang w:val="en-US" w:eastAsia="zh-CN"/>
        </w:rPr>
        <w:t>稿</w:t>
      </w:r>
    </w:p>
    <w:p>
      <w:pPr>
        <w:pStyle w:val="3"/>
        <w:keepNext w:val="0"/>
        <w:keepLines w:val="0"/>
        <w:pageBreakBefore w:val="0"/>
        <w:numPr>
          <w:ilvl w:val="1"/>
          <w:numId w:val="0"/>
        </w:numPr>
        <w:tabs>
          <w:tab w:val="left" w:pos="630"/>
          <w:tab w:val="clear" w:pos="432"/>
          <w:tab w:val="clear" w:pos="576"/>
          <w:tab w:val="clear" w:pos="851"/>
        </w:tabs>
        <w:kinsoku/>
        <w:wordWrap/>
        <w:overflowPunct/>
        <w:topLinePunct w:val="0"/>
        <w:bidi w:val="0"/>
        <w:spacing w:before="312" w:beforeLines="100" w:line="360" w:lineRule="auto"/>
        <w:textAlignment w:val="auto"/>
        <w:rPr>
          <w:rFonts w:hint="eastAsia" w:asciiTheme="minorEastAsia" w:hAnsiTheme="minorEastAsia" w:eastAsiaTheme="minorEastAsia" w:cstheme="minorEastAsia"/>
          <w:b/>
          <w:color w:val="auto"/>
          <w:sz w:val="28"/>
          <w:szCs w:val="28"/>
          <w:highlight w:val="none"/>
        </w:rPr>
      </w:pPr>
      <w:r>
        <w:rPr>
          <w:rFonts w:hint="eastAsia" w:asciiTheme="minorEastAsia" w:hAnsiTheme="minorEastAsia" w:eastAsiaTheme="minorEastAsia" w:cstheme="minorEastAsia"/>
          <w:b/>
          <w:color w:val="auto"/>
          <w:sz w:val="28"/>
          <w:szCs w:val="28"/>
          <w:highlight w:val="none"/>
        </w:rPr>
        <w:t>一、项目概况</w:t>
      </w:r>
    </w:p>
    <w:p>
      <w:pPr>
        <w:keepNext w:val="0"/>
        <w:keepLines w:val="0"/>
        <w:pageBreakBefore w:val="0"/>
        <w:kinsoku/>
        <w:wordWrap/>
        <w:overflowPunct/>
        <w:topLinePunct w:val="0"/>
        <w:bidi w:val="0"/>
        <w:spacing w:line="360" w:lineRule="auto"/>
        <w:ind w:firstLine="560" w:firstLineChars="200"/>
        <w:textAlignment w:val="auto"/>
        <w:rPr>
          <w:rFonts w:hint="eastAsia" w:asciiTheme="minorEastAsia" w:hAnsiTheme="minorEastAsia" w:eastAsiaTheme="minorEastAsia" w:cstheme="minorEastAsia"/>
          <w:color w:val="auto"/>
          <w:kern w:val="28"/>
          <w:sz w:val="28"/>
          <w:szCs w:val="28"/>
          <w:highlight w:val="none"/>
        </w:rPr>
      </w:pPr>
      <w:r>
        <w:rPr>
          <w:rFonts w:hint="eastAsia" w:asciiTheme="minorEastAsia" w:hAnsiTheme="minorEastAsia" w:eastAsiaTheme="minorEastAsia" w:cstheme="minorEastAsia"/>
          <w:color w:val="auto"/>
          <w:kern w:val="28"/>
          <w:sz w:val="28"/>
          <w:szCs w:val="28"/>
          <w:highlight w:val="none"/>
        </w:rPr>
        <w:t>（1）本项目为荔湾区2025年资源收集中心、环卫工具房、环卫驿站采购项目。</w:t>
      </w:r>
    </w:p>
    <w:tbl>
      <w:tblPr>
        <w:tblStyle w:val="9"/>
        <w:tblW w:w="92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1"/>
        <w:gridCol w:w="1770"/>
        <w:gridCol w:w="1785"/>
        <w:gridCol w:w="1395"/>
        <w:gridCol w:w="27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153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b/>
                <w:color w:val="auto"/>
                <w:sz w:val="28"/>
                <w:szCs w:val="28"/>
                <w:highlight w:val="none"/>
              </w:rPr>
            </w:pPr>
            <w:r>
              <w:rPr>
                <w:rFonts w:hint="eastAsia" w:asciiTheme="minorEastAsia" w:hAnsiTheme="minorEastAsia" w:eastAsiaTheme="minorEastAsia" w:cstheme="minorEastAsia"/>
                <w:b/>
                <w:bCs/>
                <w:color w:val="auto"/>
                <w:sz w:val="28"/>
                <w:szCs w:val="28"/>
                <w:highlight w:val="none"/>
              </w:rPr>
              <w:t>项目名称</w:t>
            </w:r>
          </w:p>
        </w:tc>
        <w:tc>
          <w:tcPr>
            <w:tcW w:w="177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b/>
                <w:color w:val="auto"/>
                <w:sz w:val="28"/>
                <w:szCs w:val="28"/>
                <w:highlight w:val="none"/>
              </w:rPr>
            </w:pPr>
            <w:r>
              <w:rPr>
                <w:rFonts w:hint="eastAsia" w:asciiTheme="minorEastAsia" w:hAnsiTheme="minorEastAsia" w:eastAsiaTheme="minorEastAsia" w:cstheme="minorEastAsia"/>
                <w:b/>
                <w:color w:val="auto"/>
                <w:sz w:val="28"/>
                <w:szCs w:val="28"/>
                <w:highlight w:val="none"/>
              </w:rPr>
              <w:t>包号</w:t>
            </w:r>
          </w:p>
        </w:tc>
        <w:tc>
          <w:tcPr>
            <w:tcW w:w="17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b/>
                <w:color w:val="auto"/>
                <w:sz w:val="28"/>
                <w:szCs w:val="28"/>
                <w:highlight w:val="none"/>
              </w:rPr>
            </w:pPr>
            <w:r>
              <w:rPr>
                <w:rFonts w:hint="eastAsia" w:asciiTheme="minorEastAsia" w:hAnsiTheme="minorEastAsia" w:eastAsiaTheme="minorEastAsia" w:cstheme="minorEastAsia"/>
                <w:b/>
                <w:color w:val="auto"/>
                <w:sz w:val="28"/>
                <w:szCs w:val="28"/>
                <w:highlight w:val="none"/>
              </w:rPr>
              <w:t>工作内容</w:t>
            </w:r>
          </w:p>
        </w:tc>
        <w:tc>
          <w:tcPr>
            <w:tcW w:w="139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b/>
                <w:color w:val="auto"/>
                <w:sz w:val="28"/>
                <w:szCs w:val="28"/>
                <w:highlight w:val="none"/>
              </w:rPr>
            </w:pPr>
            <w:r>
              <w:rPr>
                <w:rFonts w:hint="eastAsia" w:asciiTheme="minorEastAsia" w:hAnsiTheme="minorEastAsia" w:eastAsiaTheme="minorEastAsia" w:cstheme="minorEastAsia"/>
                <w:b/>
                <w:color w:val="auto"/>
                <w:sz w:val="28"/>
                <w:szCs w:val="28"/>
                <w:highlight w:val="none"/>
              </w:rPr>
              <w:t>采购项目预算金额</w:t>
            </w:r>
          </w:p>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b/>
                <w:color w:val="auto"/>
                <w:kern w:val="2"/>
                <w:sz w:val="28"/>
                <w:szCs w:val="28"/>
                <w:highlight w:val="none"/>
                <w:lang w:val="en-US" w:eastAsia="zh-CN" w:bidi="ar-SA"/>
              </w:rPr>
            </w:pPr>
            <w:r>
              <w:rPr>
                <w:rFonts w:hint="eastAsia" w:asciiTheme="minorEastAsia" w:hAnsiTheme="minorEastAsia" w:eastAsiaTheme="minorEastAsia" w:cstheme="minorEastAsia"/>
                <w:b/>
                <w:color w:val="auto"/>
                <w:sz w:val="28"/>
                <w:szCs w:val="28"/>
                <w:highlight w:val="none"/>
              </w:rPr>
              <w:t>（万元）</w:t>
            </w:r>
          </w:p>
        </w:tc>
        <w:tc>
          <w:tcPr>
            <w:tcW w:w="272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b/>
                <w:color w:val="auto"/>
                <w:sz w:val="28"/>
                <w:szCs w:val="28"/>
                <w:highlight w:val="none"/>
                <w:lang w:eastAsia="zh-CN"/>
              </w:rPr>
            </w:pPr>
            <w:r>
              <w:rPr>
                <w:rFonts w:hint="eastAsia" w:asciiTheme="minorEastAsia" w:hAnsiTheme="minorEastAsia" w:eastAsiaTheme="minorEastAsia" w:cstheme="minorEastAsia"/>
                <w:b/>
                <w:color w:val="auto"/>
                <w:sz w:val="28"/>
                <w:szCs w:val="28"/>
                <w:highlight w:val="none"/>
                <w:lang w:eastAsia="zh-CN"/>
              </w:rPr>
              <w:t>合同履行期限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1531" w:type="dxa"/>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auto"/>
                <w:kern w:val="28"/>
                <w:sz w:val="28"/>
                <w:szCs w:val="28"/>
                <w:highlight w:val="none"/>
                <w:lang w:eastAsia="zh-CN"/>
              </w:rPr>
            </w:pPr>
            <w:r>
              <w:rPr>
                <w:rFonts w:hint="eastAsia" w:asciiTheme="minorEastAsia" w:hAnsiTheme="minorEastAsia" w:eastAsiaTheme="minorEastAsia" w:cstheme="minorEastAsia"/>
                <w:color w:val="auto"/>
                <w:kern w:val="28"/>
                <w:sz w:val="28"/>
                <w:szCs w:val="28"/>
                <w:highlight w:val="none"/>
                <w:lang w:eastAsia="zh-CN"/>
              </w:rPr>
              <w:t>荔湾区2025年资源收集中心、环卫工具房、环卫驿站采购项目</w:t>
            </w:r>
          </w:p>
        </w:tc>
        <w:tc>
          <w:tcPr>
            <w:tcW w:w="177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auto"/>
                <w:kern w:val="28"/>
                <w:sz w:val="28"/>
                <w:szCs w:val="28"/>
                <w:highlight w:val="none"/>
              </w:rPr>
            </w:pPr>
            <w:r>
              <w:rPr>
                <w:rFonts w:hint="eastAsia" w:asciiTheme="minorEastAsia" w:hAnsiTheme="minorEastAsia" w:eastAsiaTheme="minorEastAsia" w:cstheme="minorEastAsia"/>
                <w:color w:val="auto"/>
                <w:kern w:val="28"/>
                <w:sz w:val="28"/>
                <w:szCs w:val="28"/>
                <w:highlight w:val="none"/>
              </w:rPr>
              <w:t>（</w:t>
            </w:r>
            <w:r>
              <w:rPr>
                <w:rFonts w:hint="eastAsia" w:asciiTheme="minorEastAsia" w:hAnsiTheme="minorEastAsia" w:eastAsiaTheme="minorEastAsia" w:cstheme="minorEastAsia"/>
                <w:color w:val="auto"/>
                <w:kern w:val="28"/>
                <w:sz w:val="28"/>
                <w:szCs w:val="28"/>
                <w:highlight w:val="none"/>
                <w:lang w:val="en-US" w:eastAsia="zh-CN"/>
              </w:rPr>
              <w:t>采购包1</w:t>
            </w:r>
            <w:r>
              <w:rPr>
                <w:rFonts w:hint="eastAsia" w:asciiTheme="minorEastAsia" w:hAnsiTheme="minorEastAsia" w:eastAsiaTheme="minorEastAsia" w:cstheme="minorEastAsia"/>
                <w:color w:val="auto"/>
                <w:kern w:val="28"/>
                <w:sz w:val="28"/>
                <w:szCs w:val="28"/>
                <w:highlight w:val="none"/>
              </w:rPr>
              <w:t>）</w:t>
            </w:r>
          </w:p>
        </w:tc>
        <w:tc>
          <w:tcPr>
            <w:tcW w:w="17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color w:val="auto"/>
                <w:kern w:val="28"/>
                <w:sz w:val="28"/>
                <w:szCs w:val="28"/>
                <w:highlight w:val="none"/>
              </w:rPr>
            </w:pPr>
            <w:r>
              <w:rPr>
                <w:rFonts w:hint="eastAsia" w:asciiTheme="minorEastAsia" w:hAnsiTheme="minorEastAsia" w:eastAsiaTheme="minorEastAsia" w:cstheme="minorEastAsia"/>
                <w:color w:val="auto"/>
                <w:kern w:val="28"/>
                <w:sz w:val="28"/>
                <w:szCs w:val="28"/>
                <w:highlight w:val="none"/>
              </w:rPr>
              <w:t>资源收集中心</w:t>
            </w:r>
            <w:r>
              <w:rPr>
                <w:rFonts w:hint="eastAsia" w:asciiTheme="minorEastAsia" w:hAnsiTheme="minorEastAsia" w:eastAsiaTheme="minorEastAsia" w:cstheme="minorEastAsia"/>
                <w:color w:val="auto"/>
                <w:kern w:val="28"/>
                <w:sz w:val="28"/>
                <w:szCs w:val="28"/>
                <w:highlight w:val="none"/>
              </w:rPr>
              <w:t>2</w:t>
            </w:r>
            <w:r>
              <w:rPr>
                <w:rFonts w:hint="eastAsia" w:asciiTheme="minorEastAsia" w:hAnsiTheme="minorEastAsia" w:eastAsiaTheme="minorEastAsia" w:cstheme="minorEastAsia"/>
                <w:color w:val="auto"/>
                <w:kern w:val="28"/>
                <w:sz w:val="28"/>
                <w:szCs w:val="28"/>
                <w:highlight w:val="none"/>
                <w:lang w:val="en-US" w:eastAsia="zh-CN"/>
              </w:rPr>
              <w:t>6</w:t>
            </w:r>
            <w:r>
              <w:rPr>
                <w:rFonts w:hint="eastAsia" w:asciiTheme="minorEastAsia" w:hAnsiTheme="minorEastAsia" w:eastAsiaTheme="minorEastAsia" w:cstheme="minorEastAsia"/>
                <w:color w:val="auto"/>
                <w:kern w:val="28"/>
                <w:sz w:val="28"/>
                <w:szCs w:val="28"/>
                <w:highlight w:val="none"/>
              </w:rPr>
              <w:t>个</w:t>
            </w:r>
          </w:p>
        </w:tc>
        <w:tc>
          <w:tcPr>
            <w:tcW w:w="139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60" w:lineRule="auto"/>
              <w:jc w:val="center"/>
              <w:textAlignment w:val="auto"/>
              <w:rPr>
                <w:rFonts w:hint="default" w:asciiTheme="minorEastAsia" w:hAnsiTheme="minorEastAsia" w:eastAsiaTheme="minorEastAsia" w:cstheme="minorEastAsia"/>
                <w:color w:val="auto"/>
                <w:kern w:val="28"/>
                <w:sz w:val="28"/>
                <w:szCs w:val="28"/>
                <w:highlight w:val="none"/>
                <w:lang w:val="en-US" w:eastAsia="zh-CN" w:bidi="ar-SA"/>
              </w:rPr>
            </w:pPr>
            <w:r>
              <w:rPr>
                <w:rFonts w:hint="eastAsia" w:asciiTheme="minorEastAsia" w:hAnsiTheme="minorEastAsia" w:eastAsiaTheme="minorEastAsia" w:cstheme="minorEastAsia"/>
                <w:color w:val="auto"/>
                <w:kern w:val="28"/>
                <w:sz w:val="28"/>
                <w:szCs w:val="28"/>
                <w:highlight w:val="none"/>
                <w:lang w:val="en-US" w:eastAsia="zh-CN" w:bidi="ar-SA"/>
              </w:rPr>
              <w:t>350</w:t>
            </w:r>
          </w:p>
        </w:tc>
        <w:tc>
          <w:tcPr>
            <w:tcW w:w="2721" w:type="dxa"/>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auto"/>
                <w:kern w:val="28"/>
                <w:sz w:val="28"/>
                <w:szCs w:val="28"/>
                <w:highlight w:val="none"/>
                <w:lang w:val="en-US" w:eastAsia="zh-CN"/>
              </w:rPr>
            </w:pPr>
            <w:r>
              <w:rPr>
                <w:color w:val="auto"/>
                <w:sz w:val="28"/>
                <w:szCs w:val="28"/>
                <w:highlight w:val="none"/>
              </w:rPr>
              <w:t>中标供应商自合同签定之日起至202</w:t>
            </w:r>
            <w:r>
              <w:rPr>
                <w:rFonts w:hint="eastAsia"/>
                <w:color w:val="auto"/>
                <w:sz w:val="28"/>
                <w:szCs w:val="28"/>
                <w:highlight w:val="none"/>
                <w:lang w:val="en-US" w:eastAsia="zh-CN"/>
              </w:rPr>
              <w:t>5</w:t>
            </w:r>
            <w:r>
              <w:rPr>
                <w:color w:val="auto"/>
                <w:sz w:val="28"/>
                <w:szCs w:val="28"/>
                <w:highlight w:val="none"/>
              </w:rPr>
              <w:t>年</w:t>
            </w:r>
            <w:r>
              <w:rPr>
                <w:rFonts w:hint="eastAsia"/>
                <w:color w:val="auto"/>
                <w:sz w:val="28"/>
                <w:szCs w:val="28"/>
                <w:highlight w:val="none"/>
                <w:lang w:val="en-US" w:eastAsia="zh-CN"/>
              </w:rPr>
              <w:t>06</w:t>
            </w:r>
            <w:r>
              <w:rPr>
                <w:color w:val="auto"/>
                <w:sz w:val="28"/>
                <w:szCs w:val="28"/>
                <w:highlight w:val="none"/>
              </w:rPr>
              <w:t>月底完成全部供货、安装及调试工作。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1531"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auto"/>
                <w:kern w:val="28"/>
                <w:sz w:val="28"/>
                <w:szCs w:val="28"/>
                <w:highlight w:val="none"/>
                <w:lang w:eastAsia="zh-CN"/>
              </w:rPr>
            </w:pPr>
          </w:p>
        </w:tc>
        <w:tc>
          <w:tcPr>
            <w:tcW w:w="1770" w:type="dxa"/>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auto"/>
                <w:kern w:val="28"/>
                <w:sz w:val="28"/>
                <w:szCs w:val="28"/>
                <w:highlight w:val="none"/>
              </w:rPr>
            </w:pPr>
            <w:r>
              <w:rPr>
                <w:rFonts w:hint="eastAsia" w:asciiTheme="minorEastAsia" w:hAnsiTheme="minorEastAsia" w:eastAsiaTheme="minorEastAsia" w:cstheme="minorEastAsia"/>
                <w:color w:val="auto"/>
                <w:kern w:val="28"/>
                <w:sz w:val="28"/>
                <w:szCs w:val="28"/>
                <w:highlight w:val="none"/>
              </w:rPr>
              <w:t>（</w:t>
            </w:r>
            <w:r>
              <w:rPr>
                <w:rFonts w:hint="eastAsia" w:asciiTheme="minorEastAsia" w:hAnsiTheme="minorEastAsia" w:eastAsiaTheme="minorEastAsia" w:cstheme="minorEastAsia"/>
                <w:color w:val="auto"/>
                <w:kern w:val="28"/>
                <w:sz w:val="28"/>
                <w:szCs w:val="28"/>
                <w:highlight w:val="none"/>
                <w:lang w:val="en-US" w:eastAsia="zh-CN"/>
              </w:rPr>
              <w:t>采购包2</w:t>
            </w:r>
            <w:r>
              <w:rPr>
                <w:rFonts w:hint="eastAsia" w:asciiTheme="minorEastAsia" w:hAnsiTheme="minorEastAsia" w:eastAsiaTheme="minorEastAsia" w:cstheme="minorEastAsia"/>
                <w:color w:val="auto"/>
                <w:kern w:val="28"/>
                <w:sz w:val="28"/>
                <w:szCs w:val="28"/>
                <w:highlight w:val="none"/>
              </w:rPr>
              <w:t>）</w:t>
            </w:r>
          </w:p>
        </w:tc>
        <w:tc>
          <w:tcPr>
            <w:tcW w:w="1785" w:type="dxa"/>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color w:val="auto"/>
                <w:kern w:val="28"/>
                <w:sz w:val="28"/>
                <w:szCs w:val="28"/>
                <w:highlight w:val="none"/>
              </w:rPr>
            </w:pPr>
            <w:r>
              <w:rPr>
                <w:rFonts w:hint="eastAsia" w:asciiTheme="minorEastAsia" w:hAnsiTheme="minorEastAsia" w:eastAsiaTheme="minorEastAsia" w:cstheme="minorEastAsia"/>
                <w:color w:val="auto"/>
                <w:kern w:val="28"/>
                <w:sz w:val="28"/>
                <w:szCs w:val="28"/>
                <w:highlight w:val="none"/>
              </w:rPr>
              <w:t>环卫工具房、环卫驿站30个</w:t>
            </w:r>
          </w:p>
        </w:tc>
        <w:tc>
          <w:tcPr>
            <w:tcW w:w="1395" w:type="dxa"/>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bidi w:val="0"/>
              <w:spacing w:line="360" w:lineRule="auto"/>
              <w:jc w:val="center"/>
              <w:textAlignment w:val="auto"/>
              <w:rPr>
                <w:rFonts w:hint="default" w:asciiTheme="minorEastAsia" w:hAnsiTheme="minorEastAsia" w:eastAsiaTheme="minorEastAsia" w:cstheme="minorEastAsia"/>
                <w:color w:val="auto"/>
                <w:kern w:val="28"/>
                <w:sz w:val="28"/>
                <w:szCs w:val="28"/>
                <w:highlight w:val="none"/>
                <w:lang w:val="en-US" w:eastAsia="zh-CN" w:bidi="ar-SA"/>
              </w:rPr>
            </w:pPr>
            <w:r>
              <w:rPr>
                <w:rFonts w:hint="eastAsia" w:asciiTheme="minorEastAsia" w:hAnsiTheme="minorEastAsia" w:eastAsiaTheme="minorEastAsia" w:cstheme="minorEastAsia"/>
                <w:color w:val="auto"/>
                <w:kern w:val="28"/>
                <w:sz w:val="28"/>
                <w:szCs w:val="28"/>
                <w:highlight w:val="none"/>
                <w:lang w:val="en-US" w:eastAsia="zh-CN" w:bidi="ar-SA"/>
              </w:rPr>
              <w:t>180</w:t>
            </w:r>
          </w:p>
        </w:tc>
        <w:tc>
          <w:tcPr>
            <w:tcW w:w="2721"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color w:val="auto"/>
                <w:kern w:val="28"/>
                <w:sz w:val="28"/>
                <w:szCs w:val="28"/>
                <w:highlight w:val="none"/>
                <w:lang w:val="en-US" w:eastAsia="zh-CN"/>
              </w:rPr>
            </w:pPr>
          </w:p>
        </w:tc>
      </w:tr>
    </w:tbl>
    <w:p>
      <w:pPr>
        <w:pStyle w:val="3"/>
        <w:keepNext w:val="0"/>
        <w:keepLines w:val="0"/>
        <w:pageBreakBefore w:val="0"/>
        <w:numPr>
          <w:ilvl w:val="1"/>
          <w:numId w:val="0"/>
        </w:numPr>
        <w:tabs>
          <w:tab w:val="left" w:pos="630"/>
          <w:tab w:val="clear" w:pos="432"/>
          <w:tab w:val="clear" w:pos="576"/>
          <w:tab w:val="clear" w:pos="851"/>
        </w:tabs>
        <w:kinsoku/>
        <w:wordWrap/>
        <w:overflowPunct/>
        <w:topLinePunct w:val="0"/>
        <w:bidi w:val="0"/>
        <w:spacing w:before="312" w:beforeLines="100" w:line="360" w:lineRule="auto"/>
        <w:textAlignment w:val="auto"/>
        <w:rPr>
          <w:rFonts w:hint="eastAsia" w:asciiTheme="minorEastAsia" w:hAnsiTheme="minorEastAsia" w:eastAsiaTheme="minorEastAsia" w:cstheme="minorEastAsia"/>
          <w:b/>
          <w:color w:val="auto"/>
          <w:sz w:val="28"/>
          <w:szCs w:val="28"/>
          <w:highlight w:val="none"/>
        </w:rPr>
      </w:pPr>
      <w:r>
        <w:rPr>
          <w:rFonts w:hint="eastAsia" w:asciiTheme="minorEastAsia" w:hAnsiTheme="minorEastAsia" w:eastAsiaTheme="minorEastAsia" w:cstheme="minorEastAsia"/>
          <w:b/>
          <w:color w:val="auto"/>
          <w:sz w:val="28"/>
          <w:szCs w:val="28"/>
          <w:highlight w:val="none"/>
        </w:rPr>
        <w:t>二、技术要求</w:t>
      </w:r>
    </w:p>
    <w:p>
      <w:pPr>
        <w:keepNext w:val="0"/>
        <w:keepLines w:val="0"/>
        <w:pageBreakBefore w:val="0"/>
        <w:kinsoku/>
        <w:wordWrap/>
        <w:overflowPunct/>
        <w:topLinePunct w:val="0"/>
        <w:bidi w:val="0"/>
        <w:spacing w:line="360" w:lineRule="auto"/>
        <w:ind w:firstLine="560" w:firstLineChars="200"/>
        <w:textAlignment w:val="auto"/>
        <w:rPr>
          <w:rFonts w:hint="eastAsia" w:asciiTheme="minorEastAsia" w:hAnsiTheme="minorEastAsia" w:eastAsiaTheme="minorEastAsia" w:cstheme="minorEastAsia"/>
          <w:color w:val="auto"/>
          <w:kern w:val="28"/>
          <w:sz w:val="28"/>
          <w:szCs w:val="28"/>
          <w:highlight w:val="none"/>
        </w:rPr>
      </w:pPr>
      <w:r>
        <w:rPr>
          <w:rFonts w:hint="eastAsia" w:asciiTheme="minorEastAsia" w:hAnsiTheme="minorEastAsia" w:eastAsiaTheme="minorEastAsia" w:cstheme="minorEastAsia"/>
          <w:color w:val="auto"/>
          <w:kern w:val="28"/>
          <w:sz w:val="28"/>
          <w:szCs w:val="28"/>
          <w:highlight w:val="none"/>
        </w:rPr>
        <w:t>1.规格尺寸：根据现场情况定制。</w:t>
      </w:r>
    </w:p>
    <w:p>
      <w:pPr>
        <w:keepNext w:val="0"/>
        <w:keepLines w:val="0"/>
        <w:pageBreakBefore w:val="0"/>
        <w:kinsoku/>
        <w:wordWrap/>
        <w:overflowPunct/>
        <w:topLinePunct w:val="0"/>
        <w:bidi w:val="0"/>
        <w:spacing w:line="360" w:lineRule="auto"/>
        <w:ind w:firstLine="560" w:firstLineChars="200"/>
        <w:textAlignment w:val="auto"/>
        <w:rPr>
          <w:rFonts w:hint="eastAsia" w:asciiTheme="minorEastAsia" w:hAnsiTheme="minorEastAsia" w:eastAsiaTheme="minorEastAsia" w:cstheme="minorEastAsia"/>
          <w:color w:val="auto"/>
          <w:kern w:val="28"/>
          <w:sz w:val="28"/>
          <w:szCs w:val="28"/>
          <w:highlight w:val="none"/>
        </w:rPr>
      </w:pPr>
      <w:r>
        <w:rPr>
          <w:rFonts w:hint="eastAsia" w:asciiTheme="minorEastAsia" w:hAnsiTheme="minorEastAsia" w:eastAsiaTheme="minorEastAsia" w:cstheme="minorEastAsia"/>
          <w:color w:val="auto"/>
          <w:kern w:val="28"/>
          <w:sz w:val="28"/>
          <w:szCs w:val="28"/>
          <w:highlight w:val="none"/>
          <w:lang w:val="en-US" w:eastAsia="zh-CN"/>
        </w:rPr>
        <w:t>★2.结构形式:主体采用</w:t>
      </w:r>
      <w:r>
        <w:rPr>
          <w:rFonts w:hint="eastAsia" w:asciiTheme="minorEastAsia" w:hAnsiTheme="minorEastAsia" w:eastAsiaTheme="minorEastAsia" w:cstheme="minorEastAsia"/>
          <w:color w:val="auto"/>
          <w:kern w:val="28"/>
          <w:sz w:val="28"/>
          <w:szCs w:val="28"/>
          <w:highlight w:val="none"/>
        </w:rPr>
        <w:t>约80*80镀锌方管，厚度为≥2.0mm成品钢构件满焊、打磨、精抛。防锈漆保护：钢结构部分焊口采用氟碳漆工艺。</w:t>
      </w:r>
    </w:p>
    <w:p>
      <w:pPr>
        <w:keepNext w:val="0"/>
        <w:keepLines w:val="0"/>
        <w:pageBreakBefore w:val="0"/>
        <w:kinsoku/>
        <w:wordWrap/>
        <w:overflowPunct/>
        <w:topLinePunct w:val="0"/>
        <w:bidi w:val="0"/>
        <w:spacing w:line="360" w:lineRule="auto"/>
        <w:ind w:firstLine="560" w:firstLineChars="200"/>
        <w:textAlignment w:val="auto"/>
        <w:rPr>
          <w:rFonts w:hint="eastAsia" w:asciiTheme="minorEastAsia" w:hAnsiTheme="minorEastAsia" w:eastAsiaTheme="minorEastAsia" w:cstheme="minorEastAsia"/>
          <w:color w:val="auto"/>
          <w:kern w:val="28"/>
          <w:sz w:val="28"/>
          <w:szCs w:val="28"/>
          <w:highlight w:val="none"/>
        </w:rPr>
      </w:pPr>
      <w:r>
        <w:rPr>
          <w:rFonts w:hint="eastAsia" w:asciiTheme="minorEastAsia" w:hAnsiTheme="minorEastAsia" w:eastAsiaTheme="minorEastAsia" w:cstheme="minorEastAsia"/>
          <w:color w:val="auto"/>
          <w:kern w:val="28"/>
          <w:sz w:val="28"/>
          <w:szCs w:val="28"/>
          <w:highlight w:val="none"/>
        </w:rPr>
        <w:t>立柱采用约80*80mm，厚度为≥2.0mm镀锌方钢钢架结构，成品钢构件满焊，打磨、精抛、防锈漆保护、采用喷漆工艺。</w:t>
      </w:r>
    </w:p>
    <w:p>
      <w:pPr>
        <w:keepNext w:val="0"/>
        <w:keepLines w:val="0"/>
        <w:pageBreakBefore w:val="0"/>
        <w:kinsoku/>
        <w:wordWrap/>
        <w:overflowPunct/>
        <w:topLinePunct w:val="0"/>
        <w:bidi w:val="0"/>
        <w:spacing w:line="360" w:lineRule="auto"/>
        <w:ind w:firstLine="560" w:firstLineChars="200"/>
        <w:textAlignment w:val="auto"/>
        <w:rPr>
          <w:rFonts w:hint="eastAsia" w:asciiTheme="minorEastAsia" w:hAnsiTheme="minorEastAsia" w:eastAsiaTheme="minorEastAsia" w:cstheme="minorEastAsia"/>
          <w:color w:val="auto"/>
          <w:kern w:val="28"/>
          <w:sz w:val="28"/>
          <w:szCs w:val="28"/>
          <w:highlight w:val="none"/>
        </w:rPr>
      </w:pPr>
      <w:r>
        <w:rPr>
          <w:rFonts w:hint="eastAsia" w:asciiTheme="minorEastAsia" w:hAnsiTheme="minorEastAsia" w:eastAsiaTheme="minorEastAsia" w:cstheme="minorEastAsia"/>
          <w:color w:val="auto"/>
          <w:kern w:val="28"/>
          <w:sz w:val="28"/>
          <w:szCs w:val="28"/>
          <w:highlight w:val="none"/>
        </w:rPr>
        <w:t>其他加固连链约30x5mmm、约20x40mm镀锌方钢厚度≥1.2mm，材质采用国标标准，钢材用料并采用加密式焊接。</w:t>
      </w:r>
    </w:p>
    <w:p>
      <w:pPr>
        <w:keepNext w:val="0"/>
        <w:keepLines w:val="0"/>
        <w:pageBreakBefore w:val="0"/>
        <w:kinsoku/>
        <w:wordWrap/>
        <w:overflowPunct/>
        <w:topLinePunct w:val="0"/>
        <w:bidi w:val="0"/>
        <w:spacing w:line="360" w:lineRule="auto"/>
        <w:ind w:firstLine="560" w:firstLineChars="200"/>
        <w:textAlignment w:val="auto"/>
        <w:rPr>
          <w:rFonts w:hint="eastAsia" w:asciiTheme="minorEastAsia" w:hAnsiTheme="minorEastAsia" w:eastAsiaTheme="minorEastAsia" w:cstheme="minorEastAsia"/>
          <w:color w:val="auto"/>
          <w:kern w:val="28"/>
          <w:sz w:val="28"/>
          <w:szCs w:val="28"/>
          <w:highlight w:val="none"/>
        </w:rPr>
      </w:pPr>
      <w:r>
        <w:rPr>
          <w:rFonts w:hint="eastAsia" w:asciiTheme="minorEastAsia" w:hAnsiTheme="minorEastAsia" w:eastAsiaTheme="minorEastAsia" w:cstheme="minorEastAsia"/>
          <w:color w:val="auto"/>
          <w:kern w:val="28"/>
          <w:sz w:val="28"/>
          <w:szCs w:val="28"/>
          <w:highlight w:val="none"/>
        </w:rPr>
        <w:t>★3.屋顶：约40*80，≥1.5MM镀锌管结构铺设彩钢板。</w:t>
      </w:r>
    </w:p>
    <w:p>
      <w:pPr>
        <w:keepNext w:val="0"/>
        <w:keepLines w:val="0"/>
        <w:pageBreakBefore w:val="0"/>
        <w:kinsoku/>
        <w:wordWrap/>
        <w:overflowPunct/>
        <w:topLinePunct w:val="0"/>
        <w:bidi w:val="0"/>
        <w:spacing w:line="360" w:lineRule="auto"/>
        <w:ind w:firstLine="560" w:firstLineChars="200"/>
        <w:textAlignment w:val="auto"/>
        <w:rPr>
          <w:rFonts w:hint="eastAsia" w:asciiTheme="minorEastAsia" w:hAnsiTheme="minorEastAsia" w:eastAsiaTheme="minorEastAsia" w:cstheme="minorEastAsia"/>
          <w:color w:val="auto"/>
          <w:kern w:val="28"/>
          <w:sz w:val="28"/>
          <w:szCs w:val="28"/>
          <w:highlight w:val="none"/>
        </w:rPr>
      </w:pPr>
      <w:r>
        <w:rPr>
          <w:rFonts w:hint="eastAsia" w:asciiTheme="minorEastAsia" w:hAnsiTheme="minorEastAsia" w:eastAsiaTheme="minorEastAsia" w:cstheme="minorEastAsia"/>
          <w:color w:val="auto"/>
          <w:kern w:val="28"/>
          <w:sz w:val="28"/>
          <w:szCs w:val="28"/>
          <w:highlight w:val="none"/>
        </w:rPr>
        <w:t>★4.外墙面：≥4MM12C铝板板装。</w:t>
      </w:r>
    </w:p>
    <w:p>
      <w:pPr>
        <w:keepNext w:val="0"/>
        <w:keepLines w:val="0"/>
        <w:pageBreakBefore w:val="0"/>
        <w:kinsoku/>
        <w:wordWrap/>
        <w:overflowPunct/>
        <w:topLinePunct w:val="0"/>
        <w:bidi w:val="0"/>
        <w:spacing w:line="360" w:lineRule="auto"/>
        <w:ind w:firstLine="560" w:firstLineChars="200"/>
        <w:textAlignment w:val="auto"/>
        <w:rPr>
          <w:rFonts w:hint="eastAsia" w:asciiTheme="minorEastAsia" w:hAnsiTheme="minorEastAsia" w:eastAsiaTheme="minorEastAsia" w:cstheme="minorEastAsia"/>
          <w:color w:val="auto"/>
          <w:kern w:val="28"/>
          <w:sz w:val="28"/>
          <w:szCs w:val="28"/>
          <w:highlight w:val="none"/>
        </w:rPr>
      </w:pPr>
      <w:r>
        <w:rPr>
          <w:rFonts w:hint="eastAsia" w:asciiTheme="minorEastAsia" w:hAnsiTheme="minorEastAsia" w:eastAsiaTheme="minorEastAsia" w:cstheme="minorEastAsia"/>
          <w:color w:val="auto"/>
          <w:kern w:val="28"/>
          <w:sz w:val="28"/>
          <w:szCs w:val="28"/>
          <w:highlight w:val="none"/>
        </w:rPr>
        <w:t>★5.内墙面：≥5CM厚度加厚彩钢板。</w:t>
      </w:r>
    </w:p>
    <w:p>
      <w:pPr>
        <w:keepNext w:val="0"/>
        <w:keepLines w:val="0"/>
        <w:pageBreakBefore w:val="0"/>
        <w:kinsoku/>
        <w:wordWrap/>
        <w:overflowPunct/>
        <w:topLinePunct w:val="0"/>
        <w:bidi w:val="0"/>
        <w:spacing w:line="360" w:lineRule="auto"/>
        <w:ind w:firstLine="560" w:firstLineChars="200"/>
        <w:textAlignment w:val="auto"/>
        <w:rPr>
          <w:rFonts w:hint="eastAsia" w:asciiTheme="minorEastAsia" w:hAnsiTheme="minorEastAsia" w:eastAsiaTheme="minorEastAsia" w:cstheme="minorEastAsia"/>
          <w:color w:val="auto"/>
          <w:kern w:val="28"/>
          <w:sz w:val="28"/>
          <w:szCs w:val="28"/>
          <w:highlight w:val="none"/>
        </w:rPr>
      </w:pPr>
      <w:r>
        <w:rPr>
          <w:rFonts w:hint="eastAsia" w:asciiTheme="minorEastAsia" w:hAnsiTheme="minorEastAsia" w:eastAsiaTheme="minorEastAsia" w:cstheme="minorEastAsia"/>
          <w:color w:val="auto"/>
          <w:kern w:val="28"/>
          <w:sz w:val="28"/>
          <w:szCs w:val="28"/>
          <w:highlight w:val="none"/>
        </w:rPr>
        <w:t>★6.墙面夹层：使用厚度≥50mm的挤塑板进行保温。</w:t>
      </w:r>
    </w:p>
    <w:p>
      <w:pPr>
        <w:keepNext w:val="0"/>
        <w:keepLines w:val="0"/>
        <w:pageBreakBefore w:val="0"/>
        <w:kinsoku/>
        <w:wordWrap/>
        <w:overflowPunct/>
        <w:topLinePunct w:val="0"/>
        <w:bidi w:val="0"/>
        <w:spacing w:line="360" w:lineRule="auto"/>
        <w:ind w:firstLine="560" w:firstLineChars="200"/>
        <w:textAlignment w:val="auto"/>
        <w:rPr>
          <w:rFonts w:hint="eastAsia" w:asciiTheme="minorEastAsia" w:hAnsiTheme="minorEastAsia" w:eastAsiaTheme="minorEastAsia" w:cstheme="minorEastAsia"/>
          <w:color w:val="auto"/>
          <w:kern w:val="28"/>
          <w:sz w:val="28"/>
          <w:szCs w:val="28"/>
          <w:highlight w:val="none"/>
        </w:rPr>
      </w:pPr>
      <w:r>
        <w:rPr>
          <w:rFonts w:hint="eastAsia" w:asciiTheme="minorEastAsia" w:hAnsiTheme="minorEastAsia" w:eastAsiaTheme="minorEastAsia" w:cstheme="minorEastAsia"/>
          <w:color w:val="auto"/>
          <w:kern w:val="28"/>
          <w:sz w:val="28"/>
          <w:szCs w:val="28"/>
          <w:highlight w:val="none"/>
        </w:rPr>
        <w:t>7.吊顶：纯白金属板。</w:t>
      </w:r>
    </w:p>
    <w:p>
      <w:pPr>
        <w:keepNext w:val="0"/>
        <w:keepLines w:val="0"/>
        <w:pageBreakBefore w:val="0"/>
        <w:kinsoku/>
        <w:wordWrap/>
        <w:overflowPunct/>
        <w:topLinePunct w:val="0"/>
        <w:bidi w:val="0"/>
        <w:spacing w:line="360" w:lineRule="auto"/>
        <w:ind w:firstLine="560" w:firstLineChars="200"/>
        <w:textAlignment w:val="auto"/>
        <w:rPr>
          <w:rFonts w:hint="eastAsia" w:asciiTheme="minorEastAsia" w:hAnsiTheme="minorEastAsia" w:eastAsiaTheme="minorEastAsia" w:cstheme="minorEastAsia"/>
          <w:color w:val="auto"/>
          <w:kern w:val="28"/>
          <w:sz w:val="28"/>
          <w:szCs w:val="28"/>
          <w:highlight w:val="none"/>
        </w:rPr>
      </w:pPr>
      <w:r>
        <w:rPr>
          <w:rFonts w:hint="eastAsia" w:asciiTheme="minorEastAsia" w:hAnsiTheme="minorEastAsia" w:eastAsiaTheme="minorEastAsia" w:cstheme="minorEastAsia"/>
          <w:color w:val="auto"/>
          <w:kern w:val="28"/>
          <w:sz w:val="28"/>
          <w:szCs w:val="28"/>
          <w:highlight w:val="none"/>
        </w:rPr>
        <w:t>8.门、窗：约1000*2000单开门或者手动卷帘门；约1000*1000铝合金推拉窗（一扇或者两扇）。</w:t>
      </w:r>
    </w:p>
    <w:p>
      <w:pPr>
        <w:keepNext w:val="0"/>
        <w:keepLines w:val="0"/>
        <w:pageBreakBefore w:val="0"/>
        <w:kinsoku/>
        <w:wordWrap/>
        <w:overflowPunct/>
        <w:topLinePunct w:val="0"/>
        <w:bidi w:val="0"/>
        <w:spacing w:line="360" w:lineRule="auto"/>
        <w:ind w:firstLine="560" w:firstLineChars="200"/>
        <w:textAlignment w:val="auto"/>
        <w:rPr>
          <w:rFonts w:hint="eastAsia" w:asciiTheme="minorEastAsia" w:hAnsiTheme="minorEastAsia" w:eastAsiaTheme="minorEastAsia" w:cstheme="minorEastAsia"/>
          <w:color w:val="auto"/>
          <w:kern w:val="28"/>
          <w:sz w:val="28"/>
          <w:szCs w:val="28"/>
          <w:highlight w:val="none"/>
        </w:rPr>
      </w:pPr>
      <w:r>
        <w:rPr>
          <w:rFonts w:hint="eastAsia" w:asciiTheme="minorEastAsia" w:hAnsiTheme="minorEastAsia" w:eastAsiaTheme="minorEastAsia" w:cstheme="minorEastAsia"/>
          <w:color w:val="auto"/>
          <w:kern w:val="28"/>
          <w:sz w:val="28"/>
          <w:szCs w:val="28"/>
          <w:highlight w:val="none"/>
        </w:rPr>
        <w:t>★9.广告：材质约≥10cm PVC，具体内容及尺寸根据实际情况及要求定制。</w:t>
      </w:r>
    </w:p>
    <w:p>
      <w:pPr>
        <w:keepNext w:val="0"/>
        <w:keepLines w:val="0"/>
        <w:pageBreakBefore w:val="0"/>
        <w:kinsoku/>
        <w:wordWrap/>
        <w:overflowPunct/>
        <w:topLinePunct w:val="0"/>
        <w:bidi w:val="0"/>
        <w:spacing w:line="360" w:lineRule="auto"/>
        <w:ind w:firstLine="560" w:firstLineChars="200"/>
        <w:textAlignment w:val="auto"/>
        <w:rPr>
          <w:rFonts w:hint="eastAsia" w:asciiTheme="minorEastAsia" w:hAnsiTheme="minorEastAsia" w:eastAsiaTheme="minorEastAsia" w:cstheme="minorEastAsia"/>
          <w:color w:val="auto"/>
          <w:kern w:val="28"/>
          <w:sz w:val="28"/>
          <w:szCs w:val="28"/>
          <w:highlight w:val="none"/>
        </w:rPr>
      </w:pPr>
      <w:r>
        <w:rPr>
          <w:rFonts w:hint="eastAsia" w:asciiTheme="minorEastAsia" w:hAnsiTheme="minorEastAsia" w:eastAsiaTheme="minorEastAsia" w:cstheme="minorEastAsia"/>
          <w:color w:val="auto"/>
          <w:kern w:val="28"/>
          <w:sz w:val="28"/>
          <w:szCs w:val="28"/>
          <w:highlight w:val="none"/>
        </w:rPr>
        <w:t>10.照明灯具：内部配2组吸顶灯约36W（工作间、休息间、投放口照明）。</w:t>
      </w:r>
    </w:p>
    <w:p>
      <w:pPr>
        <w:keepNext w:val="0"/>
        <w:keepLines w:val="0"/>
        <w:pageBreakBefore w:val="0"/>
        <w:kinsoku/>
        <w:wordWrap/>
        <w:overflowPunct/>
        <w:topLinePunct w:val="0"/>
        <w:bidi w:val="0"/>
        <w:spacing w:line="360" w:lineRule="auto"/>
        <w:ind w:firstLine="560" w:firstLineChars="200"/>
        <w:textAlignment w:val="auto"/>
        <w:rPr>
          <w:rFonts w:hint="eastAsia" w:asciiTheme="minorEastAsia" w:hAnsiTheme="minorEastAsia" w:eastAsiaTheme="minorEastAsia" w:cstheme="minorEastAsia"/>
          <w:color w:val="auto"/>
          <w:kern w:val="28"/>
          <w:sz w:val="28"/>
          <w:szCs w:val="28"/>
          <w:highlight w:val="none"/>
        </w:rPr>
      </w:pPr>
      <w:r>
        <w:rPr>
          <w:rFonts w:hint="eastAsia" w:asciiTheme="minorEastAsia" w:hAnsiTheme="minorEastAsia" w:eastAsiaTheme="minorEastAsia" w:cstheme="minorEastAsia"/>
          <w:color w:val="auto"/>
          <w:kern w:val="28"/>
          <w:sz w:val="28"/>
          <w:szCs w:val="28"/>
          <w:highlight w:val="none"/>
        </w:rPr>
        <w:t>11.配电箱：电源连接方式接线端子；额定电压220V~，并根据实际情况增加电容（合同总价已包含全部费用，中标供应商不得再向采购人收取任何费用。）；电源频率不小于50Hz；额定功率不低于36W，含漏电保护，数量1组。</w:t>
      </w:r>
    </w:p>
    <w:p>
      <w:pPr>
        <w:keepNext w:val="0"/>
        <w:keepLines w:val="0"/>
        <w:pageBreakBefore w:val="0"/>
        <w:kinsoku/>
        <w:wordWrap/>
        <w:overflowPunct/>
        <w:topLinePunct w:val="0"/>
        <w:bidi w:val="0"/>
        <w:spacing w:line="360" w:lineRule="auto"/>
        <w:ind w:firstLine="560" w:firstLineChars="200"/>
        <w:textAlignment w:val="auto"/>
        <w:rPr>
          <w:rFonts w:hint="eastAsia" w:asciiTheme="minorEastAsia" w:hAnsiTheme="minorEastAsia" w:eastAsiaTheme="minorEastAsia" w:cstheme="minorEastAsia"/>
          <w:color w:val="auto"/>
          <w:kern w:val="28"/>
          <w:sz w:val="28"/>
          <w:szCs w:val="28"/>
          <w:highlight w:val="none"/>
        </w:rPr>
      </w:pPr>
      <w:r>
        <w:rPr>
          <w:rFonts w:hint="eastAsia" w:asciiTheme="minorEastAsia" w:hAnsiTheme="minorEastAsia" w:eastAsiaTheme="minorEastAsia" w:cstheme="minorEastAsia"/>
          <w:color w:val="auto"/>
          <w:kern w:val="28"/>
          <w:sz w:val="28"/>
          <w:szCs w:val="28"/>
          <w:highlight w:val="none"/>
        </w:rPr>
        <w:t>12.开关及插座面板：开关尺寸约86mm*86mm，单开单控；插座尺寸约86mm*86mm，10A五孔；数量1套。</w:t>
      </w:r>
    </w:p>
    <w:p>
      <w:pPr>
        <w:keepNext w:val="0"/>
        <w:keepLines w:val="0"/>
        <w:pageBreakBefore w:val="0"/>
        <w:kinsoku/>
        <w:wordWrap/>
        <w:overflowPunct/>
        <w:topLinePunct w:val="0"/>
        <w:bidi w:val="0"/>
        <w:spacing w:line="360" w:lineRule="auto"/>
        <w:ind w:firstLine="560" w:firstLineChars="200"/>
        <w:textAlignment w:val="auto"/>
        <w:rPr>
          <w:rFonts w:hint="eastAsia" w:asciiTheme="minorEastAsia" w:hAnsiTheme="minorEastAsia" w:eastAsiaTheme="minorEastAsia" w:cstheme="minorEastAsia"/>
          <w:color w:val="auto"/>
          <w:kern w:val="28"/>
          <w:sz w:val="28"/>
          <w:szCs w:val="28"/>
          <w:highlight w:val="none"/>
        </w:rPr>
      </w:pPr>
      <w:r>
        <w:rPr>
          <w:rFonts w:hint="eastAsia" w:asciiTheme="minorEastAsia" w:hAnsiTheme="minorEastAsia" w:eastAsiaTheme="minorEastAsia" w:cstheme="minorEastAsia"/>
          <w:color w:val="auto"/>
          <w:kern w:val="28"/>
          <w:sz w:val="28"/>
          <w:szCs w:val="28"/>
          <w:highlight w:val="none"/>
        </w:rPr>
        <w:t>13.基础硬化要求：根据现场实际情况，做好基础硬化，保证设备安装牢固，内部地面平整，排水顺畅。</w:t>
      </w:r>
    </w:p>
    <w:p>
      <w:pPr>
        <w:keepNext w:val="0"/>
        <w:keepLines w:val="0"/>
        <w:pageBreakBefore w:val="0"/>
        <w:kinsoku/>
        <w:wordWrap/>
        <w:overflowPunct/>
        <w:topLinePunct w:val="0"/>
        <w:bidi w:val="0"/>
        <w:spacing w:line="360" w:lineRule="auto"/>
        <w:ind w:firstLine="560" w:firstLineChars="200"/>
        <w:textAlignment w:val="auto"/>
        <w:rPr>
          <w:rFonts w:hint="eastAsia" w:asciiTheme="minorEastAsia" w:hAnsiTheme="minorEastAsia" w:eastAsiaTheme="minorEastAsia" w:cstheme="minorEastAsia"/>
          <w:color w:val="auto"/>
          <w:kern w:val="28"/>
          <w:sz w:val="28"/>
          <w:szCs w:val="28"/>
          <w:highlight w:val="none"/>
          <w:lang w:val="en-US" w:eastAsia="zh-CN"/>
        </w:rPr>
      </w:pPr>
      <w:r>
        <w:rPr>
          <w:rFonts w:hint="eastAsia" w:asciiTheme="minorEastAsia" w:hAnsiTheme="minorEastAsia" w:eastAsiaTheme="minorEastAsia" w:cstheme="minorEastAsia"/>
          <w:color w:val="auto"/>
          <w:kern w:val="28"/>
          <w:sz w:val="28"/>
          <w:szCs w:val="28"/>
          <w:highlight w:val="none"/>
          <w:lang w:val="en-US" w:eastAsia="zh-CN"/>
        </w:rPr>
        <w:t>14.排污要求:根据现场实际情况，排污接入排污管道，有需要的配建三级沉淀池。</w:t>
      </w:r>
    </w:p>
    <w:p>
      <w:pPr>
        <w:keepNext w:val="0"/>
        <w:keepLines w:val="0"/>
        <w:pageBreakBefore w:val="0"/>
        <w:kinsoku/>
        <w:wordWrap/>
        <w:overflowPunct/>
        <w:topLinePunct w:val="0"/>
        <w:bidi w:val="0"/>
        <w:spacing w:line="360" w:lineRule="auto"/>
        <w:ind w:firstLine="560" w:firstLineChars="200"/>
        <w:textAlignment w:val="auto"/>
        <w:rPr>
          <w:rFonts w:hint="default" w:asciiTheme="minorEastAsia" w:hAnsiTheme="minorEastAsia" w:eastAsiaTheme="minorEastAsia" w:cstheme="minorEastAsia"/>
          <w:color w:val="auto"/>
          <w:kern w:val="28"/>
          <w:sz w:val="28"/>
          <w:szCs w:val="28"/>
          <w:highlight w:val="none"/>
          <w:lang w:val="en-US" w:eastAsia="zh-CN"/>
        </w:rPr>
      </w:pPr>
      <w:r>
        <w:rPr>
          <w:rFonts w:hint="eastAsia" w:asciiTheme="minorEastAsia" w:hAnsiTheme="minorEastAsia" w:eastAsiaTheme="minorEastAsia" w:cstheme="minorEastAsia"/>
          <w:color w:val="auto"/>
          <w:kern w:val="28"/>
          <w:sz w:val="28"/>
          <w:szCs w:val="28"/>
          <w:highlight w:val="none"/>
          <w:lang w:val="en-US" w:eastAsia="zh-CN"/>
        </w:rPr>
        <w:t>15.外观和颜色符合广州市城市管理和综合执法局的要求。</w:t>
      </w:r>
    </w:p>
    <w:p>
      <w:pPr>
        <w:pStyle w:val="3"/>
        <w:keepNext w:val="0"/>
        <w:keepLines w:val="0"/>
        <w:pageBreakBefore w:val="0"/>
        <w:numPr>
          <w:ilvl w:val="1"/>
          <w:numId w:val="0"/>
        </w:numPr>
        <w:tabs>
          <w:tab w:val="left" w:pos="630"/>
          <w:tab w:val="clear" w:pos="432"/>
          <w:tab w:val="clear" w:pos="576"/>
          <w:tab w:val="clear" w:pos="851"/>
        </w:tabs>
        <w:kinsoku/>
        <w:wordWrap/>
        <w:overflowPunct/>
        <w:topLinePunct w:val="0"/>
        <w:bidi w:val="0"/>
        <w:spacing w:before="312" w:beforeLines="100" w:line="360" w:lineRule="auto"/>
        <w:textAlignment w:val="auto"/>
        <w:rPr>
          <w:rFonts w:hint="eastAsia" w:asciiTheme="minorEastAsia" w:hAnsiTheme="minorEastAsia" w:eastAsiaTheme="minorEastAsia" w:cstheme="minorEastAsia"/>
          <w:b/>
          <w:color w:val="auto"/>
          <w:sz w:val="28"/>
          <w:szCs w:val="28"/>
          <w:highlight w:val="none"/>
        </w:rPr>
      </w:pPr>
      <w:r>
        <w:rPr>
          <w:rFonts w:hint="eastAsia" w:asciiTheme="minorEastAsia" w:hAnsiTheme="minorEastAsia" w:eastAsiaTheme="minorEastAsia" w:cstheme="minorEastAsia"/>
          <w:b/>
          <w:color w:val="auto"/>
          <w:sz w:val="28"/>
          <w:szCs w:val="28"/>
          <w:highlight w:val="none"/>
          <w:lang w:val="en-US" w:eastAsia="zh-CN"/>
        </w:rPr>
        <w:t>三、</w:t>
      </w:r>
      <w:r>
        <w:rPr>
          <w:rFonts w:hint="eastAsia" w:asciiTheme="minorEastAsia" w:hAnsiTheme="minorEastAsia" w:eastAsiaTheme="minorEastAsia" w:cstheme="minorEastAsia"/>
          <w:b/>
          <w:color w:val="auto"/>
          <w:sz w:val="28"/>
          <w:szCs w:val="28"/>
          <w:highlight w:val="none"/>
        </w:rPr>
        <w:t>售后和质保要求</w:t>
      </w:r>
    </w:p>
    <w:p>
      <w:pPr>
        <w:keepNext w:val="0"/>
        <w:keepLines w:val="0"/>
        <w:pageBreakBefore w:val="0"/>
        <w:kinsoku/>
        <w:wordWrap/>
        <w:overflowPunct/>
        <w:topLinePunct w:val="0"/>
        <w:bidi w:val="0"/>
        <w:spacing w:line="360" w:lineRule="auto"/>
        <w:ind w:firstLine="560" w:firstLineChars="200"/>
        <w:textAlignment w:val="auto"/>
        <w:rPr>
          <w:rFonts w:hint="eastAsia" w:asciiTheme="minorEastAsia" w:hAnsiTheme="minorEastAsia" w:eastAsiaTheme="minorEastAsia" w:cstheme="minorEastAsia"/>
          <w:color w:val="auto"/>
          <w:kern w:val="28"/>
          <w:sz w:val="28"/>
          <w:szCs w:val="28"/>
          <w:highlight w:val="none"/>
        </w:rPr>
      </w:pPr>
      <w:r>
        <w:rPr>
          <w:rFonts w:hint="eastAsia" w:asciiTheme="minorEastAsia" w:hAnsiTheme="minorEastAsia" w:eastAsiaTheme="minorEastAsia" w:cstheme="minorEastAsia"/>
          <w:color w:val="auto"/>
          <w:kern w:val="28"/>
          <w:sz w:val="28"/>
          <w:szCs w:val="28"/>
          <w:highlight w:val="none"/>
        </w:rPr>
        <w:t>1.投标人递交投标文件的同时须提交完善的售后服务方案。投标人承诺提供至少2年的质保期（采购人验收合格之日起计算），其他按国家相关规范规定执行。在质保期内，供应商对所投产品在使用过程中出现的故障和零配件损坏问题，免费提供维修服务，其中应包括人工服务费、维修备件费以及上述维修备件的仓储运输费</w:t>
      </w:r>
    </w:p>
    <w:p>
      <w:pPr>
        <w:keepNext w:val="0"/>
        <w:keepLines w:val="0"/>
        <w:pageBreakBefore w:val="0"/>
        <w:kinsoku/>
        <w:wordWrap/>
        <w:overflowPunct/>
        <w:topLinePunct w:val="0"/>
        <w:bidi w:val="0"/>
        <w:spacing w:line="360" w:lineRule="auto"/>
        <w:ind w:firstLine="560" w:firstLineChars="200"/>
        <w:textAlignment w:val="auto"/>
        <w:rPr>
          <w:rFonts w:hint="eastAsia" w:asciiTheme="minorEastAsia" w:hAnsiTheme="minorEastAsia" w:eastAsiaTheme="minorEastAsia" w:cstheme="minorEastAsia"/>
          <w:color w:val="auto"/>
          <w:kern w:val="28"/>
          <w:sz w:val="28"/>
          <w:szCs w:val="28"/>
          <w:highlight w:val="none"/>
        </w:rPr>
      </w:pPr>
      <w:r>
        <w:rPr>
          <w:rFonts w:hint="eastAsia" w:asciiTheme="minorEastAsia" w:hAnsiTheme="minorEastAsia" w:eastAsiaTheme="minorEastAsia" w:cstheme="minorEastAsia"/>
          <w:color w:val="auto"/>
          <w:kern w:val="28"/>
          <w:sz w:val="28"/>
          <w:szCs w:val="28"/>
          <w:highlight w:val="none"/>
        </w:rPr>
        <w:t>2.中标供应商必须提供24小时电话服务热线，保证在接到采购人电话后2小时到场，并在4小时内完成解决方案。若在48小时内仍未能有效解决，中标供应商须提供满足采购人使用的设备予采购人临时使用。</w:t>
      </w:r>
    </w:p>
    <w:p>
      <w:pPr>
        <w:pStyle w:val="3"/>
        <w:keepNext w:val="0"/>
        <w:keepLines w:val="0"/>
        <w:pageBreakBefore w:val="0"/>
        <w:numPr>
          <w:ilvl w:val="1"/>
          <w:numId w:val="0"/>
        </w:numPr>
        <w:tabs>
          <w:tab w:val="left" w:pos="630"/>
          <w:tab w:val="clear" w:pos="432"/>
          <w:tab w:val="clear" w:pos="576"/>
          <w:tab w:val="clear" w:pos="851"/>
        </w:tabs>
        <w:kinsoku/>
        <w:wordWrap/>
        <w:overflowPunct/>
        <w:topLinePunct w:val="0"/>
        <w:bidi w:val="0"/>
        <w:spacing w:before="312" w:beforeLines="100" w:line="360" w:lineRule="auto"/>
        <w:textAlignment w:val="auto"/>
        <w:rPr>
          <w:rFonts w:hint="eastAsia" w:asciiTheme="minorEastAsia" w:hAnsiTheme="minorEastAsia" w:eastAsiaTheme="minorEastAsia" w:cstheme="minorEastAsia"/>
          <w:b/>
          <w:color w:val="auto"/>
          <w:sz w:val="28"/>
          <w:szCs w:val="28"/>
          <w:highlight w:val="none"/>
        </w:rPr>
      </w:pPr>
      <w:r>
        <w:rPr>
          <w:rFonts w:hint="eastAsia" w:asciiTheme="minorEastAsia" w:hAnsiTheme="minorEastAsia" w:eastAsiaTheme="minorEastAsia" w:cstheme="minorEastAsia"/>
          <w:b/>
          <w:color w:val="auto"/>
          <w:sz w:val="28"/>
          <w:szCs w:val="28"/>
          <w:highlight w:val="none"/>
        </w:rPr>
        <w:t>四、位置点位要求</w:t>
      </w:r>
    </w:p>
    <w:p>
      <w:pPr>
        <w:keepNext w:val="0"/>
        <w:keepLines w:val="0"/>
        <w:pageBreakBefore w:val="0"/>
        <w:kinsoku/>
        <w:wordWrap/>
        <w:overflowPunct/>
        <w:topLinePunct w:val="0"/>
        <w:bidi w:val="0"/>
        <w:spacing w:line="360" w:lineRule="auto"/>
        <w:ind w:firstLine="560" w:firstLineChars="200"/>
        <w:textAlignment w:val="auto"/>
        <w:rPr>
          <w:rFonts w:hint="eastAsia" w:asciiTheme="minorEastAsia" w:hAnsiTheme="minorEastAsia" w:eastAsiaTheme="minorEastAsia" w:cstheme="minorEastAsia"/>
          <w:color w:val="auto"/>
          <w:kern w:val="28"/>
          <w:sz w:val="28"/>
          <w:szCs w:val="28"/>
          <w:highlight w:val="none"/>
          <w:lang w:eastAsia="zh-CN"/>
        </w:rPr>
      </w:pPr>
      <w:r>
        <w:rPr>
          <w:rFonts w:hint="eastAsia" w:asciiTheme="minorEastAsia" w:hAnsiTheme="minorEastAsia" w:eastAsiaTheme="minorEastAsia" w:cstheme="minorEastAsia"/>
          <w:color w:val="auto"/>
          <w:kern w:val="28"/>
          <w:sz w:val="28"/>
          <w:szCs w:val="28"/>
          <w:highlight w:val="none"/>
        </w:rPr>
        <w:t>投标人应根据拟安装地点的用地条件，本着各空间合理布局，提高内部面积利用率的原则和具体配置要求，采购人有权根据实际安装现场的具体情况在招标要求范围内对中标供应商提出适当性调整要求。项目实施后未经采购人同意不得自行变更。</w:t>
      </w:r>
    </w:p>
    <w:p>
      <w:pPr>
        <w:pStyle w:val="3"/>
        <w:keepNext w:val="0"/>
        <w:keepLines w:val="0"/>
        <w:pageBreakBefore w:val="0"/>
        <w:numPr>
          <w:ilvl w:val="1"/>
          <w:numId w:val="0"/>
        </w:numPr>
        <w:tabs>
          <w:tab w:val="left" w:pos="630"/>
          <w:tab w:val="clear" w:pos="432"/>
          <w:tab w:val="clear" w:pos="576"/>
          <w:tab w:val="clear" w:pos="851"/>
        </w:tabs>
        <w:kinsoku/>
        <w:wordWrap/>
        <w:overflowPunct/>
        <w:topLinePunct w:val="0"/>
        <w:bidi w:val="0"/>
        <w:spacing w:before="312" w:beforeLines="100" w:line="360" w:lineRule="auto"/>
        <w:textAlignment w:val="auto"/>
        <w:rPr>
          <w:rFonts w:hint="eastAsia" w:asciiTheme="minorEastAsia" w:hAnsiTheme="minorEastAsia" w:eastAsiaTheme="minorEastAsia" w:cstheme="minorEastAsia"/>
          <w:b/>
          <w:color w:val="auto"/>
          <w:sz w:val="28"/>
          <w:szCs w:val="28"/>
          <w:highlight w:val="none"/>
        </w:rPr>
      </w:pPr>
      <w:r>
        <w:rPr>
          <w:rFonts w:hint="eastAsia" w:asciiTheme="minorEastAsia" w:hAnsiTheme="minorEastAsia" w:eastAsiaTheme="minorEastAsia" w:cstheme="minorEastAsia"/>
          <w:b/>
          <w:color w:val="auto"/>
          <w:sz w:val="28"/>
          <w:szCs w:val="28"/>
          <w:highlight w:val="none"/>
        </w:rPr>
        <w:t>五、荔湾区2025年资源收集中心、环卫工具房、环卫驿站采购项目清单（详见本公告附件</w:t>
      </w:r>
      <w:r>
        <w:rPr>
          <w:rFonts w:hint="eastAsia" w:asciiTheme="minorEastAsia" w:hAnsiTheme="minorEastAsia" w:eastAsiaTheme="minorEastAsia" w:cstheme="minorEastAsia"/>
          <w:b/>
          <w:color w:val="auto"/>
          <w:sz w:val="28"/>
          <w:szCs w:val="28"/>
          <w:highlight w:val="none"/>
        </w:rPr>
        <w:t>《2025年荔湾区环卫设施升级改造计划清单》</w:t>
      </w:r>
      <w:r>
        <w:rPr>
          <w:rFonts w:hint="eastAsia" w:asciiTheme="minorEastAsia" w:hAnsiTheme="minorEastAsia" w:eastAsiaTheme="minorEastAsia" w:cstheme="minorEastAsia"/>
          <w:b/>
          <w:color w:val="auto"/>
          <w:sz w:val="28"/>
          <w:szCs w:val="28"/>
          <w:highlight w:val="none"/>
        </w:rPr>
        <w:t>）</w:t>
      </w:r>
    </w:p>
    <w:p>
      <w:pPr>
        <w:pStyle w:val="3"/>
        <w:keepNext w:val="0"/>
        <w:keepLines w:val="0"/>
        <w:pageBreakBefore w:val="0"/>
        <w:numPr>
          <w:ilvl w:val="1"/>
          <w:numId w:val="0"/>
        </w:numPr>
        <w:tabs>
          <w:tab w:val="left" w:pos="630"/>
          <w:tab w:val="clear" w:pos="432"/>
          <w:tab w:val="clear" w:pos="576"/>
          <w:tab w:val="clear" w:pos="851"/>
        </w:tabs>
        <w:kinsoku/>
        <w:wordWrap/>
        <w:overflowPunct/>
        <w:topLinePunct w:val="0"/>
        <w:bidi w:val="0"/>
        <w:spacing w:before="312" w:beforeLines="100" w:line="360" w:lineRule="auto"/>
        <w:textAlignment w:val="auto"/>
        <w:rPr>
          <w:rFonts w:hint="eastAsia" w:asciiTheme="minorEastAsia" w:hAnsiTheme="minorEastAsia" w:eastAsiaTheme="minorEastAsia" w:cstheme="minorEastAsia"/>
          <w:b/>
          <w:color w:val="auto"/>
          <w:sz w:val="28"/>
          <w:szCs w:val="28"/>
          <w:highlight w:val="none"/>
        </w:rPr>
      </w:pPr>
      <w:r>
        <w:rPr>
          <w:rFonts w:hint="eastAsia" w:asciiTheme="minorEastAsia" w:hAnsiTheme="minorEastAsia" w:eastAsiaTheme="minorEastAsia" w:cstheme="minorEastAsia"/>
          <w:b/>
          <w:color w:val="auto"/>
          <w:sz w:val="28"/>
          <w:szCs w:val="28"/>
          <w:highlight w:val="none"/>
          <w:lang w:val="en-US" w:eastAsia="zh-CN"/>
        </w:rPr>
        <w:t>六、</w:t>
      </w:r>
      <w:r>
        <w:rPr>
          <w:rFonts w:hint="eastAsia" w:asciiTheme="minorEastAsia" w:hAnsiTheme="minorEastAsia" w:eastAsiaTheme="minorEastAsia" w:cstheme="minorEastAsia"/>
          <w:b/>
          <w:color w:val="auto"/>
          <w:sz w:val="28"/>
          <w:szCs w:val="28"/>
          <w:highlight w:val="none"/>
        </w:rPr>
        <w:t>异议索赔</w:t>
      </w:r>
    </w:p>
    <w:p>
      <w:pPr>
        <w:keepNext w:val="0"/>
        <w:keepLines w:val="0"/>
        <w:pageBreakBefore w:val="0"/>
        <w:kinsoku/>
        <w:wordWrap/>
        <w:overflowPunct/>
        <w:topLinePunct w:val="0"/>
        <w:bidi w:val="0"/>
        <w:spacing w:line="360" w:lineRule="auto"/>
        <w:ind w:firstLine="560" w:firstLineChars="200"/>
        <w:textAlignment w:val="auto"/>
        <w:rPr>
          <w:rFonts w:hint="eastAsia" w:asciiTheme="minorEastAsia" w:hAnsiTheme="minorEastAsia" w:eastAsiaTheme="minorEastAsia" w:cstheme="minorEastAsia"/>
          <w:color w:val="auto"/>
          <w:kern w:val="28"/>
          <w:sz w:val="28"/>
          <w:szCs w:val="28"/>
          <w:highlight w:val="none"/>
        </w:rPr>
      </w:pPr>
      <w:r>
        <w:rPr>
          <w:rFonts w:hint="eastAsia" w:asciiTheme="minorEastAsia" w:hAnsiTheme="minorEastAsia" w:eastAsiaTheme="minorEastAsia" w:cstheme="minorEastAsia"/>
          <w:color w:val="auto"/>
          <w:kern w:val="28"/>
          <w:sz w:val="28"/>
          <w:szCs w:val="28"/>
          <w:highlight w:val="none"/>
        </w:rPr>
        <w:t>1.中标供应商对于所提供的货物与本项目的招标文件及合同要求不相符，中标供应商同意采购人拒收货物，中标供应商负担由此发生的一切损失和费用。包括银行利息、运输和保险费、检验费、仓储和装卸费等必要的费用。</w:t>
      </w:r>
    </w:p>
    <w:p>
      <w:pPr>
        <w:keepNext w:val="0"/>
        <w:keepLines w:val="0"/>
        <w:pageBreakBefore w:val="0"/>
        <w:kinsoku/>
        <w:wordWrap/>
        <w:overflowPunct/>
        <w:topLinePunct w:val="0"/>
        <w:bidi w:val="0"/>
        <w:spacing w:line="360" w:lineRule="auto"/>
        <w:ind w:firstLine="560" w:firstLineChars="200"/>
        <w:textAlignment w:val="auto"/>
        <w:rPr>
          <w:rFonts w:hint="eastAsia" w:asciiTheme="minorEastAsia" w:hAnsiTheme="minorEastAsia" w:eastAsiaTheme="minorEastAsia" w:cstheme="minorEastAsia"/>
          <w:color w:val="auto"/>
          <w:kern w:val="28"/>
          <w:sz w:val="28"/>
          <w:szCs w:val="28"/>
          <w:highlight w:val="none"/>
        </w:rPr>
      </w:pPr>
      <w:r>
        <w:rPr>
          <w:rFonts w:hint="eastAsia" w:asciiTheme="minorEastAsia" w:hAnsiTheme="minorEastAsia" w:eastAsiaTheme="minorEastAsia" w:cstheme="minorEastAsia"/>
          <w:color w:val="auto"/>
          <w:kern w:val="28"/>
          <w:sz w:val="28"/>
          <w:szCs w:val="28"/>
          <w:highlight w:val="none"/>
        </w:rPr>
        <w:t>2.对有缺陷的零件、部件和设备，中标供应商同意免费更换，以达到合同规定的规格、质量和性能，中标供应商承担一切费用和风险并负担采购人遭受的一切损失。同时中标供应商相应顺延被更换货物的质保期。</w:t>
      </w:r>
    </w:p>
    <w:p>
      <w:pPr>
        <w:keepNext w:val="0"/>
        <w:keepLines w:val="0"/>
        <w:pageBreakBefore w:val="0"/>
        <w:kinsoku/>
        <w:wordWrap/>
        <w:overflowPunct/>
        <w:topLinePunct w:val="0"/>
        <w:bidi w:val="0"/>
        <w:spacing w:line="360" w:lineRule="auto"/>
        <w:ind w:firstLine="560" w:firstLineChars="200"/>
        <w:textAlignment w:val="auto"/>
        <w:rPr>
          <w:rFonts w:hint="eastAsia" w:asciiTheme="minorEastAsia" w:hAnsiTheme="minorEastAsia" w:eastAsiaTheme="minorEastAsia" w:cstheme="minorEastAsia"/>
          <w:color w:val="auto"/>
          <w:kern w:val="28"/>
          <w:sz w:val="28"/>
          <w:szCs w:val="28"/>
          <w:highlight w:val="none"/>
        </w:rPr>
      </w:pPr>
      <w:r>
        <w:rPr>
          <w:rFonts w:hint="eastAsia" w:asciiTheme="minorEastAsia" w:hAnsiTheme="minorEastAsia" w:eastAsiaTheme="minorEastAsia" w:cstheme="minorEastAsia"/>
          <w:color w:val="auto"/>
          <w:kern w:val="28"/>
          <w:sz w:val="28"/>
          <w:szCs w:val="28"/>
          <w:highlight w:val="none"/>
        </w:rPr>
        <w:t>3.如果在采购人发出索赔通知后7天内，中标供应商未作答复，上述索赔应视为已被中标供应商接受。如中标供应商未能在收到索赔通知后7天内或征得</w:t>
      </w:r>
      <w:r>
        <w:rPr>
          <w:rFonts w:hint="eastAsia" w:asciiTheme="minorEastAsia" w:hAnsiTheme="minorEastAsia" w:eastAsiaTheme="minorEastAsia" w:cstheme="minorEastAsia"/>
          <w:color w:val="auto"/>
          <w:kern w:val="28"/>
          <w:sz w:val="28"/>
          <w:szCs w:val="28"/>
          <w:highlight w:val="none"/>
          <w:lang w:eastAsia="zh-CN"/>
        </w:rPr>
        <w:t>采购人</w:t>
      </w:r>
      <w:r>
        <w:rPr>
          <w:rFonts w:hint="eastAsia" w:asciiTheme="minorEastAsia" w:hAnsiTheme="minorEastAsia" w:eastAsiaTheme="minorEastAsia" w:cstheme="minorEastAsia"/>
          <w:color w:val="auto"/>
          <w:kern w:val="28"/>
          <w:sz w:val="28"/>
          <w:szCs w:val="28"/>
          <w:highlight w:val="none"/>
        </w:rPr>
        <w:t>同意的延长期内，按照采购人选择的方法解决索赔事宜，采购人将有权从货款中扣回索赔金额，同时保留进一步要求索赔的权力。</w:t>
      </w:r>
    </w:p>
    <w:p>
      <w:pPr>
        <w:keepNext w:val="0"/>
        <w:keepLines w:val="0"/>
        <w:pageBreakBefore w:val="0"/>
        <w:kinsoku/>
        <w:wordWrap/>
        <w:overflowPunct/>
        <w:topLinePunct w:val="0"/>
        <w:bidi w:val="0"/>
        <w:spacing w:line="360" w:lineRule="auto"/>
        <w:ind w:firstLine="560" w:firstLineChars="200"/>
        <w:textAlignment w:val="auto"/>
        <w:rPr>
          <w:rFonts w:hint="eastAsia" w:asciiTheme="minorEastAsia" w:hAnsiTheme="minorEastAsia" w:eastAsiaTheme="minorEastAsia" w:cstheme="minorEastAsia"/>
          <w:color w:val="auto"/>
          <w:kern w:val="28"/>
          <w:sz w:val="28"/>
          <w:szCs w:val="28"/>
          <w:highlight w:val="none"/>
        </w:rPr>
      </w:pPr>
      <w:r>
        <w:rPr>
          <w:rFonts w:hint="eastAsia" w:asciiTheme="minorEastAsia" w:hAnsiTheme="minorEastAsia" w:eastAsiaTheme="minorEastAsia" w:cstheme="minorEastAsia"/>
          <w:color w:val="auto"/>
          <w:kern w:val="28"/>
          <w:sz w:val="28"/>
          <w:szCs w:val="28"/>
          <w:highlight w:val="none"/>
        </w:rPr>
        <w:t>4.因设备的质量问题而发生争议，由质检部门进行质量鉴定。设备符合质量标准的，鉴定费用由采购人承担；设备不符合质量标准的，鉴定费用由中标供应商承担。</w:t>
      </w:r>
    </w:p>
    <w:p>
      <w:pPr>
        <w:pStyle w:val="3"/>
        <w:keepNext w:val="0"/>
        <w:keepLines w:val="0"/>
        <w:pageBreakBefore w:val="0"/>
        <w:numPr>
          <w:ilvl w:val="1"/>
          <w:numId w:val="0"/>
        </w:numPr>
        <w:tabs>
          <w:tab w:val="left" w:pos="630"/>
          <w:tab w:val="clear" w:pos="576"/>
          <w:tab w:val="clear" w:pos="851"/>
        </w:tabs>
        <w:kinsoku/>
        <w:wordWrap/>
        <w:overflowPunct/>
        <w:topLinePunct w:val="0"/>
        <w:bidi w:val="0"/>
        <w:spacing w:before="312" w:beforeLines="100" w:line="360" w:lineRule="auto"/>
        <w:textAlignment w:val="auto"/>
        <w:rPr>
          <w:rFonts w:hint="eastAsia" w:asciiTheme="minorEastAsia" w:hAnsiTheme="minorEastAsia" w:eastAsiaTheme="minorEastAsia" w:cstheme="minorEastAsia"/>
          <w:b/>
          <w:color w:val="auto"/>
          <w:sz w:val="28"/>
          <w:szCs w:val="28"/>
          <w:highlight w:val="none"/>
        </w:rPr>
      </w:pPr>
      <w:r>
        <w:rPr>
          <w:rFonts w:hint="eastAsia" w:asciiTheme="minorEastAsia" w:hAnsiTheme="minorEastAsia" w:eastAsiaTheme="minorEastAsia" w:cstheme="minorEastAsia"/>
          <w:b/>
          <w:color w:val="auto"/>
          <w:sz w:val="28"/>
          <w:szCs w:val="28"/>
          <w:highlight w:val="none"/>
        </w:rPr>
        <w:t>七、</w:t>
      </w:r>
      <w:r>
        <w:rPr>
          <w:b/>
          <w:color w:val="auto"/>
          <w:sz w:val="28"/>
          <w:szCs w:val="28"/>
          <w:highlight w:val="none"/>
        </w:rPr>
        <w:t>主要商务要求</w:t>
      </w:r>
    </w:p>
    <w:p>
      <w:pPr>
        <w:keepNext w:val="0"/>
        <w:keepLines w:val="0"/>
        <w:pageBreakBefore w:val="0"/>
        <w:kinsoku/>
        <w:wordWrap/>
        <w:overflowPunct/>
        <w:topLinePunct w:val="0"/>
        <w:bidi w:val="0"/>
        <w:spacing w:line="360" w:lineRule="auto"/>
        <w:ind w:firstLine="560" w:firstLineChars="200"/>
        <w:textAlignment w:val="auto"/>
        <w:rPr>
          <w:color w:val="auto"/>
          <w:sz w:val="28"/>
          <w:szCs w:val="28"/>
          <w:highlight w:val="none"/>
        </w:rPr>
      </w:pPr>
      <w:r>
        <w:rPr>
          <w:rFonts w:hint="eastAsia" w:asciiTheme="minorEastAsia" w:hAnsiTheme="minorEastAsia" w:eastAsiaTheme="minorEastAsia" w:cstheme="minorEastAsia"/>
          <w:color w:val="auto"/>
          <w:kern w:val="28"/>
          <w:sz w:val="28"/>
          <w:szCs w:val="28"/>
          <w:highlight w:val="none"/>
          <w:lang w:eastAsia="zh-CN"/>
        </w:rPr>
        <w:t>（</w:t>
      </w:r>
      <w:r>
        <w:rPr>
          <w:rFonts w:hint="eastAsia" w:asciiTheme="minorEastAsia" w:hAnsiTheme="minorEastAsia" w:eastAsiaTheme="minorEastAsia" w:cstheme="minorEastAsia"/>
          <w:color w:val="auto"/>
          <w:kern w:val="28"/>
          <w:sz w:val="28"/>
          <w:szCs w:val="28"/>
          <w:highlight w:val="none"/>
          <w:lang w:val="en-US" w:eastAsia="zh-CN"/>
        </w:rPr>
        <w:t>一</w:t>
      </w:r>
      <w:r>
        <w:rPr>
          <w:rFonts w:hint="eastAsia" w:asciiTheme="minorEastAsia" w:hAnsiTheme="minorEastAsia" w:eastAsiaTheme="minorEastAsia" w:cstheme="minorEastAsia"/>
          <w:color w:val="auto"/>
          <w:kern w:val="28"/>
          <w:sz w:val="28"/>
          <w:szCs w:val="28"/>
          <w:highlight w:val="none"/>
          <w:lang w:eastAsia="zh-CN"/>
        </w:rPr>
        <w:t>）</w:t>
      </w:r>
      <w:r>
        <w:rPr>
          <w:rFonts w:hint="eastAsia" w:asciiTheme="minorEastAsia" w:hAnsiTheme="minorEastAsia" w:eastAsiaTheme="minorEastAsia" w:cstheme="minorEastAsia"/>
          <w:color w:val="auto"/>
          <w:kern w:val="28"/>
          <w:sz w:val="28"/>
          <w:szCs w:val="28"/>
          <w:highlight w:val="none"/>
        </w:rPr>
        <w:t>标的提供的时间</w:t>
      </w:r>
      <w:r>
        <w:rPr>
          <w:rFonts w:hint="eastAsia" w:asciiTheme="minorEastAsia" w:hAnsiTheme="minorEastAsia" w:eastAsiaTheme="minorEastAsia" w:cstheme="minorEastAsia"/>
          <w:color w:val="auto"/>
          <w:kern w:val="28"/>
          <w:sz w:val="28"/>
          <w:szCs w:val="28"/>
          <w:highlight w:val="none"/>
          <w:lang w:eastAsia="zh-CN"/>
        </w:rPr>
        <w:t>：</w:t>
      </w:r>
      <w:r>
        <w:rPr>
          <w:color w:val="auto"/>
          <w:sz w:val="28"/>
          <w:szCs w:val="28"/>
          <w:highlight w:val="none"/>
        </w:rPr>
        <w:t>中标供应商自合同签定之日起至202</w:t>
      </w:r>
      <w:r>
        <w:rPr>
          <w:rFonts w:hint="eastAsia"/>
          <w:color w:val="auto"/>
          <w:sz w:val="28"/>
          <w:szCs w:val="28"/>
          <w:highlight w:val="none"/>
          <w:lang w:val="en-US" w:eastAsia="zh-CN"/>
        </w:rPr>
        <w:t>5</w:t>
      </w:r>
      <w:r>
        <w:rPr>
          <w:color w:val="auto"/>
          <w:sz w:val="28"/>
          <w:szCs w:val="28"/>
          <w:highlight w:val="none"/>
        </w:rPr>
        <w:t>年</w:t>
      </w:r>
      <w:r>
        <w:rPr>
          <w:rFonts w:hint="eastAsia"/>
          <w:color w:val="auto"/>
          <w:sz w:val="28"/>
          <w:szCs w:val="28"/>
          <w:highlight w:val="none"/>
          <w:lang w:val="en-US" w:eastAsia="zh-CN"/>
        </w:rPr>
        <w:t>06</w:t>
      </w:r>
      <w:r>
        <w:rPr>
          <w:color w:val="auto"/>
          <w:sz w:val="28"/>
          <w:szCs w:val="28"/>
          <w:highlight w:val="none"/>
        </w:rPr>
        <w:t>月底完成全部供货、安装及调试工作。</w:t>
      </w:r>
    </w:p>
    <w:p>
      <w:pPr>
        <w:keepNext w:val="0"/>
        <w:keepLines w:val="0"/>
        <w:pageBreakBefore w:val="0"/>
        <w:kinsoku/>
        <w:wordWrap/>
        <w:overflowPunct/>
        <w:topLinePunct w:val="0"/>
        <w:bidi w:val="0"/>
        <w:spacing w:line="360" w:lineRule="auto"/>
        <w:ind w:firstLine="560" w:firstLineChars="200"/>
        <w:textAlignment w:val="auto"/>
        <w:rPr>
          <w:rFonts w:hint="eastAsia" w:asciiTheme="minorEastAsia" w:hAnsiTheme="minorEastAsia" w:eastAsiaTheme="minorEastAsia" w:cstheme="minorEastAsia"/>
          <w:color w:val="auto"/>
          <w:kern w:val="28"/>
          <w:sz w:val="28"/>
          <w:szCs w:val="28"/>
          <w:highlight w:val="none"/>
        </w:rPr>
      </w:pPr>
      <w:r>
        <w:rPr>
          <w:rFonts w:hint="eastAsia" w:asciiTheme="minorEastAsia" w:hAnsiTheme="minorEastAsia" w:eastAsiaTheme="minorEastAsia" w:cstheme="minorEastAsia"/>
          <w:color w:val="auto"/>
          <w:kern w:val="28"/>
          <w:sz w:val="28"/>
          <w:szCs w:val="28"/>
          <w:highlight w:val="none"/>
          <w:lang w:eastAsia="zh-CN"/>
        </w:rPr>
        <w:t>（</w:t>
      </w:r>
      <w:r>
        <w:rPr>
          <w:rFonts w:hint="eastAsia" w:asciiTheme="minorEastAsia" w:hAnsiTheme="minorEastAsia" w:eastAsiaTheme="minorEastAsia" w:cstheme="minorEastAsia"/>
          <w:color w:val="auto"/>
          <w:kern w:val="28"/>
          <w:sz w:val="28"/>
          <w:szCs w:val="28"/>
          <w:highlight w:val="none"/>
          <w:lang w:val="en-US" w:eastAsia="zh-CN"/>
        </w:rPr>
        <w:t>二</w:t>
      </w:r>
      <w:r>
        <w:rPr>
          <w:rFonts w:hint="eastAsia" w:asciiTheme="minorEastAsia" w:hAnsiTheme="minorEastAsia" w:eastAsiaTheme="minorEastAsia" w:cstheme="minorEastAsia"/>
          <w:color w:val="auto"/>
          <w:kern w:val="28"/>
          <w:sz w:val="28"/>
          <w:szCs w:val="28"/>
          <w:highlight w:val="none"/>
          <w:lang w:eastAsia="zh-CN"/>
        </w:rPr>
        <w:t>）</w:t>
      </w:r>
      <w:r>
        <w:rPr>
          <w:rFonts w:hint="eastAsia" w:asciiTheme="minorEastAsia" w:hAnsiTheme="minorEastAsia" w:eastAsiaTheme="minorEastAsia" w:cstheme="minorEastAsia"/>
          <w:color w:val="auto"/>
          <w:kern w:val="28"/>
          <w:sz w:val="28"/>
          <w:szCs w:val="28"/>
          <w:highlight w:val="none"/>
        </w:rPr>
        <w:t>标的提供的地点</w:t>
      </w:r>
      <w:r>
        <w:rPr>
          <w:rFonts w:hint="eastAsia" w:asciiTheme="minorEastAsia" w:hAnsiTheme="minorEastAsia" w:eastAsiaTheme="minorEastAsia" w:cstheme="minorEastAsia"/>
          <w:color w:val="auto"/>
          <w:kern w:val="28"/>
          <w:sz w:val="28"/>
          <w:szCs w:val="28"/>
          <w:highlight w:val="none"/>
          <w:lang w:eastAsia="zh-CN"/>
        </w:rPr>
        <w:t>：</w:t>
      </w:r>
      <w:r>
        <w:rPr>
          <w:rFonts w:hint="eastAsia" w:asciiTheme="minorEastAsia" w:hAnsiTheme="minorEastAsia" w:eastAsiaTheme="minorEastAsia" w:cstheme="minorEastAsia"/>
          <w:color w:val="auto"/>
          <w:kern w:val="28"/>
          <w:sz w:val="28"/>
          <w:szCs w:val="28"/>
          <w:highlight w:val="none"/>
        </w:rPr>
        <w:t>广州市荔湾区城市管理和综合执法局指定的地点。</w:t>
      </w:r>
    </w:p>
    <w:p>
      <w:pPr>
        <w:keepNext w:val="0"/>
        <w:keepLines w:val="0"/>
        <w:pageBreakBefore w:val="0"/>
        <w:kinsoku/>
        <w:wordWrap/>
        <w:overflowPunct/>
        <w:topLinePunct w:val="0"/>
        <w:bidi w:val="0"/>
        <w:spacing w:line="360" w:lineRule="auto"/>
        <w:ind w:firstLine="560" w:firstLineChars="200"/>
        <w:textAlignment w:val="auto"/>
        <w:rPr>
          <w:rFonts w:hint="eastAsia" w:asciiTheme="minorEastAsia" w:hAnsiTheme="minorEastAsia" w:eastAsiaTheme="minorEastAsia" w:cstheme="minorEastAsia"/>
          <w:color w:val="auto"/>
          <w:kern w:val="28"/>
          <w:sz w:val="28"/>
          <w:szCs w:val="28"/>
          <w:highlight w:val="none"/>
          <w:lang w:eastAsia="zh-CN"/>
        </w:rPr>
      </w:pPr>
      <w:r>
        <w:rPr>
          <w:rFonts w:hint="eastAsia" w:asciiTheme="minorEastAsia" w:hAnsiTheme="minorEastAsia" w:eastAsiaTheme="minorEastAsia" w:cstheme="minorEastAsia"/>
          <w:color w:val="auto"/>
          <w:kern w:val="28"/>
          <w:sz w:val="28"/>
          <w:szCs w:val="28"/>
          <w:highlight w:val="none"/>
          <w:lang w:eastAsia="zh-CN"/>
        </w:rPr>
        <w:t>（</w:t>
      </w:r>
      <w:r>
        <w:rPr>
          <w:rFonts w:hint="eastAsia" w:asciiTheme="minorEastAsia" w:hAnsiTheme="minorEastAsia" w:eastAsiaTheme="minorEastAsia" w:cstheme="minorEastAsia"/>
          <w:color w:val="auto"/>
          <w:kern w:val="28"/>
          <w:sz w:val="28"/>
          <w:szCs w:val="28"/>
          <w:highlight w:val="none"/>
          <w:lang w:val="en-US" w:eastAsia="zh-CN"/>
        </w:rPr>
        <w:t>三</w:t>
      </w:r>
      <w:r>
        <w:rPr>
          <w:rFonts w:hint="eastAsia" w:asciiTheme="minorEastAsia" w:hAnsiTheme="minorEastAsia" w:eastAsiaTheme="minorEastAsia" w:cstheme="minorEastAsia"/>
          <w:color w:val="auto"/>
          <w:kern w:val="28"/>
          <w:sz w:val="28"/>
          <w:szCs w:val="28"/>
          <w:highlight w:val="none"/>
          <w:lang w:eastAsia="zh-CN"/>
        </w:rPr>
        <w:t>）</w:t>
      </w:r>
      <w:r>
        <w:rPr>
          <w:rFonts w:hint="eastAsia" w:asciiTheme="minorEastAsia" w:hAnsiTheme="minorEastAsia" w:eastAsiaTheme="minorEastAsia" w:cstheme="minorEastAsia"/>
          <w:color w:val="auto"/>
          <w:kern w:val="28"/>
          <w:sz w:val="28"/>
          <w:szCs w:val="28"/>
          <w:highlight w:val="none"/>
        </w:rPr>
        <w:t>付款方式</w:t>
      </w:r>
      <w:r>
        <w:rPr>
          <w:rFonts w:hint="eastAsia" w:asciiTheme="minorEastAsia" w:hAnsiTheme="minorEastAsia" w:eastAsiaTheme="minorEastAsia" w:cstheme="minorEastAsia"/>
          <w:color w:val="auto"/>
          <w:kern w:val="28"/>
          <w:sz w:val="28"/>
          <w:szCs w:val="28"/>
          <w:highlight w:val="none"/>
          <w:lang w:eastAsia="zh-CN"/>
        </w:rPr>
        <w:t>：</w:t>
      </w:r>
    </w:p>
    <w:p>
      <w:pPr>
        <w:keepNext w:val="0"/>
        <w:keepLines w:val="0"/>
        <w:pageBreakBefore w:val="0"/>
        <w:kinsoku/>
        <w:wordWrap/>
        <w:overflowPunct/>
        <w:topLinePunct w:val="0"/>
        <w:bidi w:val="0"/>
        <w:spacing w:line="360" w:lineRule="auto"/>
        <w:ind w:firstLine="560" w:firstLineChars="200"/>
        <w:textAlignment w:val="auto"/>
        <w:rPr>
          <w:rFonts w:hint="eastAsia" w:asciiTheme="minorEastAsia" w:hAnsiTheme="minorEastAsia" w:eastAsiaTheme="minorEastAsia" w:cstheme="minorEastAsia"/>
          <w:color w:val="auto"/>
          <w:kern w:val="28"/>
          <w:sz w:val="28"/>
          <w:szCs w:val="28"/>
          <w:highlight w:val="none"/>
        </w:rPr>
      </w:pPr>
      <w:r>
        <w:rPr>
          <w:rFonts w:hint="eastAsia" w:asciiTheme="minorEastAsia" w:hAnsiTheme="minorEastAsia" w:eastAsiaTheme="minorEastAsia" w:cstheme="minorEastAsia"/>
          <w:color w:val="auto"/>
          <w:kern w:val="28"/>
          <w:sz w:val="28"/>
          <w:szCs w:val="28"/>
          <w:highlight w:val="none"/>
        </w:rPr>
        <w:t>1期：支付比例30%,签订合同后7个工作日内，支付合同金额的30%</w:t>
      </w:r>
    </w:p>
    <w:p>
      <w:pPr>
        <w:keepNext w:val="0"/>
        <w:keepLines w:val="0"/>
        <w:pageBreakBefore w:val="0"/>
        <w:kinsoku/>
        <w:wordWrap/>
        <w:overflowPunct/>
        <w:topLinePunct w:val="0"/>
        <w:bidi w:val="0"/>
        <w:spacing w:line="360" w:lineRule="auto"/>
        <w:ind w:firstLine="560" w:firstLineChars="200"/>
        <w:textAlignment w:val="auto"/>
        <w:rPr>
          <w:rFonts w:hint="eastAsia" w:asciiTheme="minorEastAsia" w:hAnsiTheme="minorEastAsia" w:eastAsiaTheme="minorEastAsia" w:cstheme="minorEastAsia"/>
          <w:color w:val="auto"/>
          <w:kern w:val="28"/>
          <w:sz w:val="28"/>
          <w:szCs w:val="28"/>
          <w:highlight w:val="none"/>
        </w:rPr>
      </w:pPr>
      <w:r>
        <w:rPr>
          <w:rFonts w:hint="eastAsia" w:asciiTheme="minorEastAsia" w:hAnsiTheme="minorEastAsia" w:eastAsiaTheme="minorEastAsia" w:cstheme="minorEastAsia"/>
          <w:color w:val="auto"/>
          <w:kern w:val="28"/>
          <w:sz w:val="28"/>
          <w:szCs w:val="28"/>
          <w:highlight w:val="none"/>
        </w:rPr>
        <w:t>2期：支付比例70%,货物安装全部完成，验收合格后，支付合同金额的70%</w:t>
      </w:r>
    </w:p>
    <w:p>
      <w:pPr>
        <w:keepNext w:val="0"/>
        <w:keepLines w:val="0"/>
        <w:pageBreakBefore w:val="0"/>
        <w:kinsoku/>
        <w:wordWrap/>
        <w:overflowPunct/>
        <w:topLinePunct w:val="0"/>
        <w:bidi w:val="0"/>
        <w:spacing w:line="360" w:lineRule="auto"/>
        <w:ind w:firstLine="560" w:firstLineChars="200"/>
        <w:textAlignment w:val="auto"/>
        <w:rPr>
          <w:rFonts w:hint="eastAsia" w:asciiTheme="minorEastAsia" w:hAnsiTheme="minorEastAsia" w:eastAsiaTheme="minorEastAsia" w:cstheme="minorEastAsia"/>
          <w:color w:val="auto"/>
          <w:kern w:val="28"/>
          <w:sz w:val="28"/>
          <w:szCs w:val="28"/>
          <w:highlight w:val="none"/>
        </w:rPr>
      </w:pPr>
      <w:r>
        <w:rPr>
          <w:rFonts w:hint="eastAsia" w:asciiTheme="minorEastAsia" w:hAnsiTheme="minorEastAsia" w:eastAsiaTheme="minorEastAsia" w:cstheme="minorEastAsia"/>
          <w:color w:val="auto"/>
          <w:kern w:val="28"/>
          <w:sz w:val="28"/>
          <w:szCs w:val="28"/>
          <w:highlight w:val="none"/>
        </w:rPr>
        <w:t>如项目发生合同融资，采购人应当将合同款项支付到合同约定收款账户。</w:t>
      </w:r>
    </w:p>
    <w:p>
      <w:pPr>
        <w:keepNext w:val="0"/>
        <w:keepLines w:val="0"/>
        <w:pageBreakBefore w:val="0"/>
        <w:kinsoku/>
        <w:wordWrap/>
        <w:overflowPunct/>
        <w:topLinePunct w:val="0"/>
        <w:bidi w:val="0"/>
        <w:spacing w:line="360" w:lineRule="auto"/>
        <w:ind w:firstLine="560" w:firstLineChars="200"/>
        <w:textAlignment w:val="auto"/>
        <w:rPr>
          <w:rFonts w:hint="eastAsia" w:asciiTheme="minorEastAsia" w:hAnsiTheme="minorEastAsia" w:eastAsiaTheme="minorEastAsia" w:cstheme="minorEastAsia"/>
          <w:color w:val="auto"/>
          <w:kern w:val="28"/>
          <w:sz w:val="28"/>
          <w:szCs w:val="28"/>
          <w:highlight w:val="none"/>
          <w:lang w:eastAsia="zh-CN"/>
        </w:rPr>
      </w:pPr>
      <w:r>
        <w:rPr>
          <w:rFonts w:hint="eastAsia" w:asciiTheme="minorEastAsia" w:hAnsiTheme="minorEastAsia" w:eastAsiaTheme="minorEastAsia" w:cstheme="minorEastAsia"/>
          <w:color w:val="auto"/>
          <w:kern w:val="28"/>
          <w:sz w:val="28"/>
          <w:szCs w:val="28"/>
          <w:highlight w:val="none"/>
          <w:lang w:eastAsia="zh-CN"/>
        </w:rPr>
        <w:t>（</w:t>
      </w:r>
      <w:r>
        <w:rPr>
          <w:rFonts w:hint="eastAsia" w:asciiTheme="minorEastAsia" w:hAnsiTheme="minorEastAsia" w:eastAsiaTheme="minorEastAsia" w:cstheme="minorEastAsia"/>
          <w:color w:val="auto"/>
          <w:kern w:val="28"/>
          <w:sz w:val="28"/>
          <w:szCs w:val="28"/>
          <w:highlight w:val="none"/>
          <w:lang w:val="en-US" w:eastAsia="zh-CN"/>
        </w:rPr>
        <w:t>四</w:t>
      </w:r>
      <w:r>
        <w:rPr>
          <w:rFonts w:hint="eastAsia" w:asciiTheme="minorEastAsia" w:hAnsiTheme="minorEastAsia" w:eastAsiaTheme="minorEastAsia" w:cstheme="minorEastAsia"/>
          <w:color w:val="auto"/>
          <w:kern w:val="28"/>
          <w:sz w:val="28"/>
          <w:szCs w:val="28"/>
          <w:highlight w:val="none"/>
          <w:lang w:eastAsia="zh-CN"/>
        </w:rPr>
        <w:t>）</w:t>
      </w:r>
      <w:r>
        <w:rPr>
          <w:rFonts w:hint="eastAsia" w:asciiTheme="minorEastAsia" w:hAnsiTheme="minorEastAsia" w:eastAsiaTheme="minorEastAsia" w:cstheme="minorEastAsia"/>
          <w:color w:val="auto"/>
          <w:kern w:val="28"/>
          <w:sz w:val="28"/>
          <w:szCs w:val="28"/>
          <w:highlight w:val="none"/>
        </w:rPr>
        <w:t>验收要求</w:t>
      </w:r>
      <w:r>
        <w:rPr>
          <w:rFonts w:hint="eastAsia" w:asciiTheme="minorEastAsia" w:hAnsiTheme="minorEastAsia" w:eastAsiaTheme="minorEastAsia" w:cstheme="minorEastAsia"/>
          <w:color w:val="auto"/>
          <w:kern w:val="28"/>
          <w:sz w:val="28"/>
          <w:szCs w:val="28"/>
          <w:highlight w:val="none"/>
          <w:lang w:eastAsia="zh-CN"/>
        </w:rPr>
        <w:t>：</w:t>
      </w:r>
    </w:p>
    <w:p>
      <w:pPr>
        <w:keepNext w:val="0"/>
        <w:keepLines w:val="0"/>
        <w:pageBreakBefore w:val="0"/>
        <w:kinsoku/>
        <w:wordWrap/>
        <w:overflowPunct/>
        <w:topLinePunct w:val="0"/>
        <w:bidi w:val="0"/>
        <w:spacing w:line="360" w:lineRule="auto"/>
        <w:ind w:firstLine="560" w:firstLineChars="200"/>
        <w:textAlignment w:val="auto"/>
        <w:rPr>
          <w:rFonts w:hint="eastAsia" w:asciiTheme="minorEastAsia" w:hAnsiTheme="minorEastAsia" w:eastAsiaTheme="minorEastAsia" w:cstheme="minorEastAsia"/>
          <w:color w:val="auto"/>
          <w:kern w:val="28"/>
          <w:sz w:val="28"/>
          <w:szCs w:val="28"/>
          <w:highlight w:val="none"/>
        </w:rPr>
      </w:pPr>
      <w:r>
        <w:rPr>
          <w:rFonts w:hint="eastAsia" w:asciiTheme="minorEastAsia" w:hAnsiTheme="minorEastAsia" w:eastAsiaTheme="minorEastAsia" w:cstheme="minorEastAsia"/>
          <w:color w:val="auto"/>
          <w:kern w:val="28"/>
          <w:sz w:val="28"/>
          <w:szCs w:val="28"/>
          <w:highlight w:val="none"/>
        </w:rPr>
        <w:t>1期：采购人组成验收小组按国家有关规定、规范进行验收，必要时邀请相关的专业人员或机构参与验收。因货物质量问题发生争议时，由本地质量技术监督部门鉴定。货物符合质量技术标准的，鉴定费由采购人承担；否则鉴定费由中标供应商承担。当出现不合格产品时，中标供应商要无条件更换合格产品。除采购人认可，否则不接受任何形式的降格处理。</w:t>
      </w:r>
    </w:p>
    <w:p>
      <w:pPr>
        <w:keepNext w:val="0"/>
        <w:keepLines w:val="0"/>
        <w:pageBreakBefore w:val="0"/>
        <w:kinsoku/>
        <w:wordWrap/>
        <w:overflowPunct/>
        <w:topLinePunct w:val="0"/>
        <w:bidi w:val="0"/>
        <w:spacing w:line="360" w:lineRule="auto"/>
        <w:ind w:firstLine="560" w:firstLineChars="200"/>
        <w:textAlignment w:val="auto"/>
        <w:rPr>
          <w:rFonts w:hint="eastAsia" w:asciiTheme="minorEastAsia" w:hAnsiTheme="minorEastAsia" w:eastAsiaTheme="minorEastAsia" w:cstheme="minorEastAsia"/>
          <w:color w:val="auto"/>
          <w:kern w:val="28"/>
          <w:sz w:val="28"/>
          <w:szCs w:val="28"/>
          <w:highlight w:val="none"/>
        </w:rPr>
      </w:pPr>
      <w:r>
        <w:rPr>
          <w:rFonts w:hint="eastAsia" w:asciiTheme="minorEastAsia" w:hAnsiTheme="minorEastAsia" w:eastAsiaTheme="minorEastAsia" w:cstheme="minorEastAsia"/>
          <w:color w:val="auto"/>
          <w:kern w:val="28"/>
          <w:sz w:val="28"/>
          <w:szCs w:val="28"/>
          <w:highlight w:val="none"/>
          <w:lang w:eastAsia="zh-CN"/>
        </w:rPr>
        <w:t>（</w:t>
      </w:r>
      <w:r>
        <w:rPr>
          <w:rFonts w:hint="eastAsia" w:asciiTheme="minorEastAsia" w:hAnsiTheme="minorEastAsia" w:eastAsiaTheme="minorEastAsia" w:cstheme="minorEastAsia"/>
          <w:color w:val="auto"/>
          <w:kern w:val="28"/>
          <w:sz w:val="28"/>
          <w:szCs w:val="28"/>
          <w:highlight w:val="none"/>
          <w:lang w:val="en-US" w:eastAsia="zh-CN"/>
        </w:rPr>
        <w:t>五</w:t>
      </w:r>
      <w:r>
        <w:rPr>
          <w:rFonts w:hint="eastAsia" w:asciiTheme="minorEastAsia" w:hAnsiTheme="minorEastAsia" w:eastAsiaTheme="minorEastAsia" w:cstheme="minorEastAsia"/>
          <w:color w:val="auto"/>
          <w:kern w:val="28"/>
          <w:sz w:val="28"/>
          <w:szCs w:val="28"/>
          <w:highlight w:val="none"/>
          <w:lang w:eastAsia="zh-CN"/>
        </w:rPr>
        <w:t>）</w:t>
      </w:r>
      <w:r>
        <w:rPr>
          <w:rFonts w:hint="eastAsia" w:asciiTheme="minorEastAsia" w:hAnsiTheme="minorEastAsia" w:eastAsiaTheme="minorEastAsia" w:cstheme="minorEastAsia"/>
          <w:color w:val="auto"/>
          <w:kern w:val="28"/>
          <w:sz w:val="28"/>
          <w:szCs w:val="28"/>
          <w:highlight w:val="none"/>
        </w:rPr>
        <w:t>其他</w:t>
      </w:r>
      <w:r>
        <w:rPr>
          <w:rFonts w:hint="eastAsia" w:asciiTheme="minorEastAsia" w:hAnsiTheme="minorEastAsia" w:eastAsiaTheme="minorEastAsia" w:cstheme="minorEastAsia"/>
          <w:color w:val="auto"/>
          <w:kern w:val="28"/>
          <w:sz w:val="28"/>
          <w:szCs w:val="28"/>
          <w:highlight w:val="none"/>
          <w:lang w:eastAsia="zh-CN"/>
        </w:rPr>
        <w:t>：</w:t>
      </w:r>
      <w:r>
        <w:rPr>
          <w:rFonts w:hint="eastAsia" w:asciiTheme="minorEastAsia" w:hAnsiTheme="minorEastAsia" w:eastAsiaTheme="minorEastAsia" w:cstheme="minorEastAsia"/>
          <w:color w:val="auto"/>
          <w:kern w:val="28"/>
          <w:sz w:val="28"/>
          <w:szCs w:val="28"/>
          <w:highlight w:val="none"/>
          <w:lang w:val="en-US" w:eastAsia="zh-CN"/>
        </w:rPr>
        <w:t>无</w:t>
      </w:r>
      <w:r>
        <w:rPr>
          <w:rFonts w:hint="eastAsia" w:asciiTheme="minorEastAsia" w:hAnsiTheme="minorEastAsia" w:eastAsiaTheme="minorEastAsia" w:cstheme="minorEastAsia"/>
          <w:color w:val="auto"/>
          <w:kern w:val="28"/>
          <w:sz w:val="28"/>
          <w:szCs w:val="28"/>
          <w:highlight w:val="none"/>
        </w:rPr>
        <w:tab/>
      </w:r>
    </w:p>
    <w:bookmarkEnd w:id="0"/>
    <w:sectPr>
      <w:footerReference r:id="rId3" w:type="default"/>
      <w:pgSz w:w="11906" w:h="16838"/>
      <w:pgMar w:top="2098" w:right="1474" w:bottom="1984" w:left="1587"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rPr>
        <w:rStyle w:val="11"/>
      </w:rPr>
      <w:fldChar w:fldCharType="begin"/>
    </w:r>
    <w:r>
      <w:rPr>
        <w:rStyle w:val="11"/>
      </w:rPr>
      <w:instrText xml:space="preserve">PAGE  </w:instrText>
    </w:r>
    <w:r>
      <w:rPr>
        <w:rStyle w:val="11"/>
      </w:rPr>
      <w:fldChar w:fldCharType="separate"/>
    </w:r>
    <w:r>
      <w:rPr>
        <w:rStyle w:val="11"/>
      </w:rPr>
      <w:t>12</w:t>
    </w:r>
    <w:r>
      <w:rPr>
        <w:rStyle w:val="11"/>
      </w:rPr>
      <w:fldChar w:fldCharType="end"/>
    </w:r>
  </w:p>
  <w:p>
    <w:pPr>
      <w:pStyle w:val="6"/>
      <w:tabs>
        <w:tab w:val="clear" w:pos="8306"/>
      </w:tabs>
      <w:ind w:left="-541" w:leftChars="-258" w:right="-687" w:rightChars="-327" w:hanging="1" w:hangingChars="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094B54"/>
    <w:multiLevelType w:val="multilevel"/>
    <w:tmpl w:val="14094B54"/>
    <w:lvl w:ilvl="0" w:tentative="0">
      <w:start w:val="1"/>
      <w:numFmt w:val="decimal"/>
      <w:lvlText w:val="%1"/>
      <w:lvlJc w:val="left"/>
      <w:pPr>
        <w:tabs>
          <w:tab w:val="left" w:pos="432"/>
        </w:tabs>
        <w:ind w:left="432" w:hanging="432"/>
      </w:pPr>
      <w:rPr>
        <w:rFonts w:hint="eastAsia"/>
      </w:rPr>
    </w:lvl>
    <w:lvl w:ilvl="1" w:tentative="0">
      <w:start w:val="1"/>
      <w:numFmt w:val="decimal"/>
      <w:pStyle w:val="3"/>
      <w:lvlText w:val="%1.%2"/>
      <w:lvlJc w:val="left"/>
      <w:pPr>
        <w:tabs>
          <w:tab w:val="left" w:pos="576"/>
        </w:tabs>
        <w:ind w:left="576" w:hanging="576"/>
      </w:pPr>
      <w:rPr>
        <w:rFonts w:hint="eastAsia"/>
      </w:rPr>
    </w:lvl>
    <w:lvl w:ilvl="2" w:tentative="0">
      <w:start w:val="1"/>
      <w:numFmt w:val="decimal"/>
      <w:lvlText w:val="%1.%2.%3"/>
      <w:lvlJc w:val="left"/>
      <w:pPr>
        <w:tabs>
          <w:tab w:val="left" w:pos="720"/>
        </w:tabs>
        <w:ind w:left="720" w:hanging="720"/>
      </w:pPr>
      <w:rPr>
        <w:rFonts w:hint="eastAsia"/>
      </w:rPr>
    </w:lvl>
    <w:lvl w:ilvl="3" w:tentative="0">
      <w:start w:val="1"/>
      <w:numFmt w:val="decimal"/>
      <w:lvlText w:val="%1.%2.%3.%4"/>
      <w:lvlJc w:val="left"/>
      <w:pPr>
        <w:tabs>
          <w:tab w:val="left" w:pos="864"/>
        </w:tabs>
        <w:ind w:left="864" w:hanging="864"/>
      </w:pPr>
      <w:rPr>
        <w:rFonts w:hint="eastAsia"/>
        <w:b w:val="0"/>
        <w:i w:val="0"/>
      </w:rPr>
    </w:lvl>
    <w:lvl w:ilvl="4" w:tentative="0">
      <w:start w:val="1"/>
      <w:numFmt w:val="decimal"/>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M0NTNiY2ZlY2Q4ZTA3YzE3Mzk4YTNiY2ZlNjQzOTkifQ=="/>
    <w:docVar w:name="KSO_WPS_MARK_KEY" w:val="e692cdae-b466-4f53-bd12-0f99ac59dc12"/>
  </w:docVars>
  <w:rsids>
    <w:rsidRoot w:val="00E96FDF"/>
    <w:rsid w:val="00006432"/>
    <w:rsid w:val="00014776"/>
    <w:rsid w:val="000B3BA4"/>
    <w:rsid w:val="000C7AF4"/>
    <w:rsid w:val="0015399A"/>
    <w:rsid w:val="001839C4"/>
    <w:rsid w:val="001A5936"/>
    <w:rsid w:val="001D46B0"/>
    <w:rsid w:val="00233F3F"/>
    <w:rsid w:val="00241A29"/>
    <w:rsid w:val="00246A0E"/>
    <w:rsid w:val="00247385"/>
    <w:rsid w:val="002A6E02"/>
    <w:rsid w:val="00331632"/>
    <w:rsid w:val="00355A3E"/>
    <w:rsid w:val="00360003"/>
    <w:rsid w:val="00362250"/>
    <w:rsid w:val="0039043C"/>
    <w:rsid w:val="003C4ED0"/>
    <w:rsid w:val="00464619"/>
    <w:rsid w:val="004E4F9D"/>
    <w:rsid w:val="00515D7C"/>
    <w:rsid w:val="00557261"/>
    <w:rsid w:val="00573DA7"/>
    <w:rsid w:val="005929C5"/>
    <w:rsid w:val="00593042"/>
    <w:rsid w:val="005F5288"/>
    <w:rsid w:val="006125DE"/>
    <w:rsid w:val="00674FE7"/>
    <w:rsid w:val="0068116D"/>
    <w:rsid w:val="006B08B5"/>
    <w:rsid w:val="006D27CA"/>
    <w:rsid w:val="007C2845"/>
    <w:rsid w:val="007F3799"/>
    <w:rsid w:val="00882154"/>
    <w:rsid w:val="009415BF"/>
    <w:rsid w:val="00942FBF"/>
    <w:rsid w:val="009C355A"/>
    <w:rsid w:val="009F4793"/>
    <w:rsid w:val="00A33230"/>
    <w:rsid w:val="00A63FA1"/>
    <w:rsid w:val="00AC2123"/>
    <w:rsid w:val="00B338D2"/>
    <w:rsid w:val="00B33A47"/>
    <w:rsid w:val="00B34EA8"/>
    <w:rsid w:val="00B4023D"/>
    <w:rsid w:val="00B877FC"/>
    <w:rsid w:val="00C85B84"/>
    <w:rsid w:val="00D64078"/>
    <w:rsid w:val="00D7032C"/>
    <w:rsid w:val="00DA21FE"/>
    <w:rsid w:val="00DE11C0"/>
    <w:rsid w:val="00E15696"/>
    <w:rsid w:val="00E20ABE"/>
    <w:rsid w:val="00E44F91"/>
    <w:rsid w:val="00E73FC8"/>
    <w:rsid w:val="00E96FDF"/>
    <w:rsid w:val="00EB56AA"/>
    <w:rsid w:val="00F562EC"/>
    <w:rsid w:val="00F65E32"/>
    <w:rsid w:val="010453C3"/>
    <w:rsid w:val="012A7494"/>
    <w:rsid w:val="01437A6A"/>
    <w:rsid w:val="01455EFD"/>
    <w:rsid w:val="01651179"/>
    <w:rsid w:val="01790463"/>
    <w:rsid w:val="017E1B30"/>
    <w:rsid w:val="01A175FE"/>
    <w:rsid w:val="01AD5299"/>
    <w:rsid w:val="01AE5867"/>
    <w:rsid w:val="01B2414A"/>
    <w:rsid w:val="01B3397B"/>
    <w:rsid w:val="01BB1A36"/>
    <w:rsid w:val="01C2762C"/>
    <w:rsid w:val="01E96B69"/>
    <w:rsid w:val="01EC1860"/>
    <w:rsid w:val="01F66F0A"/>
    <w:rsid w:val="01F94264"/>
    <w:rsid w:val="01F96794"/>
    <w:rsid w:val="01F975AE"/>
    <w:rsid w:val="020553AE"/>
    <w:rsid w:val="02240743"/>
    <w:rsid w:val="0232339D"/>
    <w:rsid w:val="023C0D43"/>
    <w:rsid w:val="023E1745"/>
    <w:rsid w:val="025528AF"/>
    <w:rsid w:val="025657EA"/>
    <w:rsid w:val="025663E5"/>
    <w:rsid w:val="025A52E3"/>
    <w:rsid w:val="026476CA"/>
    <w:rsid w:val="026C3612"/>
    <w:rsid w:val="026E7CFD"/>
    <w:rsid w:val="027C1891"/>
    <w:rsid w:val="027D3FE0"/>
    <w:rsid w:val="02815E99"/>
    <w:rsid w:val="02860715"/>
    <w:rsid w:val="02910953"/>
    <w:rsid w:val="029D5606"/>
    <w:rsid w:val="02A86094"/>
    <w:rsid w:val="02C0644B"/>
    <w:rsid w:val="02CE4551"/>
    <w:rsid w:val="02CF2A76"/>
    <w:rsid w:val="02D13377"/>
    <w:rsid w:val="02F04BE8"/>
    <w:rsid w:val="02F521AF"/>
    <w:rsid w:val="03081913"/>
    <w:rsid w:val="030C3B7A"/>
    <w:rsid w:val="03131199"/>
    <w:rsid w:val="031C13E1"/>
    <w:rsid w:val="0323325C"/>
    <w:rsid w:val="035053F6"/>
    <w:rsid w:val="03652809"/>
    <w:rsid w:val="036F436F"/>
    <w:rsid w:val="03740EC8"/>
    <w:rsid w:val="037E0A2C"/>
    <w:rsid w:val="03840B50"/>
    <w:rsid w:val="0387355A"/>
    <w:rsid w:val="0393032F"/>
    <w:rsid w:val="039408F6"/>
    <w:rsid w:val="03991C1F"/>
    <w:rsid w:val="03A37EBB"/>
    <w:rsid w:val="03AA4C75"/>
    <w:rsid w:val="03C878AD"/>
    <w:rsid w:val="03D43C17"/>
    <w:rsid w:val="03D7593F"/>
    <w:rsid w:val="03DC643B"/>
    <w:rsid w:val="0417677D"/>
    <w:rsid w:val="041A423E"/>
    <w:rsid w:val="042109A6"/>
    <w:rsid w:val="04341422"/>
    <w:rsid w:val="044A2CAB"/>
    <w:rsid w:val="04503BBB"/>
    <w:rsid w:val="04511838"/>
    <w:rsid w:val="045B6CA4"/>
    <w:rsid w:val="048858CB"/>
    <w:rsid w:val="048D032D"/>
    <w:rsid w:val="04915C7D"/>
    <w:rsid w:val="049C5849"/>
    <w:rsid w:val="04A80810"/>
    <w:rsid w:val="04AB508D"/>
    <w:rsid w:val="04C42206"/>
    <w:rsid w:val="04CC0CFC"/>
    <w:rsid w:val="04CE0D9F"/>
    <w:rsid w:val="04E0188F"/>
    <w:rsid w:val="04F205A7"/>
    <w:rsid w:val="051D0869"/>
    <w:rsid w:val="05251B10"/>
    <w:rsid w:val="05357436"/>
    <w:rsid w:val="053A76A7"/>
    <w:rsid w:val="05464E79"/>
    <w:rsid w:val="05480E40"/>
    <w:rsid w:val="056D72B5"/>
    <w:rsid w:val="05730576"/>
    <w:rsid w:val="0575008F"/>
    <w:rsid w:val="0594186D"/>
    <w:rsid w:val="05B65EB3"/>
    <w:rsid w:val="05C23BA1"/>
    <w:rsid w:val="05C33BDD"/>
    <w:rsid w:val="05CC377E"/>
    <w:rsid w:val="05CC66F7"/>
    <w:rsid w:val="05CF5188"/>
    <w:rsid w:val="05CF6B5F"/>
    <w:rsid w:val="05D44B9C"/>
    <w:rsid w:val="05DE5AD2"/>
    <w:rsid w:val="05F4722A"/>
    <w:rsid w:val="05F96468"/>
    <w:rsid w:val="06016F15"/>
    <w:rsid w:val="060A45F0"/>
    <w:rsid w:val="060F4111"/>
    <w:rsid w:val="06282E2A"/>
    <w:rsid w:val="062A57B8"/>
    <w:rsid w:val="06377E05"/>
    <w:rsid w:val="06457C8E"/>
    <w:rsid w:val="06474EBC"/>
    <w:rsid w:val="064976F6"/>
    <w:rsid w:val="064B0016"/>
    <w:rsid w:val="065177A0"/>
    <w:rsid w:val="065B041B"/>
    <w:rsid w:val="065D03FE"/>
    <w:rsid w:val="066D77BD"/>
    <w:rsid w:val="067228C8"/>
    <w:rsid w:val="068F08FF"/>
    <w:rsid w:val="069E1D80"/>
    <w:rsid w:val="06A17480"/>
    <w:rsid w:val="06B203B1"/>
    <w:rsid w:val="06BA3F51"/>
    <w:rsid w:val="06C20B17"/>
    <w:rsid w:val="06CA719A"/>
    <w:rsid w:val="06D17110"/>
    <w:rsid w:val="06EA1871"/>
    <w:rsid w:val="06F839CF"/>
    <w:rsid w:val="06FE2C65"/>
    <w:rsid w:val="07055599"/>
    <w:rsid w:val="0713596D"/>
    <w:rsid w:val="072661DE"/>
    <w:rsid w:val="07297C29"/>
    <w:rsid w:val="073C6D51"/>
    <w:rsid w:val="076836B2"/>
    <w:rsid w:val="076F268A"/>
    <w:rsid w:val="078647B2"/>
    <w:rsid w:val="07904594"/>
    <w:rsid w:val="07944F72"/>
    <w:rsid w:val="079A7E5E"/>
    <w:rsid w:val="079E390A"/>
    <w:rsid w:val="07A75C23"/>
    <w:rsid w:val="07AC2FC4"/>
    <w:rsid w:val="07B45679"/>
    <w:rsid w:val="07DE3C41"/>
    <w:rsid w:val="080F5CEB"/>
    <w:rsid w:val="08143F04"/>
    <w:rsid w:val="081E135C"/>
    <w:rsid w:val="08261861"/>
    <w:rsid w:val="082A0B7F"/>
    <w:rsid w:val="082B0E4E"/>
    <w:rsid w:val="083B6228"/>
    <w:rsid w:val="083B784E"/>
    <w:rsid w:val="083C1FF6"/>
    <w:rsid w:val="084272D4"/>
    <w:rsid w:val="08475AAA"/>
    <w:rsid w:val="084C1A3D"/>
    <w:rsid w:val="084F0683"/>
    <w:rsid w:val="08501D28"/>
    <w:rsid w:val="08575E66"/>
    <w:rsid w:val="08605A87"/>
    <w:rsid w:val="086D50CD"/>
    <w:rsid w:val="0874191D"/>
    <w:rsid w:val="08763DFF"/>
    <w:rsid w:val="08837F39"/>
    <w:rsid w:val="088C55D0"/>
    <w:rsid w:val="088C76F3"/>
    <w:rsid w:val="08986049"/>
    <w:rsid w:val="08A025BF"/>
    <w:rsid w:val="08A51531"/>
    <w:rsid w:val="08AF1DB8"/>
    <w:rsid w:val="08B04026"/>
    <w:rsid w:val="08BB14F9"/>
    <w:rsid w:val="08BB781D"/>
    <w:rsid w:val="08C44B18"/>
    <w:rsid w:val="08CA7891"/>
    <w:rsid w:val="08EA687B"/>
    <w:rsid w:val="08F437D1"/>
    <w:rsid w:val="08F80800"/>
    <w:rsid w:val="090135B3"/>
    <w:rsid w:val="09255BFA"/>
    <w:rsid w:val="09312988"/>
    <w:rsid w:val="093B49E7"/>
    <w:rsid w:val="093C06D5"/>
    <w:rsid w:val="09400ABE"/>
    <w:rsid w:val="094B6C8C"/>
    <w:rsid w:val="096D7965"/>
    <w:rsid w:val="09705637"/>
    <w:rsid w:val="097E11BB"/>
    <w:rsid w:val="098918C0"/>
    <w:rsid w:val="09995D10"/>
    <w:rsid w:val="09A74A59"/>
    <w:rsid w:val="09AB4913"/>
    <w:rsid w:val="09B01C47"/>
    <w:rsid w:val="09C21504"/>
    <w:rsid w:val="09C2170A"/>
    <w:rsid w:val="09C46508"/>
    <w:rsid w:val="09D93628"/>
    <w:rsid w:val="09E31CA3"/>
    <w:rsid w:val="09E413AE"/>
    <w:rsid w:val="09EC3CBA"/>
    <w:rsid w:val="09F61E4A"/>
    <w:rsid w:val="09F70E40"/>
    <w:rsid w:val="0A0046FA"/>
    <w:rsid w:val="0A0F7B88"/>
    <w:rsid w:val="0A10511D"/>
    <w:rsid w:val="0A1701BE"/>
    <w:rsid w:val="0A20104F"/>
    <w:rsid w:val="0A397407"/>
    <w:rsid w:val="0A3A32A4"/>
    <w:rsid w:val="0A417829"/>
    <w:rsid w:val="0A7326CF"/>
    <w:rsid w:val="0A787DC4"/>
    <w:rsid w:val="0A7F0F7B"/>
    <w:rsid w:val="0A883C4E"/>
    <w:rsid w:val="0A8E3261"/>
    <w:rsid w:val="0A94763C"/>
    <w:rsid w:val="0AA91E2A"/>
    <w:rsid w:val="0AAA5B1D"/>
    <w:rsid w:val="0AC17D9B"/>
    <w:rsid w:val="0AF74024"/>
    <w:rsid w:val="0B060BC0"/>
    <w:rsid w:val="0B0E2DDE"/>
    <w:rsid w:val="0B1F0143"/>
    <w:rsid w:val="0B341134"/>
    <w:rsid w:val="0B3E1210"/>
    <w:rsid w:val="0B444DFF"/>
    <w:rsid w:val="0B4A62A0"/>
    <w:rsid w:val="0B4E6374"/>
    <w:rsid w:val="0B500CCF"/>
    <w:rsid w:val="0B624C17"/>
    <w:rsid w:val="0B84569A"/>
    <w:rsid w:val="0BA071CA"/>
    <w:rsid w:val="0BA112A2"/>
    <w:rsid w:val="0BB238C0"/>
    <w:rsid w:val="0BC0080F"/>
    <w:rsid w:val="0BCC167B"/>
    <w:rsid w:val="0BDA1D08"/>
    <w:rsid w:val="0BEA7700"/>
    <w:rsid w:val="0BF32CF3"/>
    <w:rsid w:val="0BF7754B"/>
    <w:rsid w:val="0C06645F"/>
    <w:rsid w:val="0C0C4D67"/>
    <w:rsid w:val="0C1357E5"/>
    <w:rsid w:val="0C167A48"/>
    <w:rsid w:val="0C194CBB"/>
    <w:rsid w:val="0C2747D3"/>
    <w:rsid w:val="0C360BCB"/>
    <w:rsid w:val="0C4606F3"/>
    <w:rsid w:val="0C4C60B6"/>
    <w:rsid w:val="0C4E2162"/>
    <w:rsid w:val="0C793850"/>
    <w:rsid w:val="0C9D4A05"/>
    <w:rsid w:val="0CA448E6"/>
    <w:rsid w:val="0CB40CAB"/>
    <w:rsid w:val="0CBA2B13"/>
    <w:rsid w:val="0CBE170D"/>
    <w:rsid w:val="0CC40E9F"/>
    <w:rsid w:val="0CC60394"/>
    <w:rsid w:val="0D015B25"/>
    <w:rsid w:val="0D094ACB"/>
    <w:rsid w:val="0D1100E4"/>
    <w:rsid w:val="0D1E1273"/>
    <w:rsid w:val="0D25284A"/>
    <w:rsid w:val="0D2B5B1C"/>
    <w:rsid w:val="0D2E2323"/>
    <w:rsid w:val="0D2F4E21"/>
    <w:rsid w:val="0D487157"/>
    <w:rsid w:val="0D583FCC"/>
    <w:rsid w:val="0D6321AA"/>
    <w:rsid w:val="0D7F75A5"/>
    <w:rsid w:val="0D823CA4"/>
    <w:rsid w:val="0D840099"/>
    <w:rsid w:val="0D8719BE"/>
    <w:rsid w:val="0D936474"/>
    <w:rsid w:val="0D9F0DAF"/>
    <w:rsid w:val="0DA82EC7"/>
    <w:rsid w:val="0DBA74F1"/>
    <w:rsid w:val="0DBF599C"/>
    <w:rsid w:val="0DC8363E"/>
    <w:rsid w:val="0DDC1DBE"/>
    <w:rsid w:val="0DE7040D"/>
    <w:rsid w:val="0DF77E18"/>
    <w:rsid w:val="0DFB673C"/>
    <w:rsid w:val="0E04546D"/>
    <w:rsid w:val="0E110757"/>
    <w:rsid w:val="0E1A101D"/>
    <w:rsid w:val="0E285CE7"/>
    <w:rsid w:val="0E292788"/>
    <w:rsid w:val="0E2A0751"/>
    <w:rsid w:val="0E335F27"/>
    <w:rsid w:val="0E3433A4"/>
    <w:rsid w:val="0E3A4F7D"/>
    <w:rsid w:val="0E41413D"/>
    <w:rsid w:val="0E4E638F"/>
    <w:rsid w:val="0E654738"/>
    <w:rsid w:val="0E835BDF"/>
    <w:rsid w:val="0E8D3174"/>
    <w:rsid w:val="0E941330"/>
    <w:rsid w:val="0E9A3215"/>
    <w:rsid w:val="0E9A33B2"/>
    <w:rsid w:val="0EA510FF"/>
    <w:rsid w:val="0EAB1FA3"/>
    <w:rsid w:val="0EAE3991"/>
    <w:rsid w:val="0EB456BF"/>
    <w:rsid w:val="0EC36BBB"/>
    <w:rsid w:val="0ECD5C11"/>
    <w:rsid w:val="0ED67805"/>
    <w:rsid w:val="0ED93350"/>
    <w:rsid w:val="0EF42D20"/>
    <w:rsid w:val="0F0A6403"/>
    <w:rsid w:val="0F1620F6"/>
    <w:rsid w:val="0F1E0D40"/>
    <w:rsid w:val="0F1F5DDB"/>
    <w:rsid w:val="0F2A5F86"/>
    <w:rsid w:val="0F441D43"/>
    <w:rsid w:val="0F457830"/>
    <w:rsid w:val="0F464643"/>
    <w:rsid w:val="0F4968B6"/>
    <w:rsid w:val="0F4C493D"/>
    <w:rsid w:val="0F5C72E5"/>
    <w:rsid w:val="0F70399B"/>
    <w:rsid w:val="0F83790B"/>
    <w:rsid w:val="0FAA7AE9"/>
    <w:rsid w:val="0FAC2A32"/>
    <w:rsid w:val="0FB3283C"/>
    <w:rsid w:val="0FB36BD1"/>
    <w:rsid w:val="0FCB4A9D"/>
    <w:rsid w:val="0FCF2EF9"/>
    <w:rsid w:val="0FDE0128"/>
    <w:rsid w:val="0FFA3B84"/>
    <w:rsid w:val="1011602E"/>
    <w:rsid w:val="101B4C22"/>
    <w:rsid w:val="10217C23"/>
    <w:rsid w:val="10337170"/>
    <w:rsid w:val="10634222"/>
    <w:rsid w:val="106D35DC"/>
    <w:rsid w:val="106E3612"/>
    <w:rsid w:val="1073252A"/>
    <w:rsid w:val="10780CF7"/>
    <w:rsid w:val="10940390"/>
    <w:rsid w:val="109F2DF7"/>
    <w:rsid w:val="10A01EDE"/>
    <w:rsid w:val="10A1065C"/>
    <w:rsid w:val="10A263F6"/>
    <w:rsid w:val="10A86475"/>
    <w:rsid w:val="10A93AF4"/>
    <w:rsid w:val="10F40634"/>
    <w:rsid w:val="10FF0F3A"/>
    <w:rsid w:val="1100065E"/>
    <w:rsid w:val="11043C93"/>
    <w:rsid w:val="11151455"/>
    <w:rsid w:val="11163FB1"/>
    <w:rsid w:val="111C7E2E"/>
    <w:rsid w:val="111D219B"/>
    <w:rsid w:val="11200E69"/>
    <w:rsid w:val="112A1595"/>
    <w:rsid w:val="112E4507"/>
    <w:rsid w:val="11315205"/>
    <w:rsid w:val="11331C27"/>
    <w:rsid w:val="11364867"/>
    <w:rsid w:val="11453815"/>
    <w:rsid w:val="114C7164"/>
    <w:rsid w:val="114F4B08"/>
    <w:rsid w:val="11561F03"/>
    <w:rsid w:val="115C75C0"/>
    <w:rsid w:val="117F22FD"/>
    <w:rsid w:val="11932044"/>
    <w:rsid w:val="11A10B83"/>
    <w:rsid w:val="11B27402"/>
    <w:rsid w:val="11B40606"/>
    <w:rsid w:val="11CE2124"/>
    <w:rsid w:val="11E55910"/>
    <w:rsid w:val="11EA0763"/>
    <w:rsid w:val="11F90624"/>
    <w:rsid w:val="121A3011"/>
    <w:rsid w:val="121C7B20"/>
    <w:rsid w:val="121E025C"/>
    <w:rsid w:val="12280854"/>
    <w:rsid w:val="12382554"/>
    <w:rsid w:val="12390938"/>
    <w:rsid w:val="124562D5"/>
    <w:rsid w:val="12770D75"/>
    <w:rsid w:val="127A26CC"/>
    <w:rsid w:val="128628AF"/>
    <w:rsid w:val="12960728"/>
    <w:rsid w:val="129A4D7A"/>
    <w:rsid w:val="129E70BB"/>
    <w:rsid w:val="12A44C25"/>
    <w:rsid w:val="12B15597"/>
    <w:rsid w:val="12C91660"/>
    <w:rsid w:val="12CB6EDD"/>
    <w:rsid w:val="12DD49F3"/>
    <w:rsid w:val="12FF641F"/>
    <w:rsid w:val="130E3131"/>
    <w:rsid w:val="132D7A2A"/>
    <w:rsid w:val="13331AA6"/>
    <w:rsid w:val="133844E9"/>
    <w:rsid w:val="133A2FFF"/>
    <w:rsid w:val="133B1983"/>
    <w:rsid w:val="133D1C2D"/>
    <w:rsid w:val="133E7CDE"/>
    <w:rsid w:val="134121EB"/>
    <w:rsid w:val="134779B7"/>
    <w:rsid w:val="13493277"/>
    <w:rsid w:val="135068BC"/>
    <w:rsid w:val="1359748A"/>
    <w:rsid w:val="13731682"/>
    <w:rsid w:val="13760D1B"/>
    <w:rsid w:val="139A3142"/>
    <w:rsid w:val="13A86845"/>
    <w:rsid w:val="13AD7362"/>
    <w:rsid w:val="13C378D9"/>
    <w:rsid w:val="13CF0B30"/>
    <w:rsid w:val="13D8078F"/>
    <w:rsid w:val="13EE7C06"/>
    <w:rsid w:val="13FA39AE"/>
    <w:rsid w:val="140006C8"/>
    <w:rsid w:val="14103AC8"/>
    <w:rsid w:val="141E15AE"/>
    <w:rsid w:val="14267156"/>
    <w:rsid w:val="142B4A65"/>
    <w:rsid w:val="143E0B70"/>
    <w:rsid w:val="14430AC6"/>
    <w:rsid w:val="145118A3"/>
    <w:rsid w:val="14544DBE"/>
    <w:rsid w:val="14590D0D"/>
    <w:rsid w:val="14633F2D"/>
    <w:rsid w:val="146C40BD"/>
    <w:rsid w:val="146D2C0E"/>
    <w:rsid w:val="14750EA1"/>
    <w:rsid w:val="14791E57"/>
    <w:rsid w:val="147E2C19"/>
    <w:rsid w:val="147F58BD"/>
    <w:rsid w:val="14802FE0"/>
    <w:rsid w:val="14830F84"/>
    <w:rsid w:val="14A70CA8"/>
    <w:rsid w:val="14AE04AB"/>
    <w:rsid w:val="14BD7FB7"/>
    <w:rsid w:val="14BE5C00"/>
    <w:rsid w:val="14C07F90"/>
    <w:rsid w:val="14C33888"/>
    <w:rsid w:val="14DD713E"/>
    <w:rsid w:val="14DF5D6F"/>
    <w:rsid w:val="14EC7F91"/>
    <w:rsid w:val="15024AF7"/>
    <w:rsid w:val="151249F9"/>
    <w:rsid w:val="15143897"/>
    <w:rsid w:val="152015A9"/>
    <w:rsid w:val="15265BFF"/>
    <w:rsid w:val="152B2B94"/>
    <w:rsid w:val="152F523A"/>
    <w:rsid w:val="152F7EC2"/>
    <w:rsid w:val="153B5499"/>
    <w:rsid w:val="155A460F"/>
    <w:rsid w:val="155B0F0B"/>
    <w:rsid w:val="156009E5"/>
    <w:rsid w:val="1563393F"/>
    <w:rsid w:val="156D73B4"/>
    <w:rsid w:val="157A2786"/>
    <w:rsid w:val="157D3F84"/>
    <w:rsid w:val="158B1432"/>
    <w:rsid w:val="158B4B80"/>
    <w:rsid w:val="15A36677"/>
    <w:rsid w:val="15BF72A3"/>
    <w:rsid w:val="15C111CE"/>
    <w:rsid w:val="15C51268"/>
    <w:rsid w:val="15EC3CA3"/>
    <w:rsid w:val="15F75F5F"/>
    <w:rsid w:val="160103E6"/>
    <w:rsid w:val="16100086"/>
    <w:rsid w:val="16155C7C"/>
    <w:rsid w:val="16195236"/>
    <w:rsid w:val="161D2696"/>
    <w:rsid w:val="161E454D"/>
    <w:rsid w:val="16397CAC"/>
    <w:rsid w:val="1652085A"/>
    <w:rsid w:val="165E05C0"/>
    <w:rsid w:val="16645886"/>
    <w:rsid w:val="166D7A8B"/>
    <w:rsid w:val="166F509F"/>
    <w:rsid w:val="1675266C"/>
    <w:rsid w:val="16787730"/>
    <w:rsid w:val="16A16E1C"/>
    <w:rsid w:val="16A7168B"/>
    <w:rsid w:val="16B01F1F"/>
    <w:rsid w:val="16BE553E"/>
    <w:rsid w:val="16C63C0A"/>
    <w:rsid w:val="16D327D1"/>
    <w:rsid w:val="16EB3659"/>
    <w:rsid w:val="17030C55"/>
    <w:rsid w:val="17054B76"/>
    <w:rsid w:val="170A3055"/>
    <w:rsid w:val="170D324E"/>
    <w:rsid w:val="17110577"/>
    <w:rsid w:val="1715530D"/>
    <w:rsid w:val="17286DA5"/>
    <w:rsid w:val="172B1376"/>
    <w:rsid w:val="172E379D"/>
    <w:rsid w:val="172E4A05"/>
    <w:rsid w:val="173827BF"/>
    <w:rsid w:val="17472704"/>
    <w:rsid w:val="174D27E5"/>
    <w:rsid w:val="1754069C"/>
    <w:rsid w:val="175824F5"/>
    <w:rsid w:val="17594DA8"/>
    <w:rsid w:val="176A497F"/>
    <w:rsid w:val="176D7C33"/>
    <w:rsid w:val="17777446"/>
    <w:rsid w:val="178055B0"/>
    <w:rsid w:val="17814154"/>
    <w:rsid w:val="17971ADB"/>
    <w:rsid w:val="1798074B"/>
    <w:rsid w:val="179E4835"/>
    <w:rsid w:val="179F4248"/>
    <w:rsid w:val="17AE1545"/>
    <w:rsid w:val="17BB58BF"/>
    <w:rsid w:val="17E22651"/>
    <w:rsid w:val="17E53D0F"/>
    <w:rsid w:val="17F533AB"/>
    <w:rsid w:val="17F87AFC"/>
    <w:rsid w:val="17FA246A"/>
    <w:rsid w:val="18084AFE"/>
    <w:rsid w:val="180E7ACB"/>
    <w:rsid w:val="1836382B"/>
    <w:rsid w:val="184B40C5"/>
    <w:rsid w:val="185077F1"/>
    <w:rsid w:val="186218DC"/>
    <w:rsid w:val="187F3287"/>
    <w:rsid w:val="18920DE9"/>
    <w:rsid w:val="189D3BD2"/>
    <w:rsid w:val="18A57DA4"/>
    <w:rsid w:val="18A66B30"/>
    <w:rsid w:val="18AD63AB"/>
    <w:rsid w:val="18B62129"/>
    <w:rsid w:val="18B72161"/>
    <w:rsid w:val="18B779C4"/>
    <w:rsid w:val="18C34002"/>
    <w:rsid w:val="18D6358E"/>
    <w:rsid w:val="18F1003D"/>
    <w:rsid w:val="18F40C38"/>
    <w:rsid w:val="190C15C0"/>
    <w:rsid w:val="1914146B"/>
    <w:rsid w:val="19237BA3"/>
    <w:rsid w:val="192D7091"/>
    <w:rsid w:val="19326969"/>
    <w:rsid w:val="19384FD1"/>
    <w:rsid w:val="19441F0D"/>
    <w:rsid w:val="19452B4D"/>
    <w:rsid w:val="19546E67"/>
    <w:rsid w:val="195D4AEC"/>
    <w:rsid w:val="19673DBD"/>
    <w:rsid w:val="196C4C2C"/>
    <w:rsid w:val="196E4850"/>
    <w:rsid w:val="19731014"/>
    <w:rsid w:val="19731212"/>
    <w:rsid w:val="19750724"/>
    <w:rsid w:val="198F6CF9"/>
    <w:rsid w:val="199622FA"/>
    <w:rsid w:val="199D3300"/>
    <w:rsid w:val="19AE3B88"/>
    <w:rsid w:val="19B54832"/>
    <w:rsid w:val="19BA5D3E"/>
    <w:rsid w:val="19F70C16"/>
    <w:rsid w:val="1A052F32"/>
    <w:rsid w:val="1A284DFB"/>
    <w:rsid w:val="1A2851A8"/>
    <w:rsid w:val="1A3A3BD1"/>
    <w:rsid w:val="1A425553"/>
    <w:rsid w:val="1A4430CF"/>
    <w:rsid w:val="1A547718"/>
    <w:rsid w:val="1A5B2FAB"/>
    <w:rsid w:val="1A7A6BBE"/>
    <w:rsid w:val="1A89304E"/>
    <w:rsid w:val="1A8E6E6D"/>
    <w:rsid w:val="1A920BC6"/>
    <w:rsid w:val="1AA8560F"/>
    <w:rsid w:val="1ABC331F"/>
    <w:rsid w:val="1ABD7728"/>
    <w:rsid w:val="1ACA3A68"/>
    <w:rsid w:val="1AD045EF"/>
    <w:rsid w:val="1AE56719"/>
    <w:rsid w:val="1AE67CBC"/>
    <w:rsid w:val="1AE92047"/>
    <w:rsid w:val="1B040CE2"/>
    <w:rsid w:val="1B2602EB"/>
    <w:rsid w:val="1B3E379B"/>
    <w:rsid w:val="1B47091C"/>
    <w:rsid w:val="1B48152F"/>
    <w:rsid w:val="1B4D3571"/>
    <w:rsid w:val="1B535C6F"/>
    <w:rsid w:val="1B61340F"/>
    <w:rsid w:val="1B671EF2"/>
    <w:rsid w:val="1B6E3FBB"/>
    <w:rsid w:val="1B6E777C"/>
    <w:rsid w:val="1B731B7C"/>
    <w:rsid w:val="1B731ED5"/>
    <w:rsid w:val="1B766C9F"/>
    <w:rsid w:val="1B7B14B9"/>
    <w:rsid w:val="1B874D81"/>
    <w:rsid w:val="1B8D4E00"/>
    <w:rsid w:val="1B900275"/>
    <w:rsid w:val="1B957C52"/>
    <w:rsid w:val="1B9F3B9A"/>
    <w:rsid w:val="1BA37B4B"/>
    <w:rsid w:val="1BAB4481"/>
    <w:rsid w:val="1BAD29FB"/>
    <w:rsid w:val="1BAE7539"/>
    <w:rsid w:val="1BC11BBC"/>
    <w:rsid w:val="1BC54475"/>
    <w:rsid w:val="1BCD536F"/>
    <w:rsid w:val="1BDA551B"/>
    <w:rsid w:val="1BEC6224"/>
    <w:rsid w:val="1C0A45DC"/>
    <w:rsid w:val="1C110FE3"/>
    <w:rsid w:val="1C2272BF"/>
    <w:rsid w:val="1C2905B5"/>
    <w:rsid w:val="1C2E57D8"/>
    <w:rsid w:val="1C4316C8"/>
    <w:rsid w:val="1C4A26EA"/>
    <w:rsid w:val="1C545A73"/>
    <w:rsid w:val="1C5553DD"/>
    <w:rsid w:val="1C55724B"/>
    <w:rsid w:val="1C742BE5"/>
    <w:rsid w:val="1C780287"/>
    <w:rsid w:val="1C9D0FB9"/>
    <w:rsid w:val="1CAD3619"/>
    <w:rsid w:val="1CB33536"/>
    <w:rsid w:val="1CD50611"/>
    <w:rsid w:val="1CEE5ADB"/>
    <w:rsid w:val="1CF45941"/>
    <w:rsid w:val="1CFD186A"/>
    <w:rsid w:val="1D016922"/>
    <w:rsid w:val="1D131E52"/>
    <w:rsid w:val="1D1730BA"/>
    <w:rsid w:val="1D206748"/>
    <w:rsid w:val="1D2465BC"/>
    <w:rsid w:val="1D2A6876"/>
    <w:rsid w:val="1D2D7839"/>
    <w:rsid w:val="1D3F0CA9"/>
    <w:rsid w:val="1D435D82"/>
    <w:rsid w:val="1D696301"/>
    <w:rsid w:val="1D74333B"/>
    <w:rsid w:val="1D7E203C"/>
    <w:rsid w:val="1D882213"/>
    <w:rsid w:val="1D9523F8"/>
    <w:rsid w:val="1DA722E8"/>
    <w:rsid w:val="1DAC79EB"/>
    <w:rsid w:val="1DB33D10"/>
    <w:rsid w:val="1DBA7ADB"/>
    <w:rsid w:val="1DC50176"/>
    <w:rsid w:val="1DCC092B"/>
    <w:rsid w:val="1DDF0C6F"/>
    <w:rsid w:val="1DEF0088"/>
    <w:rsid w:val="1DFF4260"/>
    <w:rsid w:val="1E04043E"/>
    <w:rsid w:val="1E183411"/>
    <w:rsid w:val="1E2B4DE0"/>
    <w:rsid w:val="1E375DB8"/>
    <w:rsid w:val="1E4628C2"/>
    <w:rsid w:val="1E4E4EB5"/>
    <w:rsid w:val="1E5E79BE"/>
    <w:rsid w:val="1E6918D0"/>
    <w:rsid w:val="1E734A2B"/>
    <w:rsid w:val="1E824180"/>
    <w:rsid w:val="1E887C40"/>
    <w:rsid w:val="1E8F2380"/>
    <w:rsid w:val="1E9521F9"/>
    <w:rsid w:val="1E9D760D"/>
    <w:rsid w:val="1E9E1635"/>
    <w:rsid w:val="1EB11F0F"/>
    <w:rsid w:val="1EB14425"/>
    <w:rsid w:val="1EC02492"/>
    <w:rsid w:val="1ECA1617"/>
    <w:rsid w:val="1ECC362C"/>
    <w:rsid w:val="1ECE2B34"/>
    <w:rsid w:val="1ECE531B"/>
    <w:rsid w:val="1EDA2347"/>
    <w:rsid w:val="1EE24E62"/>
    <w:rsid w:val="1EEA03AE"/>
    <w:rsid w:val="1F13602A"/>
    <w:rsid w:val="1F146655"/>
    <w:rsid w:val="1F2C1AE4"/>
    <w:rsid w:val="1F3378B5"/>
    <w:rsid w:val="1F3D0BC9"/>
    <w:rsid w:val="1F5223C4"/>
    <w:rsid w:val="1F557874"/>
    <w:rsid w:val="1F704EA8"/>
    <w:rsid w:val="1F747CF5"/>
    <w:rsid w:val="1F751779"/>
    <w:rsid w:val="1F821527"/>
    <w:rsid w:val="1F871B38"/>
    <w:rsid w:val="1F8D3627"/>
    <w:rsid w:val="1FA340E4"/>
    <w:rsid w:val="1FD50A66"/>
    <w:rsid w:val="1FE46253"/>
    <w:rsid w:val="1FE62EEF"/>
    <w:rsid w:val="1FEC3C20"/>
    <w:rsid w:val="1FFE1EE2"/>
    <w:rsid w:val="1FFE4F14"/>
    <w:rsid w:val="200048B5"/>
    <w:rsid w:val="20036E08"/>
    <w:rsid w:val="20117418"/>
    <w:rsid w:val="2013669C"/>
    <w:rsid w:val="201A2AC3"/>
    <w:rsid w:val="201B43FB"/>
    <w:rsid w:val="201B4BC4"/>
    <w:rsid w:val="201C187E"/>
    <w:rsid w:val="201C48BA"/>
    <w:rsid w:val="202D74E7"/>
    <w:rsid w:val="203E64CD"/>
    <w:rsid w:val="2041114E"/>
    <w:rsid w:val="2068375C"/>
    <w:rsid w:val="208C7E7E"/>
    <w:rsid w:val="20943F8F"/>
    <w:rsid w:val="20A01D42"/>
    <w:rsid w:val="20A6592D"/>
    <w:rsid w:val="20C61036"/>
    <w:rsid w:val="20D0362E"/>
    <w:rsid w:val="20D36A51"/>
    <w:rsid w:val="20D37358"/>
    <w:rsid w:val="20D95D70"/>
    <w:rsid w:val="20DF025F"/>
    <w:rsid w:val="20E54EB9"/>
    <w:rsid w:val="20ED2A02"/>
    <w:rsid w:val="20F43ECE"/>
    <w:rsid w:val="210B27A5"/>
    <w:rsid w:val="211263BF"/>
    <w:rsid w:val="211B0A67"/>
    <w:rsid w:val="211C0EF7"/>
    <w:rsid w:val="2120210A"/>
    <w:rsid w:val="21342BE7"/>
    <w:rsid w:val="21374968"/>
    <w:rsid w:val="21387762"/>
    <w:rsid w:val="213936AE"/>
    <w:rsid w:val="213B468E"/>
    <w:rsid w:val="214D5279"/>
    <w:rsid w:val="21535D0C"/>
    <w:rsid w:val="216E60AD"/>
    <w:rsid w:val="21901A06"/>
    <w:rsid w:val="219123E4"/>
    <w:rsid w:val="21B853BD"/>
    <w:rsid w:val="21BD484A"/>
    <w:rsid w:val="21CB7595"/>
    <w:rsid w:val="21E01998"/>
    <w:rsid w:val="21E45038"/>
    <w:rsid w:val="21F857F8"/>
    <w:rsid w:val="22067540"/>
    <w:rsid w:val="220768E7"/>
    <w:rsid w:val="22105D5A"/>
    <w:rsid w:val="222C3CFB"/>
    <w:rsid w:val="225A0CC1"/>
    <w:rsid w:val="226075B3"/>
    <w:rsid w:val="22634D63"/>
    <w:rsid w:val="2266747C"/>
    <w:rsid w:val="22682CEB"/>
    <w:rsid w:val="2272730D"/>
    <w:rsid w:val="22781422"/>
    <w:rsid w:val="22805F83"/>
    <w:rsid w:val="22866F5A"/>
    <w:rsid w:val="22CB1771"/>
    <w:rsid w:val="22E75217"/>
    <w:rsid w:val="230F6519"/>
    <w:rsid w:val="23157111"/>
    <w:rsid w:val="231929FC"/>
    <w:rsid w:val="2319353E"/>
    <w:rsid w:val="23290E01"/>
    <w:rsid w:val="234046AD"/>
    <w:rsid w:val="23407776"/>
    <w:rsid w:val="23473EDC"/>
    <w:rsid w:val="234E4FC9"/>
    <w:rsid w:val="23555715"/>
    <w:rsid w:val="235808D5"/>
    <w:rsid w:val="23757778"/>
    <w:rsid w:val="23842C2C"/>
    <w:rsid w:val="23956DA4"/>
    <w:rsid w:val="23A60209"/>
    <w:rsid w:val="23CE1CE8"/>
    <w:rsid w:val="23D155C6"/>
    <w:rsid w:val="23DC34B5"/>
    <w:rsid w:val="23EC20E1"/>
    <w:rsid w:val="23F07F4D"/>
    <w:rsid w:val="23F31F8E"/>
    <w:rsid w:val="23FC4B85"/>
    <w:rsid w:val="23FE1517"/>
    <w:rsid w:val="240E0656"/>
    <w:rsid w:val="24234B58"/>
    <w:rsid w:val="24254A24"/>
    <w:rsid w:val="242770C2"/>
    <w:rsid w:val="242B717E"/>
    <w:rsid w:val="24352E09"/>
    <w:rsid w:val="24370EDE"/>
    <w:rsid w:val="24393181"/>
    <w:rsid w:val="243A44A9"/>
    <w:rsid w:val="244475FD"/>
    <w:rsid w:val="24474810"/>
    <w:rsid w:val="24640DAA"/>
    <w:rsid w:val="246B275A"/>
    <w:rsid w:val="24767E13"/>
    <w:rsid w:val="2477617E"/>
    <w:rsid w:val="248D0587"/>
    <w:rsid w:val="249343CF"/>
    <w:rsid w:val="24A02D5C"/>
    <w:rsid w:val="24B60134"/>
    <w:rsid w:val="24BA6C0E"/>
    <w:rsid w:val="24BD2A93"/>
    <w:rsid w:val="24CB6418"/>
    <w:rsid w:val="24CE3C89"/>
    <w:rsid w:val="24D2214E"/>
    <w:rsid w:val="24D52789"/>
    <w:rsid w:val="24D82CE5"/>
    <w:rsid w:val="24E2279A"/>
    <w:rsid w:val="25010D28"/>
    <w:rsid w:val="25053B54"/>
    <w:rsid w:val="250D4EA8"/>
    <w:rsid w:val="251430AB"/>
    <w:rsid w:val="251B6F16"/>
    <w:rsid w:val="251C56FC"/>
    <w:rsid w:val="251F2712"/>
    <w:rsid w:val="252F613E"/>
    <w:rsid w:val="253151FA"/>
    <w:rsid w:val="253F00DD"/>
    <w:rsid w:val="254A3FED"/>
    <w:rsid w:val="255132EE"/>
    <w:rsid w:val="25546729"/>
    <w:rsid w:val="25741F4C"/>
    <w:rsid w:val="25755A51"/>
    <w:rsid w:val="257E4739"/>
    <w:rsid w:val="25807468"/>
    <w:rsid w:val="258C19F0"/>
    <w:rsid w:val="259067B0"/>
    <w:rsid w:val="25923E10"/>
    <w:rsid w:val="25935AA7"/>
    <w:rsid w:val="25975C82"/>
    <w:rsid w:val="259D05C3"/>
    <w:rsid w:val="259D23D8"/>
    <w:rsid w:val="25A46D30"/>
    <w:rsid w:val="25D6198E"/>
    <w:rsid w:val="25E028D4"/>
    <w:rsid w:val="25E7206F"/>
    <w:rsid w:val="26021330"/>
    <w:rsid w:val="260F5DDF"/>
    <w:rsid w:val="26114E33"/>
    <w:rsid w:val="263C2153"/>
    <w:rsid w:val="26477F67"/>
    <w:rsid w:val="264E082D"/>
    <w:rsid w:val="2652294B"/>
    <w:rsid w:val="26551B95"/>
    <w:rsid w:val="26590701"/>
    <w:rsid w:val="265B02B8"/>
    <w:rsid w:val="26630810"/>
    <w:rsid w:val="26631B1E"/>
    <w:rsid w:val="266528DD"/>
    <w:rsid w:val="266A1E9F"/>
    <w:rsid w:val="266E146E"/>
    <w:rsid w:val="268047C0"/>
    <w:rsid w:val="268248F2"/>
    <w:rsid w:val="269208E2"/>
    <w:rsid w:val="269243FE"/>
    <w:rsid w:val="26A45F5B"/>
    <w:rsid w:val="26A76B48"/>
    <w:rsid w:val="26BD00A5"/>
    <w:rsid w:val="26D11694"/>
    <w:rsid w:val="26F730CE"/>
    <w:rsid w:val="270512FE"/>
    <w:rsid w:val="27083043"/>
    <w:rsid w:val="272739F5"/>
    <w:rsid w:val="274B19A8"/>
    <w:rsid w:val="27506D3B"/>
    <w:rsid w:val="275634F6"/>
    <w:rsid w:val="27687CD0"/>
    <w:rsid w:val="27723775"/>
    <w:rsid w:val="27864B85"/>
    <w:rsid w:val="27947810"/>
    <w:rsid w:val="27A8033B"/>
    <w:rsid w:val="27B13F44"/>
    <w:rsid w:val="27B73256"/>
    <w:rsid w:val="27CC7C50"/>
    <w:rsid w:val="27E74890"/>
    <w:rsid w:val="27F61F9D"/>
    <w:rsid w:val="28084B67"/>
    <w:rsid w:val="28106D0E"/>
    <w:rsid w:val="28155D46"/>
    <w:rsid w:val="2826649B"/>
    <w:rsid w:val="282E2857"/>
    <w:rsid w:val="28332011"/>
    <w:rsid w:val="284679EC"/>
    <w:rsid w:val="284F3D1F"/>
    <w:rsid w:val="284F4A51"/>
    <w:rsid w:val="284F60FD"/>
    <w:rsid w:val="28667109"/>
    <w:rsid w:val="287D123B"/>
    <w:rsid w:val="28806A9E"/>
    <w:rsid w:val="28863380"/>
    <w:rsid w:val="28883A42"/>
    <w:rsid w:val="28885CF4"/>
    <w:rsid w:val="288A788B"/>
    <w:rsid w:val="288E4C36"/>
    <w:rsid w:val="289E058B"/>
    <w:rsid w:val="28A56111"/>
    <w:rsid w:val="28AE6D71"/>
    <w:rsid w:val="28AF1CC2"/>
    <w:rsid w:val="28B07003"/>
    <w:rsid w:val="28BD2B47"/>
    <w:rsid w:val="28E16DC7"/>
    <w:rsid w:val="28EA110E"/>
    <w:rsid w:val="290F1D1F"/>
    <w:rsid w:val="292252CE"/>
    <w:rsid w:val="293908B8"/>
    <w:rsid w:val="2939415A"/>
    <w:rsid w:val="293A21F2"/>
    <w:rsid w:val="293F0296"/>
    <w:rsid w:val="29403E59"/>
    <w:rsid w:val="2944404C"/>
    <w:rsid w:val="294C2C52"/>
    <w:rsid w:val="295208D8"/>
    <w:rsid w:val="29556CE7"/>
    <w:rsid w:val="295F5EF7"/>
    <w:rsid w:val="296D7320"/>
    <w:rsid w:val="297F6502"/>
    <w:rsid w:val="29840B85"/>
    <w:rsid w:val="298C213C"/>
    <w:rsid w:val="29A56155"/>
    <w:rsid w:val="29AC2686"/>
    <w:rsid w:val="29AE66F9"/>
    <w:rsid w:val="29AF1C6B"/>
    <w:rsid w:val="29BD1B16"/>
    <w:rsid w:val="29C14A00"/>
    <w:rsid w:val="29C229EF"/>
    <w:rsid w:val="29C70960"/>
    <w:rsid w:val="29CE65E0"/>
    <w:rsid w:val="29EC2722"/>
    <w:rsid w:val="29F6292F"/>
    <w:rsid w:val="2A04145C"/>
    <w:rsid w:val="2A0440DB"/>
    <w:rsid w:val="2A0E763B"/>
    <w:rsid w:val="2A0F427A"/>
    <w:rsid w:val="2A110CC0"/>
    <w:rsid w:val="2A11366E"/>
    <w:rsid w:val="2A1B40C9"/>
    <w:rsid w:val="2A1C463F"/>
    <w:rsid w:val="2A313EF6"/>
    <w:rsid w:val="2A34245B"/>
    <w:rsid w:val="2A520757"/>
    <w:rsid w:val="2A553C32"/>
    <w:rsid w:val="2A6724CC"/>
    <w:rsid w:val="2A6A1697"/>
    <w:rsid w:val="2A8F7A49"/>
    <w:rsid w:val="2A920615"/>
    <w:rsid w:val="2AB801DC"/>
    <w:rsid w:val="2ACB17DB"/>
    <w:rsid w:val="2ACD5B74"/>
    <w:rsid w:val="2AD779B5"/>
    <w:rsid w:val="2AE77865"/>
    <w:rsid w:val="2AED0DAD"/>
    <w:rsid w:val="2AF673F6"/>
    <w:rsid w:val="2AF71B90"/>
    <w:rsid w:val="2B182893"/>
    <w:rsid w:val="2B183891"/>
    <w:rsid w:val="2B214045"/>
    <w:rsid w:val="2B261B99"/>
    <w:rsid w:val="2B2A1586"/>
    <w:rsid w:val="2B471B12"/>
    <w:rsid w:val="2B486DD6"/>
    <w:rsid w:val="2B5C6145"/>
    <w:rsid w:val="2B5C6332"/>
    <w:rsid w:val="2B6D643E"/>
    <w:rsid w:val="2B8F7C16"/>
    <w:rsid w:val="2B90265F"/>
    <w:rsid w:val="2B926455"/>
    <w:rsid w:val="2B95190D"/>
    <w:rsid w:val="2BA42E43"/>
    <w:rsid w:val="2BB27EF9"/>
    <w:rsid w:val="2BC04948"/>
    <w:rsid w:val="2BC05846"/>
    <w:rsid w:val="2BC34263"/>
    <w:rsid w:val="2BDF29A6"/>
    <w:rsid w:val="2BF82DF1"/>
    <w:rsid w:val="2C0616FA"/>
    <w:rsid w:val="2C1169B7"/>
    <w:rsid w:val="2C2E2033"/>
    <w:rsid w:val="2C39325D"/>
    <w:rsid w:val="2C4F43B6"/>
    <w:rsid w:val="2C5E312B"/>
    <w:rsid w:val="2C66668A"/>
    <w:rsid w:val="2C7F6A50"/>
    <w:rsid w:val="2C990B33"/>
    <w:rsid w:val="2C9D2795"/>
    <w:rsid w:val="2C9F5846"/>
    <w:rsid w:val="2CA221E0"/>
    <w:rsid w:val="2CB82C83"/>
    <w:rsid w:val="2CBC0249"/>
    <w:rsid w:val="2CED7E36"/>
    <w:rsid w:val="2CF65DA1"/>
    <w:rsid w:val="2CF93683"/>
    <w:rsid w:val="2D012AB3"/>
    <w:rsid w:val="2D073B18"/>
    <w:rsid w:val="2D29474C"/>
    <w:rsid w:val="2D2A3F47"/>
    <w:rsid w:val="2D2B0771"/>
    <w:rsid w:val="2D2D21BA"/>
    <w:rsid w:val="2D3033DF"/>
    <w:rsid w:val="2D330E3A"/>
    <w:rsid w:val="2D362326"/>
    <w:rsid w:val="2D40261C"/>
    <w:rsid w:val="2D455904"/>
    <w:rsid w:val="2D82363B"/>
    <w:rsid w:val="2D840140"/>
    <w:rsid w:val="2D883543"/>
    <w:rsid w:val="2D9328EB"/>
    <w:rsid w:val="2DA70F82"/>
    <w:rsid w:val="2DBA0B56"/>
    <w:rsid w:val="2DBD03E9"/>
    <w:rsid w:val="2DC728BF"/>
    <w:rsid w:val="2DC86933"/>
    <w:rsid w:val="2DD35BFE"/>
    <w:rsid w:val="2DD429B3"/>
    <w:rsid w:val="2DE17EA1"/>
    <w:rsid w:val="2DEB5853"/>
    <w:rsid w:val="2DF85180"/>
    <w:rsid w:val="2DFB5AEE"/>
    <w:rsid w:val="2E012E2A"/>
    <w:rsid w:val="2E0E55BF"/>
    <w:rsid w:val="2E0E6B38"/>
    <w:rsid w:val="2E184FFC"/>
    <w:rsid w:val="2E235729"/>
    <w:rsid w:val="2E2626C6"/>
    <w:rsid w:val="2E426BE8"/>
    <w:rsid w:val="2E52223B"/>
    <w:rsid w:val="2E593DCE"/>
    <w:rsid w:val="2E5C7C58"/>
    <w:rsid w:val="2E6A6BAD"/>
    <w:rsid w:val="2E6F7A92"/>
    <w:rsid w:val="2E791BB9"/>
    <w:rsid w:val="2E836E98"/>
    <w:rsid w:val="2E861FFD"/>
    <w:rsid w:val="2EA145C5"/>
    <w:rsid w:val="2EB434A8"/>
    <w:rsid w:val="2EB47E28"/>
    <w:rsid w:val="2EC5693B"/>
    <w:rsid w:val="2ECD0837"/>
    <w:rsid w:val="2ED63708"/>
    <w:rsid w:val="2ED7741C"/>
    <w:rsid w:val="2EF408DE"/>
    <w:rsid w:val="2F013512"/>
    <w:rsid w:val="2F050B05"/>
    <w:rsid w:val="2F0B7241"/>
    <w:rsid w:val="2F0F45B3"/>
    <w:rsid w:val="2F1A604E"/>
    <w:rsid w:val="2F3A7373"/>
    <w:rsid w:val="2F434805"/>
    <w:rsid w:val="2F47408B"/>
    <w:rsid w:val="2F590AD1"/>
    <w:rsid w:val="2F660579"/>
    <w:rsid w:val="2F661959"/>
    <w:rsid w:val="2F662225"/>
    <w:rsid w:val="2F697D7B"/>
    <w:rsid w:val="2F7555ED"/>
    <w:rsid w:val="2F7B4354"/>
    <w:rsid w:val="2F954016"/>
    <w:rsid w:val="2FAC0D71"/>
    <w:rsid w:val="2FB351C2"/>
    <w:rsid w:val="2FBA5D05"/>
    <w:rsid w:val="2FC47F78"/>
    <w:rsid w:val="2FC86C37"/>
    <w:rsid w:val="2FCE319B"/>
    <w:rsid w:val="2FD44FC9"/>
    <w:rsid w:val="2FE43F8D"/>
    <w:rsid w:val="2FE47102"/>
    <w:rsid w:val="2FF22C65"/>
    <w:rsid w:val="300A324C"/>
    <w:rsid w:val="300B6CDD"/>
    <w:rsid w:val="300F1873"/>
    <w:rsid w:val="30293499"/>
    <w:rsid w:val="30391D28"/>
    <w:rsid w:val="303A5D1D"/>
    <w:rsid w:val="30432D1F"/>
    <w:rsid w:val="30450FF8"/>
    <w:rsid w:val="304D38AE"/>
    <w:rsid w:val="304D70B8"/>
    <w:rsid w:val="306A0F52"/>
    <w:rsid w:val="306D6266"/>
    <w:rsid w:val="306D6575"/>
    <w:rsid w:val="30721B13"/>
    <w:rsid w:val="307B10F2"/>
    <w:rsid w:val="308D0A81"/>
    <w:rsid w:val="30955E4D"/>
    <w:rsid w:val="30A608C6"/>
    <w:rsid w:val="30C01ACE"/>
    <w:rsid w:val="30D00E15"/>
    <w:rsid w:val="30D220D2"/>
    <w:rsid w:val="30E43D9B"/>
    <w:rsid w:val="30EB1935"/>
    <w:rsid w:val="30FD38E4"/>
    <w:rsid w:val="31103285"/>
    <w:rsid w:val="31200EFF"/>
    <w:rsid w:val="31287C67"/>
    <w:rsid w:val="312B3CDB"/>
    <w:rsid w:val="3138425F"/>
    <w:rsid w:val="31487347"/>
    <w:rsid w:val="31687983"/>
    <w:rsid w:val="31770817"/>
    <w:rsid w:val="3183280B"/>
    <w:rsid w:val="318B2C6E"/>
    <w:rsid w:val="318C68D3"/>
    <w:rsid w:val="319C596E"/>
    <w:rsid w:val="31A91F8B"/>
    <w:rsid w:val="31AE3666"/>
    <w:rsid w:val="31BC18C7"/>
    <w:rsid w:val="31D225E9"/>
    <w:rsid w:val="31D44A99"/>
    <w:rsid w:val="31E145D3"/>
    <w:rsid w:val="31F56B5F"/>
    <w:rsid w:val="31FB352E"/>
    <w:rsid w:val="31FC7160"/>
    <w:rsid w:val="32071B23"/>
    <w:rsid w:val="32176123"/>
    <w:rsid w:val="322321B8"/>
    <w:rsid w:val="32280C05"/>
    <w:rsid w:val="32347BAB"/>
    <w:rsid w:val="323619F9"/>
    <w:rsid w:val="32403D74"/>
    <w:rsid w:val="324A4427"/>
    <w:rsid w:val="324D26FD"/>
    <w:rsid w:val="324D2CA8"/>
    <w:rsid w:val="325B3A0B"/>
    <w:rsid w:val="3271599E"/>
    <w:rsid w:val="328F6F56"/>
    <w:rsid w:val="32934F62"/>
    <w:rsid w:val="32B1213B"/>
    <w:rsid w:val="32B22812"/>
    <w:rsid w:val="32D86C36"/>
    <w:rsid w:val="32DF31FF"/>
    <w:rsid w:val="32F2521E"/>
    <w:rsid w:val="32F42C61"/>
    <w:rsid w:val="32F64A58"/>
    <w:rsid w:val="32FF4F85"/>
    <w:rsid w:val="330756CA"/>
    <w:rsid w:val="330D0C22"/>
    <w:rsid w:val="331625CB"/>
    <w:rsid w:val="3348003A"/>
    <w:rsid w:val="335201FE"/>
    <w:rsid w:val="33547D50"/>
    <w:rsid w:val="33597546"/>
    <w:rsid w:val="335B06DA"/>
    <w:rsid w:val="336076D4"/>
    <w:rsid w:val="33690AC6"/>
    <w:rsid w:val="338557C6"/>
    <w:rsid w:val="339A5452"/>
    <w:rsid w:val="33B16E03"/>
    <w:rsid w:val="33BA7BC1"/>
    <w:rsid w:val="33BE1C1B"/>
    <w:rsid w:val="33BE593F"/>
    <w:rsid w:val="33D30888"/>
    <w:rsid w:val="33E46B03"/>
    <w:rsid w:val="33FB2CD8"/>
    <w:rsid w:val="340928D2"/>
    <w:rsid w:val="341A0945"/>
    <w:rsid w:val="34232A4F"/>
    <w:rsid w:val="3426430B"/>
    <w:rsid w:val="343109DC"/>
    <w:rsid w:val="343B2095"/>
    <w:rsid w:val="345749AD"/>
    <w:rsid w:val="34681433"/>
    <w:rsid w:val="34722253"/>
    <w:rsid w:val="34793C40"/>
    <w:rsid w:val="34823770"/>
    <w:rsid w:val="348F2758"/>
    <w:rsid w:val="3491407A"/>
    <w:rsid w:val="34B32E5E"/>
    <w:rsid w:val="34B50931"/>
    <w:rsid w:val="34BE3CB2"/>
    <w:rsid w:val="34C14185"/>
    <w:rsid w:val="34DF4257"/>
    <w:rsid w:val="34E610A2"/>
    <w:rsid w:val="34F51925"/>
    <w:rsid w:val="350019D9"/>
    <w:rsid w:val="350045F2"/>
    <w:rsid w:val="35263AE7"/>
    <w:rsid w:val="354644DE"/>
    <w:rsid w:val="35557438"/>
    <w:rsid w:val="356B10ED"/>
    <w:rsid w:val="35714934"/>
    <w:rsid w:val="35840CAC"/>
    <w:rsid w:val="359370FB"/>
    <w:rsid w:val="35D305A4"/>
    <w:rsid w:val="35D43838"/>
    <w:rsid w:val="35D556C9"/>
    <w:rsid w:val="35DA6043"/>
    <w:rsid w:val="35E97E2B"/>
    <w:rsid w:val="35EA151F"/>
    <w:rsid w:val="35EF245D"/>
    <w:rsid w:val="35EF3325"/>
    <w:rsid w:val="35F653C3"/>
    <w:rsid w:val="35F83E5A"/>
    <w:rsid w:val="36021C5C"/>
    <w:rsid w:val="360D238D"/>
    <w:rsid w:val="36191222"/>
    <w:rsid w:val="361A44C8"/>
    <w:rsid w:val="363D0E15"/>
    <w:rsid w:val="36472B0A"/>
    <w:rsid w:val="36684399"/>
    <w:rsid w:val="36765363"/>
    <w:rsid w:val="367D6C6B"/>
    <w:rsid w:val="36803618"/>
    <w:rsid w:val="36807044"/>
    <w:rsid w:val="3683106A"/>
    <w:rsid w:val="36972506"/>
    <w:rsid w:val="36CA7E8C"/>
    <w:rsid w:val="36EA616A"/>
    <w:rsid w:val="36EB0D98"/>
    <w:rsid w:val="36F91263"/>
    <w:rsid w:val="36F92688"/>
    <w:rsid w:val="370140DD"/>
    <w:rsid w:val="37067D61"/>
    <w:rsid w:val="370953E8"/>
    <w:rsid w:val="37122390"/>
    <w:rsid w:val="37151B42"/>
    <w:rsid w:val="372475F5"/>
    <w:rsid w:val="3729231D"/>
    <w:rsid w:val="372A785D"/>
    <w:rsid w:val="374E09E4"/>
    <w:rsid w:val="37663183"/>
    <w:rsid w:val="378A544B"/>
    <w:rsid w:val="37942AEF"/>
    <w:rsid w:val="37A6661E"/>
    <w:rsid w:val="37B80579"/>
    <w:rsid w:val="37BA7168"/>
    <w:rsid w:val="37CC5BC6"/>
    <w:rsid w:val="37D04BAC"/>
    <w:rsid w:val="37D2186B"/>
    <w:rsid w:val="37D478B3"/>
    <w:rsid w:val="37E754EE"/>
    <w:rsid w:val="37EA62B5"/>
    <w:rsid w:val="37F40550"/>
    <w:rsid w:val="37F85806"/>
    <w:rsid w:val="380F1C7C"/>
    <w:rsid w:val="38326A74"/>
    <w:rsid w:val="3838683E"/>
    <w:rsid w:val="383C0E65"/>
    <w:rsid w:val="383C3361"/>
    <w:rsid w:val="38430F13"/>
    <w:rsid w:val="38490E14"/>
    <w:rsid w:val="38554B85"/>
    <w:rsid w:val="38564DB1"/>
    <w:rsid w:val="38606C7A"/>
    <w:rsid w:val="38644A2C"/>
    <w:rsid w:val="38951716"/>
    <w:rsid w:val="3895488A"/>
    <w:rsid w:val="389D4042"/>
    <w:rsid w:val="38AD0EC0"/>
    <w:rsid w:val="38E0289E"/>
    <w:rsid w:val="38E116F1"/>
    <w:rsid w:val="38F74148"/>
    <w:rsid w:val="3901073A"/>
    <w:rsid w:val="39033C06"/>
    <w:rsid w:val="391D0211"/>
    <w:rsid w:val="392258EE"/>
    <w:rsid w:val="3943173F"/>
    <w:rsid w:val="39451B23"/>
    <w:rsid w:val="395E21D1"/>
    <w:rsid w:val="39625453"/>
    <w:rsid w:val="39666DF4"/>
    <w:rsid w:val="396C72D9"/>
    <w:rsid w:val="398376C9"/>
    <w:rsid w:val="398A7B26"/>
    <w:rsid w:val="39B50A30"/>
    <w:rsid w:val="39B96943"/>
    <w:rsid w:val="39BA18B1"/>
    <w:rsid w:val="39ED2B55"/>
    <w:rsid w:val="39F21128"/>
    <w:rsid w:val="39F47E38"/>
    <w:rsid w:val="3A0B2329"/>
    <w:rsid w:val="3A1532E9"/>
    <w:rsid w:val="3A1E7BCB"/>
    <w:rsid w:val="3A296446"/>
    <w:rsid w:val="3A296D09"/>
    <w:rsid w:val="3A3C0731"/>
    <w:rsid w:val="3A3F7554"/>
    <w:rsid w:val="3A414669"/>
    <w:rsid w:val="3A472164"/>
    <w:rsid w:val="3A47364E"/>
    <w:rsid w:val="3A504A42"/>
    <w:rsid w:val="3A54293C"/>
    <w:rsid w:val="3A696423"/>
    <w:rsid w:val="3A6E1BDD"/>
    <w:rsid w:val="3A957BA9"/>
    <w:rsid w:val="3AA57DE9"/>
    <w:rsid w:val="3ABA5546"/>
    <w:rsid w:val="3AC4570F"/>
    <w:rsid w:val="3AD506EB"/>
    <w:rsid w:val="3AFC0B5C"/>
    <w:rsid w:val="3AFC1E9E"/>
    <w:rsid w:val="3B0544E6"/>
    <w:rsid w:val="3B10237E"/>
    <w:rsid w:val="3B1133FD"/>
    <w:rsid w:val="3B260941"/>
    <w:rsid w:val="3B273AFD"/>
    <w:rsid w:val="3B382920"/>
    <w:rsid w:val="3B3D5B18"/>
    <w:rsid w:val="3B4F0D2C"/>
    <w:rsid w:val="3B5557A9"/>
    <w:rsid w:val="3B5B7DB0"/>
    <w:rsid w:val="3B5E2EC1"/>
    <w:rsid w:val="3B5F4C4B"/>
    <w:rsid w:val="3B5F639D"/>
    <w:rsid w:val="3B606923"/>
    <w:rsid w:val="3B616C69"/>
    <w:rsid w:val="3B632884"/>
    <w:rsid w:val="3B664A89"/>
    <w:rsid w:val="3B6B6B8E"/>
    <w:rsid w:val="3B6C0D23"/>
    <w:rsid w:val="3B852451"/>
    <w:rsid w:val="3B907A60"/>
    <w:rsid w:val="3B9771D4"/>
    <w:rsid w:val="3B9B2D44"/>
    <w:rsid w:val="3BA91697"/>
    <w:rsid w:val="3BAA4C8C"/>
    <w:rsid w:val="3BAB4AF5"/>
    <w:rsid w:val="3BB35742"/>
    <w:rsid w:val="3BC32C89"/>
    <w:rsid w:val="3BCB4422"/>
    <w:rsid w:val="3BCD4C04"/>
    <w:rsid w:val="3BDC3342"/>
    <w:rsid w:val="3BF06258"/>
    <w:rsid w:val="3C036A4A"/>
    <w:rsid w:val="3C063BCB"/>
    <w:rsid w:val="3C1839DA"/>
    <w:rsid w:val="3C1B4F51"/>
    <w:rsid w:val="3C201AF6"/>
    <w:rsid w:val="3C281308"/>
    <w:rsid w:val="3C2C08BB"/>
    <w:rsid w:val="3C2C1648"/>
    <w:rsid w:val="3C2C2DFF"/>
    <w:rsid w:val="3C345EBE"/>
    <w:rsid w:val="3C374FAF"/>
    <w:rsid w:val="3C3D5DA7"/>
    <w:rsid w:val="3C545CAC"/>
    <w:rsid w:val="3C6F7224"/>
    <w:rsid w:val="3C89310D"/>
    <w:rsid w:val="3C8D7D17"/>
    <w:rsid w:val="3CBA3D73"/>
    <w:rsid w:val="3CBD021D"/>
    <w:rsid w:val="3CC06F65"/>
    <w:rsid w:val="3CC1212C"/>
    <w:rsid w:val="3CC54F75"/>
    <w:rsid w:val="3CCD3B73"/>
    <w:rsid w:val="3CD12327"/>
    <w:rsid w:val="3CDA41B4"/>
    <w:rsid w:val="3CDF0B3E"/>
    <w:rsid w:val="3CEF7792"/>
    <w:rsid w:val="3CFF1F09"/>
    <w:rsid w:val="3D0E0729"/>
    <w:rsid w:val="3D10360C"/>
    <w:rsid w:val="3D1E2A07"/>
    <w:rsid w:val="3D2321F7"/>
    <w:rsid w:val="3D2D19D0"/>
    <w:rsid w:val="3D2E5C8E"/>
    <w:rsid w:val="3D3A14E7"/>
    <w:rsid w:val="3D4240E1"/>
    <w:rsid w:val="3D4432EC"/>
    <w:rsid w:val="3D554A22"/>
    <w:rsid w:val="3D5E62BD"/>
    <w:rsid w:val="3D616966"/>
    <w:rsid w:val="3D6B0EC1"/>
    <w:rsid w:val="3D6E2BEF"/>
    <w:rsid w:val="3D6F66CB"/>
    <w:rsid w:val="3D730586"/>
    <w:rsid w:val="3D7316C4"/>
    <w:rsid w:val="3D74572F"/>
    <w:rsid w:val="3D867678"/>
    <w:rsid w:val="3DA65DD0"/>
    <w:rsid w:val="3DA93041"/>
    <w:rsid w:val="3DBC125A"/>
    <w:rsid w:val="3DCD0F78"/>
    <w:rsid w:val="3DD9601E"/>
    <w:rsid w:val="3DDB3924"/>
    <w:rsid w:val="3DDE03F0"/>
    <w:rsid w:val="3DF147BF"/>
    <w:rsid w:val="3E077582"/>
    <w:rsid w:val="3E0868E9"/>
    <w:rsid w:val="3E147DE2"/>
    <w:rsid w:val="3E195CD0"/>
    <w:rsid w:val="3E2412D6"/>
    <w:rsid w:val="3E2807F6"/>
    <w:rsid w:val="3E320D3C"/>
    <w:rsid w:val="3E453BD9"/>
    <w:rsid w:val="3E4F14BB"/>
    <w:rsid w:val="3E572DFA"/>
    <w:rsid w:val="3E682826"/>
    <w:rsid w:val="3E8D1447"/>
    <w:rsid w:val="3E99233E"/>
    <w:rsid w:val="3EB8718C"/>
    <w:rsid w:val="3ED309F7"/>
    <w:rsid w:val="3ED454CE"/>
    <w:rsid w:val="3ED530FC"/>
    <w:rsid w:val="3EDB315E"/>
    <w:rsid w:val="3EEC6F22"/>
    <w:rsid w:val="3EEF2AF9"/>
    <w:rsid w:val="3EF93D69"/>
    <w:rsid w:val="3F0543C2"/>
    <w:rsid w:val="3F0F34C5"/>
    <w:rsid w:val="3F1B7887"/>
    <w:rsid w:val="3F277344"/>
    <w:rsid w:val="3F2C5217"/>
    <w:rsid w:val="3F2F17AD"/>
    <w:rsid w:val="3F315D04"/>
    <w:rsid w:val="3F355BB6"/>
    <w:rsid w:val="3F3E05AF"/>
    <w:rsid w:val="3F444E89"/>
    <w:rsid w:val="3F447EF4"/>
    <w:rsid w:val="3F474A75"/>
    <w:rsid w:val="3F5C44AC"/>
    <w:rsid w:val="3F6F3F95"/>
    <w:rsid w:val="3F7900E3"/>
    <w:rsid w:val="3F7A31B1"/>
    <w:rsid w:val="3F7E2C62"/>
    <w:rsid w:val="3F8E503E"/>
    <w:rsid w:val="3FA245E6"/>
    <w:rsid w:val="3FB61D57"/>
    <w:rsid w:val="3FBB592D"/>
    <w:rsid w:val="3FC40D2E"/>
    <w:rsid w:val="3FCB2D65"/>
    <w:rsid w:val="3FD73812"/>
    <w:rsid w:val="3FE331A4"/>
    <w:rsid w:val="400B618E"/>
    <w:rsid w:val="40131CF9"/>
    <w:rsid w:val="40205697"/>
    <w:rsid w:val="403030F5"/>
    <w:rsid w:val="40445E99"/>
    <w:rsid w:val="40516869"/>
    <w:rsid w:val="4065184A"/>
    <w:rsid w:val="406A60E5"/>
    <w:rsid w:val="40717423"/>
    <w:rsid w:val="407D26CD"/>
    <w:rsid w:val="409A1F1C"/>
    <w:rsid w:val="409F174B"/>
    <w:rsid w:val="40A54E2F"/>
    <w:rsid w:val="40A61961"/>
    <w:rsid w:val="40A91DCF"/>
    <w:rsid w:val="40B0723B"/>
    <w:rsid w:val="40B549EB"/>
    <w:rsid w:val="40BB4881"/>
    <w:rsid w:val="40BC2742"/>
    <w:rsid w:val="40BE0451"/>
    <w:rsid w:val="40DA555F"/>
    <w:rsid w:val="40F21D18"/>
    <w:rsid w:val="40FB7682"/>
    <w:rsid w:val="41133C32"/>
    <w:rsid w:val="412011C1"/>
    <w:rsid w:val="41251603"/>
    <w:rsid w:val="412D58F2"/>
    <w:rsid w:val="413A4972"/>
    <w:rsid w:val="41511E2C"/>
    <w:rsid w:val="415E016F"/>
    <w:rsid w:val="415E385D"/>
    <w:rsid w:val="41675161"/>
    <w:rsid w:val="41750C8C"/>
    <w:rsid w:val="41781540"/>
    <w:rsid w:val="41861995"/>
    <w:rsid w:val="41994E0F"/>
    <w:rsid w:val="41AC7EA6"/>
    <w:rsid w:val="41B54C84"/>
    <w:rsid w:val="41BD0460"/>
    <w:rsid w:val="41C647ED"/>
    <w:rsid w:val="41C81F6F"/>
    <w:rsid w:val="41D750D7"/>
    <w:rsid w:val="41D8571D"/>
    <w:rsid w:val="41E303B6"/>
    <w:rsid w:val="41E933C4"/>
    <w:rsid w:val="41FF2E41"/>
    <w:rsid w:val="42007444"/>
    <w:rsid w:val="420E1505"/>
    <w:rsid w:val="42114BA6"/>
    <w:rsid w:val="421C1ECA"/>
    <w:rsid w:val="422B180A"/>
    <w:rsid w:val="422B20B3"/>
    <w:rsid w:val="422F3B09"/>
    <w:rsid w:val="423B22CA"/>
    <w:rsid w:val="42403C62"/>
    <w:rsid w:val="42483B31"/>
    <w:rsid w:val="425847B4"/>
    <w:rsid w:val="425B514F"/>
    <w:rsid w:val="425F7B07"/>
    <w:rsid w:val="426C009E"/>
    <w:rsid w:val="426E09D5"/>
    <w:rsid w:val="42724936"/>
    <w:rsid w:val="42874B1A"/>
    <w:rsid w:val="42910E05"/>
    <w:rsid w:val="42A01982"/>
    <w:rsid w:val="42A74A08"/>
    <w:rsid w:val="42A86C47"/>
    <w:rsid w:val="42BB0DA7"/>
    <w:rsid w:val="42BD3D65"/>
    <w:rsid w:val="42BF693C"/>
    <w:rsid w:val="42CF5511"/>
    <w:rsid w:val="42D43964"/>
    <w:rsid w:val="42F46F8D"/>
    <w:rsid w:val="42FD1EDC"/>
    <w:rsid w:val="430B03E0"/>
    <w:rsid w:val="430D41F3"/>
    <w:rsid w:val="430F23FC"/>
    <w:rsid w:val="43232346"/>
    <w:rsid w:val="43310BEC"/>
    <w:rsid w:val="433E3961"/>
    <w:rsid w:val="43487FEF"/>
    <w:rsid w:val="434E26F1"/>
    <w:rsid w:val="435C64A1"/>
    <w:rsid w:val="4364151C"/>
    <w:rsid w:val="436426DC"/>
    <w:rsid w:val="43872CC7"/>
    <w:rsid w:val="438B76DD"/>
    <w:rsid w:val="439353C8"/>
    <w:rsid w:val="4395041A"/>
    <w:rsid w:val="439F0A82"/>
    <w:rsid w:val="43A84A3D"/>
    <w:rsid w:val="43B00D2C"/>
    <w:rsid w:val="43BE54B6"/>
    <w:rsid w:val="43BF7E8C"/>
    <w:rsid w:val="43E13DBC"/>
    <w:rsid w:val="43E954E0"/>
    <w:rsid w:val="43F91FE4"/>
    <w:rsid w:val="43FA3282"/>
    <w:rsid w:val="44212CFE"/>
    <w:rsid w:val="44427F89"/>
    <w:rsid w:val="444B4AAD"/>
    <w:rsid w:val="444C32B2"/>
    <w:rsid w:val="44511355"/>
    <w:rsid w:val="445823EC"/>
    <w:rsid w:val="44613D3F"/>
    <w:rsid w:val="44791AF7"/>
    <w:rsid w:val="44952A3F"/>
    <w:rsid w:val="44985196"/>
    <w:rsid w:val="449E18AB"/>
    <w:rsid w:val="44A14866"/>
    <w:rsid w:val="44A66372"/>
    <w:rsid w:val="44C3130D"/>
    <w:rsid w:val="44C65124"/>
    <w:rsid w:val="44D8727C"/>
    <w:rsid w:val="44DD339B"/>
    <w:rsid w:val="44F2746E"/>
    <w:rsid w:val="44FA4EDE"/>
    <w:rsid w:val="4503409A"/>
    <w:rsid w:val="450C0ACB"/>
    <w:rsid w:val="45197C49"/>
    <w:rsid w:val="451B65B7"/>
    <w:rsid w:val="45394AC8"/>
    <w:rsid w:val="453F3ED6"/>
    <w:rsid w:val="4541067A"/>
    <w:rsid w:val="454D0EDB"/>
    <w:rsid w:val="455A2A2A"/>
    <w:rsid w:val="4564798C"/>
    <w:rsid w:val="45782A74"/>
    <w:rsid w:val="457F090F"/>
    <w:rsid w:val="458747CD"/>
    <w:rsid w:val="459B605D"/>
    <w:rsid w:val="45B60F91"/>
    <w:rsid w:val="45BE3A0C"/>
    <w:rsid w:val="45D2538D"/>
    <w:rsid w:val="45D35850"/>
    <w:rsid w:val="45D843F2"/>
    <w:rsid w:val="45DA32D1"/>
    <w:rsid w:val="45DC1A45"/>
    <w:rsid w:val="45E40420"/>
    <w:rsid w:val="45F52F2B"/>
    <w:rsid w:val="45FA625B"/>
    <w:rsid w:val="46186B51"/>
    <w:rsid w:val="462270BD"/>
    <w:rsid w:val="46236E9B"/>
    <w:rsid w:val="463132AE"/>
    <w:rsid w:val="463B5280"/>
    <w:rsid w:val="46454FED"/>
    <w:rsid w:val="46457121"/>
    <w:rsid w:val="46497C26"/>
    <w:rsid w:val="46530718"/>
    <w:rsid w:val="4654295F"/>
    <w:rsid w:val="465829F5"/>
    <w:rsid w:val="466412F5"/>
    <w:rsid w:val="466A2AA4"/>
    <w:rsid w:val="467262AE"/>
    <w:rsid w:val="46763FC9"/>
    <w:rsid w:val="468E5DBE"/>
    <w:rsid w:val="468F3539"/>
    <w:rsid w:val="468F5BC1"/>
    <w:rsid w:val="46946884"/>
    <w:rsid w:val="469535DE"/>
    <w:rsid w:val="46975345"/>
    <w:rsid w:val="469A4873"/>
    <w:rsid w:val="469E28E0"/>
    <w:rsid w:val="46AD3987"/>
    <w:rsid w:val="46B3116E"/>
    <w:rsid w:val="46BE1F8D"/>
    <w:rsid w:val="46FA3D0E"/>
    <w:rsid w:val="470025D2"/>
    <w:rsid w:val="47061BE6"/>
    <w:rsid w:val="470A2024"/>
    <w:rsid w:val="470E71C6"/>
    <w:rsid w:val="4713600B"/>
    <w:rsid w:val="47136A91"/>
    <w:rsid w:val="471471C5"/>
    <w:rsid w:val="472D1423"/>
    <w:rsid w:val="473E7A3C"/>
    <w:rsid w:val="4747697E"/>
    <w:rsid w:val="4773577A"/>
    <w:rsid w:val="477A4B4F"/>
    <w:rsid w:val="477F6BDD"/>
    <w:rsid w:val="47814EF1"/>
    <w:rsid w:val="47847119"/>
    <w:rsid w:val="478F72A8"/>
    <w:rsid w:val="4793244D"/>
    <w:rsid w:val="47994678"/>
    <w:rsid w:val="479D429C"/>
    <w:rsid w:val="47A840C0"/>
    <w:rsid w:val="47B9219F"/>
    <w:rsid w:val="47CE19B2"/>
    <w:rsid w:val="47D02A5D"/>
    <w:rsid w:val="47E13F7E"/>
    <w:rsid w:val="47E15113"/>
    <w:rsid w:val="47EC2C41"/>
    <w:rsid w:val="47F475FA"/>
    <w:rsid w:val="48016FAA"/>
    <w:rsid w:val="48056541"/>
    <w:rsid w:val="48200A78"/>
    <w:rsid w:val="48413A15"/>
    <w:rsid w:val="48441334"/>
    <w:rsid w:val="48477153"/>
    <w:rsid w:val="484F7845"/>
    <w:rsid w:val="48527249"/>
    <w:rsid w:val="48567280"/>
    <w:rsid w:val="48591723"/>
    <w:rsid w:val="485D7CA4"/>
    <w:rsid w:val="486364EF"/>
    <w:rsid w:val="48733923"/>
    <w:rsid w:val="489609F6"/>
    <w:rsid w:val="48AD5F14"/>
    <w:rsid w:val="48C97349"/>
    <w:rsid w:val="48E70188"/>
    <w:rsid w:val="48E72C26"/>
    <w:rsid w:val="48E97107"/>
    <w:rsid w:val="48EA64F5"/>
    <w:rsid w:val="48F72329"/>
    <w:rsid w:val="490833F5"/>
    <w:rsid w:val="49193139"/>
    <w:rsid w:val="492D6035"/>
    <w:rsid w:val="49331153"/>
    <w:rsid w:val="49385D61"/>
    <w:rsid w:val="494006D2"/>
    <w:rsid w:val="494C3A1D"/>
    <w:rsid w:val="496144A7"/>
    <w:rsid w:val="4970540A"/>
    <w:rsid w:val="49956BF4"/>
    <w:rsid w:val="49960E26"/>
    <w:rsid w:val="499A0169"/>
    <w:rsid w:val="499C6C17"/>
    <w:rsid w:val="49AA5AA7"/>
    <w:rsid w:val="49AC3AF4"/>
    <w:rsid w:val="49C4319A"/>
    <w:rsid w:val="49CC4C27"/>
    <w:rsid w:val="49E40A67"/>
    <w:rsid w:val="49F8345D"/>
    <w:rsid w:val="4A196637"/>
    <w:rsid w:val="4A246FE7"/>
    <w:rsid w:val="4A2C6F7B"/>
    <w:rsid w:val="4A311C59"/>
    <w:rsid w:val="4A4378A7"/>
    <w:rsid w:val="4A512A59"/>
    <w:rsid w:val="4A590326"/>
    <w:rsid w:val="4A7166E3"/>
    <w:rsid w:val="4A740CC9"/>
    <w:rsid w:val="4A8531EE"/>
    <w:rsid w:val="4AAF4BE5"/>
    <w:rsid w:val="4ACD13D7"/>
    <w:rsid w:val="4ACE580D"/>
    <w:rsid w:val="4AD26241"/>
    <w:rsid w:val="4AD964E0"/>
    <w:rsid w:val="4ADB73C4"/>
    <w:rsid w:val="4ADC5A73"/>
    <w:rsid w:val="4ADE2C3D"/>
    <w:rsid w:val="4AE90E35"/>
    <w:rsid w:val="4AFF6135"/>
    <w:rsid w:val="4B014A51"/>
    <w:rsid w:val="4B047F24"/>
    <w:rsid w:val="4B0A1347"/>
    <w:rsid w:val="4B0D3C3B"/>
    <w:rsid w:val="4B164F3C"/>
    <w:rsid w:val="4B2208DD"/>
    <w:rsid w:val="4B2C0470"/>
    <w:rsid w:val="4B2F367D"/>
    <w:rsid w:val="4B3D1B33"/>
    <w:rsid w:val="4B4B61A5"/>
    <w:rsid w:val="4B56375D"/>
    <w:rsid w:val="4B5E6E36"/>
    <w:rsid w:val="4B78777C"/>
    <w:rsid w:val="4B803894"/>
    <w:rsid w:val="4B820CB5"/>
    <w:rsid w:val="4B850D20"/>
    <w:rsid w:val="4B90440D"/>
    <w:rsid w:val="4BA43C33"/>
    <w:rsid w:val="4BB02F46"/>
    <w:rsid w:val="4BB05FAB"/>
    <w:rsid w:val="4BBC07B6"/>
    <w:rsid w:val="4BBE6A1D"/>
    <w:rsid w:val="4BCA661C"/>
    <w:rsid w:val="4BCE0C1E"/>
    <w:rsid w:val="4BD94277"/>
    <w:rsid w:val="4BE26504"/>
    <w:rsid w:val="4BFC0435"/>
    <w:rsid w:val="4C0B04D6"/>
    <w:rsid w:val="4C1103D9"/>
    <w:rsid w:val="4C200C43"/>
    <w:rsid w:val="4C2E7979"/>
    <w:rsid w:val="4C3A2867"/>
    <w:rsid w:val="4C405625"/>
    <w:rsid w:val="4C416379"/>
    <w:rsid w:val="4C4C5D12"/>
    <w:rsid w:val="4C536AD8"/>
    <w:rsid w:val="4C5A705E"/>
    <w:rsid w:val="4C6C24B6"/>
    <w:rsid w:val="4C73615F"/>
    <w:rsid w:val="4C8006E3"/>
    <w:rsid w:val="4C8E1384"/>
    <w:rsid w:val="4C8F7E64"/>
    <w:rsid w:val="4CA240F7"/>
    <w:rsid w:val="4CA64C04"/>
    <w:rsid w:val="4CB774E4"/>
    <w:rsid w:val="4CC320C3"/>
    <w:rsid w:val="4CC332B7"/>
    <w:rsid w:val="4CCD1A06"/>
    <w:rsid w:val="4CD23BFD"/>
    <w:rsid w:val="4D0730EA"/>
    <w:rsid w:val="4D08505E"/>
    <w:rsid w:val="4D1C3BC7"/>
    <w:rsid w:val="4D1D5151"/>
    <w:rsid w:val="4D203117"/>
    <w:rsid w:val="4D3D6FB1"/>
    <w:rsid w:val="4D45045B"/>
    <w:rsid w:val="4D49294A"/>
    <w:rsid w:val="4D6C3A3B"/>
    <w:rsid w:val="4D6D63D8"/>
    <w:rsid w:val="4D6E2BD6"/>
    <w:rsid w:val="4D775491"/>
    <w:rsid w:val="4D783B88"/>
    <w:rsid w:val="4D825274"/>
    <w:rsid w:val="4DA3654F"/>
    <w:rsid w:val="4DD14D3E"/>
    <w:rsid w:val="4DE51443"/>
    <w:rsid w:val="4DE525DA"/>
    <w:rsid w:val="4DE90C61"/>
    <w:rsid w:val="4DED0211"/>
    <w:rsid w:val="4E050A07"/>
    <w:rsid w:val="4E2047FA"/>
    <w:rsid w:val="4E205C94"/>
    <w:rsid w:val="4E223093"/>
    <w:rsid w:val="4E245F87"/>
    <w:rsid w:val="4E3F06F4"/>
    <w:rsid w:val="4E4162C7"/>
    <w:rsid w:val="4E4B736C"/>
    <w:rsid w:val="4E4D03B6"/>
    <w:rsid w:val="4E74270A"/>
    <w:rsid w:val="4E8177EA"/>
    <w:rsid w:val="4E8B1654"/>
    <w:rsid w:val="4E8F0DF2"/>
    <w:rsid w:val="4E9437BD"/>
    <w:rsid w:val="4E9761CA"/>
    <w:rsid w:val="4E9A2BDE"/>
    <w:rsid w:val="4EA445CE"/>
    <w:rsid w:val="4EA850C2"/>
    <w:rsid w:val="4EAA3C40"/>
    <w:rsid w:val="4EB056EE"/>
    <w:rsid w:val="4EB52149"/>
    <w:rsid w:val="4EB54DBC"/>
    <w:rsid w:val="4EC17C90"/>
    <w:rsid w:val="4EC209A4"/>
    <w:rsid w:val="4EC83F74"/>
    <w:rsid w:val="4EDB3343"/>
    <w:rsid w:val="4EE32466"/>
    <w:rsid w:val="4EF84FC1"/>
    <w:rsid w:val="4F04474E"/>
    <w:rsid w:val="4F070C70"/>
    <w:rsid w:val="4F2145D4"/>
    <w:rsid w:val="4F24328A"/>
    <w:rsid w:val="4F282D32"/>
    <w:rsid w:val="4F29793C"/>
    <w:rsid w:val="4F2F1262"/>
    <w:rsid w:val="4F41660F"/>
    <w:rsid w:val="4F44369A"/>
    <w:rsid w:val="4F514201"/>
    <w:rsid w:val="4F531BE4"/>
    <w:rsid w:val="4F5720AE"/>
    <w:rsid w:val="4F5E5763"/>
    <w:rsid w:val="4F631B2C"/>
    <w:rsid w:val="4F6430D2"/>
    <w:rsid w:val="4F7134B1"/>
    <w:rsid w:val="4F714357"/>
    <w:rsid w:val="4F722DB4"/>
    <w:rsid w:val="4F826EBE"/>
    <w:rsid w:val="4F8D38A7"/>
    <w:rsid w:val="4F9C6FC1"/>
    <w:rsid w:val="4FA26DA0"/>
    <w:rsid w:val="4FA60F3C"/>
    <w:rsid w:val="4FAE038A"/>
    <w:rsid w:val="4FB264A8"/>
    <w:rsid w:val="4FBD74F1"/>
    <w:rsid w:val="4FE9435A"/>
    <w:rsid w:val="4FF974A4"/>
    <w:rsid w:val="500F1E25"/>
    <w:rsid w:val="50280A3B"/>
    <w:rsid w:val="503C56D2"/>
    <w:rsid w:val="50453B50"/>
    <w:rsid w:val="50495C2A"/>
    <w:rsid w:val="506A3104"/>
    <w:rsid w:val="506E754D"/>
    <w:rsid w:val="50786609"/>
    <w:rsid w:val="50893DF6"/>
    <w:rsid w:val="50AA4F3C"/>
    <w:rsid w:val="50B6252D"/>
    <w:rsid w:val="50B921D7"/>
    <w:rsid w:val="50B9623E"/>
    <w:rsid w:val="50BA3805"/>
    <w:rsid w:val="50BC1D3C"/>
    <w:rsid w:val="50BF3025"/>
    <w:rsid w:val="50C34EEC"/>
    <w:rsid w:val="50D4776D"/>
    <w:rsid w:val="50E7370C"/>
    <w:rsid w:val="50EB6DF4"/>
    <w:rsid w:val="50EF6DC0"/>
    <w:rsid w:val="50FF42E2"/>
    <w:rsid w:val="5105044B"/>
    <w:rsid w:val="511A595A"/>
    <w:rsid w:val="512652CF"/>
    <w:rsid w:val="51277E30"/>
    <w:rsid w:val="512F6845"/>
    <w:rsid w:val="512F6DCF"/>
    <w:rsid w:val="51325A49"/>
    <w:rsid w:val="513B053C"/>
    <w:rsid w:val="51513804"/>
    <w:rsid w:val="51562C5B"/>
    <w:rsid w:val="51621F6E"/>
    <w:rsid w:val="51685462"/>
    <w:rsid w:val="516C0BF1"/>
    <w:rsid w:val="516E05D6"/>
    <w:rsid w:val="51723D06"/>
    <w:rsid w:val="518824D7"/>
    <w:rsid w:val="519F6C9E"/>
    <w:rsid w:val="51AF320F"/>
    <w:rsid w:val="51B566CA"/>
    <w:rsid w:val="51B746EF"/>
    <w:rsid w:val="51C7229B"/>
    <w:rsid w:val="51C727B6"/>
    <w:rsid w:val="51CD228D"/>
    <w:rsid w:val="51CD28ED"/>
    <w:rsid w:val="51DC32EC"/>
    <w:rsid w:val="51E2319B"/>
    <w:rsid w:val="51E27066"/>
    <w:rsid w:val="51EB5261"/>
    <w:rsid w:val="51F53072"/>
    <w:rsid w:val="51FB6DAB"/>
    <w:rsid w:val="51FF00EA"/>
    <w:rsid w:val="520716EB"/>
    <w:rsid w:val="521A0BF8"/>
    <w:rsid w:val="521B47D3"/>
    <w:rsid w:val="521D61B9"/>
    <w:rsid w:val="523C3E10"/>
    <w:rsid w:val="52417FBF"/>
    <w:rsid w:val="5246312B"/>
    <w:rsid w:val="52520487"/>
    <w:rsid w:val="525B2762"/>
    <w:rsid w:val="52626ECD"/>
    <w:rsid w:val="52753BB8"/>
    <w:rsid w:val="52870806"/>
    <w:rsid w:val="52944210"/>
    <w:rsid w:val="52994CA6"/>
    <w:rsid w:val="52A5512D"/>
    <w:rsid w:val="52A83433"/>
    <w:rsid w:val="52AB7211"/>
    <w:rsid w:val="52AF20AB"/>
    <w:rsid w:val="52C169A9"/>
    <w:rsid w:val="52C570D7"/>
    <w:rsid w:val="52D0374F"/>
    <w:rsid w:val="52DC77EB"/>
    <w:rsid w:val="52E87D0D"/>
    <w:rsid w:val="52F3643A"/>
    <w:rsid w:val="52F73F68"/>
    <w:rsid w:val="53001F47"/>
    <w:rsid w:val="530114DC"/>
    <w:rsid w:val="530602BA"/>
    <w:rsid w:val="530612E2"/>
    <w:rsid w:val="53212F8F"/>
    <w:rsid w:val="53300A7C"/>
    <w:rsid w:val="53441290"/>
    <w:rsid w:val="53467331"/>
    <w:rsid w:val="534E2E2F"/>
    <w:rsid w:val="53553F47"/>
    <w:rsid w:val="53682CA4"/>
    <w:rsid w:val="536D2AAC"/>
    <w:rsid w:val="539475AA"/>
    <w:rsid w:val="539D0ABD"/>
    <w:rsid w:val="53A62858"/>
    <w:rsid w:val="53A7651E"/>
    <w:rsid w:val="53D03518"/>
    <w:rsid w:val="53DC3CA7"/>
    <w:rsid w:val="53DE2E73"/>
    <w:rsid w:val="53E006FB"/>
    <w:rsid w:val="53EB1F2C"/>
    <w:rsid w:val="53EF4466"/>
    <w:rsid w:val="53F2630C"/>
    <w:rsid w:val="53F4056F"/>
    <w:rsid w:val="53FF7537"/>
    <w:rsid w:val="540E105D"/>
    <w:rsid w:val="54240D27"/>
    <w:rsid w:val="54385FBE"/>
    <w:rsid w:val="543F1E89"/>
    <w:rsid w:val="544028F7"/>
    <w:rsid w:val="54752AE9"/>
    <w:rsid w:val="547D78E2"/>
    <w:rsid w:val="548874AD"/>
    <w:rsid w:val="548E513A"/>
    <w:rsid w:val="54991EF4"/>
    <w:rsid w:val="549D1B88"/>
    <w:rsid w:val="549E4CB5"/>
    <w:rsid w:val="54CE444F"/>
    <w:rsid w:val="54DE20C8"/>
    <w:rsid w:val="54E70DF4"/>
    <w:rsid w:val="54E72D88"/>
    <w:rsid w:val="54FD5F92"/>
    <w:rsid w:val="5507514B"/>
    <w:rsid w:val="55176A79"/>
    <w:rsid w:val="552522E8"/>
    <w:rsid w:val="554366F7"/>
    <w:rsid w:val="5553457E"/>
    <w:rsid w:val="555409C9"/>
    <w:rsid w:val="5562064E"/>
    <w:rsid w:val="55686604"/>
    <w:rsid w:val="55694BA6"/>
    <w:rsid w:val="556B0686"/>
    <w:rsid w:val="556E56EB"/>
    <w:rsid w:val="557653AB"/>
    <w:rsid w:val="558060D2"/>
    <w:rsid w:val="55814115"/>
    <w:rsid w:val="5584468A"/>
    <w:rsid w:val="558545EA"/>
    <w:rsid w:val="558A6395"/>
    <w:rsid w:val="559116E9"/>
    <w:rsid w:val="55963920"/>
    <w:rsid w:val="55AC3A3B"/>
    <w:rsid w:val="55AD7796"/>
    <w:rsid w:val="55B37113"/>
    <w:rsid w:val="55E47D10"/>
    <w:rsid w:val="55FC13F6"/>
    <w:rsid w:val="561207DB"/>
    <w:rsid w:val="561267CB"/>
    <w:rsid w:val="56144F13"/>
    <w:rsid w:val="56263E84"/>
    <w:rsid w:val="562F0FF6"/>
    <w:rsid w:val="5654555F"/>
    <w:rsid w:val="56752427"/>
    <w:rsid w:val="56777823"/>
    <w:rsid w:val="5679212B"/>
    <w:rsid w:val="567F2352"/>
    <w:rsid w:val="568C2855"/>
    <w:rsid w:val="569403B8"/>
    <w:rsid w:val="569B4393"/>
    <w:rsid w:val="569C7249"/>
    <w:rsid w:val="56A03841"/>
    <w:rsid w:val="56A97147"/>
    <w:rsid w:val="56AE75BD"/>
    <w:rsid w:val="56BD52D8"/>
    <w:rsid w:val="56CE613F"/>
    <w:rsid w:val="56D12610"/>
    <w:rsid w:val="56E55210"/>
    <w:rsid w:val="56EF093E"/>
    <w:rsid w:val="56F413AB"/>
    <w:rsid w:val="570F63EB"/>
    <w:rsid w:val="571B753E"/>
    <w:rsid w:val="57226180"/>
    <w:rsid w:val="572D2F20"/>
    <w:rsid w:val="57300CF3"/>
    <w:rsid w:val="57301BB8"/>
    <w:rsid w:val="57321ADF"/>
    <w:rsid w:val="57407428"/>
    <w:rsid w:val="57571C02"/>
    <w:rsid w:val="575C78F8"/>
    <w:rsid w:val="57645564"/>
    <w:rsid w:val="576A58FC"/>
    <w:rsid w:val="578840E0"/>
    <w:rsid w:val="578A300D"/>
    <w:rsid w:val="5793255A"/>
    <w:rsid w:val="579E4151"/>
    <w:rsid w:val="57A00DD6"/>
    <w:rsid w:val="57A245DC"/>
    <w:rsid w:val="57B0240A"/>
    <w:rsid w:val="57C91406"/>
    <w:rsid w:val="5801711A"/>
    <w:rsid w:val="58095EDC"/>
    <w:rsid w:val="581075AF"/>
    <w:rsid w:val="58193437"/>
    <w:rsid w:val="581A2481"/>
    <w:rsid w:val="58352300"/>
    <w:rsid w:val="583729C0"/>
    <w:rsid w:val="58391EDC"/>
    <w:rsid w:val="58412738"/>
    <w:rsid w:val="5844236F"/>
    <w:rsid w:val="58571974"/>
    <w:rsid w:val="5875473E"/>
    <w:rsid w:val="588A2534"/>
    <w:rsid w:val="589302C9"/>
    <w:rsid w:val="58C335C3"/>
    <w:rsid w:val="58C76995"/>
    <w:rsid w:val="58DC2E3C"/>
    <w:rsid w:val="58DE67FC"/>
    <w:rsid w:val="58E2327F"/>
    <w:rsid w:val="58EE12E8"/>
    <w:rsid w:val="58F44699"/>
    <w:rsid w:val="58F575B0"/>
    <w:rsid w:val="58F6523F"/>
    <w:rsid w:val="58FB0605"/>
    <w:rsid w:val="59084A56"/>
    <w:rsid w:val="592951CF"/>
    <w:rsid w:val="59406F93"/>
    <w:rsid w:val="59447038"/>
    <w:rsid w:val="59575F95"/>
    <w:rsid w:val="596307EE"/>
    <w:rsid w:val="59657DC6"/>
    <w:rsid w:val="597E78E9"/>
    <w:rsid w:val="59817EF5"/>
    <w:rsid w:val="5994730A"/>
    <w:rsid w:val="59AA7CD2"/>
    <w:rsid w:val="59AC5074"/>
    <w:rsid w:val="59B13F5D"/>
    <w:rsid w:val="59B40A10"/>
    <w:rsid w:val="59CB5288"/>
    <w:rsid w:val="59DA4FC2"/>
    <w:rsid w:val="59DA588E"/>
    <w:rsid w:val="59DB73B9"/>
    <w:rsid w:val="59DF758A"/>
    <w:rsid w:val="59E129D8"/>
    <w:rsid w:val="59E24A24"/>
    <w:rsid w:val="59F55CA6"/>
    <w:rsid w:val="5A17226E"/>
    <w:rsid w:val="5A241A4D"/>
    <w:rsid w:val="5A2A13F5"/>
    <w:rsid w:val="5A6F6074"/>
    <w:rsid w:val="5A774701"/>
    <w:rsid w:val="5A7C4CA8"/>
    <w:rsid w:val="5A7D3E3E"/>
    <w:rsid w:val="5A8D5195"/>
    <w:rsid w:val="5AA808FE"/>
    <w:rsid w:val="5AAD4171"/>
    <w:rsid w:val="5AB22053"/>
    <w:rsid w:val="5ABA6159"/>
    <w:rsid w:val="5ABD2B5E"/>
    <w:rsid w:val="5ABD7631"/>
    <w:rsid w:val="5ABF1C28"/>
    <w:rsid w:val="5ACC6457"/>
    <w:rsid w:val="5AD26BF0"/>
    <w:rsid w:val="5ADF3C90"/>
    <w:rsid w:val="5AF457AC"/>
    <w:rsid w:val="5AF63C50"/>
    <w:rsid w:val="5AFA4E8B"/>
    <w:rsid w:val="5B013C88"/>
    <w:rsid w:val="5B075C8C"/>
    <w:rsid w:val="5B0A783E"/>
    <w:rsid w:val="5B213E35"/>
    <w:rsid w:val="5B217EDF"/>
    <w:rsid w:val="5B254F3E"/>
    <w:rsid w:val="5B2F3AE0"/>
    <w:rsid w:val="5B370819"/>
    <w:rsid w:val="5B4F6A7D"/>
    <w:rsid w:val="5B6C3D5B"/>
    <w:rsid w:val="5B6F14B8"/>
    <w:rsid w:val="5B945CB7"/>
    <w:rsid w:val="5B9C052B"/>
    <w:rsid w:val="5BAF3EA9"/>
    <w:rsid w:val="5BB11EDA"/>
    <w:rsid w:val="5BBA1B63"/>
    <w:rsid w:val="5BC010C2"/>
    <w:rsid w:val="5BC63A82"/>
    <w:rsid w:val="5BCD761F"/>
    <w:rsid w:val="5BD35936"/>
    <w:rsid w:val="5BDF11B3"/>
    <w:rsid w:val="5BEE1489"/>
    <w:rsid w:val="5BFE7B77"/>
    <w:rsid w:val="5C0170FF"/>
    <w:rsid w:val="5C0E212B"/>
    <w:rsid w:val="5C266472"/>
    <w:rsid w:val="5C3205D7"/>
    <w:rsid w:val="5C437B76"/>
    <w:rsid w:val="5C4E5BB4"/>
    <w:rsid w:val="5C5F3FD1"/>
    <w:rsid w:val="5C713099"/>
    <w:rsid w:val="5C7772D6"/>
    <w:rsid w:val="5C80041F"/>
    <w:rsid w:val="5C8A0C13"/>
    <w:rsid w:val="5C903C4F"/>
    <w:rsid w:val="5C9F3173"/>
    <w:rsid w:val="5CA62380"/>
    <w:rsid w:val="5CCE6A9B"/>
    <w:rsid w:val="5CD60ECE"/>
    <w:rsid w:val="5CE44EDD"/>
    <w:rsid w:val="5CE8252B"/>
    <w:rsid w:val="5CF7348D"/>
    <w:rsid w:val="5D026D4D"/>
    <w:rsid w:val="5D1956F8"/>
    <w:rsid w:val="5D1D010B"/>
    <w:rsid w:val="5D225D32"/>
    <w:rsid w:val="5D3E2DF0"/>
    <w:rsid w:val="5D3F1269"/>
    <w:rsid w:val="5D40194A"/>
    <w:rsid w:val="5D4170B4"/>
    <w:rsid w:val="5D444CB5"/>
    <w:rsid w:val="5D451736"/>
    <w:rsid w:val="5D5270EB"/>
    <w:rsid w:val="5D6549BA"/>
    <w:rsid w:val="5D6D2341"/>
    <w:rsid w:val="5D71725A"/>
    <w:rsid w:val="5D8721B3"/>
    <w:rsid w:val="5D8A786E"/>
    <w:rsid w:val="5D8B2230"/>
    <w:rsid w:val="5DA21803"/>
    <w:rsid w:val="5DC47A33"/>
    <w:rsid w:val="5DC62DBB"/>
    <w:rsid w:val="5DDB5421"/>
    <w:rsid w:val="5E0745DE"/>
    <w:rsid w:val="5E2158AC"/>
    <w:rsid w:val="5E261634"/>
    <w:rsid w:val="5E302AD9"/>
    <w:rsid w:val="5E33061F"/>
    <w:rsid w:val="5E405BBE"/>
    <w:rsid w:val="5E45139E"/>
    <w:rsid w:val="5E5268A3"/>
    <w:rsid w:val="5E5739AA"/>
    <w:rsid w:val="5E6B5098"/>
    <w:rsid w:val="5E777407"/>
    <w:rsid w:val="5E8E2B15"/>
    <w:rsid w:val="5E9201E3"/>
    <w:rsid w:val="5E9A74A4"/>
    <w:rsid w:val="5EB207E9"/>
    <w:rsid w:val="5EBC41C0"/>
    <w:rsid w:val="5EBC6597"/>
    <w:rsid w:val="5EC43EFB"/>
    <w:rsid w:val="5EC44094"/>
    <w:rsid w:val="5EE2230D"/>
    <w:rsid w:val="5EFD55FE"/>
    <w:rsid w:val="5EFF2E19"/>
    <w:rsid w:val="5F007FE1"/>
    <w:rsid w:val="5F07172C"/>
    <w:rsid w:val="5F093EE7"/>
    <w:rsid w:val="5F0F3971"/>
    <w:rsid w:val="5F2E0BEC"/>
    <w:rsid w:val="5F515548"/>
    <w:rsid w:val="5F5E73C1"/>
    <w:rsid w:val="5F606B3F"/>
    <w:rsid w:val="5F68335C"/>
    <w:rsid w:val="5F697A53"/>
    <w:rsid w:val="5F6A4D92"/>
    <w:rsid w:val="5F760085"/>
    <w:rsid w:val="5F783AED"/>
    <w:rsid w:val="5F7E40DB"/>
    <w:rsid w:val="5F8C111A"/>
    <w:rsid w:val="5F8F75DC"/>
    <w:rsid w:val="5F9C16A2"/>
    <w:rsid w:val="5F9D70B4"/>
    <w:rsid w:val="5FA84B1A"/>
    <w:rsid w:val="5FAC4A2E"/>
    <w:rsid w:val="5FB60E20"/>
    <w:rsid w:val="5FCA676A"/>
    <w:rsid w:val="5FD84118"/>
    <w:rsid w:val="5FD843B0"/>
    <w:rsid w:val="5FE24575"/>
    <w:rsid w:val="5FE644A4"/>
    <w:rsid w:val="5FE710FD"/>
    <w:rsid w:val="5FEC53A8"/>
    <w:rsid w:val="600B3B74"/>
    <w:rsid w:val="601B1FA9"/>
    <w:rsid w:val="601F2DD6"/>
    <w:rsid w:val="60294531"/>
    <w:rsid w:val="602F7B9B"/>
    <w:rsid w:val="60300C25"/>
    <w:rsid w:val="60353B2E"/>
    <w:rsid w:val="60456D61"/>
    <w:rsid w:val="604E6C02"/>
    <w:rsid w:val="6056461E"/>
    <w:rsid w:val="608A3444"/>
    <w:rsid w:val="60937A9F"/>
    <w:rsid w:val="609B6DA4"/>
    <w:rsid w:val="609C344F"/>
    <w:rsid w:val="60AA068C"/>
    <w:rsid w:val="60AC0F54"/>
    <w:rsid w:val="60AE5C00"/>
    <w:rsid w:val="60B90225"/>
    <w:rsid w:val="60D83AC2"/>
    <w:rsid w:val="60E3530A"/>
    <w:rsid w:val="60FD2C7C"/>
    <w:rsid w:val="61507439"/>
    <w:rsid w:val="615275AD"/>
    <w:rsid w:val="6163396C"/>
    <w:rsid w:val="616C2736"/>
    <w:rsid w:val="616C39E0"/>
    <w:rsid w:val="61720350"/>
    <w:rsid w:val="61782DB2"/>
    <w:rsid w:val="618042DE"/>
    <w:rsid w:val="61A7174B"/>
    <w:rsid w:val="61DE221C"/>
    <w:rsid w:val="61E54D61"/>
    <w:rsid w:val="61EE721C"/>
    <w:rsid w:val="62023731"/>
    <w:rsid w:val="62025CE0"/>
    <w:rsid w:val="621843D4"/>
    <w:rsid w:val="62193660"/>
    <w:rsid w:val="622751DF"/>
    <w:rsid w:val="62465AC6"/>
    <w:rsid w:val="6249121E"/>
    <w:rsid w:val="62521795"/>
    <w:rsid w:val="625A2DB0"/>
    <w:rsid w:val="626135B0"/>
    <w:rsid w:val="62691689"/>
    <w:rsid w:val="62827641"/>
    <w:rsid w:val="62900317"/>
    <w:rsid w:val="629369E1"/>
    <w:rsid w:val="629444B4"/>
    <w:rsid w:val="6294470E"/>
    <w:rsid w:val="62B77201"/>
    <w:rsid w:val="62CB20E3"/>
    <w:rsid w:val="62CD3231"/>
    <w:rsid w:val="62D03AF8"/>
    <w:rsid w:val="62E349EB"/>
    <w:rsid w:val="62E66BBD"/>
    <w:rsid w:val="63114CAC"/>
    <w:rsid w:val="635539EF"/>
    <w:rsid w:val="6365506D"/>
    <w:rsid w:val="63715394"/>
    <w:rsid w:val="638A6FF0"/>
    <w:rsid w:val="638B12A6"/>
    <w:rsid w:val="638E3C15"/>
    <w:rsid w:val="639F4B4A"/>
    <w:rsid w:val="63C13982"/>
    <w:rsid w:val="63D5282C"/>
    <w:rsid w:val="63D646E2"/>
    <w:rsid w:val="63DD1E8A"/>
    <w:rsid w:val="63E37CF1"/>
    <w:rsid w:val="63E47C02"/>
    <w:rsid w:val="63E60971"/>
    <w:rsid w:val="63EA6782"/>
    <w:rsid w:val="63EB1346"/>
    <w:rsid w:val="63EF1BCA"/>
    <w:rsid w:val="63F155C4"/>
    <w:rsid w:val="63F166C0"/>
    <w:rsid w:val="63F67C01"/>
    <w:rsid w:val="64021C29"/>
    <w:rsid w:val="641D4B05"/>
    <w:rsid w:val="641F1AF3"/>
    <w:rsid w:val="642204FF"/>
    <w:rsid w:val="6428220B"/>
    <w:rsid w:val="642D2B7F"/>
    <w:rsid w:val="6446655F"/>
    <w:rsid w:val="644B24C5"/>
    <w:rsid w:val="645567AB"/>
    <w:rsid w:val="645708E0"/>
    <w:rsid w:val="64674F6E"/>
    <w:rsid w:val="646D792A"/>
    <w:rsid w:val="64722341"/>
    <w:rsid w:val="648E745E"/>
    <w:rsid w:val="648F399C"/>
    <w:rsid w:val="6492725D"/>
    <w:rsid w:val="64A9346D"/>
    <w:rsid w:val="64CD3108"/>
    <w:rsid w:val="64DD6D22"/>
    <w:rsid w:val="64E87197"/>
    <w:rsid w:val="64FF797A"/>
    <w:rsid w:val="650F14E7"/>
    <w:rsid w:val="650F1B37"/>
    <w:rsid w:val="65143583"/>
    <w:rsid w:val="652164EA"/>
    <w:rsid w:val="65235056"/>
    <w:rsid w:val="6535301A"/>
    <w:rsid w:val="65473517"/>
    <w:rsid w:val="65511AF7"/>
    <w:rsid w:val="65514C4B"/>
    <w:rsid w:val="65516AD1"/>
    <w:rsid w:val="65871E6A"/>
    <w:rsid w:val="65953DFA"/>
    <w:rsid w:val="65983963"/>
    <w:rsid w:val="65B05519"/>
    <w:rsid w:val="65B776F0"/>
    <w:rsid w:val="65B93D72"/>
    <w:rsid w:val="65C50B77"/>
    <w:rsid w:val="65CE1673"/>
    <w:rsid w:val="65DD23BA"/>
    <w:rsid w:val="65E3542A"/>
    <w:rsid w:val="65E44828"/>
    <w:rsid w:val="65E5799D"/>
    <w:rsid w:val="65E927BF"/>
    <w:rsid w:val="65EA7C92"/>
    <w:rsid w:val="660F05EB"/>
    <w:rsid w:val="66132755"/>
    <w:rsid w:val="661D7E37"/>
    <w:rsid w:val="66225924"/>
    <w:rsid w:val="66294D95"/>
    <w:rsid w:val="662D2F34"/>
    <w:rsid w:val="663B7169"/>
    <w:rsid w:val="664748B7"/>
    <w:rsid w:val="664B3FBE"/>
    <w:rsid w:val="66874544"/>
    <w:rsid w:val="668D526B"/>
    <w:rsid w:val="669108B4"/>
    <w:rsid w:val="66912FE1"/>
    <w:rsid w:val="66A90035"/>
    <w:rsid w:val="66B67E99"/>
    <w:rsid w:val="66CB2983"/>
    <w:rsid w:val="66CB4604"/>
    <w:rsid w:val="66F269EF"/>
    <w:rsid w:val="66F70940"/>
    <w:rsid w:val="67002831"/>
    <w:rsid w:val="670A6EF3"/>
    <w:rsid w:val="671A42D5"/>
    <w:rsid w:val="67254C11"/>
    <w:rsid w:val="672F4541"/>
    <w:rsid w:val="67311D28"/>
    <w:rsid w:val="673244A4"/>
    <w:rsid w:val="673B0EA2"/>
    <w:rsid w:val="673D1597"/>
    <w:rsid w:val="6745724D"/>
    <w:rsid w:val="67517F3E"/>
    <w:rsid w:val="675940D2"/>
    <w:rsid w:val="676137EB"/>
    <w:rsid w:val="67704315"/>
    <w:rsid w:val="677668A3"/>
    <w:rsid w:val="677E49A2"/>
    <w:rsid w:val="678D5262"/>
    <w:rsid w:val="67986159"/>
    <w:rsid w:val="67991D4D"/>
    <w:rsid w:val="679A2A2C"/>
    <w:rsid w:val="67AA5A4D"/>
    <w:rsid w:val="67B532B1"/>
    <w:rsid w:val="67BB3FE0"/>
    <w:rsid w:val="67D302CE"/>
    <w:rsid w:val="67D73507"/>
    <w:rsid w:val="67F2180F"/>
    <w:rsid w:val="67F8003A"/>
    <w:rsid w:val="67F841F8"/>
    <w:rsid w:val="67F86682"/>
    <w:rsid w:val="67F97FAA"/>
    <w:rsid w:val="67FD74C9"/>
    <w:rsid w:val="680A5306"/>
    <w:rsid w:val="680C69CC"/>
    <w:rsid w:val="681573D9"/>
    <w:rsid w:val="683969A4"/>
    <w:rsid w:val="683A4D97"/>
    <w:rsid w:val="685F5E44"/>
    <w:rsid w:val="68747DEF"/>
    <w:rsid w:val="687A4CB1"/>
    <w:rsid w:val="68805DBB"/>
    <w:rsid w:val="689173EA"/>
    <w:rsid w:val="68951CFB"/>
    <w:rsid w:val="68A511A2"/>
    <w:rsid w:val="68AD5E76"/>
    <w:rsid w:val="68BC39F5"/>
    <w:rsid w:val="68C143D7"/>
    <w:rsid w:val="68C97881"/>
    <w:rsid w:val="68EA2DF3"/>
    <w:rsid w:val="68F54323"/>
    <w:rsid w:val="68F80BC8"/>
    <w:rsid w:val="68FF0801"/>
    <w:rsid w:val="691B4617"/>
    <w:rsid w:val="691D3612"/>
    <w:rsid w:val="691E535A"/>
    <w:rsid w:val="69272B2D"/>
    <w:rsid w:val="69350072"/>
    <w:rsid w:val="69366E4A"/>
    <w:rsid w:val="695328E3"/>
    <w:rsid w:val="695D3842"/>
    <w:rsid w:val="695E11B3"/>
    <w:rsid w:val="69731456"/>
    <w:rsid w:val="69815F72"/>
    <w:rsid w:val="6981684A"/>
    <w:rsid w:val="69864335"/>
    <w:rsid w:val="69870049"/>
    <w:rsid w:val="69934CD8"/>
    <w:rsid w:val="69973C30"/>
    <w:rsid w:val="69A119DB"/>
    <w:rsid w:val="69BA0F0B"/>
    <w:rsid w:val="69D816A9"/>
    <w:rsid w:val="69DA5E8E"/>
    <w:rsid w:val="69E72DDC"/>
    <w:rsid w:val="69EE54A9"/>
    <w:rsid w:val="6A005BA7"/>
    <w:rsid w:val="6A1262DC"/>
    <w:rsid w:val="6A1840A6"/>
    <w:rsid w:val="6A1C4C49"/>
    <w:rsid w:val="6A261826"/>
    <w:rsid w:val="6A2B3E3D"/>
    <w:rsid w:val="6A2C7886"/>
    <w:rsid w:val="6A2D559A"/>
    <w:rsid w:val="6A2F5CCB"/>
    <w:rsid w:val="6A335877"/>
    <w:rsid w:val="6A340D8C"/>
    <w:rsid w:val="6A34114E"/>
    <w:rsid w:val="6A4F72FD"/>
    <w:rsid w:val="6A5202F1"/>
    <w:rsid w:val="6A52436B"/>
    <w:rsid w:val="6A6B2CEC"/>
    <w:rsid w:val="6A6C0CF6"/>
    <w:rsid w:val="6A8F3D67"/>
    <w:rsid w:val="6A9B03D8"/>
    <w:rsid w:val="6AA7566E"/>
    <w:rsid w:val="6AD441FA"/>
    <w:rsid w:val="6AD85F8E"/>
    <w:rsid w:val="6AEA0C19"/>
    <w:rsid w:val="6AEE5228"/>
    <w:rsid w:val="6AEF5A66"/>
    <w:rsid w:val="6B08143B"/>
    <w:rsid w:val="6B115B1D"/>
    <w:rsid w:val="6B1179F9"/>
    <w:rsid w:val="6B2167E1"/>
    <w:rsid w:val="6B30563E"/>
    <w:rsid w:val="6B322CCC"/>
    <w:rsid w:val="6B3469ED"/>
    <w:rsid w:val="6B375B0C"/>
    <w:rsid w:val="6B3C0FD2"/>
    <w:rsid w:val="6B4210B3"/>
    <w:rsid w:val="6B494C1A"/>
    <w:rsid w:val="6B5855A8"/>
    <w:rsid w:val="6B6102D1"/>
    <w:rsid w:val="6B882FBF"/>
    <w:rsid w:val="6BA16209"/>
    <w:rsid w:val="6BA3185E"/>
    <w:rsid w:val="6BA7258F"/>
    <w:rsid w:val="6BD10B86"/>
    <w:rsid w:val="6BFC27D1"/>
    <w:rsid w:val="6C00166C"/>
    <w:rsid w:val="6C1D591D"/>
    <w:rsid w:val="6C2F37C9"/>
    <w:rsid w:val="6C3E3DEB"/>
    <w:rsid w:val="6C463F9B"/>
    <w:rsid w:val="6C49248D"/>
    <w:rsid w:val="6C497B95"/>
    <w:rsid w:val="6C4B30BD"/>
    <w:rsid w:val="6C600369"/>
    <w:rsid w:val="6C6B1783"/>
    <w:rsid w:val="6C7637E7"/>
    <w:rsid w:val="6C7E3C88"/>
    <w:rsid w:val="6C887A7B"/>
    <w:rsid w:val="6C8B08BA"/>
    <w:rsid w:val="6C9368DC"/>
    <w:rsid w:val="6C956191"/>
    <w:rsid w:val="6CA81F8A"/>
    <w:rsid w:val="6CA91905"/>
    <w:rsid w:val="6CAE54F6"/>
    <w:rsid w:val="6CB47F17"/>
    <w:rsid w:val="6CB51204"/>
    <w:rsid w:val="6CBD0EA9"/>
    <w:rsid w:val="6CC44F08"/>
    <w:rsid w:val="6CEE5E35"/>
    <w:rsid w:val="6D011A77"/>
    <w:rsid w:val="6D081B69"/>
    <w:rsid w:val="6D0B1BEA"/>
    <w:rsid w:val="6D254741"/>
    <w:rsid w:val="6D364124"/>
    <w:rsid w:val="6D397F37"/>
    <w:rsid w:val="6D5E17F7"/>
    <w:rsid w:val="6D753301"/>
    <w:rsid w:val="6D787DA0"/>
    <w:rsid w:val="6D827736"/>
    <w:rsid w:val="6D880E59"/>
    <w:rsid w:val="6D8E3E53"/>
    <w:rsid w:val="6DA021B0"/>
    <w:rsid w:val="6DAC1E87"/>
    <w:rsid w:val="6DB21569"/>
    <w:rsid w:val="6DC33348"/>
    <w:rsid w:val="6DCC741D"/>
    <w:rsid w:val="6DD1580F"/>
    <w:rsid w:val="6DDB67CC"/>
    <w:rsid w:val="6DDC5A12"/>
    <w:rsid w:val="6DEC256C"/>
    <w:rsid w:val="6DEF3417"/>
    <w:rsid w:val="6DF047F7"/>
    <w:rsid w:val="6DF04E3F"/>
    <w:rsid w:val="6DF5111F"/>
    <w:rsid w:val="6DFE0D5C"/>
    <w:rsid w:val="6E1370CF"/>
    <w:rsid w:val="6E182F60"/>
    <w:rsid w:val="6E3E46B9"/>
    <w:rsid w:val="6E431B4D"/>
    <w:rsid w:val="6E7C0DBF"/>
    <w:rsid w:val="6E844318"/>
    <w:rsid w:val="6E8A54F7"/>
    <w:rsid w:val="6E957407"/>
    <w:rsid w:val="6EA304AE"/>
    <w:rsid w:val="6EC9393B"/>
    <w:rsid w:val="6ED03F49"/>
    <w:rsid w:val="6ED311B4"/>
    <w:rsid w:val="6ED47B4A"/>
    <w:rsid w:val="6EE10F39"/>
    <w:rsid w:val="6EE26FD0"/>
    <w:rsid w:val="6EEF2366"/>
    <w:rsid w:val="6EF26BFC"/>
    <w:rsid w:val="6F015F7A"/>
    <w:rsid w:val="6F34030D"/>
    <w:rsid w:val="6F4518F4"/>
    <w:rsid w:val="6F4A4595"/>
    <w:rsid w:val="6F4B6D0A"/>
    <w:rsid w:val="6F4B7663"/>
    <w:rsid w:val="6F792AC9"/>
    <w:rsid w:val="6F8F121C"/>
    <w:rsid w:val="6F9604E8"/>
    <w:rsid w:val="6F9F1941"/>
    <w:rsid w:val="6FAD1995"/>
    <w:rsid w:val="6FB66170"/>
    <w:rsid w:val="6FC44676"/>
    <w:rsid w:val="6FCE0662"/>
    <w:rsid w:val="6FD54A8D"/>
    <w:rsid w:val="6FDB2045"/>
    <w:rsid w:val="6FDB6468"/>
    <w:rsid w:val="6FE07BD5"/>
    <w:rsid w:val="6FE54122"/>
    <w:rsid w:val="6FEE046F"/>
    <w:rsid w:val="6FF20972"/>
    <w:rsid w:val="6FFF5019"/>
    <w:rsid w:val="70087AC4"/>
    <w:rsid w:val="70141DF2"/>
    <w:rsid w:val="701517C3"/>
    <w:rsid w:val="70191612"/>
    <w:rsid w:val="70194469"/>
    <w:rsid w:val="7019743B"/>
    <w:rsid w:val="70433A11"/>
    <w:rsid w:val="704D1EFE"/>
    <w:rsid w:val="705E71C4"/>
    <w:rsid w:val="706E41A9"/>
    <w:rsid w:val="709435EB"/>
    <w:rsid w:val="70993F63"/>
    <w:rsid w:val="70B77DB4"/>
    <w:rsid w:val="70C7242C"/>
    <w:rsid w:val="70C81DE2"/>
    <w:rsid w:val="70E146A5"/>
    <w:rsid w:val="70FC55DC"/>
    <w:rsid w:val="70FF14C2"/>
    <w:rsid w:val="71047A06"/>
    <w:rsid w:val="71060830"/>
    <w:rsid w:val="71094B92"/>
    <w:rsid w:val="71114B5D"/>
    <w:rsid w:val="71154F8E"/>
    <w:rsid w:val="711560CC"/>
    <w:rsid w:val="711C21D1"/>
    <w:rsid w:val="7129742D"/>
    <w:rsid w:val="712C286B"/>
    <w:rsid w:val="713119AD"/>
    <w:rsid w:val="7137393A"/>
    <w:rsid w:val="7144585D"/>
    <w:rsid w:val="714B252E"/>
    <w:rsid w:val="716912DC"/>
    <w:rsid w:val="716B4768"/>
    <w:rsid w:val="717140B6"/>
    <w:rsid w:val="7173234A"/>
    <w:rsid w:val="71861252"/>
    <w:rsid w:val="718C075F"/>
    <w:rsid w:val="71A03423"/>
    <w:rsid w:val="71B01879"/>
    <w:rsid w:val="71C41195"/>
    <w:rsid w:val="71D96A49"/>
    <w:rsid w:val="71FE4E77"/>
    <w:rsid w:val="720A3883"/>
    <w:rsid w:val="721240E3"/>
    <w:rsid w:val="72445F3B"/>
    <w:rsid w:val="725A10C7"/>
    <w:rsid w:val="726229F9"/>
    <w:rsid w:val="72622A56"/>
    <w:rsid w:val="72647043"/>
    <w:rsid w:val="726F2CB2"/>
    <w:rsid w:val="727245AE"/>
    <w:rsid w:val="728B144F"/>
    <w:rsid w:val="728C407E"/>
    <w:rsid w:val="729C3154"/>
    <w:rsid w:val="72A71C23"/>
    <w:rsid w:val="72BA1C71"/>
    <w:rsid w:val="72BE2563"/>
    <w:rsid w:val="72C06A25"/>
    <w:rsid w:val="72C50C93"/>
    <w:rsid w:val="72D2337A"/>
    <w:rsid w:val="72FC6295"/>
    <w:rsid w:val="72FC7658"/>
    <w:rsid w:val="7300617F"/>
    <w:rsid w:val="73044564"/>
    <w:rsid w:val="730E792F"/>
    <w:rsid w:val="73114D13"/>
    <w:rsid w:val="731350FE"/>
    <w:rsid w:val="73171292"/>
    <w:rsid w:val="734F0A25"/>
    <w:rsid w:val="73550EBA"/>
    <w:rsid w:val="737858F2"/>
    <w:rsid w:val="737B41D9"/>
    <w:rsid w:val="738D4B4C"/>
    <w:rsid w:val="73BF772E"/>
    <w:rsid w:val="73C7175F"/>
    <w:rsid w:val="73D5744C"/>
    <w:rsid w:val="73D65ABB"/>
    <w:rsid w:val="73E568B6"/>
    <w:rsid w:val="74073210"/>
    <w:rsid w:val="741A10DF"/>
    <w:rsid w:val="741E5286"/>
    <w:rsid w:val="742B04AA"/>
    <w:rsid w:val="7454792F"/>
    <w:rsid w:val="746127B6"/>
    <w:rsid w:val="74690261"/>
    <w:rsid w:val="74691F47"/>
    <w:rsid w:val="74787B8F"/>
    <w:rsid w:val="748E6A95"/>
    <w:rsid w:val="7493418A"/>
    <w:rsid w:val="74A818BE"/>
    <w:rsid w:val="74A835DA"/>
    <w:rsid w:val="74BE6134"/>
    <w:rsid w:val="74C10801"/>
    <w:rsid w:val="74C35DE5"/>
    <w:rsid w:val="74CD6224"/>
    <w:rsid w:val="74E2135A"/>
    <w:rsid w:val="74EE0D38"/>
    <w:rsid w:val="74EE50CD"/>
    <w:rsid w:val="74F251CE"/>
    <w:rsid w:val="74F421FA"/>
    <w:rsid w:val="74F75363"/>
    <w:rsid w:val="75142949"/>
    <w:rsid w:val="75193B14"/>
    <w:rsid w:val="751D694E"/>
    <w:rsid w:val="75202C3B"/>
    <w:rsid w:val="75225F81"/>
    <w:rsid w:val="75230060"/>
    <w:rsid w:val="7535170B"/>
    <w:rsid w:val="75452AA1"/>
    <w:rsid w:val="754A0408"/>
    <w:rsid w:val="754F7E2A"/>
    <w:rsid w:val="755B2CBE"/>
    <w:rsid w:val="75762958"/>
    <w:rsid w:val="7582557F"/>
    <w:rsid w:val="75826EAE"/>
    <w:rsid w:val="758601A7"/>
    <w:rsid w:val="75867AB9"/>
    <w:rsid w:val="759539DF"/>
    <w:rsid w:val="759E7732"/>
    <w:rsid w:val="75A103FD"/>
    <w:rsid w:val="75A60256"/>
    <w:rsid w:val="75B303A9"/>
    <w:rsid w:val="75C76229"/>
    <w:rsid w:val="75CD426E"/>
    <w:rsid w:val="75D47180"/>
    <w:rsid w:val="75E36EA7"/>
    <w:rsid w:val="75E9713E"/>
    <w:rsid w:val="75EB78D9"/>
    <w:rsid w:val="76046DE9"/>
    <w:rsid w:val="760F07AB"/>
    <w:rsid w:val="76170790"/>
    <w:rsid w:val="761A7592"/>
    <w:rsid w:val="76306208"/>
    <w:rsid w:val="7633138C"/>
    <w:rsid w:val="7638510F"/>
    <w:rsid w:val="763C5B6F"/>
    <w:rsid w:val="764357CA"/>
    <w:rsid w:val="764B65B4"/>
    <w:rsid w:val="76540753"/>
    <w:rsid w:val="765F0B8E"/>
    <w:rsid w:val="766C0E6C"/>
    <w:rsid w:val="766C2ADE"/>
    <w:rsid w:val="76715549"/>
    <w:rsid w:val="76731111"/>
    <w:rsid w:val="767C4207"/>
    <w:rsid w:val="767D4BF4"/>
    <w:rsid w:val="767F3D2D"/>
    <w:rsid w:val="768E5885"/>
    <w:rsid w:val="768F07DD"/>
    <w:rsid w:val="76AA3411"/>
    <w:rsid w:val="76AB06D9"/>
    <w:rsid w:val="76B74D10"/>
    <w:rsid w:val="76BD2FA7"/>
    <w:rsid w:val="76BE27C5"/>
    <w:rsid w:val="76D61781"/>
    <w:rsid w:val="76D6578E"/>
    <w:rsid w:val="76DA03AC"/>
    <w:rsid w:val="76DF7610"/>
    <w:rsid w:val="76E67C1B"/>
    <w:rsid w:val="76EC66A8"/>
    <w:rsid w:val="76F945EA"/>
    <w:rsid w:val="76F96473"/>
    <w:rsid w:val="76FC3D8E"/>
    <w:rsid w:val="76FC43EA"/>
    <w:rsid w:val="77045B4D"/>
    <w:rsid w:val="77142EF7"/>
    <w:rsid w:val="77207D99"/>
    <w:rsid w:val="77304F88"/>
    <w:rsid w:val="77375845"/>
    <w:rsid w:val="7749055C"/>
    <w:rsid w:val="774F2525"/>
    <w:rsid w:val="775011CE"/>
    <w:rsid w:val="77510F60"/>
    <w:rsid w:val="77650DDB"/>
    <w:rsid w:val="7766458C"/>
    <w:rsid w:val="777558B1"/>
    <w:rsid w:val="777C25A6"/>
    <w:rsid w:val="778372E1"/>
    <w:rsid w:val="778773FE"/>
    <w:rsid w:val="778929EC"/>
    <w:rsid w:val="77A02881"/>
    <w:rsid w:val="77A26655"/>
    <w:rsid w:val="77A336F3"/>
    <w:rsid w:val="77AE617B"/>
    <w:rsid w:val="77B431F5"/>
    <w:rsid w:val="77CA44C4"/>
    <w:rsid w:val="77CC7701"/>
    <w:rsid w:val="77DA1CEB"/>
    <w:rsid w:val="77DF36AE"/>
    <w:rsid w:val="77EC2C4E"/>
    <w:rsid w:val="77F433E8"/>
    <w:rsid w:val="78114957"/>
    <w:rsid w:val="7813204A"/>
    <w:rsid w:val="781C128A"/>
    <w:rsid w:val="78260621"/>
    <w:rsid w:val="782A52A8"/>
    <w:rsid w:val="78354200"/>
    <w:rsid w:val="78371F6D"/>
    <w:rsid w:val="783D1E98"/>
    <w:rsid w:val="783D5AED"/>
    <w:rsid w:val="78516F02"/>
    <w:rsid w:val="785258BD"/>
    <w:rsid w:val="785554FE"/>
    <w:rsid w:val="7887761C"/>
    <w:rsid w:val="78A72921"/>
    <w:rsid w:val="78AA7740"/>
    <w:rsid w:val="78AD170D"/>
    <w:rsid w:val="78B035AF"/>
    <w:rsid w:val="78C8623C"/>
    <w:rsid w:val="78E016F7"/>
    <w:rsid w:val="78F953DB"/>
    <w:rsid w:val="7903216C"/>
    <w:rsid w:val="790B2F0F"/>
    <w:rsid w:val="79157AAB"/>
    <w:rsid w:val="79250608"/>
    <w:rsid w:val="794C5FA7"/>
    <w:rsid w:val="7955336C"/>
    <w:rsid w:val="795D1204"/>
    <w:rsid w:val="797053AC"/>
    <w:rsid w:val="797A3243"/>
    <w:rsid w:val="79807FC5"/>
    <w:rsid w:val="79893F44"/>
    <w:rsid w:val="79A20380"/>
    <w:rsid w:val="79A34DCA"/>
    <w:rsid w:val="79A41C66"/>
    <w:rsid w:val="79A77DBA"/>
    <w:rsid w:val="79B90AE6"/>
    <w:rsid w:val="79BC7F4E"/>
    <w:rsid w:val="79C22F1C"/>
    <w:rsid w:val="79C44E8A"/>
    <w:rsid w:val="79C81574"/>
    <w:rsid w:val="79CF19AA"/>
    <w:rsid w:val="79D94738"/>
    <w:rsid w:val="79F624D5"/>
    <w:rsid w:val="79FA5C72"/>
    <w:rsid w:val="7A0279DE"/>
    <w:rsid w:val="7A0A71F6"/>
    <w:rsid w:val="7A242B27"/>
    <w:rsid w:val="7A330494"/>
    <w:rsid w:val="7A5A5695"/>
    <w:rsid w:val="7A676175"/>
    <w:rsid w:val="7A6A7706"/>
    <w:rsid w:val="7A79426C"/>
    <w:rsid w:val="7A7952FA"/>
    <w:rsid w:val="7A9009B7"/>
    <w:rsid w:val="7A9338A5"/>
    <w:rsid w:val="7A9B39D9"/>
    <w:rsid w:val="7AC92F91"/>
    <w:rsid w:val="7AD453DC"/>
    <w:rsid w:val="7AD67D74"/>
    <w:rsid w:val="7AD95FAA"/>
    <w:rsid w:val="7AF247E5"/>
    <w:rsid w:val="7AF561FC"/>
    <w:rsid w:val="7AF72518"/>
    <w:rsid w:val="7AF86833"/>
    <w:rsid w:val="7B0A630F"/>
    <w:rsid w:val="7B1C29F5"/>
    <w:rsid w:val="7B243CEF"/>
    <w:rsid w:val="7B296C20"/>
    <w:rsid w:val="7B2D4D2D"/>
    <w:rsid w:val="7B346907"/>
    <w:rsid w:val="7B350D28"/>
    <w:rsid w:val="7B35619E"/>
    <w:rsid w:val="7B415A68"/>
    <w:rsid w:val="7B613EC9"/>
    <w:rsid w:val="7B7261CA"/>
    <w:rsid w:val="7B7475BC"/>
    <w:rsid w:val="7B755A64"/>
    <w:rsid w:val="7B864968"/>
    <w:rsid w:val="7B8F63ED"/>
    <w:rsid w:val="7BA7438E"/>
    <w:rsid w:val="7BDC3511"/>
    <w:rsid w:val="7BDD1CF0"/>
    <w:rsid w:val="7BFB0167"/>
    <w:rsid w:val="7BFC20C3"/>
    <w:rsid w:val="7C1A66AD"/>
    <w:rsid w:val="7C34771D"/>
    <w:rsid w:val="7C3515BB"/>
    <w:rsid w:val="7C3855D8"/>
    <w:rsid w:val="7C3C5D75"/>
    <w:rsid w:val="7C445998"/>
    <w:rsid w:val="7C477CD9"/>
    <w:rsid w:val="7C4B2EF8"/>
    <w:rsid w:val="7C4B5622"/>
    <w:rsid w:val="7C5571FE"/>
    <w:rsid w:val="7C566E73"/>
    <w:rsid w:val="7C5D1FFF"/>
    <w:rsid w:val="7C7542E4"/>
    <w:rsid w:val="7C786FA7"/>
    <w:rsid w:val="7C7E7B1B"/>
    <w:rsid w:val="7C97217B"/>
    <w:rsid w:val="7C9B516B"/>
    <w:rsid w:val="7CA26EB8"/>
    <w:rsid w:val="7CC20E5C"/>
    <w:rsid w:val="7CD1712B"/>
    <w:rsid w:val="7CDF7A5B"/>
    <w:rsid w:val="7CE01955"/>
    <w:rsid w:val="7CEA3E6D"/>
    <w:rsid w:val="7CF81549"/>
    <w:rsid w:val="7CFB3A2B"/>
    <w:rsid w:val="7D073B7C"/>
    <w:rsid w:val="7D0C1AF4"/>
    <w:rsid w:val="7D15559C"/>
    <w:rsid w:val="7D257B93"/>
    <w:rsid w:val="7D27575E"/>
    <w:rsid w:val="7D2F3611"/>
    <w:rsid w:val="7D31513F"/>
    <w:rsid w:val="7D355152"/>
    <w:rsid w:val="7D4B5767"/>
    <w:rsid w:val="7D4C1583"/>
    <w:rsid w:val="7D532A36"/>
    <w:rsid w:val="7D695F35"/>
    <w:rsid w:val="7D6D670B"/>
    <w:rsid w:val="7D7015EC"/>
    <w:rsid w:val="7D7B0E62"/>
    <w:rsid w:val="7D7C1499"/>
    <w:rsid w:val="7D826711"/>
    <w:rsid w:val="7D8A085D"/>
    <w:rsid w:val="7D9433D4"/>
    <w:rsid w:val="7D951595"/>
    <w:rsid w:val="7DA52E58"/>
    <w:rsid w:val="7DCC42D7"/>
    <w:rsid w:val="7DF74315"/>
    <w:rsid w:val="7E0248F2"/>
    <w:rsid w:val="7E1E6FF7"/>
    <w:rsid w:val="7E2642A7"/>
    <w:rsid w:val="7E561AE5"/>
    <w:rsid w:val="7E64552A"/>
    <w:rsid w:val="7E72029B"/>
    <w:rsid w:val="7E7320D6"/>
    <w:rsid w:val="7E7B0D27"/>
    <w:rsid w:val="7E826E17"/>
    <w:rsid w:val="7E89675D"/>
    <w:rsid w:val="7E97043F"/>
    <w:rsid w:val="7EC14AC5"/>
    <w:rsid w:val="7EC505A2"/>
    <w:rsid w:val="7ED3618F"/>
    <w:rsid w:val="7EEE14FF"/>
    <w:rsid w:val="7EF56800"/>
    <w:rsid w:val="7EFD2730"/>
    <w:rsid w:val="7F086660"/>
    <w:rsid w:val="7F103ED9"/>
    <w:rsid w:val="7F107638"/>
    <w:rsid w:val="7F1C2D40"/>
    <w:rsid w:val="7F232BD4"/>
    <w:rsid w:val="7F2F166C"/>
    <w:rsid w:val="7F3B3546"/>
    <w:rsid w:val="7F3E3653"/>
    <w:rsid w:val="7F4E3ED6"/>
    <w:rsid w:val="7F5061D9"/>
    <w:rsid w:val="7F593981"/>
    <w:rsid w:val="7F6770E9"/>
    <w:rsid w:val="7F68135C"/>
    <w:rsid w:val="7F6A2FE5"/>
    <w:rsid w:val="7F7A43A9"/>
    <w:rsid w:val="7F7B119B"/>
    <w:rsid w:val="7F9042D7"/>
    <w:rsid w:val="7F9B7711"/>
    <w:rsid w:val="7FA22327"/>
    <w:rsid w:val="7FAA4CEB"/>
    <w:rsid w:val="7FB75DC0"/>
    <w:rsid w:val="7FCB2AD8"/>
    <w:rsid w:val="7FD74BFB"/>
    <w:rsid w:val="7FDD4A98"/>
    <w:rsid w:val="7FE13A26"/>
    <w:rsid w:val="7FE46542"/>
    <w:rsid w:val="7FF01890"/>
    <w:rsid w:val="7FF97DE2"/>
    <w:rsid w:val="7FFA7599"/>
    <w:rsid w:val="7FFB327B"/>
    <w:rsid w:val="7FFD73B4"/>
    <w:rsid w:val="7FFE6B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1"/>
    <w:pPr>
      <w:autoSpaceDE w:val="0"/>
      <w:autoSpaceDN w:val="0"/>
      <w:spacing w:before="27"/>
      <w:ind w:right="198"/>
      <w:jc w:val="center"/>
      <w:outlineLvl w:val="0"/>
    </w:pPr>
    <w:rPr>
      <w:rFonts w:ascii="宋体" w:hAnsi="宋体" w:cs="宋体"/>
      <w:b/>
      <w:bCs/>
      <w:kern w:val="0"/>
      <w:sz w:val="32"/>
      <w:szCs w:val="32"/>
      <w:lang w:val="zh-CN" w:bidi="zh-CN"/>
    </w:rPr>
  </w:style>
  <w:style w:type="paragraph" w:styleId="3">
    <w:name w:val="heading 2"/>
    <w:basedOn w:val="1"/>
    <w:next w:val="4"/>
    <w:qFormat/>
    <w:uiPriority w:val="0"/>
    <w:pPr>
      <w:numPr>
        <w:ilvl w:val="1"/>
        <w:numId w:val="1"/>
      </w:numPr>
      <w:tabs>
        <w:tab w:val="left" w:pos="432"/>
        <w:tab w:val="left" w:pos="851"/>
      </w:tabs>
      <w:autoSpaceDE w:val="0"/>
      <w:autoSpaceDN w:val="0"/>
      <w:adjustRightInd w:val="0"/>
      <w:snapToGrid w:val="0"/>
      <w:spacing w:line="360" w:lineRule="auto"/>
      <w:outlineLvl w:val="1"/>
    </w:pPr>
    <w:rPr>
      <w:snapToGrid w:val="0"/>
      <w:color w:val="000000"/>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firstLineChars="200"/>
    </w:pPr>
  </w:style>
  <w:style w:type="paragraph" w:styleId="5">
    <w:name w:val="annotation text"/>
    <w:basedOn w:val="1"/>
    <w:qFormat/>
    <w:uiPriority w:val="0"/>
    <w:pPr>
      <w:jc w:val="left"/>
    </w:p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8">
    <w:name w:val="toc 2"/>
    <w:basedOn w:val="1"/>
    <w:next w:val="1"/>
    <w:unhideWhenUsed/>
    <w:qFormat/>
    <w:uiPriority w:val="39"/>
    <w:pPr>
      <w:ind w:left="420" w:leftChars="200"/>
    </w:pPr>
  </w:style>
  <w:style w:type="character" w:styleId="11">
    <w:name w:val="page number"/>
    <w:basedOn w:val="10"/>
    <w:qFormat/>
    <w:uiPriority w:val="0"/>
  </w:style>
  <w:style w:type="character" w:styleId="12">
    <w:name w:val="FollowedHyperlink"/>
    <w:qFormat/>
    <w:uiPriority w:val="0"/>
    <w:rPr>
      <w:color w:val="800080"/>
      <w:u w:val="single"/>
    </w:rPr>
  </w:style>
  <w:style w:type="paragraph" w:customStyle="1" w:styleId="13">
    <w:name w:val="表格文字"/>
    <w:basedOn w:val="1"/>
    <w:qFormat/>
    <w:uiPriority w:val="0"/>
    <w:pPr>
      <w:spacing w:before="25" w:after="25"/>
      <w:jc w:val="left"/>
    </w:pPr>
    <w:rPr>
      <w:rFonts w:ascii="Calibri" w:hAnsi="Calibri"/>
      <w:bCs/>
      <w:spacing w:val="10"/>
      <w:kern w:val="0"/>
      <w:sz w:val="24"/>
    </w:rPr>
  </w:style>
  <w:style w:type="paragraph" w:customStyle="1" w:styleId="14">
    <w:name w:val="正文_0_0"/>
    <w:qFormat/>
    <w:uiPriority w:val="0"/>
    <w:pPr>
      <w:widowControl w:val="0"/>
      <w:jc w:val="both"/>
    </w:pPr>
    <w:rPr>
      <w:rFonts w:ascii="Calibri" w:hAnsi="Calibri" w:eastAsia="宋体" w:cs="Times New Roman"/>
      <w:kern w:val="2"/>
      <w:sz w:val="21"/>
      <w:szCs w:val="22"/>
      <w:lang w:val="en-US" w:eastAsia="zh-CN" w:bidi="ar-SA"/>
    </w:rPr>
  </w:style>
  <w:style w:type="character" w:customStyle="1" w:styleId="15">
    <w:name w:val="页眉 Char"/>
    <w:basedOn w:val="10"/>
    <w:link w:val="7"/>
    <w:qFormat/>
    <w:uiPriority w:val="0"/>
    <w:rPr>
      <w:rFonts w:ascii="Times New Roman" w:hAnsi="Times New Roman" w:eastAsia="宋体" w:cs="Times New Roman"/>
      <w:kern w:val="2"/>
      <w:sz w:val="18"/>
      <w:szCs w:val="18"/>
    </w:rPr>
  </w:style>
  <w:style w:type="paragraph" w:customStyle="1" w:styleId="16">
    <w:name w:val="正文_1"/>
    <w:qFormat/>
    <w:uiPriority w:val="0"/>
    <w:pPr>
      <w:widowControl w:val="0"/>
      <w:jc w:val="both"/>
    </w:pPr>
    <w:rPr>
      <w:rFonts w:ascii="Calibri" w:hAnsi="Calibri" w:eastAsia="宋体" w:cs="Times New Roman"/>
      <w:kern w:val="2"/>
      <w:sz w:val="21"/>
      <w:szCs w:val="22"/>
      <w:lang w:val="en-US" w:eastAsia="zh-CN" w:bidi="ar-SA"/>
    </w:rPr>
  </w:style>
  <w:style w:type="character" w:customStyle="1" w:styleId="17">
    <w:name w:val="批注引用_0"/>
    <w:basedOn w:val="10"/>
    <w:qFormat/>
    <w:uiPriority w:val="0"/>
    <w:rPr>
      <w:sz w:val="21"/>
      <w:szCs w:val="21"/>
    </w:rPr>
  </w:style>
  <w:style w:type="paragraph" w:customStyle="1" w:styleId="18">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1956</Words>
  <Characters>2126</Characters>
  <Lines>120</Lines>
  <Paragraphs>33</Paragraphs>
  <TotalTime>7</TotalTime>
  <ScaleCrop>false</ScaleCrop>
  <LinksUpToDate>false</LinksUpToDate>
  <CharactersWithSpaces>2128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2022-01-13T09:42:00Z</dcterms:created>
  <dc:creator>lenovo</dc:creator>
  <cp:lastModifiedBy>米米</cp:lastModifiedBy>
  <cp:lastPrinted>2022-10-28T06:20:00Z</cp:lastPrinted>
  <dcterms:modified xsi:type="dcterms:W3CDTF">2025-03-10T08:45:01Z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2A3734612A0E4ED09ADB20B58C36E820_13</vt:lpwstr>
  </property>
</Properties>
</file>